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E446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E446D" w:rsidRDefault="00200C1D" w:rsidP="0010095E">
            <w:pPr>
              <w:pStyle w:val="EPName"/>
            </w:pPr>
            <w:r w:rsidRPr="00BE446D">
              <w:t>Evropský parlament</w:t>
            </w:r>
          </w:p>
          <w:p w:rsidR="00751A4A" w:rsidRPr="00BE446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446D">
              <w:t>2024</w:t>
            </w:r>
            <w:r w:rsidR="00817416" w:rsidRPr="00BE446D">
              <w:t>-202</w:t>
            </w:r>
            <w:r w:rsidRPr="00BE446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E446D" w:rsidRDefault="00187494" w:rsidP="0010095E">
            <w:pPr>
              <w:pStyle w:val="EPLogo"/>
            </w:pPr>
            <w:r w:rsidRPr="00BE446D">
              <w:rPr>
                <w:noProof/>
                <w:lang w:eastAsia="cs-CZ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E446D" w:rsidRDefault="00D058B8" w:rsidP="004C5D52">
      <w:pPr>
        <w:pStyle w:val="LineTop"/>
      </w:pPr>
    </w:p>
    <w:p w:rsidR="00680577" w:rsidRPr="00BE446D" w:rsidRDefault="00200C1D" w:rsidP="00680577">
      <w:pPr>
        <w:pStyle w:val="EPBodyTA1"/>
      </w:pPr>
      <w:r w:rsidRPr="00BE446D">
        <w:t>PŘIJATÉ TEXTY</w:t>
      </w:r>
    </w:p>
    <w:p w:rsidR="00D058B8" w:rsidRPr="00BE446D" w:rsidRDefault="00D058B8" w:rsidP="00D058B8">
      <w:pPr>
        <w:pStyle w:val="LineBottom"/>
      </w:pPr>
    </w:p>
    <w:p w:rsidR="00200C1D" w:rsidRPr="00BE446D" w:rsidRDefault="00200C1D" w:rsidP="00200C1D">
      <w:pPr>
        <w:pStyle w:val="ATHeading1"/>
      </w:pPr>
      <w:bookmarkStart w:id="0" w:name="TANumber"/>
      <w:r w:rsidRPr="00BE446D">
        <w:t>P10_TA(2025)00</w:t>
      </w:r>
      <w:r w:rsidR="00CB323C">
        <w:t>76</w:t>
      </w:r>
      <w:bookmarkEnd w:id="0"/>
    </w:p>
    <w:p w:rsidR="00200C1D" w:rsidRPr="00BE446D" w:rsidRDefault="00200C1D" w:rsidP="00200C1D">
      <w:pPr>
        <w:pStyle w:val="ATHeading2"/>
      </w:pPr>
      <w:bookmarkStart w:id="1" w:name="title"/>
      <w:r w:rsidRPr="00BE446D">
        <w:t>Kontrola finanční činnosti Evropské investiční banky – výroční zpráva za rok 2023</w:t>
      </w:r>
      <w:bookmarkEnd w:id="1"/>
    </w:p>
    <w:p w:rsidR="00200C1D" w:rsidRPr="00BE446D" w:rsidRDefault="00200C1D" w:rsidP="00200C1D">
      <w:pPr>
        <w:rPr>
          <w:i/>
          <w:vanish/>
        </w:rPr>
      </w:pPr>
      <w:r w:rsidRPr="00BE446D">
        <w:rPr>
          <w:i/>
        </w:rPr>
        <w:fldChar w:fldCharType="begin"/>
      </w:r>
      <w:r w:rsidRPr="00BE446D">
        <w:rPr>
          <w:i/>
        </w:rPr>
        <w:instrText xml:space="preserve"> TC"(</w:instrText>
      </w:r>
      <w:bookmarkStart w:id="2" w:name="DocNumber"/>
      <w:r w:rsidRPr="00BE446D">
        <w:rPr>
          <w:i/>
        </w:rPr>
        <w:instrText>A10-0068/2025</w:instrText>
      </w:r>
      <w:bookmarkEnd w:id="2"/>
      <w:r w:rsidRPr="00BE446D">
        <w:rPr>
          <w:i/>
        </w:rPr>
        <w:instrText xml:space="preserve"> - Zpravodaj: Ondřej Knotek)"\l3 \n&gt; \* MERGEFORMAT </w:instrText>
      </w:r>
      <w:r w:rsidRPr="00BE446D">
        <w:rPr>
          <w:i/>
        </w:rPr>
        <w:fldChar w:fldCharType="end"/>
      </w:r>
    </w:p>
    <w:p w:rsidR="00200C1D" w:rsidRPr="00BE446D" w:rsidRDefault="00200C1D" w:rsidP="00200C1D">
      <w:pPr>
        <w:rPr>
          <w:vanish/>
        </w:rPr>
      </w:pPr>
      <w:bookmarkStart w:id="3" w:name="Commission"/>
      <w:r w:rsidRPr="00BE446D">
        <w:rPr>
          <w:vanish/>
        </w:rPr>
        <w:t>Výbor pro rozpočtovou kontrolu</w:t>
      </w:r>
      <w:bookmarkEnd w:id="3"/>
    </w:p>
    <w:p w:rsidR="00200C1D" w:rsidRPr="00BE446D" w:rsidRDefault="00200C1D" w:rsidP="00200C1D">
      <w:pPr>
        <w:rPr>
          <w:vanish/>
        </w:rPr>
      </w:pPr>
      <w:bookmarkStart w:id="4" w:name="PE"/>
      <w:r w:rsidRPr="00BE446D">
        <w:rPr>
          <w:vanish/>
        </w:rPr>
        <w:t>PE769.944</w:t>
      </w:r>
      <w:bookmarkEnd w:id="4"/>
    </w:p>
    <w:p w:rsidR="00200C1D" w:rsidRPr="00BE446D" w:rsidRDefault="00200C1D" w:rsidP="00200C1D">
      <w:pPr>
        <w:pStyle w:val="ATHeading3"/>
      </w:pPr>
      <w:bookmarkStart w:id="5" w:name="Sujet"/>
      <w:r w:rsidRPr="00BE446D">
        <w:t xml:space="preserve">Usnesení </w:t>
      </w:r>
      <w:r w:rsidR="00D13756">
        <w:t xml:space="preserve">Evropského parlamentu ze </w:t>
      </w:r>
      <w:r w:rsidR="001F66CF">
        <w:t>dne 6</w:t>
      </w:r>
      <w:r w:rsidR="00D13756">
        <w:t>. května</w:t>
      </w:r>
      <w:r w:rsidRPr="00BE446D">
        <w:t xml:space="preserve"> 2025 o kontrole finanční činnosti Evropské investiční banky – výroční zpráva za rok 2023</w:t>
      </w:r>
      <w:bookmarkEnd w:id="5"/>
      <w:r w:rsidRPr="00BE446D">
        <w:t xml:space="preserve"> </w:t>
      </w:r>
      <w:bookmarkStart w:id="6" w:name="References"/>
      <w:r w:rsidRPr="00BE446D">
        <w:t>(2024/2052(INI))</w:t>
      </w:r>
      <w:bookmarkEnd w:id="6"/>
    </w:p>
    <w:p w:rsidR="00885878" w:rsidRPr="00BE446D" w:rsidRDefault="00885878" w:rsidP="00885878">
      <w:pPr>
        <w:pStyle w:val="EPComma"/>
      </w:pPr>
      <w:r w:rsidRPr="00BE446D">
        <w:rPr>
          <w:rStyle w:val="Italic"/>
        </w:rPr>
        <w:t>Evropský parlament</w:t>
      </w:r>
      <w:r w:rsidRPr="00BE446D">
        <w:t>,</w:t>
      </w:r>
    </w:p>
    <w:p w:rsidR="00885878" w:rsidRPr="00BE446D" w:rsidRDefault="00885878" w:rsidP="00885878">
      <w:pPr>
        <w:pStyle w:val="NormalHanging12a"/>
      </w:pPr>
      <w:r w:rsidRPr="00BE446D">
        <w:t>–</w:t>
      </w:r>
      <w:r w:rsidRPr="00BE446D">
        <w:tab/>
        <w:t xml:space="preserve">s ohledem na zprávu o činnosti skupiny Evropské investiční banky („dále jen skupina EIB“) za rok 2023 ze dne 1. února 2024 nazvanou „Plán udržitelného způsobu života“ a na dokument skupiny EIB ze dne 2. února 2023 nazvaný „EIB Group </w:t>
      </w:r>
      <w:proofErr w:type="spellStart"/>
      <w:r w:rsidRPr="00BE446D">
        <w:t>Operational</w:t>
      </w:r>
      <w:proofErr w:type="spellEnd"/>
      <w:r w:rsidRPr="00BE446D">
        <w:t xml:space="preserve"> </w:t>
      </w:r>
      <w:proofErr w:type="spellStart"/>
      <w:r w:rsidRPr="00BE446D">
        <w:t>Plan</w:t>
      </w:r>
      <w:proofErr w:type="spellEnd"/>
      <w:r w:rsidRPr="00BE446D">
        <w:t xml:space="preserve"> 2023–2025“ (Operační plán skupiny EIB na období 2023–2025),</w:t>
      </w:r>
    </w:p>
    <w:p w:rsidR="00885878" w:rsidRPr="00BE446D" w:rsidRDefault="00885878" w:rsidP="00885878">
      <w:pPr>
        <w:pStyle w:val="NormalHanging12a"/>
      </w:pPr>
      <w:r w:rsidRPr="00BE446D">
        <w:t>–</w:t>
      </w:r>
      <w:r w:rsidRPr="00BE446D">
        <w:tab/>
        <w:t>s ohledem na zprávu Evropské investiční banky (dále jen „EIB“ nebo „banka“) o investicích 2023/2024 nazvanou „</w:t>
      </w:r>
      <w:proofErr w:type="spellStart"/>
      <w:r w:rsidRPr="00BE446D">
        <w:t>Transforming</w:t>
      </w:r>
      <w:proofErr w:type="spellEnd"/>
      <w:r w:rsidRPr="00BE446D">
        <w:t xml:space="preserve"> </w:t>
      </w:r>
      <w:proofErr w:type="spellStart"/>
      <w:r w:rsidRPr="00BE446D">
        <w:t>for</w:t>
      </w:r>
      <w:proofErr w:type="spellEnd"/>
      <w:r w:rsidRPr="00BE446D">
        <w:t xml:space="preserve"> </w:t>
      </w:r>
      <w:proofErr w:type="spellStart"/>
      <w:r w:rsidRPr="00BE446D">
        <w:t>competitiveness</w:t>
      </w:r>
      <w:proofErr w:type="spellEnd"/>
      <w:r w:rsidRPr="00BE446D">
        <w:t>“ (Transformací ke konkurenceschopnosti), která byla zveřejněna dne 7. února 2024,</w:t>
      </w:r>
    </w:p>
    <w:p w:rsidR="00885878" w:rsidRPr="00BE446D" w:rsidRDefault="00885878" w:rsidP="00885878">
      <w:pPr>
        <w:pStyle w:val="NormalHanging12a"/>
      </w:pPr>
      <w:r w:rsidRPr="00BE446D">
        <w:t>–</w:t>
      </w:r>
      <w:r w:rsidRPr="00BE446D">
        <w:tab/>
        <w:t>s ohledem na dokument EIB ze dne 8. května 2023 nazvaný „</w:t>
      </w:r>
      <w:proofErr w:type="spellStart"/>
      <w:r w:rsidRPr="00BE446D">
        <w:t>Mid</w:t>
      </w:r>
      <w:proofErr w:type="spellEnd"/>
      <w:r w:rsidRPr="00BE446D">
        <w:t xml:space="preserve">-term </w:t>
      </w:r>
      <w:proofErr w:type="spellStart"/>
      <w:r w:rsidRPr="00BE446D">
        <w:t>review</w:t>
      </w:r>
      <w:proofErr w:type="spellEnd"/>
      <w:r w:rsidRPr="00BE446D">
        <w:t xml:space="preserve"> </w:t>
      </w:r>
      <w:proofErr w:type="spellStart"/>
      <w:r w:rsidRPr="00BE446D">
        <w:t>of</w:t>
      </w:r>
      <w:proofErr w:type="spellEnd"/>
      <w:r w:rsidRPr="00BE446D">
        <w:t xml:space="preserve"> </w:t>
      </w:r>
      <w:proofErr w:type="spellStart"/>
      <w:r w:rsidRPr="00BE446D">
        <w:t>the</w:t>
      </w:r>
      <w:proofErr w:type="spellEnd"/>
      <w:r w:rsidRPr="00BE446D">
        <w:t xml:space="preserve"> EIB </w:t>
      </w:r>
      <w:proofErr w:type="spellStart"/>
      <w:r w:rsidRPr="00BE446D">
        <w:t>Energy</w:t>
      </w:r>
      <w:proofErr w:type="spellEnd"/>
      <w:r w:rsidRPr="00BE446D">
        <w:t xml:space="preserve"> </w:t>
      </w:r>
      <w:proofErr w:type="spellStart"/>
      <w:r w:rsidRPr="00BE446D">
        <w:t>Lending</w:t>
      </w:r>
      <w:proofErr w:type="spellEnd"/>
      <w:r w:rsidRPr="00BE446D">
        <w:t xml:space="preserve"> </w:t>
      </w:r>
      <w:proofErr w:type="spellStart"/>
      <w:r w:rsidRPr="00BE446D">
        <w:t>Policy</w:t>
      </w:r>
      <w:proofErr w:type="spellEnd"/>
      <w:r w:rsidRPr="00BE446D">
        <w:t>“ (Přezkum úvěrové politiky EIB v oblasti energetiky v polovině období),</w:t>
      </w:r>
    </w:p>
    <w:p w:rsidR="00885878" w:rsidRPr="00BE446D" w:rsidRDefault="00885878" w:rsidP="00885878">
      <w:pPr>
        <w:pStyle w:val="NormalHanging12a"/>
      </w:pPr>
      <w:r w:rsidRPr="00BE446D">
        <w:t>–</w:t>
      </w:r>
      <w:r w:rsidRPr="00BE446D">
        <w:tab/>
        <w:t>s ohledem na zprávu skupiny EIB o provádění politiky transparentnosti skupiny EIB v roce 2023, která byla zveřejněna dne 1. července 2024,</w:t>
      </w:r>
    </w:p>
    <w:p w:rsidR="00885878" w:rsidRPr="00BE446D" w:rsidRDefault="00885878" w:rsidP="00885878">
      <w:pPr>
        <w:pStyle w:val="NormalHanging12a"/>
      </w:pPr>
      <w:r w:rsidRPr="00BE446D">
        <w:t>–</w:t>
      </w:r>
      <w:r w:rsidRPr="00BE446D">
        <w:tab/>
        <w:t xml:space="preserve">s ohledem na dokument skupiny EIB ze dne 27. listopadu 2023 nazvaný „The EIB Group PATH Framework – </w:t>
      </w:r>
      <w:proofErr w:type="spellStart"/>
      <w:r w:rsidRPr="00BE446D">
        <w:t>Version</w:t>
      </w:r>
      <w:proofErr w:type="spellEnd"/>
      <w:r w:rsidRPr="00BE446D">
        <w:t xml:space="preserve"> 1.2 </w:t>
      </w:r>
      <w:proofErr w:type="spellStart"/>
      <w:r w:rsidRPr="00BE446D">
        <w:t>of</w:t>
      </w:r>
      <w:proofErr w:type="spellEnd"/>
      <w:r w:rsidRPr="00BE446D">
        <w:t xml:space="preserve"> </w:t>
      </w:r>
      <w:proofErr w:type="spellStart"/>
      <w:r w:rsidRPr="00BE446D">
        <w:t>November</w:t>
      </w:r>
      <w:proofErr w:type="spellEnd"/>
      <w:r w:rsidRPr="00BE446D">
        <w:t xml:space="preserve"> 2023 – </w:t>
      </w:r>
      <w:proofErr w:type="spellStart"/>
      <w:r w:rsidRPr="00BE446D">
        <w:t>Supporting</w:t>
      </w:r>
      <w:proofErr w:type="spellEnd"/>
      <w:r w:rsidRPr="00BE446D">
        <w:t xml:space="preserve"> </w:t>
      </w:r>
      <w:proofErr w:type="spellStart"/>
      <w:r w:rsidRPr="00BE446D">
        <w:t>counterparties</w:t>
      </w:r>
      <w:proofErr w:type="spellEnd"/>
      <w:r w:rsidRPr="00BE446D">
        <w:t xml:space="preserve"> on </w:t>
      </w:r>
      <w:proofErr w:type="spellStart"/>
      <w:r w:rsidRPr="00BE446D">
        <w:t>their</w:t>
      </w:r>
      <w:proofErr w:type="spellEnd"/>
      <w:r w:rsidRPr="00BE446D">
        <w:t xml:space="preserve"> </w:t>
      </w:r>
      <w:proofErr w:type="spellStart"/>
      <w:r w:rsidRPr="00BE446D">
        <w:t>pathways</w:t>
      </w:r>
      <w:proofErr w:type="spellEnd"/>
      <w:r w:rsidRPr="00BE446D">
        <w:t xml:space="preserve"> to </w:t>
      </w:r>
      <w:proofErr w:type="spellStart"/>
      <w:r w:rsidRPr="00BE446D">
        <w:t>align</w:t>
      </w:r>
      <w:proofErr w:type="spellEnd"/>
      <w:r w:rsidRPr="00BE446D">
        <w:t xml:space="preserve"> </w:t>
      </w:r>
      <w:proofErr w:type="spellStart"/>
      <w:r w:rsidRPr="00BE446D">
        <w:t>with</w:t>
      </w:r>
      <w:proofErr w:type="spellEnd"/>
      <w:r w:rsidRPr="00BE446D">
        <w:t xml:space="preserve"> </w:t>
      </w:r>
      <w:proofErr w:type="spellStart"/>
      <w:r w:rsidRPr="00BE446D">
        <w:t>the</w:t>
      </w:r>
      <w:proofErr w:type="spellEnd"/>
      <w:r w:rsidRPr="00BE446D">
        <w:t xml:space="preserve"> Paris </w:t>
      </w:r>
      <w:proofErr w:type="spellStart"/>
      <w:r w:rsidRPr="00BE446D">
        <w:t>Agreement</w:t>
      </w:r>
      <w:proofErr w:type="spellEnd"/>
      <w:r w:rsidRPr="00BE446D">
        <w:t>“ (Rámec PATH skupiny EIB – verze 1.2 z listopadu 2023 – Podpora protistran na cestě k dosažení souladu s Pařížskou dohodou),</w:t>
      </w:r>
    </w:p>
    <w:p w:rsidR="00885878" w:rsidRPr="00BE446D" w:rsidRDefault="00885878" w:rsidP="00885878">
      <w:pPr>
        <w:pStyle w:val="NormalHanging12a"/>
      </w:pPr>
      <w:r w:rsidRPr="00BE446D">
        <w:t>–</w:t>
      </w:r>
      <w:r w:rsidRPr="00BE446D">
        <w:tab/>
        <w:t xml:space="preserve">s ohledem na dokument skupiny EIB a EIB ze dne 21. června 2024 nazvaný „EIB Group 2024–2027 </w:t>
      </w:r>
      <w:proofErr w:type="spellStart"/>
      <w:r w:rsidRPr="00BE446D">
        <w:t>Strategic</w:t>
      </w:r>
      <w:proofErr w:type="spellEnd"/>
      <w:r w:rsidRPr="00BE446D">
        <w:t xml:space="preserve"> </w:t>
      </w:r>
      <w:proofErr w:type="spellStart"/>
      <w:r w:rsidRPr="00BE446D">
        <w:t>Roadmap</w:t>
      </w:r>
      <w:proofErr w:type="spellEnd"/>
      <w:r w:rsidRPr="00BE446D">
        <w:t xml:space="preserve">“ (Strategický plán skupiny EIB na období 2024–2027) a na dokument ze dne 29. listopadu 2023 nazvaný „EIB </w:t>
      </w:r>
      <w:proofErr w:type="spellStart"/>
      <w:r w:rsidRPr="00BE446D">
        <w:t>Global</w:t>
      </w:r>
      <w:proofErr w:type="spellEnd"/>
      <w:r w:rsidRPr="00BE446D">
        <w:t xml:space="preserve"> </w:t>
      </w:r>
      <w:proofErr w:type="spellStart"/>
      <w:r w:rsidRPr="00BE446D">
        <w:t>Strategic</w:t>
      </w:r>
      <w:proofErr w:type="spellEnd"/>
      <w:r w:rsidRPr="00BE446D">
        <w:t xml:space="preserve"> </w:t>
      </w:r>
      <w:proofErr w:type="spellStart"/>
      <w:r w:rsidRPr="00BE446D">
        <w:t>Roadmap</w:t>
      </w:r>
      <w:proofErr w:type="spellEnd"/>
      <w:r w:rsidRPr="00BE446D">
        <w:t>“ (Globální strategický plán EIB),</w:t>
      </w:r>
    </w:p>
    <w:p w:rsidR="00885878" w:rsidRPr="00BE446D" w:rsidRDefault="00885878" w:rsidP="00885878">
      <w:pPr>
        <w:pStyle w:val="NormalHanging12a"/>
      </w:pPr>
      <w:r w:rsidRPr="00BE446D">
        <w:t>–</w:t>
      </w:r>
      <w:r w:rsidRPr="00BE446D">
        <w:tab/>
        <w:t>s ohledem na zprávu skupiny EIB o udržitelnosti za rok 2023, která byla zveřejněna dne 25. července 2024,</w:t>
      </w:r>
    </w:p>
    <w:p w:rsidR="00885878" w:rsidRPr="00BE446D" w:rsidRDefault="00885878" w:rsidP="00885878">
      <w:pPr>
        <w:pStyle w:val="NormalHanging12a"/>
      </w:pPr>
      <w:r w:rsidRPr="00BE446D">
        <w:lastRenderedPageBreak/>
        <w:t>–</w:t>
      </w:r>
      <w:r w:rsidRPr="00BE446D">
        <w:tab/>
        <w:t>s ohledem na informační sdělení EIB ze dne 6. února 2023 nazvané „</w:t>
      </w:r>
      <w:proofErr w:type="spellStart"/>
      <w:r w:rsidRPr="00BE446D">
        <w:t>The</w:t>
      </w:r>
      <w:proofErr w:type="spellEnd"/>
      <w:r w:rsidRPr="00BE446D">
        <w:t xml:space="preserve"> </w:t>
      </w:r>
      <w:proofErr w:type="spellStart"/>
      <w:r w:rsidRPr="00BE446D">
        <w:t>European</w:t>
      </w:r>
      <w:proofErr w:type="spellEnd"/>
      <w:r w:rsidRPr="00BE446D">
        <w:t xml:space="preserve"> </w:t>
      </w:r>
      <w:proofErr w:type="spellStart"/>
      <w:r w:rsidRPr="00BE446D">
        <w:t>Investment</w:t>
      </w:r>
      <w:proofErr w:type="spellEnd"/>
      <w:r w:rsidRPr="00BE446D">
        <w:t xml:space="preserve"> </w:t>
      </w:r>
      <w:proofErr w:type="spellStart"/>
      <w:r w:rsidRPr="00BE446D">
        <w:t>Bank’s</w:t>
      </w:r>
      <w:proofErr w:type="spellEnd"/>
      <w:r w:rsidRPr="00BE446D">
        <w:t xml:space="preserve"> </w:t>
      </w:r>
      <w:proofErr w:type="spellStart"/>
      <w:r w:rsidRPr="00BE446D">
        <w:t>approach</w:t>
      </w:r>
      <w:proofErr w:type="spellEnd"/>
      <w:r w:rsidRPr="00BE446D">
        <w:t xml:space="preserve"> to </w:t>
      </w:r>
      <w:proofErr w:type="spellStart"/>
      <w:r w:rsidRPr="00BE446D">
        <w:t>human</w:t>
      </w:r>
      <w:proofErr w:type="spellEnd"/>
      <w:r w:rsidRPr="00BE446D">
        <w:t xml:space="preserve"> </w:t>
      </w:r>
      <w:proofErr w:type="spellStart"/>
      <w:r w:rsidRPr="00BE446D">
        <w:t>rights</w:t>
      </w:r>
      <w:proofErr w:type="spellEnd"/>
      <w:r w:rsidRPr="00BE446D">
        <w:t>“ (Přístup Evropské investiční banky k lidským právům),</w:t>
      </w:r>
    </w:p>
    <w:p w:rsidR="00885878" w:rsidRPr="00BE446D" w:rsidRDefault="00885878" w:rsidP="00885878">
      <w:pPr>
        <w:pStyle w:val="NormalHanging12a"/>
      </w:pPr>
      <w:r w:rsidRPr="00BE446D">
        <w:t>–</w:t>
      </w:r>
      <w:r w:rsidRPr="00BE446D">
        <w:tab/>
        <w:t>s ohledem na zprávu skupiny EIB o mechanismu pro vyřizování stížností za rok 2023 zveřejněnou dne 10. června 2024,</w:t>
      </w:r>
    </w:p>
    <w:p w:rsidR="00885878" w:rsidRPr="00BE446D" w:rsidRDefault="00885878" w:rsidP="00885878">
      <w:pPr>
        <w:pStyle w:val="NormalHanging12a"/>
      </w:pPr>
      <w:r w:rsidRPr="00BE446D">
        <w:t>–</w:t>
      </w:r>
      <w:r w:rsidRPr="00BE446D">
        <w:tab/>
        <w:t xml:space="preserve">s ohledem na dokument skupiny EIB ze dne 14. října 2024 nazvaný „Diversity, </w:t>
      </w:r>
      <w:proofErr w:type="spellStart"/>
      <w:r w:rsidRPr="00BE446D">
        <w:t>Equity</w:t>
      </w:r>
      <w:proofErr w:type="spellEnd"/>
      <w:r w:rsidRPr="00BE446D">
        <w:t xml:space="preserve"> and </w:t>
      </w:r>
      <w:proofErr w:type="spellStart"/>
      <w:r w:rsidRPr="00BE446D">
        <w:t>Inclusion</w:t>
      </w:r>
      <w:proofErr w:type="spellEnd"/>
      <w:r w:rsidRPr="00BE446D">
        <w:t xml:space="preserve"> </w:t>
      </w:r>
      <w:proofErr w:type="spellStart"/>
      <w:r w:rsidRPr="00BE446D">
        <w:t>at</w:t>
      </w:r>
      <w:proofErr w:type="spellEnd"/>
      <w:r w:rsidRPr="00BE446D">
        <w:t xml:space="preserve"> </w:t>
      </w:r>
      <w:proofErr w:type="spellStart"/>
      <w:r w:rsidRPr="00BE446D">
        <w:t>the</w:t>
      </w:r>
      <w:proofErr w:type="spellEnd"/>
      <w:r w:rsidRPr="00BE446D">
        <w:t xml:space="preserve"> EIB Group“ (Rozmanitost, rovnost a začleňování ve skupině EIB),</w:t>
      </w:r>
    </w:p>
    <w:p w:rsidR="00885878" w:rsidRPr="00BE446D" w:rsidRDefault="00885878" w:rsidP="00885878">
      <w:pPr>
        <w:pStyle w:val="NormalHanging12a"/>
      </w:pPr>
      <w:r w:rsidRPr="00BE446D">
        <w:t>–</w:t>
      </w:r>
      <w:r w:rsidRPr="00BE446D">
        <w:tab/>
        <w:t xml:space="preserve">s ohledem na publikaci EIB ze dne 23. září 2024 nazvanou „EIB Audit </w:t>
      </w:r>
      <w:proofErr w:type="spellStart"/>
      <w:r w:rsidRPr="00BE446D">
        <w:t>Committee</w:t>
      </w:r>
      <w:proofErr w:type="spellEnd"/>
      <w:r w:rsidRPr="00BE446D">
        <w:t xml:space="preserve"> </w:t>
      </w:r>
      <w:proofErr w:type="spellStart"/>
      <w:r w:rsidRPr="00BE446D">
        <w:t>Annual</w:t>
      </w:r>
      <w:proofErr w:type="spellEnd"/>
      <w:r w:rsidRPr="00BE446D">
        <w:t xml:space="preserve"> </w:t>
      </w:r>
      <w:proofErr w:type="spellStart"/>
      <w:r w:rsidRPr="00BE446D">
        <w:t>Reports</w:t>
      </w:r>
      <w:proofErr w:type="spellEnd"/>
      <w:r w:rsidRPr="00BE446D">
        <w:t xml:space="preserve"> </w:t>
      </w:r>
      <w:proofErr w:type="spellStart"/>
      <w:r w:rsidRPr="00BE446D">
        <w:t>for</w:t>
      </w:r>
      <w:proofErr w:type="spellEnd"/>
      <w:r w:rsidRPr="00BE446D">
        <w:t xml:space="preserve"> </w:t>
      </w:r>
      <w:proofErr w:type="spellStart"/>
      <w:r w:rsidRPr="00BE446D">
        <w:t>the</w:t>
      </w:r>
      <w:proofErr w:type="spellEnd"/>
      <w:r w:rsidRPr="00BE446D">
        <w:t xml:space="preserve"> </w:t>
      </w:r>
      <w:proofErr w:type="spellStart"/>
      <w:r w:rsidRPr="00BE446D">
        <w:t>year</w:t>
      </w:r>
      <w:proofErr w:type="spellEnd"/>
      <w:r w:rsidRPr="00BE446D">
        <w:t xml:space="preserve"> 2023“ (Výroční zprávy výboru pro audit EIB za rok 2023),</w:t>
      </w:r>
    </w:p>
    <w:p w:rsidR="001F66CF" w:rsidRDefault="00885878" w:rsidP="00885878">
      <w:pPr>
        <w:pStyle w:val="NormalHanging12a"/>
      </w:pPr>
      <w:r w:rsidRPr="00BE446D">
        <w:t>–</w:t>
      </w:r>
      <w:r w:rsidRPr="00BE446D">
        <w:tab/>
        <w:t xml:space="preserve">s ohledem na zprávu skupiny EIB ze dne 15. července 2024 nazvanou „EIB Group </w:t>
      </w:r>
      <w:proofErr w:type="spellStart"/>
      <w:r w:rsidRPr="00BE446D">
        <w:t>activities</w:t>
      </w:r>
      <w:proofErr w:type="spellEnd"/>
      <w:r w:rsidRPr="00BE446D">
        <w:t xml:space="preserve"> in EU </w:t>
      </w:r>
      <w:proofErr w:type="spellStart"/>
      <w:r w:rsidRPr="00BE446D">
        <w:t>cohesion</w:t>
      </w:r>
      <w:proofErr w:type="spellEnd"/>
      <w:r w:rsidRPr="00BE446D">
        <w:t xml:space="preserve"> </w:t>
      </w:r>
      <w:proofErr w:type="spellStart"/>
      <w:r w:rsidRPr="00BE446D">
        <w:t>regions</w:t>
      </w:r>
      <w:proofErr w:type="spellEnd"/>
      <w:r w:rsidRPr="00BE446D">
        <w:t xml:space="preserve"> in 2023“ (Činnosti skupiny EIB v regionech soudržnosti EU v </w:t>
      </w:r>
      <w:r w:rsidR="001F66CF">
        <w:t>roce 2023),</w:t>
      </w:r>
    </w:p>
    <w:p w:rsidR="00885878" w:rsidRPr="00BE446D" w:rsidRDefault="00885878" w:rsidP="00885878">
      <w:pPr>
        <w:pStyle w:val="NormalHanging12a"/>
      </w:pPr>
      <w:r w:rsidRPr="00BE446D">
        <w:t>–</w:t>
      </w:r>
      <w:r w:rsidRPr="00BE446D">
        <w:tab/>
        <w:t xml:space="preserve">s ohledem na zprávu EIB ze dne 19. října 2023 nazvanou „EIB </w:t>
      </w:r>
      <w:proofErr w:type="spellStart"/>
      <w:r w:rsidRPr="00BE446D">
        <w:t>Investment</w:t>
      </w:r>
      <w:proofErr w:type="spellEnd"/>
      <w:r w:rsidRPr="00BE446D">
        <w:t xml:space="preserve"> </w:t>
      </w:r>
      <w:proofErr w:type="spellStart"/>
      <w:r w:rsidRPr="00BE446D">
        <w:t>Survey</w:t>
      </w:r>
      <w:proofErr w:type="spellEnd"/>
      <w:r w:rsidRPr="00BE446D">
        <w:t xml:space="preserve"> 2023 – </w:t>
      </w:r>
      <w:proofErr w:type="spellStart"/>
      <w:r w:rsidRPr="00BE446D">
        <w:t>European</w:t>
      </w:r>
      <w:proofErr w:type="spellEnd"/>
      <w:r w:rsidRPr="00BE446D">
        <w:t xml:space="preserve"> Union </w:t>
      </w:r>
      <w:proofErr w:type="spellStart"/>
      <w:r w:rsidRPr="00BE446D">
        <w:t>overview</w:t>
      </w:r>
      <w:proofErr w:type="spellEnd"/>
      <w:r w:rsidRPr="00BE446D">
        <w:t>“ (Investiční průzkum EIB 2023 – Přehled o Evropské unii),</w:t>
      </w:r>
    </w:p>
    <w:p w:rsidR="00885878" w:rsidRPr="00BE446D" w:rsidRDefault="00885878" w:rsidP="00885878">
      <w:pPr>
        <w:pStyle w:val="NormalHanging12a"/>
      </w:pPr>
      <w:r w:rsidRPr="00BE446D">
        <w:t xml:space="preserve"> –</w:t>
      </w:r>
      <w:r w:rsidRPr="00BE446D">
        <w:tab/>
        <w:t xml:space="preserve">s ohledem na zprávu skupiny EIB ze dne 26. června 2024 nazvanou „EIB Group support </w:t>
      </w:r>
      <w:proofErr w:type="spellStart"/>
      <w:r w:rsidRPr="00BE446D">
        <w:t>for</w:t>
      </w:r>
      <w:proofErr w:type="spellEnd"/>
      <w:r w:rsidRPr="00BE446D">
        <w:t xml:space="preserve"> EU </w:t>
      </w:r>
      <w:proofErr w:type="spellStart"/>
      <w:r w:rsidRPr="00BE446D">
        <w:t>businesses</w:t>
      </w:r>
      <w:proofErr w:type="spellEnd"/>
      <w:r w:rsidRPr="00BE446D">
        <w:t xml:space="preserve">: Evidence </w:t>
      </w:r>
      <w:proofErr w:type="spellStart"/>
      <w:r w:rsidRPr="00BE446D">
        <w:t>of</w:t>
      </w:r>
      <w:proofErr w:type="spellEnd"/>
      <w:r w:rsidRPr="00BE446D">
        <w:t xml:space="preserve"> </w:t>
      </w:r>
      <w:proofErr w:type="spellStart"/>
      <w:r w:rsidRPr="00BE446D">
        <w:t>impact</w:t>
      </w:r>
      <w:proofErr w:type="spellEnd"/>
      <w:r w:rsidRPr="00BE446D">
        <w:t xml:space="preserve"> in </w:t>
      </w:r>
      <w:proofErr w:type="spellStart"/>
      <w:r w:rsidRPr="00BE446D">
        <w:t>addressing</w:t>
      </w:r>
      <w:proofErr w:type="spellEnd"/>
      <w:r w:rsidRPr="00BE446D">
        <w:t xml:space="preserve"> market </w:t>
      </w:r>
      <w:proofErr w:type="spellStart"/>
      <w:r w:rsidRPr="00BE446D">
        <w:t>failures</w:t>
      </w:r>
      <w:proofErr w:type="spellEnd"/>
      <w:r w:rsidRPr="00BE446D">
        <w:t xml:space="preserve">“ (Podpora skupiny EIB pro podniky v EU: důkazy o dopadu při řešení selhání trhu), </w:t>
      </w:r>
    </w:p>
    <w:p w:rsidR="00885878" w:rsidRPr="00BE446D" w:rsidRDefault="00885878" w:rsidP="00885878">
      <w:pPr>
        <w:pStyle w:val="NormalHanging12a"/>
      </w:pPr>
      <w:r w:rsidRPr="00BE446D">
        <w:t>–</w:t>
      </w:r>
      <w:r w:rsidRPr="00BE446D">
        <w:tab/>
        <w:t>s ohledem na společné sdělení Komise a vysokého představitele Unie pro zahraniční věci a bezpečnostní politiku ze dne 5. března 2024 nazvané „Nová strategie pro evropský obranný průmysl: dosahování připravenosti EU prostřednictvím pohotového a odolného evropského obranného průmyslu“ (JOIN(2024)0010),</w:t>
      </w:r>
    </w:p>
    <w:p w:rsidR="00885878" w:rsidRPr="00BE446D" w:rsidRDefault="00885878" w:rsidP="00885878">
      <w:pPr>
        <w:pStyle w:val="NormalHanging12a"/>
      </w:pPr>
      <w:r w:rsidRPr="00BE446D">
        <w:t>–</w:t>
      </w:r>
      <w:r w:rsidRPr="00BE446D">
        <w:tab/>
        <w:t>s ohledem na zvláštní zprávu Evropského účetního dvora 22/2024 nazvanou „Dvojí financování z rozpočtu EU“,</w:t>
      </w:r>
    </w:p>
    <w:p w:rsidR="00885878" w:rsidRPr="00BE446D" w:rsidRDefault="00885878" w:rsidP="00885878">
      <w:pPr>
        <w:pStyle w:val="NormalHanging12a"/>
      </w:pPr>
      <w:r w:rsidRPr="00BE446D">
        <w:t>–</w:t>
      </w:r>
      <w:r w:rsidRPr="00BE446D">
        <w:tab/>
        <w:t>s ohledem na zprávu skupiny EIB ze dne 29. prosince 2023 nazvanou „</w:t>
      </w:r>
      <w:proofErr w:type="spellStart"/>
      <w:r w:rsidRPr="00BE446D">
        <w:t>European</w:t>
      </w:r>
      <w:proofErr w:type="spellEnd"/>
      <w:r w:rsidRPr="00BE446D">
        <w:t xml:space="preserve"> </w:t>
      </w:r>
      <w:proofErr w:type="spellStart"/>
      <w:r w:rsidRPr="00BE446D">
        <w:t>Investment</w:t>
      </w:r>
      <w:proofErr w:type="spellEnd"/>
      <w:r w:rsidRPr="00BE446D">
        <w:t xml:space="preserve"> Bank Group Risk Management </w:t>
      </w:r>
      <w:proofErr w:type="spellStart"/>
      <w:r w:rsidRPr="00BE446D">
        <w:t>Disclosure</w:t>
      </w:r>
      <w:proofErr w:type="spellEnd"/>
      <w:r w:rsidRPr="00BE446D">
        <w:t xml:space="preserve"> Report – June 2023“ (Zpráva skupiny Evropské investiční banky o řízení rizik – červen 2023),</w:t>
      </w:r>
    </w:p>
    <w:p w:rsidR="00885878" w:rsidRPr="00BE446D" w:rsidRDefault="00885878" w:rsidP="00885878">
      <w:pPr>
        <w:pStyle w:val="NormalHanging12a"/>
      </w:pPr>
      <w:r w:rsidRPr="00BE446D">
        <w:t>–</w:t>
      </w:r>
      <w:r w:rsidRPr="00BE446D">
        <w:tab/>
        <w:t>s ohledem na společné sdělení Komise a vysoké představitelky Unie pro zahraniční věci a bezpečnostní politiku ze dne 19. března 2025 nazvané „Společná bílá kniha o budoucnosti evropské obrany“ (JOIN(2025)0120),</w:t>
      </w:r>
    </w:p>
    <w:p w:rsidR="00885878" w:rsidRPr="00BE446D" w:rsidRDefault="00885878" w:rsidP="00885878">
      <w:pPr>
        <w:pStyle w:val="NormalHanging12a"/>
      </w:pPr>
      <w:r w:rsidRPr="00BE446D">
        <w:t>–</w:t>
      </w:r>
      <w:r w:rsidRPr="00BE446D">
        <w:tab/>
        <w:t>s ohledem na článek 55 jednacího řádu,</w:t>
      </w:r>
    </w:p>
    <w:p w:rsidR="00885878" w:rsidRPr="00BE446D" w:rsidRDefault="00885878" w:rsidP="00885878">
      <w:pPr>
        <w:pStyle w:val="NormalHanging12a"/>
      </w:pPr>
      <w:r w:rsidRPr="00BE446D">
        <w:t>–</w:t>
      </w:r>
      <w:r w:rsidRPr="00BE446D">
        <w:tab/>
        <w:t>s ohledem na zprávu Výboru pro rozpočtovou kontrolu (A10-0068/2025),</w:t>
      </w:r>
    </w:p>
    <w:p w:rsidR="00885878" w:rsidRPr="00BE446D" w:rsidRDefault="00885878" w:rsidP="00885878">
      <w:pPr>
        <w:pStyle w:val="NormalHanging12a"/>
      </w:pPr>
      <w:r w:rsidRPr="00BE446D">
        <w:t>A.</w:t>
      </w:r>
      <w:r w:rsidRPr="00BE446D">
        <w:tab/>
        <w:t>vzhledem k tomu, že skupina EIB zahrnuje EIB a Evropský investiční fond (EIF); vzhledem k tomu, že EIB je největší mezinárodní rozvojovou bankou na světě; vzhledem k tomu, že EIB je podle Smluv povinna přispívat k integraci EU; vzhledem k tomu, že mezi hlavní priority EIB patří financování projektů na podporu evropské integrace a sociální soudržnosti; vzhledem k tomu, že EIF působí jako specializovaný orgán na podporu politických cílů Evropské unie v oblasti podnikání, vytváření pracovních míst a hospodářské soudržnosti;</w:t>
      </w:r>
    </w:p>
    <w:p w:rsidR="00885878" w:rsidRPr="00BE446D" w:rsidRDefault="00885878" w:rsidP="00885878">
      <w:pPr>
        <w:pStyle w:val="NormalHanging12a"/>
      </w:pPr>
      <w:r w:rsidRPr="00BE446D">
        <w:lastRenderedPageBreak/>
        <w:t>B.</w:t>
      </w:r>
      <w:r w:rsidRPr="00BE446D">
        <w:tab/>
        <w:t>vzhledem k tomu, že EIB je banka vlastněná členskými státy EU, kterou řídí Rada guvernérů, správní rada a řídící výbor a která udržuje silné vlastní vnitřní mechanismy pro odpovědnost, řízení a audit; vzhledem k tomu, že EIF je vlastněn EIB (60 %), EU (30 %) a finančními institucemi (10 %) z členských států, Spojeného království a Turecka, je řízen valnou hromadou akcionářů EIF, správní radou a generálním ředitelem a má své nezávislé vnitřní mechanismy pro odpovědnost, řízení a audit, z nichž některé jsou sdíleny na úrovni skupiny;</w:t>
      </w:r>
    </w:p>
    <w:p w:rsidR="00885878" w:rsidRPr="00BE446D" w:rsidRDefault="00885878" w:rsidP="00885878">
      <w:pPr>
        <w:pStyle w:val="NormalHanging12a"/>
      </w:pPr>
      <w:r w:rsidRPr="00BE446D">
        <w:t>C.</w:t>
      </w:r>
      <w:r w:rsidRPr="00BE446D">
        <w:tab/>
        <w:t>vzhledem k tomu, že EIB i EIF působí na konkurenčním trhu, ale jakožto orgány EU musí dodržovat vysoké standardy transparentnosti a zapojení zúčastněných stran;</w:t>
      </w:r>
    </w:p>
    <w:p w:rsidR="00885878" w:rsidRPr="00BE446D" w:rsidRDefault="00885878" w:rsidP="00885878">
      <w:pPr>
        <w:pStyle w:val="NormalHanging12a"/>
      </w:pPr>
      <w:r w:rsidRPr="00BE446D">
        <w:t>D.</w:t>
      </w:r>
      <w:r w:rsidRPr="00BE446D">
        <w:tab/>
        <w:t>vzhledem k tomu, že skupina EIB prosazuje politiky EU v rámci EU i mimo ni a úzce spolupracuje s ostatními unijními a vnitrostátními institucemi a uvádí své financování do souladu s politickými prioritami EU; vzhledem k tomu, že skupina EIB ve svém strategickém plánu na období 2024–2027 uvedla osm strategických priorit: klimatická opatření, digitální transformace, obrana, soudržnost, zemědělství, sociální infrastruktura, vnější financování a podpora unie kapitálových trhů;</w:t>
      </w:r>
    </w:p>
    <w:p w:rsidR="00885878" w:rsidRPr="00BE446D" w:rsidRDefault="00885878" w:rsidP="00885878">
      <w:pPr>
        <w:pStyle w:val="NormalHanging12a"/>
      </w:pPr>
      <w:r w:rsidRPr="00BE446D">
        <w:t>E.</w:t>
      </w:r>
      <w:r w:rsidRPr="00BE446D">
        <w:tab/>
        <w:t>vzhledem k tomu, že úkolem EIB je rovněž získávání zdrojů, které jsou pro provádění politik EU klíčové, a to prostřednictvím výpůjčních činností;</w:t>
      </w:r>
    </w:p>
    <w:p w:rsidR="00885878" w:rsidRPr="00BE446D" w:rsidRDefault="00885878" w:rsidP="00885878">
      <w:pPr>
        <w:pStyle w:val="NormalHanging12a"/>
      </w:pPr>
      <w:r w:rsidRPr="00BE446D">
        <w:t>F.</w:t>
      </w:r>
      <w:r w:rsidRPr="00BE446D">
        <w:tab/>
        <w:t>vzhledem k tomu, že strategická agenda Evropské rady na období 2024–2029 stanoví posílenou úlohu skupiny EIB jako katalyzátoru obrany a bezpečnosti EU a zdůrazňuje, že je třeba posílit konkurenceschopnost EU a zlepšit hospodářskou a sociální prosperitu občanů významným kolektivním investičním úsilím, a aktivovat tak finanční prostředky z veřejného i soukromého sektoru;</w:t>
      </w:r>
    </w:p>
    <w:p w:rsidR="00885878" w:rsidRPr="00BE446D" w:rsidRDefault="00885878" w:rsidP="00885878">
      <w:pPr>
        <w:pStyle w:val="NormalHanging12a"/>
      </w:pPr>
      <w:r w:rsidRPr="00BE446D">
        <w:t>G.</w:t>
      </w:r>
      <w:r w:rsidRPr="00BE446D">
        <w:tab/>
        <w:t xml:space="preserve">vzhledem k tomu, že </w:t>
      </w:r>
      <w:proofErr w:type="spellStart"/>
      <w:r w:rsidRPr="00BE446D">
        <w:t>Draghiho</w:t>
      </w:r>
      <w:proofErr w:type="spellEnd"/>
      <w:r w:rsidRPr="00BE446D">
        <w:t xml:space="preserve"> zpráva o budoucnosti evropské konkurenceschopnosti</w:t>
      </w:r>
      <w:r w:rsidRPr="00BE446D">
        <w:rPr>
          <w:rStyle w:val="FootnoteReference"/>
        </w:rPr>
        <w:footnoteReference w:id="1"/>
      </w:r>
      <w:r w:rsidRPr="00BE446D">
        <w:t xml:space="preserve"> navrhovala řadu způsobů, jak rozšířit úlohu EIB při financování politik EU a jak EIB umožnit podstupovat větší riziko;</w:t>
      </w:r>
    </w:p>
    <w:p w:rsidR="00885878" w:rsidRPr="00BE446D" w:rsidRDefault="00885878" w:rsidP="00885878">
      <w:pPr>
        <w:pStyle w:val="NormalHanging12a"/>
      </w:pPr>
      <w:r w:rsidRPr="00BE446D">
        <w:t>H.</w:t>
      </w:r>
      <w:r w:rsidRPr="00BE446D">
        <w:tab/>
        <w:t xml:space="preserve">vzhledem k tomu, že hlavním úkolem skupiny EIB je zvyšovat potenciál Evropy v oblasti zaměstnanosti a růstu; vzhledem k tomu, že její investice by měly řešit nerovnosti zlepšováním přístupu k pracovním místům, odborné přípravě, bydlení a vzdělávání s cílem řešit chudobu a nezaměstnanost; vzhledem k tomu, že je klíčové překonávat překážky bránící financování malých a středních podniků a společností se střední tržní kapitalizací; vzhledem k tomu, že systémy veřejných půjček a záruk slouží jako důležitý </w:t>
      </w:r>
      <w:proofErr w:type="spellStart"/>
      <w:r w:rsidRPr="00BE446D">
        <w:t>proticyklický</w:t>
      </w:r>
      <w:proofErr w:type="spellEnd"/>
      <w:r w:rsidRPr="00BE446D">
        <w:t xml:space="preserve"> politický nástroj, zejména během hospodářského útlumu, ale pomáhají také zmírňovat strukturální selhání trhu;</w:t>
      </w:r>
    </w:p>
    <w:p w:rsidR="00885878" w:rsidRPr="00BE446D" w:rsidRDefault="00885878" w:rsidP="00885878">
      <w:pPr>
        <w:pStyle w:val="NormalHanging12a"/>
      </w:pPr>
      <w:r w:rsidRPr="00BE446D">
        <w:t>I.</w:t>
      </w:r>
      <w:r w:rsidRPr="00BE446D">
        <w:tab/>
        <w:t>vzhledem k tomu, že EIB je základním kamenem evropské struktury pro financování rozvoje a největším mnohostranným věřitelem v regionech sousedství EU, včetně zemí východního sousedství, západního Balkánu, Blízkého východu a severní Afriky; vzhledem k tomu, že se očekává, že EIB pomůže překlenout rozdíl v produktivních investicích mezi Evropou a jejími hlavními konkurenty tím, že zvýší investice do inovací, komunikačních technologií a duševního vlastnictví;</w:t>
      </w:r>
    </w:p>
    <w:p w:rsidR="00885878" w:rsidRPr="00BE446D" w:rsidRDefault="00885878" w:rsidP="00885878">
      <w:pPr>
        <w:pStyle w:val="NormalHanging12a"/>
      </w:pPr>
      <w:r w:rsidRPr="00BE446D">
        <w:lastRenderedPageBreak/>
        <w:t>J.</w:t>
      </w:r>
      <w:r w:rsidRPr="00BE446D">
        <w:tab/>
        <w:t>vzhledem k tomu, že dosažení politických cílů EU a jejich účinné provádění stále více závisí na skupině EIB; vzhledem k tomu, že intenzita a kvalita dohledu EP nad finančními operacemi EIB by proto měly být v souladu s intenzitou spolupráce mezi EIB a Komisí, která se značně prohloubila;</w:t>
      </w:r>
    </w:p>
    <w:p w:rsidR="00885878" w:rsidRPr="00BE446D" w:rsidRDefault="00885878" w:rsidP="00885878">
      <w:pPr>
        <w:pStyle w:val="NormalHanging12a"/>
      </w:pPr>
      <w:r w:rsidRPr="00BE446D">
        <w:t>K.</w:t>
      </w:r>
      <w:r w:rsidRPr="00BE446D">
        <w:tab/>
        <w:t>vzhledem k tomu, že obchodní model EIB vyžaduje nejvyšší standardy bezúhonnosti, odpovědnosti a transparentnosti a že je třeba uplatňovat a průběžně aktualizovat silná opatření s cílem bojovat proti finančním podvodům, korupci, praní peněz, terorismu, organizované trestné činnosti, daňovým únikům a vyhýbání se daňovým povinnostem; vzhledem k tomu, že skupina EIB má kontrolní rámec, jehož cílem je předcházet rizikům spojeným se sankcemi a zmírňovat je;</w:t>
      </w:r>
    </w:p>
    <w:p w:rsidR="00885878" w:rsidRPr="00BE446D" w:rsidRDefault="00885878" w:rsidP="00885878">
      <w:pPr>
        <w:pStyle w:val="NormalHanging12a"/>
      </w:pPr>
      <w:r w:rsidRPr="00BE446D">
        <w:t>L.</w:t>
      </w:r>
      <w:r w:rsidRPr="00BE446D">
        <w:tab/>
        <w:t>vzhledem k tomu, že skupina EIB uplatňuje definici rizika nedodržení předpisů, kterou vypracoval Basilejský výbor pro bankovní dohled, s cílem předcházet riziku právních nebo regulačních sankcí, významných finančních ztrát nebo poškození dobré pověsti; vzhledem k tomu, že banka přijímá vhodná opatření ke zmírnění těchto rizik tím, že zajišťuje přísné dodržování právních a regulačních rámců, a to jak na úrovni EU, tak na mezinárodní úrovni;</w:t>
      </w:r>
    </w:p>
    <w:p w:rsidR="00885878" w:rsidRPr="00BE446D" w:rsidRDefault="00885878" w:rsidP="00885878">
      <w:pPr>
        <w:pStyle w:val="Normal12a24b"/>
      </w:pPr>
      <w:r w:rsidRPr="00BE446D">
        <w:rPr>
          <w:rStyle w:val="BoldItalic"/>
        </w:rPr>
        <w:t>Finanční operace a výkonnost</w:t>
      </w:r>
    </w:p>
    <w:p w:rsidR="00885878" w:rsidRPr="00BE446D" w:rsidRDefault="00885878" w:rsidP="00885878">
      <w:pPr>
        <w:pStyle w:val="NormalHanging12a"/>
      </w:pPr>
      <w:r w:rsidRPr="00BE446D">
        <w:t>1.</w:t>
      </w:r>
      <w:r w:rsidRPr="00BE446D">
        <w:tab/>
        <w:t>uznává, že v prostředí, které se vyznačuje značnými globálními výzvami, včetně geopolitického napětí, dopadů změny klimatu a dalších faktorů majících dopad na globální ekonomiku, funguje EIB efektivně a účelně; navrhuje prozkoumat účinnost i účelnost EIB prostřednictvím promyšlené analýzy, zejména se zaměřením na dopad na konkurenceschopnost a růst;</w:t>
      </w:r>
    </w:p>
    <w:p w:rsidR="00885878" w:rsidRPr="00BE446D" w:rsidRDefault="00885878" w:rsidP="00885878">
      <w:pPr>
        <w:pStyle w:val="NormalHanging12a"/>
      </w:pPr>
      <w:r w:rsidRPr="00BE446D">
        <w:t>2.</w:t>
      </w:r>
      <w:r w:rsidRPr="00BE446D">
        <w:tab/>
        <w:t>uznává, že financování ze strany EIB je v souvislosti s vysokými úrokovými sazbami a omezenými veřejnými financemi stále důležitější; očekává, že v souvislosti s náročnými hospodářskými výhledy a zvýšenou celosvětovou konkurencí bude EIB řešit omezení konkurenceschopnosti EU, jako jsou kolísavé ceny energií, nedostatek dovedností v klíčových odvětvích a nedostatečné investice do inovací a nových technologií;</w:t>
      </w:r>
    </w:p>
    <w:p w:rsidR="00885878" w:rsidRPr="00BE446D" w:rsidRDefault="00885878" w:rsidP="00885878">
      <w:pPr>
        <w:pStyle w:val="NormalHanging12a"/>
      </w:pPr>
      <w:r w:rsidRPr="00BE446D">
        <w:t>3.</w:t>
      </w:r>
      <w:r w:rsidRPr="00BE446D">
        <w:tab/>
        <w:t>konstatuje, že skupina EIB podle mezinárodních standardů účetního výkaznictví (IFRS) dosáhla v roce 2023 silných konsolidovaných výsledků ve výši 2,272 miliardy EUR ve srovnání s 2,327 miliardy EUR v roce 2022, což znamená meziroční pokles o 2,4 %; požaduje podrobnou analýzu faktorů, které tento pokles způsobily, zejména s ohledem na to, že dané období se vyznačovalo trvalým hospodářským růstem; konstatuje, že rezervy EIB v roce 2023 dosáhly více než 56 miliard EUR, zatímco v roce 2022 to bylo 53,9 miliardy EUR a v roce 2014 36 miliard EUR;</w:t>
      </w:r>
    </w:p>
    <w:p w:rsidR="00885878" w:rsidRPr="00BE446D" w:rsidRDefault="00885878" w:rsidP="00885878">
      <w:pPr>
        <w:pStyle w:val="NormalHanging12a"/>
      </w:pPr>
      <w:r w:rsidRPr="00BE446D">
        <w:t>4.</w:t>
      </w:r>
      <w:r w:rsidRPr="00BE446D">
        <w:tab/>
        <w:t xml:space="preserve">konstatuje, že poměr celkové likvidity EIB zůstal do konce roku 2023 v rámci vnitřních limitů a že poměr kmenového kapitálu </w:t>
      </w:r>
      <w:proofErr w:type="spellStart"/>
      <w:r w:rsidRPr="00BE446D">
        <w:t>tier</w:t>
      </w:r>
      <w:proofErr w:type="spellEnd"/>
      <w:r w:rsidRPr="00BE446D">
        <w:t xml:space="preserve"> 1 (CET1) EIB činil v roce 2023 33,1 %, což je výrazně více, než je průměrný poměr významných institucí, nad nimiž v té době vykonávala dohled Evropská centrální banka (ECB); zdůrazňuje, že udržování ratingu AAA se „stabilním“ výhledem, který má EIB, je klíčové k zajištění výhodného tržního financování za preferenční sazby a že je třeba jej zachovat; poukazuje na to, že vysoká úvěrová bonita EIB je klíčem k jejímu úspěšnému obchodnímu modelu;</w:t>
      </w:r>
    </w:p>
    <w:p w:rsidR="00885878" w:rsidRDefault="00885878" w:rsidP="00885878">
      <w:pPr>
        <w:pStyle w:val="NormalHanging12a"/>
      </w:pPr>
      <w:r w:rsidRPr="00BE446D">
        <w:lastRenderedPageBreak/>
        <w:t>5.</w:t>
      </w:r>
      <w:r w:rsidRPr="00BE446D">
        <w:tab/>
        <w:t>vyzývá EIB, aby si udržela svou silnou kapitálovou pozici a trvale vysoké zisky, ale konstatuje, že banka má potenciál absorbovat případné výkyvy ve výnosech, aniž by ohrozila akcionářský kapitál nebo svůj úvěrový rating, je schopna přijmout větší riziko u strategických investic a je dobře vybavena k tomu, aby více investovala do inovativních projektů s vyšším rizikem, k nimž soukromý kapitál stále přistupuje váhavě;</w:t>
      </w:r>
    </w:p>
    <w:p w:rsidR="00CB323C" w:rsidRPr="00BE446D" w:rsidRDefault="00CB323C" w:rsidP="00885878">
      <w:pPr>
        <w:pStyle w:val="NormalHanging12a"/>
      </w:pPr>
      <w:r>
        <w:t>6</w:t>
      </w:r>
      <w:r w:rsidRPr="00CB323C">
        <w:t>.</w:t>
      </w:r>
      <w:r w:rsidRPr="00CB323C">
        <w:tab/>
        <w:t>vyzývá EIB, aby zlepšila svou institucionální transparentnost tím, že bude zveřejňovat podrobnější zápisy ze schůzí správní rady, včetně záznamů o hlasování a odůvodnění konkrétních projektů, přičemž v nezbytně nutných případech bude respektovat legitimní důvěrnost;</w:t>
      </w:r>
    </w:p>
    <w:p w:rsidR="00885878" w:rsidRPr="00BE446D" w:rsidRDefault="00CB323C" w:rsidP="00885878">
      <w:pPr>
        <w:pStyle w:val="NormalHanging12a"/>
      </w:pPr>
      <w:r>
        <w:t>7</w:t>
      </w:r>
      <w:r w:rsidR="00885878" w:rsidRPr="00BE446D">
        <w:t>.</w:t>
      </w:r>
      <w:r w:rsidR="00885878" w:rsidRPr="00BE446D">
        <w:tab/>
        <w:t>zdůrazňuje, že částky, které EIB vyplatila, dosáhly v roce 2023 celkové výše 54,4 miliardy EUR, přičemž 53,4 miliardy EUR byly z vlastních zdrojů, oproti 54,3 miliardám EUR vyplaceným v roce 2022 (53,3 miliardy EUR z vlastních zdrojů); konstatuje, že v roce 2023 činila částka, kterou vyplatil fond EIF na investice do soukromého kapitálu, 139,7 milionu EUR, zatímco v roce 2022 to bylo 113,7 milionu EUR; konstatuje, že podle hospodářského modelu vypracovaného společně s ekonomickým oddělením EIB a Společným výzkumným střediskem Komise se očekává, že celkové investice skupiny EIB v rámci EU v roce 2023 vytvoří přibližně 1 460 000 nových pracovních míst v EU-27 do roku 2027 a posílí HDP EU o 1,03 procentního bodu; vyzývá skupinu EIB, aby zajistila vyváženější zeměpisné rozložení investic s cílem maximalizovat jejich dopad ve všech regionech EU a podpořit tak soudržný růst podporující začlenění v celé Unii, přičemž zvláštní pozornost by měla být věnována nedostatečně zastoupeným a méně rozvinutým oblastem;</w:t>
      </w:r>
    </w:p>
    <w:p w:rsidR="00885878" w:rsidRPr="00BE446D" w:rsidRDefault="00CB323C" w:rsidP="00885878">
      <w:pPr>
        <w:pStyle w:val="NormalHanging12a"/>
      </w:pPr>
      <w:r>
        <w:t>8</w:t>
      </w:r>
      <w:r w:rsidR="00885878" w:rsidRPr="00BE446D">
        <w:t>.</w:t>
      </w:r>
      <w:r w:rsidR="00885878" w:rsidRPr="00BE446D">
        <w:tab/>
        <w:t>připomíná, že statut EIB stanoví, že je třeba dosahovat zeměpisného vyvážení mezi jejími zaměstnanci a že výběr zaměstnanců musí být založen na zásluhách a zároveň musí zohledňovat spravedlivé zastoupení státních příslušníků všech členských států; vybízí banku, aby průběžně sledovala zeměpisné vyvážení mezi svými zaměstnanci a aby v případě potřeby odpovídajícím způsobem upravila proces náboru zaměstnanců;</w:t>
      </w:r>
    </w:p>
    <w:p w:rsidR="00885878" w:rsidRDefault="00CB323C" w:rsidP="00885878">
      <w:pPr>
        <w:pStyle w:val="NormalHanging12a"/>
      </w:pPr>
      <w:r>
        <w:t>9</w:t>
      </w:r>
      <w:r w:rsidR="00885878" w:rsidRPr="00BE446D">
        <w:t>.</w:t>
      </w:r>
      <w:r w:rsidR="00885878" w:rsidRPr="00BE446D">
        <w:tab/>
      </w:r>
      <w:r w:rsidRPr="00CB323C">
        <w:t>je si vědom toho, že se skupina EIB zavázala k rozhodnému boji proti daňovým podvodům, daňovým únikům, vyhýbání se daňovým povinnostem, praní peněz a financování terorismu; vyzývá k dalšímu posílení transparentnosti konečných příjemců, monitorovacích mechanismů a přístupu k veřejným informacím s cílem zajistit plnou odpovědnost;</w:t>
      </w:r>
    </w:p>
    <w:p w:rsidR="00CB323C" w:rsidRPr="00BE446D" w:rsidRDefault="00CB323C" w:rsidP="00885878">
      <w:pPr>
        <w:pStyle w:val="NormalHanging12a"/>
      </w:pPr>
      <w:r>
        <w:t>10</w:t>
      </w:r>
      <w:r w:rsidRPr="00CB323C">
        <w:t>.</w:t>
      </w:r>
      <w:r w:rsidRPr="00CB323C">
        <w:tab/>
        <w:t>zdůrazňuje, že EIB by jako instituce EU měla plně sladit své postupy transparentnosti s normami stanoveným</w:t>
      </w:r>
      <w:r>
        <w:t>i v nařízení (ES) č. 1049/2001</w:t>
      </w:r>
      <w:r>
        <w:rPr>
          <w:rStyle w:val="FootnoteReference"/>
        </w:rPr>
        <w:footnoteReference w:id="2"/>
      </w:r>
      <w:r w:rsidRPr="00CB323C">
        <w:t xml:space="preserve"> o přístupu veřejnosti k dokumentům; vyzývá banku, aby zajistila aktivní zveřejňování dokumentů týkajících se financovaných projektů a přijatých rozhodnutí, pouze s omezenými a odůvodněnými výjimkami; připomíná význam skutečného přístupu veřejnosti jako základního kamene institucionální odpovědnosti; </w:t>
      </w:r>
    </w:p>
    <w:p w:rsidR="00885878" w:rsidRPr="00BE446D" w:rsidRDefault="00885878" w:rsidP="00885878">
      <w:pPr>
        <w:pStyle w:val="Normal12a24b"/>
      </w:pPr>
      <w:proofErr w:type="spellStart"/>
      <w:r w:rsidRPr="00BE446D">
        <w:rPr>
          <w:rStyle w:val="BoldItalic"/>
        </w:rPr>
        <w:t>InvestEU</w:t>
      </w:r>
      <w:proofErr w:type="spellEnd"/>
      <w:r w:rsidRPr="00BE446D">
        <w:rPr>
          <w:rStyle w:val="BoldItalic"/>
        </w:rPr>
        <w:t>, zjednodušení víceletého finančního rámce a Nástroj pro oživení a odolnost</w:t>
      </w:r>
    </w:p>
    <w:p w:rsidR="00885878" w:rsidRPr="00BE446D" w:rsidRDefault="00CB323C" w:rsidP="00885878">
      <w:pPr>
        <w:pStyle w:val="NormalHanging12a"/>
      </w:pPr>
      <w:r>
        <w:lastRenderedPageBreak/>
        <w:t>11</w:t>
      </w:r>
      <w:r w:rsidR="00885878" w:rsidRPr="00BE446D">
        <w:t>.</w:t>
      </w:r>
      <w:r w:rsidR="00885878" w:rsidRPr="00BE446D">
        <w:tab/>
        <w:t>vítá skutečnost, že dne 13. prosince 2023 byl přijat operační plán skupiny EIB na období 2024–2026, který stanoví priority a činnosti, jež jsou nezbytné k plnění strategie skupiny EIB na příští tři roky; vyzývá k přizpůsobení se novým tržním podmínkám, včetně zjednodušování a omezování byrokracie, s cílem odstranit překážky bránící financování malých a středních podniků, jež je třeba výrazně navýšit; uznává, že zvýšení rizikovosti činností a mandátů je klíčové pro poskytování účinné podpory inovativním odvětvím s vysokou přidanou hodnotou;</w:t>
      </w:r>
    </w:p>
    <w:p w:rsidR="00885878" w:rsidRDefault="00CB323C" w:rsidP="00885878">
      <w:pPr>
        <w:pStyle w:val="NormalHanging12a"/>
      </w:pPr>
      <w:r w:rsidRPr="00BE446D">
        <w:t>1</w:t>
      </w:r>
      <w:r>
        <w:t>2</w:t>
      </w:r>
      <w:r w:rsidR="00885878" w:rsidRPr="00BE446D">
        <w:t>.</w:t>
      </w:r>
      <w:r w:rsidR="00885878" w:rsidRPr="00BE446D">
        <w:tab/>
        <w:t xml:space="preserve">připomíná, že skupině EIB bylo přiděleno 75 % (19,6 miliardy EUR) rozpočtové záruky EU poskytované podle nařízení o Programu </w:t>
      </w:r>
      <w:proofErr w:type="spellStart"/>
      <w:r w:rsidR="00885878" w:rsidRPr="00BE446D">
        <w:t>InvestEU</w:t>
      </w:r>
      <w:proofErr w:type="spellEnd"/>
      <w:r w:rsidR="00885878" w:rsidRPr="00BE446D">
        <w:rPr>
          <w:rStyle w:val="FootnoteReference"/>
        </w:rPr>
        <w:footnoteReference w:id="3"/>
      </w:r>
      <w:r w:rsidR="00885878" w:rsidRPr="00BE446D">
        <w:t xml:space="preserve">; zdůrazňuje, že jen v roce 2023 schválila EIB v rámci programu </w:t>
      </w:r>
      <w:proofErr w:type="spellStart"/>
      <w:r w:rsidR="00885878" w:rsidRPr="00BE446D">
        <w:t>InvestEU</w:t>
      </w:r>
      <w:proofErr w:type="spellEnd"/>
      <w:r w:rsidR="00885878" w:rsidRPr="00BE446D">
        <w:t xml:space="preserve"> 30 operací v celkové výši 9,1 miliardy EUR; domnívá se, že má-li být zachována konkurenceschopnost, jsou zapotřebí značné investice, především ze soukromého sektoru; je přesvědčen, že zaměření na inovativní projekty, zakládání podniků a jejich rozšiřování by zvýšilo evropskou konkurenceschopnost a růst; konstatuje, že to vyžaduje mobilizaci soukromých investic; vyzývá proto EIB, aby hrála významnější úlohu při strategickém snižování rizik prostřednictvím záruk, a podporovala tak soukromé kapitálové investice;</w:t>
      </w:r>
    </w:p>
    <w:p w:rsidR="00CB323C" w:rsidRPr="00BE446D" w:rsidRDefault="00CB323C" w:rsidP="00885878">
      <w:pPr>
        <w:pStyle w:val="NormalHanging12a"/>
      </w:pPr>
      <w:r>
        <w:t>13</w:t>
      </w:r>
      <w:r w:rsidRPr="00CB323C">
        <w:t>.</w:t>
      </w:r>
      <w:r w:rsidRPr="00CB323C">
        <w:tab/>
        <w:t>vyzývá skupinu EIB, aby tam, kde je to proveditelné a v souladu s povinnostmi v oblasti ochrany údajů, systematicky zveřejňovala konečné příjemce svých finančních operací, zejména u projektů podporovaných v rámci rozpočtových záruk a mandátů EU, s cílem zajistit důvěru a dohled veřejnosti;</w:t>
      </w:r>
    </w:p>
    <w:p w:rsidR="00885878" w:rsidRPr="00BE446D" w:rsidRDefault="00CB323C" w:rsidP="00885878">
      <w:pPr>
        <w:pStyle w:val="NormalHanging12a"/>
      </w:pPr>
      <w:r w:rsidRPr="00BE446D">
        <w:t>1</w:t>
      </w:r>
      <w:r>
        <w:t>4</w:t>
      </w:r>
      <w:r w:rsidR="00885878" w:rsidRPr="00BE446D">
        <w:t>.</w:t>
      </w:r>
      <w:r w:rsidR="00885878" w:rsidRPr="00BE446D">
        <w:tab/>
        <w:t>zdůrazňuje, že ve stávajícím víceletém finančním rámci na období 2021–2027 spravuje EIB 87 mandátů Komise, a pokud se započítají i mandáty týkající se sdíleného řízení a přidělené místními vládami a členskými státy, stoupne jejich počet přibližně na 130, a konstatuje, že EIB k těmto mandátům vypracovává nejméně 457 zpráv ročně; poukazuje na to, že pro lepší využívání zdrojů považuje za nezbytné snížit byrokracii a proces zjednodušit;</w:t>
      </w:r>
    </w:p>
    <w:p w:rsidR="00885878" w:rsidRDefault="00CB323C" w:rsidP="00885878">
      <w:pPr>
        <w:pStyle w:val="NormalHanging12a"/>
      </w:pPr>
      <w:r w:rsidRPr="00BE446D">
        <w:t>1</w:t>
      </w:r>
      <w:r>
        <w:t>5</w:t>
      </w:r>
      <w:r w:rsidR="00885878" w:rsidRPr="00BE446D">
        <w:t>.</w:t>
      </w:r>
      <w:r w:rsidR="00885878" w:rsidRPr="00BE446D">
        <w:tab/>
        <w:t xml:space="preserve">zdůrazňuje, že EIB spravuje šest mandátů Nástroje pro oživení a odolnost ve čtyřech členských státech, které byly podepsány v roce 2021 (Řecko a Itálie), v roce 2022 (Rumunsko) a v roce 2024 (Španělsko), v celkové hodnotě 8,7 miliardy EUR; uznává, že přijetí nástrojů „financování nesouvisejícího s náklady“, které se s Nástrojem pro oživení a odolnost výrazně rozšířily, ze své podstaty zvyšuje riziko chyb a dvojího financování; vyjadřuje své znepokojení nad transparentností, auditem a monitorováním provádění Nástroje pro oživení a odolnost; vyzývá EIB, aby spolupracovala s členskými státy s cílem čelit omezením vládních kapacit a nedostatku technických dovedností a zajistit co nejefektivnější správu zdrojů Nástroje pro oživení a odolnost v souladu s vnitrostátními strukturami a dodržování všech požadavků na podávání zpráv v souvislosti s Nástrojem pro oživení a odolnost, zejména při provádění investičních projektů a reforem; apeluje na Komisi a EIB, aby se v rámci své poradní role vyhnuly navrhování nových mechanismů financování po vzoru Nástroje pro oživení a odolnost bez přijetí nápravných opatření, a to i v nadcházejícím víceletém finančním rámci na období po roce 2027; zdůrazňuje, že i když EIB usiluje o zjednodušení, nesmí to ohrozit </w:t>
      </w:r>
      <w:r w:rsidR="00885878" w:rsidRPr="00BE446D">
        <w:lastRenderedPageBreak/>
        <w:t>integritu řízení zdrojů EU ani schopnost udržovat dohled a odpovědnost, jak to ukládají Smlouvy;</w:t>
      </w:r>
    </w:p>
    <w:p w:rsidR="00CB323C" w:rsidRPr="00BE446D" w:rsidRDefault="00CB323C" w:rsidP="00885878">
      <w:pPr>
        <w:pStyle w:val="NormalHanging12a"/>
        <w:rPr>
          <w:szCs w:val="24"/>
        </w:rPr>
      </w:pPr>
      <w:r>
        <w:rPr>
          <w:szCs w:val="24"/>
        </w:rPr>
        <w:t>16</w:t>
      </w:r>
      <w:r w:rsidRPr="00CB323C">
        <w:rPr>
          <w:szCs w:val="24"/>
        </w:rPr>
        <w:t>.</w:t>
      </w:r>
      <w:r w:rsidRPr="00CB323C">
        <w:rPr>
          <w:szCs w:val="24"/>
        </w:rPr>
        <w:tab/>
        <w:t>vyzývá k nezávislému a komplexnímu auditu všech nástrojů pro sdílení rizik spravovaných skupinou EIB, včetně nástrojů spojených s Nástrojem pro oživení a odolnost, s cílem zajistit nejvyšší standardy transparentnosti, odpovědnosti a zamezit rizikům dvojího financování;</w:t>
      </w:r>
    </w:p>
    <w:p w:rsidR="00885878" w:rsidRPr="00BE446D" w:rsidRDefault="00885878" w:rsidP="00885878">
      <w:pPr>
        <w:pStyle w:val="Normal12a24b"/>
        <w:spacing w:before="0"/>
        <w:rPr>
          <w:szCs w:val="24"/>
        </w:rPr>
      </w:pPr>
      <w:r w:rsidRPr="00BE446D">
        <w:rPr>
          <w:rStyle w:val="BoldItalic"/>
        </w:rPr>
        <w:t>Energetická bezpečnost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1</w:t>
      </w:r>
      <w:r w:rsidR="00CB323C">
        <w:t>7</w:t>
      </w:r>
      <w:r w:rsidRPr="00BE446D">
        <w:t>.</w:t>
      </w:r>
      <w:r w:rsidRPr="00BE446D">
        <w:tab/>
        <w:t>bere na vědomí, že EIB pokračuje v poskytování podpory v oblasti bezpečnosti dodávek, která má především podobu posilování elektrických rozvodných sítí a přeshraniční infrastruktury, snižování poptávky po energii prostřednictvím projektů v oblasti energetické účinnosti a podpory nízkouhlíkové výroby energie; oceňuje skutečnost, že EIB podporuje nové rozměry energetické bezpečnosti, jako je odezva na straně poptávky a skladování energie, a napomáhá rozvoji udržitelných dodávek kritických surovin potřebných pro transformaci energetiky; vyzývá k naléhavé analýze skutečného dopadu těchto dosud realizovaných projektů, zejména jejich dopadu na dostupnost a cenu energie, a tím i na celkovou konkurenceschopnost evropských podniků.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1</w:t>
      </w:r>
      <w:r w:rsidR="00CB323C">
        <w:t>8</w:t>
      </w:r>
      <w:r w:rsidRPr="00BE446D">
        <w:t>.</w:t>
      </w:r>
      <w:r w:rsidRPr="00BE446D">
        <w:tab/>
        <w:t>opakuje, že je třeba řešit energetickou chudobu, a zdůrazňuje, že je zapotřebí spravedlivá a inkluzivní transformace energetiky; připomíná, že energetická krize zhoršuje inflaci, zvyšuje nedostatek potravin a zatěžuje rozpočty domácností; vybízí EIB, aby využívala mechanismus pro spravedlivou transformaci a Modernizační fond k podpoře regionů a obyvatel nejvíce postižených transformací energetiky; zdůrazňuje, že je důležité využívat mechanismus pro spravedlivou transformaci na podporu pracovníků a regionů postižených postupným útlumem fosilních paliv a zajistit jim přístup k rekvalifikaci a kvalitním pracovním místům; uznává, že mnoho odvětví se potýká s rostoucími výzvami kvůli kombinovanému účinku vyplývajícímu z přizpůsobování se cílům Zelené dohody a z dopadů energetické krize a inflace; zdůrazňuje, že pro urychlené zavádění inovativních nízkouhlíkových technologií je nutné snížit jejich náklady na úroveň, která bude konkurenceschopná s fosilními palivy, a přizpůsobit se probíhající reformě ekologických politik;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1</w:t>
      </w:r>
      <w:r w:rsidR="00CB323C">
        <w:t>9</w:t>
      </w:r>
      <w:r w:rsidRPr="00BE446D">
        <w:t>.</w:t>
      </w:r>
      <w:r w:rsidRPr="00BE446D">
        <w:tab/>
        <w:t xml:space="preserve">uznává, že plán </w:t>
      </w:r>
      <w:proofErr w:type="spellStart"/>
      <w:r w:rsidRPr="00BE446D">
        <w:t>REPowerEU</w:t>
      </w:r>
      <w:proofErr w:type="spellEnd"/>
      <w:r w:rsidRPr="00BE446D">
        <w:t xml:space="preserve"> je zásadním novým prvkem v reakci politiky EU na energetickou krizi; konstatuje, že v červenci 2023 skupina EIB zvýšila finanční cíle závazku z října 2022 z 30,0 miliardy EUR do roku 2027 na 45,0 miliardy EUR (</w:t>
      </w:r>
      <w:proofErr w:type="spellStart"/>
      <w:r w:rsidRPr="00BE446D">
        <w:t>REPowerEU</w:t>
      </w:r>
      <w:proofErr w:type="spellEnd"/>
      <w:r w:rsidRPr="00BE446D">
        <w:t>+), aby tak zvýšila své úsilí o podporu energetické bezpečnosti EU; požaduje jasný přehled o možném dvojím financování energetických projektů;</w:t>
      </w:r>
    </w:p>
    <w:p w:rsidR="00885878" w:rsidRPr="00BE446D" w:rsidRDefault="00CB323C" w:rsidP="00885878">
      <w:pPr>
        <w:pStyle w:val="NormalHanging12a"/>
        <w:rPr>
          <w:b/>
          <w:i/>
          <w:szCs w:val="24"/>
        </w:rPr>
      </w:pPr>
      <w:r>
        <w:t>20</w:t>
      </w:r>
      <w:r w:rsidR="00885878" w:rsidRPr="00BE446D">
        <w:t>.</w:t>
      </w:r>
      <w:r w:rsidR="00885878" w:rsidRPr="00BE446D">
        <w:tab/>
        <w:t>zdůrazňuje, že v roce 2023 poskytla EIB na projekty související s energetikou financování ve výši přibližně 21,4 miliardy EUR, z toho přibližně 19,8 miliardy EUR v EU a 1,6 miliardy EUR mimo EU; považuje za nezbytné zvýšit nejen objem financování projektů souvisejících s energetikou, ale také účinnost investic; zdůrazňuje v této souvislosti význam kombinované nabídky EIB v podobě kompetentní technické pomoci a inovativní finanční podpory a vybízí banku, aby rozšířila škálu inovativních produktů financování nabízených hospodářským subjektům, a tím překonala standardní nabídku na trhu;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lastRenderedPageBreak/>
        <w:t>21</w:t>
      </w:r>
      <w:r w:rsidR="00885878" w:rsidRPr="00BE446D">
        <w:t>.</w:t>
      </w:r>
      <w:r w:rsidR="00885878" w:rsidRPr="00BE446D">
        <w:tab/>
        <w:t>domnívá se, že vodík a jeho deriváty, zejména pokud pocházejí z obnovitelných zdrojů energie, mohou významně přispět k cílům EU v oblasti dekarbonizace a snížit závislost na fosilních palivech; vyzývá EIB, aby přijala klíčovou úlohu při mobilizaci soukromých investic, které jsou nezbytné pro rozšíření výroby vodíku v EU, a aby zároveň zajišťovala technologickou neutralitu a podporovala různorodá inovativní řešení zaměřená na dekarbonizaci, včetně dalšího vědeckého výzkumu zaměřeného na posilování a stabilizaci účinnosti vodíkové technologie; vybízí banku, aby zvážila nákladovou efektivnost těchto projektů z hlediska jejich celkového životního cyklu;</w:t>
      </w:r>
    </w:p>
    <w:p w:rsidR="00885878" w:rsidRPr="00BE446D" w:rsidRDefault="00885878" w:rsidP="00885878">
      <w:pPr>
        <w:pStyle w:val="Normal12a24b"/>
        <w:spacing w:before="0"/>
        <w:rPr>
          <w:szCs w:val="24"/>
        </w:rPr>
      </w:pPr>
      <w:r w:rsidRPr="00BE446D">
        <w:rPr>
          <w:rStyle w:val="BoldItalic"/>
        </w:rPr>
        <w:t>Obranná a bezpečnostní politika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22</w:t>
      </w:r>
      <w:r w:rsidR="00885878" w:rsidRPr="00BE446D">
        <w:t>.</w:t>
      </w:r>
      <w:r w:rsidR="00885878" w:rsidRPr="00BE446D">
        <w:tab/>
        <w:t>vítá významnou úlohu, kterou skupina EIB hraje při podpoře obranné a bezpečnostní politiky EU tím, že poskytuje financování a mobilizuje soukromé investice na projekty, které posilují strategickou autonomii a odolnost Unie; zdůrazňuje význam investičních kapacit EIB, které podporují iniciativy přispívající k posílení obranného průmyslu EU, rozvoji infrastruktury kybernetické bezpečnosti a podpoře inovací v oblasti kritických obranných technologií;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23</w:t>
      </w:r>
      <w:r w:rsidR="00885878" w:rsidRPr="00BE446D">
        <w:t>.</w:t>
      </w:r>
      <w:r w:rsidR="00885878" w:rsidRPr="00BE446D">
        <w:tab/>
        <w:t xml:space="preserve">oceňuje, že bezpečnost a obrana jsou ve strategickém plánu banky na období 2024–2027 uvedeny jako jedna z jejích hlavních priorit; zdůrazňuje, že v květnu 2024 schválila správní rada EIB akční plán skupiny EIB pro bezpečnost a obranu, který navazuje na strategickou evropskou bezpečnostní iniciativu skupiny EIB z roku 2022 zaměřenou na podporu inovací v oblasti technologií dvojího užití s cílem posílit podporu bezpečnostního a obranného průmyslu EU; s uspokojením bere na vědomí, že podpora skupiny EIB je poskytována malým a středním podnikům a inovativním </w:t>
      </w:r>
      <w:proofErr w:type="spellStart"/>
      <w:r w:rsidR="00885878" w:rsidRPr="00BE446D">
        <w:t>startupům</w:t>
      </w:r>
      <w:proofErr w:type="spellEnd"/>
      <w:r w:rsidR="00885878" w:rsidRPr="00BE446D">
        <w:t xml:space="preserve"> v odvětví bezpečnosti a obrany v souladu se zásadou „dvojího užití“, přičemž je dodržováno kritérium „důvěryhodného civilního využití“, ale upouští se od testu příjmů; vítá rozhodnutí správní rady EIB ze dne 21. března 2025 rozšířit způsobilost banky na financování evropského bezpečnostního a obranného průmyslu a infrastruktury tím, že se zajistí, aby vyloučené činnosti měly co nejomezenější rozsah;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2</w:t>
      </w:r>
      <w:r w:rsidR="00CB323C">
        <w:t>4</w:t>
      </w:r>
      <w:r w:rsidRPr="00BE446D">
        <w:t>.</w:t>
      </w:r>
      <w:r w:rsidRPr="00BE446D">
        <w:tab/>
        <w:t>vítá cílené investice EIB do obranné i civilní infrastruktury a zdůrazňuje potřebu strategických investic do technologií, které slouží jak civilním, tak obranným účelům, v souladu s širšími cíli EU, jimiž jsou podpora inovací a posilování bezpečnosti Unie; vyzývá skupinu EIB, aby přezkoumala dopad rozšíření své nové politiky v oblasti zboží dvojího užití;</w:t>
      </w:r>
    </w:p>
    <w:p w:rsidR="00885878" w:rsidRPr="00BE446D" w:rsidRDefault="00885878" w:rsidP="00885878">
      <w:pPr>
        <w:pStyle w:val="NormalHanging12a"/>
      </w:pPr>
      <w:r w:rsidRPr="00BE446D">
        <w:t>2</w:t>
      </w:r>
      <w:r w:rsidR="00CB323C">
        <w:t>5</w:t>
      </w:r>
      <w:r w:rsidRPr="00BE446D">
        <w:t>.</w:t>
      </w:r>
      <w:r w:rsidRPr="00BE446D">
        <w:tab/>
        <w:t xml:space="preserve">zdůrazňuje význam malých a středních podniků, </w:t>
      </w:r>
      <w:proofErr w:type="spellStart"/>
      <w:r w:rsidRPr="00BE446D">
        <w:t>startupů</w:t>
      </w:r>
      <w:proofErr w:type="spellEnd"/>
      <w:r w:rsidRPr="00BE446D">
        <w:t xml:space="preserve"> a podniků se střední kapitalizací v bezpečnostním a obranném průmyslu a při rozvoji společného evropského trhu v oblasti obrany; je přesvědčen, že menší subjekty hrají zásadní roli při posilování schopnosti a autonomie Unie vyvíjet inovativní obranné produkty; vybízí EIB, aby nadále podporovala přeshraniční spolupráci v oblasti výzkumu a vývoje, zejména tím, že připraví půdu pro účast menších subjektů v dodavatelských řetězcích v oblasti obrany; zdůrazňuje, že větší investice EIB do odvětví obrany mohou podpořit investice komerčních bank do téže oblasti, a domnívá se, že je v tomto ohledu nezbytné zvýšit flexibilitu poskytování úvěrů malým a středním podnikům;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2</w:t>
      </w:r>
      <w:r w:rsidR="00CB323C">
        <w:t>6</w:t>
      </w:r>
      <w:r w:rsidRPr="00BE446D">
        <w:t>.</w:t>
      </w:r>
      <w:r w:rsidRPr="00BE446D">
        <w:tab/>
        <w:t xml:space="preserve">bere na vědomí, že prostředky přidělené na podporu odvětví obrany a bezpečnosti pocházejí především z Evropského obranného fondu (8 miliard EUR), Strategické evropské bezpečnostní iniciativy EIB (8 miliard EUR) a z Programu pro evropský obranný průmysl (EDIP) (1,5 miliardy EUR); požaduje přidělení zvláštních </w:t>
      </w:r>
      <w:r w:rsidRPr="00BE446D">
        <w:lastRenderedPageBreak/>
        <w:t>kapitálových prostředků na obranu a další úpravu rozsahu způsobilých investic tak, aby bylo možné plnit ambiciózní úlohu, která spočívá v přispívání k míru a bezpečnosti v Evropě a kterou pro skupinu EIB stanovila bílá kniha o budoucnosti evropské obrany do roku 2030; vítá skutečnost, že stávající Strategická evropská bezpečnostní iniciativa EIB ve výši 8 miliard EUR byla začleněna do průřezového a stálého cíle veřejné politiky a že byl zrušen předem stanovený strop pro financování v této oblasti; je přesvědčen, že tato opatření umožní bance reagovat na investiční potřeby v oblasti bezpečnosti a obrany a zároveň ochránit její operace a silné finanční postavení; je přesvědčen, že rozhodnutí Rady guvernérů z června 2024 o zvýšení pákového poměru EIB umožní zvýšit investice do oblastí strategického významu, včetně bezpečnosti a obrany;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2</w:t>
      </w:r>
      <w:r w:rsidR="00CB323C">
        <w:t>7</w:t>
      </w:r>
      <w:r w:rsidRPr="00BE446D">
        <w:t>.</w:t>
      </w:r>
      <w:r w:rsidRPr="00BE446D">
        <w:tab/>
        <w:t>zdůrazňuje přidanou hodnotu inovativních opatření, která EIB přijala k urychlení investic do bezpečnosti a obrany, a jednotného kontaktního místa, které funguje jako jednotné správní místo pro klienty a externí zúčastněné strany, jimž nabízí odbornou pomoc s cílem usnadnit přístup k financování dostupnému v rámci Strategické evropské bezpečnostní iniciativy a urychlit jeho poskytování; vybízí EIB, aby pokračovala ve vývoji a provádění dohodnutých opatření, která zjednodušují postupy pro klienty a dále urychlují investiční procesy, a aby přitom zabezpečila zachování ratingu AAA;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2</w:t>
      </w:r>
      <w:r w:rsidR="00CB323C">
        <w:t>8</w:t>
      </w:r>
      <w:r w:rsidRPr="00BE446D">
        <w:t>.</w:t>
      </w:r>
      <w:r w:rsidRPr="00BE446D">
        <w:tab/>
        <w:t>s uznáním bere na vědomí, že EIB v červnu 2023 schválila zvýšení prostředků Strategické evropské bezpečnostní iniciativy na investice do bezpečnosti v EU pro období 2022–2027 z 6,0 miliardy EUR na 8,0 miliardy EUR, a to pro oblasti vesmíru a kybernetické bezpečnosti; vybízí EIB, aby posílila institucionální partnerství s Agenturou EU pro Kosmický program a dalšími potenciálně relevantními partnery v souladu s pravidly hospodářské soutěže EU;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2</w:t>
      </w:r>
      <w:r w:rsidR="00CB323C">
        <w:t>9</w:t>
      </w:r>
      <w:r w:rsidRPr="00BE446D">
        <w:t>.</w:t>
      </w:r>
      <w:r w:rsidRPr="00BE446D">
        <w:tab/>
        <w:t>oceňuje spolupráci EIB se všemi příslušnými zúčastněnými stranami, včetně vlád členských států, Evropské obranné agentury a Inovačního fondu NATO; oceňuje zejména spolupráci skupiny EIB s Evropskou obrannou agenturou a vítá skutečnost, že dne 3. října 2024 bylo mezi oběma institucemi podepsáno aktualizované memorandum o porozumění, které jim umožní posílit strategické partnerství a společně identifikovat potřeby financování a lépe podporovat výzkum, vývoj a inovace v oblasti bezpečnosti a obrany v Unii;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30</w:t>
      </w:r>
      <w:r w:rsidR="00885878" w:rsidRPr="00BE446D">
        <w:t>.</w:t>
      </w:r>
      <w:r w:rsidR="00885878" w:rsidRPr="00BE446D">
        <w:tab/>
        <w:t xml:space="preserve">vyzývá EIB, aby dále posilovala takovouto spolupráci s klíčovými zúčastněnými stranami s cílem zvýšit dopad, součinnost a doplňkovost s programy EU v oblasti obrany a zajistit, aby její investice doplňovaly širší cíle obranné politiky EU a přispívaly k dosažení úspor z rozsahu v oblasti evropských obranných schopností; žádá EIB, aby posílila regionální bezpečnost a odolnost, zejména ve východní Evropě a Středomoří, vytvořením infrastruktury, která bude podporovat regionální bezpečnost a povede k intenzivnější spolupráci mezi členskými státy EU v oblasti obrany; dále zdůrazňuje, že je důležité prozkoumat možnosti spolupráce s Inovačním fondem NATO s cílem zlepšit přístup k financování pro technologické </w:t>
      </w:r>
      <w:proofErr w:type="spellStart"/>
      <w:r w:rsidR="00885878" w:rsidRPr="00BE446D">
        <w:t>startupy</w:t>
      </w:r>
      <w:proofErr w:type="spellEnd"/>
      <w:r w:rsidR="00885878" w:rsidRPr="00BE446D">
        <w:t>, a to souběžně se zavedením Nástroje pro kapitálové investice pro obranu;</w:t>
      </w:r>
    </w:p>
    <w:p w:rsidR="00885878" w:rsidRPr="00BE446D" w:rsidRDefault="00885878" w:rsidP="00885878">
      <w:pPr>
        <w:pStyle w:val="Normal12a24b"/>
        <w:spacing w:before="0"/>
        <w:rPr>
          <w:szCs w:val="24"/>
        </w:rPr>
      </w:pPr>
      <w:r w:rsidRPr="00BE446D">
        <w:rPr>
          <w:rStyle w:val="BoldItalic"/>
        </w:rPr>
        <w:t>Sociální infrastruktura a bydlení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31</w:t>
      </w:r>
      <w:r w:rsidR="00885878" w:rsidRPr="00BE446D">
        <w:t>.</w:t>
      </w:r>
      <w:r w:rsidR="00885878" w:rsidRPr="00BE446D">
        <w:tab/>
        <w:t xml:space="preserve">žádá EIB, aby zvýšila míru podstupování rizika v případě projektů, které zajišťují základní služby s dlouhodobými jasnými a měřitelnými přínosy; vítá v tomto duchu kroky a opatření skupiny EIB v oblasti bydlení a sociální infrastruktury, které přispívají </w:t>
      </w:r>
      <w:r w:rsidR="00885878" w:rsidRPr="00BE446D">
        <w:lastRenderedPageBreak/>
        <w:t>k dostupnému bydlení, sociálnímu začleňování a regionálnímu rozvoji a zároveň podporují udržitelnost a inovace; vyzývá EIB, aby své investice prioritně zaměřila na tyto cíle s cílem dosáhnout většího hospodářského růstu a zlepšit sociální začlenění a regionální soudržnost, a zároveň aby podporovala cíle EU v oblasti udržitelnosti; vyzývá EIB, aby se zaměřila na udržitelný městský rozvoj a růst podporující začlenění tím, že zajistí uspokojení potřeb EU v oblasti bydlení a infrastruktury v zájmu silnější, soudržnější a prosperující Evropy;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32</w:t>
      </w:r>
      <w:r w:rsidR="00885878" w:rsidRPr="00BE446D">
        <w:t>.</w:t>
      </w:r>
      <w:r w:rsidR="00885878" w:rsidRPr="00BE446D">
        <w:tab/>
        <w:t>zdůrazňuje, že náklady na zakoupení a pronájem bydlení v posledních letech prudce vzrostly, což snížilo cenovou dostupnost v mnoha metropolitních oblastech v EU a omezilo přístup k bydlení; zdůrazňuje, že EIB musí hrát výraznější úlohu při řešení krize v oblasti bydlení; vítá začlenění podpory sociální infrastruktury mezi osm strategických priorit skupiny EIB na období 2024–2027 a souhlasí s tím, že investice do energeticky účinného, udržitelného a přístupného bydlení a snadno dostupného vzdělávání mají zásadní význam pro posílení produktivity a rozvoj silné a odolné společnosti; vyzývá EIB, aby upřednostňovala investice do bytových družstev, energeticky účinného sociálního bydlení a renovačních projektů určených pro domácnosti s nízkými příjmy; domnívá se, že mají-li se odstranit hlavní nedostatky v oblasti investic do bydlení v EU, je třeba překonat finanční i nefinanční investiční překážky a přistoupit k rozsáhlému uvolnění zdrojů a kapacit;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33</w:t>
      </w:r>
      <w:r w:rsidR="00885878" w:rsidRPr="00BE446D">
        <w:t>.</w:t>
      </w:r>
      <w:r w:rsidR="00885878" w:rsidRPr="00BE446D">
        <w:tab/>
        <w:t>vítá skutečnost, že EIB ve spolupráci s Komisí iniciovala celoevropskou investiční platformu, která se zaměřuje na podporu dostupného a udržitelného bydlení a spojuje poradenské služby s financováním, a vybízí účastníky, aby v této iniciativě pokračovali;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3</w:t>
      </w:r>
      <w:r w:rsidR="00CB323C">
        <w:t>4</w:t>
      </w:r>
      <w:r w:rsidRPr="00BE446D">
        <w:t>.</w:t>
      </w:r>
      <w:r w:rsidRPr="00BE446D">
        <w:tab/>
        <w:t>vítá závazek EIB zmírnit tlak na trhy s bydlením v Evropě; zdůrazňuje, že ceny pořízení vlastního bydlení i nájemného v posledních letech výrazně vzrostly, což snížilo cenovou dostupnost bydlení v mnoha metropolitních oblastech v EU a ohrozilo přístup k nim; zdůrazňuje, že z analýzy EIB vyplývá, že EU potřebuje ročně přibližně 1,5 milionu nových bytových jednotek, aby dokázala pokrýt poptávku, a že přibližně 75 % stavebního fondu EU je třeba renovovat, což představuje dalších 5 milionů jednotek ročně; vítá skutečnost, že EIB podporuje rekonstrukci stávajícího bydlení a výstavbu nových sociálních a cenově dostupných bytů; vybízí EIB, aby uvolnila více finančních prostředků na projekty dostupného bydlení v členských státech;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3</w:t>
      </w:r>
      <w:r w:rsidR="00CB323C">
        <w:t>5</w:t>
      </w:r>
      <w:r w:rsidRPr="00BE446D">
        <w:t>.</w:t>
      </w:r>
      <w:r w:rsidRPr="00BE446D">
        <w:tab/>
      </w:r>
      <w:r w:rsidR="00CB323C" w:rsidRPr="00CB323C">
        <w:t>požaduje, aby byla posílena technická pomoc a finanční odborné znalosti na podporu místních a regionálních orgánů, zejména v oblátech s nízkou investiční kapacitou, s cílem zlepšit dostupnost financování EIB; domnívá se, že spolupráce s místními orgány, místní samosprávou a zástupci občanské společnosti by měla podporovat rozvoj sociálního bydlení, které je vhodné pro všechny, a zejména pro ty nejzranitelnější; je si vědom toho, že účinnost opatření EIB v oblasti bydlení a sociální infrastruktury závisí rovněž na odstranění politických a regulačních překážek;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3</w:t>
      </w:r>
      <w:r w:rsidR="00CB323C">
        <w:t>6</w:t>
      </w:r>
      <w:r w:rsidRPr="00BE446D">
        <w:t>.</w:t>
      </w:r>
      <w:r w:rsidRPr="00BE446D">
        <w:tab/>
        <w:t>bere na vědomí, že v roce 2023 EIB podepsala smlouvy na finanční podporu operací v oblasti energetické účinnosti ve výši 8,3 miliardy EUR, z čehož 65 % bylo určeno na energetickou účinnost budov; vyzývá EIB, aby upřednostňovala dlouhodobá cenově dostupná a přístupná řešení a udržitelné investice, jako jsou energeticky účinné renovace a využívání neobsazených budov;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3</w:t>
      </w:r>
      <w:r w:rsidR="00CB323C">
        <w:t>7</w:t>
      </w:r>
      <w:r w:rsidRPr="00BE446D">
        <w:t>.</w:t>
      </w:r>
      <w:r w:rsidRPr="00BE446D">
        <w:tab/>
        <w:t>domnívá se, že dříve než bude povolena jakákoli renovace nebo změna využití, by se mělo zajistit, aby související investice zabezpečily dostatečnou trvanlivost;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lastRenderedPageBreak/>
        <w:t>3</w:t>
      </w:r>
      <w:r w:rsidR="00CB323C">
        <w:t>8</w:t>
      </w:r>
      <w:r w:rsidRPr="00BE446D">
        <w:t>.</w:t>
      </w:r>
      <w:r w:rsidRPr="00BE446D">
        <w:tab/>
        <w:t xml:space="preserve">vybízí EIB, aby navázala na své dlouholeté zkušenosti v roli </w:t>
      </w:r>
      <w:proofErr w:type="spellStart"/>
      <w:r w:rsidRPr="00BE446D">
        <w:t>akcelerátora</w:t>
      </w:r>
      <w:proofErr w:type="spellEnd"/>
      <w:r w:rsidRPr="00BE446D">
        <w:t xml:space="preserve"> evropských investic a využila svůj potenciál i v odvětví vzdělávání a odborné přípravy a zdravotnictví, a to i prostřednictvím poradenských služeb; vyzývá EIB, aby posílila podporu zdravotnických kapacit v EU i mimo ni, a zajistila tak výraznější roli Evropy ve světě;</w:t>
      </w:r>
    </w:p>
    <w:p w:rsidR="00885878" w:rsidRPr="00BE446D" w:rsidRDefault="00885878" w:rsidP="00885878">
      <w:pPr>
        <w:pStyle w:val="Normal12a24b"/>
        <w:spacing w:before="0"/>
        <w:rPr>
          <w:rStyle w:val="BoldItalic"/>
          <w:szCs w:val="24"/>
        </w:rPr>
      </w:pPr>
      <w:r w:rsidRPr="00BE446D">
        <w:rPr>
          <w:rStyle w:val="BoldItalic"/>
        </w:rPr>
        <w:t xml:space="preserve">Podpora malých a středních podniků, společností se střední tržní kapitalizací, </w:t>
      </w:r>
      <w:proofErr w:type="spellStart"/>
      <w:r w:rsidRPr="00BE446D">
        <w:rPr>
          <w:rStyle w:val="BoldItalic"/>
        </w:rPr>
        <w:t>startupů</w:t>
      </w:r>
      <w:proofErr w:type="spellEnd"/>
      <w:r w:rsidRPr="00BE446D">
        <w:rPr>
          <w:rStyle w:val="BoldItalic"/>
        </w:rPr>
        <w:t xml:space="preserve">, </w:t>
      </w:r>
      <w:proofErr w:type="spellStart"/>
      <w:r w:rsidRPr="00BE446D">
        <w:rPr>
          <w:rStyle w:val="BoldItalic"/>
        </w:rPr>
        <w:t>scaleupů</w:t>
      </w:r>
      <w:proofErr w:type="spellEnd"/>
      <w:r w:rsidRPr="00BE446D">
        <w:rPr>
          <w:rStyle w:val="BoldItalic"/>
        </w:rPr>
        <w:t xml:space="preserve"> a podniků ve venkovských a odlehlých oblastech, unie kapitálových trhů a úloha Evropského investičního fondu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3</w:t>
      </w:r>
      <w:r w:rsidR="00CB323C">
        <w:t>9</w:t>
      </w:r>
      <w:r w:rsidRPr="00BE446D">
        <w:t>.</w:t>
      </w:r>
      <w:r w:rsidRPr="00BE446D">
        <w:tab/>
        <w:t xml:space="preserve">zdůrazňuje, že malé a střední podniky, </w:t>
      </w:r>
      <w:proofErr w:type="spellStart"/>
      <w:r w:rsidRPr="00BE446D">
        <w:t>startupy</w:t>
      </w:r>
      <w:proofErr w:type="spellEnd"/>
      <w:r w:rsidRPr="00BE446D">
        <w:t xml:space="preserve"> a </w:t>
      </w:r>
      <w:proofErr w:type="spellStart"/>
      <w:r w:rsidRPr="00BE446D">
        <w:t>scaleupy</w:t>
      </w:r>
      <w:proofErr w:type="spellEnd"/>
      <w:r w:rsidRPr="00BE446D">
        <w:t xml:space="preserve"> mají pro ekonomiku EU zásadní význam; konstatuje, že tyto podniky čelí značným překážkám, pokud jde o přístup k financování, trhům a talentům, což brzdí jejich růst; trvá na tom, že růst podniků, dynamika a veřejné investice jsou zásadní pro podporu inovací, konkurenceschopnosti a produktivity; vybízí skupinu EIB, aby se těmito výzvami nadále zabývala, zejména v současném geopolitickém kontextu, prostřednictvím speciálně uzpůsobených finančních programů, mechanismů sdílení rizik a cílených finančních nástrojů a aby zároveň zajistila doplňkovost veřejných zdrojů pro tyto účely a zabránila vytěsňování soukromého kapitálu; konstatuje, že v závislosti na kontextu lze kombinovat různé nástroje na podporu úvěrů podnikům a že různé nástroje skupiny EIB se zaměřují na různá selhání trhu a různé typy podniků; zdůrazňuje, že malým a středním podnikům je třeba poskytnout technickou pomoc před schválením projektu s cílem zlepšit přístup k financování EIB;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40</w:t>
      </w:r>
      <w:r w:rsidR="00885878" w:rsidRPr="00BE446D">
        <w:t>.</w:t>
      </w:r>
      <w:r w:rsidR="00885878" w:rsidRPr="00BE446D">
        <w:tab/>
        <w:t xml:space="preserve">domnívá se, že rozvoj dobře fungujícího trhu </w:t>
      </w:r>
      <w:proofErr w:type="spellStart"/>
      <w:r w:rsidR="00885878" w:rsidRPr="00BE446D">
        <w:t>sekuritizace</w:t>
      </w:r>
      <w:proofErr w:type="spellEnd"/>
      <w:r w:rsidR="00885878" w:rsidRPr="00BE446D">
        <w:t xml:space="preserve"> může být prvním klíčovým krokem k vytvoření silné unie kapitálových trhů (UKT); je přesvědčen, že UKT bude přínosem pro spotřebitele a malé a střední podniky, neboť poskytne příležitosti k investicím s vysokým výnosem v reálné ekonomice a v konečném důsledku podpoří trh rizikového kapitálu tím, že zlepší přístup k diverzifikovaným zdrojům financování; domnívá se, že prioritou by mělo být financování evropských </w:t>
      </w:r>
      <w:proofErr w:type="spellStart"/>
      <w:r w:rsidR="00885878" w:rsidRPr="00BE446D">
        <w:t>scaleupů</w:t>
      </w:r>
      <w:proofErr w:type="spellEnd"/>
      <w:r w:rsidR="00885878" w:rsidRPr="00BE446D">
        <w:t xml:space="preserve"> prostřednictvím evropského kapitálu, jak ilustruje iniciativa </w:t>
      </w:r>
      <w:proofErr w:type="spellStart"/>
      <w:r w:rsidR="00885878" w:rsidRPr="00BE446D">
        <w:t>European</w:t>
      </w:r>
      <w:proofErr w:type="spellEnd"/>
      <w:r w:rsidR="00885878" w:rsidRPr="00BE446D">
        <w:t xml:space="preserve"> </w:t>
      </w:r>
      <w:proofErr w:type="spellStart"/>
      <w:r w:rsidR="00885878" w:rsidRPr="00BE446D">
        <w:t>Tech</w:t>
      </w:r>
      <w:proofErr w:type="spellEnd"/>
      <w:r w:rsidR="00885878" w:rsidRPr="00BE446D">
        <w:t xml:space="preserve"> </w:t>
      </w:r>
      <w:proofErr w:type="spellStart"/>
      <w:r w:rsidR="00885878" w:rsidRPr="00BE446D">
        <w:t>Champions</w:t>
      </w:r>
      <w:proofErr w:type="spellEnd"/>
      <w:r w:rsidR="00885878" w:rsidRPr="00BE446D">
        <w:t xml:space="preserve">, která byla zahájena v únoru 2023 za účelem financování slibných evropských technologických podniků a zamezení tomu, aby nedostatek evropských investic vedl k prodeji podniků zahraničním investorům; vybízí EIF, aby prozkoumal možnost zavedení druhé generace této iniciativy; konstatuje, že iniciativu </w:t>
      </w:r>
      <w:proofErr w:type="spellStart"/>
      <w:r w:rsidR="00885878" w:rsidRPr="00BE446D">
        <w:t>European</w:t>
      </w:r>
      <w:proofErr w:type="spellEnd"/>
      <w:r w:rsidR="00885878" w:rsidRPr="00BE446D">
        <w:t xml:space="preserve"> </w:t>
      </w:r>
      <w:proofErr w:type="spellStart"/>
      <w:r w:rsidR="00885878" w:rsidRPr="00BE446D">
        <w:t>Tech</w:t>
      </w:r>
      <w:proofErr w:type="spellEnd"/>
      <w:r w:rsidR="00885878" w:rsidRPr="00BE446D">
        <w:t xml:space="preserve"> </w:t>
      </w:r>
      <w:proofErr w:type="spellStart"/>
      <w:r w:rsidR="00885878" w:rsidRPr="00BE446D">
        <w:t>Champions</w:t>
      </w:r>
      <w:proofErr w:type="spellEnd"/>
      <w:r w:rsidR="00885878" w:rsidRPr="00BE446D">
        <w:t xml:space="preserve"> doplňuje </w:t>
      </w:r>
      <w:proofErr w:type="spellStart"/>
      <w:r w:rsidR="00885878" w:rsidRPr="00BE446D">
        <w:t>European</w:t>
      </w:r>
      <w:proofErr w:type="spellEnd"/>
      <w:r w:rsidR="00885878" w:rsidRPr="00BE446D">
        <w:t xml:space="preserve"> </w:t>
      </w:r>
      <w:proofErr w:type="spellStart"/>
      <w:r w:rsidR="00885878" w:rsidRPr="00BE446D">
        <w:t>Scale</w:t>
      </w:r>
      <w:proofErr w:type="spellEnd"/>
      <w:r w:rsidR="00885878" w:rsidRPr="00BE446D">
        <w:t xml:space="preserve">-up </w:t>
      </w:r>
      <w:proofErr w:type="spellStart"/>
      <w:r w:rsidR="00885878" w:rsidRPr="00BE446D">
        <w:t>Initiative</w:t>
      </w:r>
      <w:proofErr w:type="spellEnd"/>
      <w:r w:rsidR="00885878" w:rsidRPr="00BE446D">
        <w:t xml:space="preserve"> (Evropská iniciativa pro </w:t>
      </w:r>
      <w:proofErr w:type="spellStart"/>
      <w:r w:rsidR="00885878" w:rsidRPr="00BE446D">
        <w:t>scaleupy</w:t>
      </w:r>
      <w:proofErr w:type="spellEnd"/>
      <w:r w:rsidR="00885878" w:rsidRPr="00BE446D">
        <w:t xml:space="preserve">), jejímž cílem je poskytnout klíčové financování evropským podnikům působícím v oblasti vyspělých technologií v pozdní fázi jejich rozvoje; konstatuje, že tyto investice by měly být v souladu s politickými opatřeními na úrovni EU a na vnitrostátní úrovni; je si vědom komparativních slabin evropského trhu rizikového kapitálu ve srovnání s trhy konkurentů a toho, že evropské </w:t>
      </w:r>
      <w:proofErr w:type="spellStart"/>
      <w:r w:rsidR="00885878" w:rsidRPr="00BE446D">
        <w:t>startupy</w:t>
      </w:r>
      <w:proofErr w:type="spellEnd"/>
      <w:r w:rsidR="00885878" w:rsidRPr="00BE446D">
        <w:t xml:space="preserve"> a </w:t>
      </w:r>
      <w:proofErr w:type="spellStart"/>
      <w:r w:rsidR="00885878" w:rsidRPr="00BE446D">
        <w:t>scaleupy</w:t>
      </w:r>
      <w:proofErr w:type="spellEnd"/>
      <w:r w:rsidR="00885878" w:rsidRPr="00BE446D">
        <w:t xml:space="preserve"> jsou často nuceny se stěhovat nebo hledat zahraniční kupce či spoléhat na jiné zdroje financování než rizikový kapitál, a jsou tedy méně uzpůsobené pro rychlý růst;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41</w:t>
      </w:r>
      <w:r w:rsidR="00885878" w:rsidRPr="00BE446D">
        <w:t>.</w:t>
      </w:r>
      <w:r w:rsidR="00885878" w:rsidRPr="00BE446D">
        <w:tab/>
        <w:t xml:space="preserve">bere na vědomí poslání EIF, kterým je podporovat přístup evropských </w:t>
      </w:r>
      <w:proofErr w:type="spellStart"/>
      <w:r w:rsidR="00885878" w:rsidRPr="00BE446D">
        <w:t>mikropodniků</w:t>
      </w:r>
      <w:proofErr w:type="spellEnd"/>
      <w:r w:rsidR="00885878" w:rsidRPr="00BE446D">
        <w:t xml:space="preserve"> a malých a středních podniků k financování; domnívá se, že EIF by měl podstatně posílit svou činnost zaměřenou na rozvoj evropského ekosystému rizikového a rozvojového kapitálu a zároveň udržovat zeměpisnou vyváženost; vyzývá k posílení činnosti EIF, což umožní zvýšit investice do rychle rostoucích odvětví, zlepšit sdílení rizik mezi veřejnými a soukromými investory a podpořit inovace v celé Evropě; </w:t>
      </w:r>
      <w:r w:rsidR="00885878" w:rsidRPr="00BE446D">
        <w:lastRenderedPageBreak/>
        <w:t xml:space="preserve">domnívá se, že je nezbytné sledovat míru zvyšování podpory pro </w:t>
      </w:r>
      <w:proofErr w:type="spellStart"/>
      <w:r w:rsidR="00885878" w:rsidRPr="00BE446D">
        <w:t>mikropodniky</w:t>
      </w:r>
      <w:proofErr w:type="spellEnd"/>
      <w:r w:rsidR="00885878" w:rsidRPr="00BE446D">
        <w:t xml:space="preserve"> a malé a střední podniky;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42</w:t>
      </w:r>
      <w:r w:rsidR="00885878" w:rsidRPr="00BE446D">
        <w:t>.</w:t>
      </w:r>
      <w:r w:rsidR="00885878" w:rsidRPr="00BE446D">
        <w:tab/>
        <w:t>vybízí EIF, aby dále rozvíjel své monitorovací nástroje s cílem lépe sledovat dlouhodobou výkonnost fondů rizikového kapitálu a operací financování malých a středních podniků, zejména pokud jde o vytváření pracovních míst, šíření inovací a regionální dopad; zdůrazňuje také rozhodující úlohu velkých evropských podniků v hospodářské struktuře Evropy, zejména těch, které působí v klíčových odvětvích, jako je energetika, obrana a infrastruktura; vyzývá k vyváženému přístupu, který zajistí, že EIB bude i nadále podporovat velké evropské podniky, pokud jde o zajišťování investičního kapitálu pro velké projekty a iniciativy v oblasti výzkumu a vývoje, a tím zvýší globální konkurenceschopnost Evropy;</w:t>
      </w:r>
    </w:p>
    <w:p w:rsidR="00885878" w:rsidRPr="00BE446D" w:rsidRDefault="00CB323C" w:rsidP="00885878">
      <w:pPr>
        <w:pStyle w:val="NormalHanging12a"/>
        <w:rPr>
          <w:b/>
          <w:szCs w:val="24"/>
        </w:rPr>
      </w:pPr>
      <w:r>
        <w:t>43</w:t>
      </w:r>
      <w:r w:rsidR="00885878" w:rsidRPr="00BE446D">
        <w:t>.</w:t>
      </w:r>
      <w:r w:rsidR="00885878" w:rsidRPr="00BE446D">
        <w:tab/>
        <w:t>oceňuje podporu skupiny EIB, která jen v roce 2023 poskytla přibližně 400 000 malých a středních podniků a společností se střední tržní kapitalizací financování ve výši 31,1 miliardy EUR, včetně úvěrů a záruk pro podniky (z toho 14,9 miliardy EUR poskytl EIF), což vedlo k mobilizaci více než 134 miliard EUR, a konstatuje, že za tímto účelem skupina EIB spolupracovala s téměř 300 partnerskými institucemi z celé Evropy; vybízí EIB, aby i nadále plnila svou úlohu při zlepšování přístupu k financování pro malé a střední podniky, které se často potýkají s překážkami při získávání finančních prostředků od tradičních finančních institucí, a aby poskytovala cílené financování, které zajistí dostatečné zdroje pro růst a prosperitu; vítá a požaduje neustálé rozšiřování počtu partnerských institucí, aby se dosáhlo širokého zeměpisného a odvětvového pokrytí;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4</w:t>
      </w:r>
      <w:r w:rsidR="00CB323C">
        <w:t>4</w:t>
      </w:r>
      <w:r w:rsidRPr="00BE446D">
        <w:t>.</w:t>
      </w:r>
      <w:r w:rsidRPr="00BE446D">
        <w:tab/>
        <w:t>připomíná, že využívání Evropského záručního fondu skončilo v roce 2023 a že prostředky z tohoto fondu, které měly malým a středním podnikům pomoci zotavit se z následků pandemie, byly vyplaceny přibližně 200 000 malých a středních podniků v celé EU; připomíná obavy vyjádřené v předchozích usneseních týkajících se transparentnosti rozhodovacích procesů a informací o konečných příjemcích;</w:t>
      </w:r>
    </w:p>
    <w:p w:rsidR="00885878" w:rsidRDefault="00885878" w:rsidP="00885878">
      <w:pPr>
        <w:pStyle w:val="NormalHanging12a"/>
      </w:pPr>
      <w:r w:rsidRPr="00BE446D">
        <w:t>4</w:t>
      </w:r>
      <w:r w:rsidR="00CB323C">
        <w:t>5</w:t>
      </w:r>
      <w:r w:rsidRPr="00BE446D">
        <w:t>.</w:t>
      </w:r>
      <w:r w:rsidRPr="00BE446D">
        <w:tab/>
        <w:t>vítá skutečnost, že opatření EIF v oblasti boje proti praní peněz, financování terorismu a vyhýbání se daňovým povinnostem zahrnují posouzení rizik souvisejících s produkty a transakcemi, hloubkovou kontrolu protistran a prověřování vlastnické struktury a klíčových osob z hlediska sankcí a negativní medializace; vítá zavedení povinného školení zaměstnanců a uzavření dohody s lucemburskou finanční zpravodajskou jednotkou o oznamování veškerých zjištěných podezřelých transakcí a následných opatřeních;</w:t>
      </w:r>
    </w:p>
    <w:p w:rsidR="00CB323C" w:rsidRPr="00BE446D" w:rsidRDefault="00CB323C" w:rsidP="00885878">
      <w:pPr>
        <w:pStyle w:val="NormalHanging12a"/>
        <w:rPr>
          <w:szCs w:val="24"/>
        </w:rPr>
      </w:pPr>
      <w:r>
        <w:rPr>
          <w:szCs w:val="24"/>
        </w:rPr>
        <w:t>46</w:t>
      </w:r>
      <w:r w:rsidRPr="00CB323C">
        <w:rPr>
          <w:szCs w:val="24"/>
        </w:rPr>
        <w:t>.</w:t>
      </w:r>
      <w:r w:rsidRPr="00CB323C">
        <w:rPr>
          <w:szCs w:val="24"/>
        </w:rPr>
        <w:tab/>
        <w:t>vyzývá skupinu EIB, aby zavedla komplexní a závaznou politiku ochrany oznamovatelů v celé skupině v soul</w:t>
      </w:r>
      <w:r>
        <w:rPr>
          <w:szCs w:val="24"/>
        </w:rPr>
        <w:t>adu se směrnicí (EU) 2019/1937</w:t>
      </w:r>
      <w:r>
        <w:rPr>
          <w:rStyle w:val="FootnoteReference"/>
          <w:szCs w:val="24"/>
        </w:rPr>
        <w:footnoteReference w:id="4"/>
      </w:r>
      <w:r w:rsidRPr="00CB323C">
        <w:rPr>
          <w:szCs w:val="24"/>
        </w:rPr>
        <w:t>, která zajistí bezpečné kanály pro oznamování, ochranu před odvetnými opatřeními a kompletní mechanismy následných opatření;</w:t>
      </w:r>
    </w:p>
    <w:p w:rsidR="00885878" w:rsidRPr="00BE446D" w:rsidRDefault="00885878" w:rsidP="00885878">
      <w:pPr>
        <w:pStyle w:val="Normal12a24b"/>
        <w:spacing w:before="0"/>
        <w:rPr>
          <w:szCs w:val="24"/>
        </w:rPr>
      </w:pPr>
      <w:r w:rsidRPr="00BE446D">
        <w:rPr>
          <w:rStyle w:val="BoldItalic"/>
        </w:rPr>
        <w:t>Klíčové oblasti politiky soudržnosti, opatření v oblasti klimatu a environmentální udržitelnost a digitalizace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lastRenderedPageBreak/>
        <w:t>4</w:t>
      </w:r>
      <w:r w:rsidR="00CB323C">
        <w:t>7</w:t>
      </w:r>
      <w:r w:rsidRPr="00BE446D">
        <w:t>.</w:t>
      </w:r>
      <w:r w:rsidRPr="00BE446D">
        <w:tab/>
        <w:t>oceňuje, že se EIB ve svém orientačním dokumentu pro soudržnost na období 2021–2027 zavázala věnovat v letech 2022 až 2024 nejméně 40 % svého celkového financování v EU na projekty v regionech soudržnosti; konstatuje, že v roce 2023 takovéto financování dosahovalo částky 29,8 miliardy EUR, což odpovídá 45 % celkových úvěrů podepsaných EIB v EU; zdůrazňuje, že podíl finančních prostředků EIB přidělených méně rozvinutým regionům se zvýšil z 24 % v roce 2022 na 26 % v roce 2023, a dosáhl celkové částky 17,2 miliardy EUR, což je výrazně nad 21% cílem stanoveným v orientačním dokumentu EIB pro soudržnost na rok 2023; znovu vyzývá EIB, aby i nadále monitorovala, analyzovala a řešila nedostatky, které některým regionům nebo zemím brání plně využívat finanční podporu a pomoc EIB;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4</w:t>
      </w:r>
      <w:r w:rsidR="00CB323C">
        <w:t>8</w:t>
      </w:r>
      <w:r w:rsidRPr="00BE446D">
        <w:t>.</w:t>
      </w:r>
      <w:r w:rsidRPr="00BE446D">
        <w:tab/>
        <w:t>uznává úlohu, kterou sehrává EIF, pokud jde o přispívání k hospodářské a sociální soudržnosti v Unii prostřednictvím široké škály finančních nástrojů; konstatuje, že závazky EIF v oblasti úvěrových záruk, rizikového kapitálu a investic soukromého kapitálu pro regiony soudržnosti v roce 2023 činily 6,8 miliardy EUR, což představuje 48 % celkových závazků EIF v EU; konstatuje, že v roce 2023 byl EIF aktivní zejména ve střední a východní Evropě;</w:t>
      </w:r>
    </w:p>
    <w:p w:rsidR="00885878" w:rsidRPr="00BE446D" w:rsidRDefault="00885878" w:rsidP="00885878">
      <w:pPr>
        <w:pStyle w:val="NormalHanging12a"/>
      </w:pPr>
      <w:r w:rsidRPr="00BE446D">
        <w:t>4</w:t>
      </w:r>
      <w:r w:rsidR="00CB323C">
        <w:t>9</w:t>
      </w:r>
      <w:r w:rsidRPr="00BE446D">
        <w:t>.</w:t>
      </w:r>
      <w:r w:rsidRPr="00BE446D">
        <w:tab/>
        <w:t>bere na vědomí, že rámec EIB pro environmentální a sociální udržitelnost zahrnuje revidovanou environmentální a sociální politiku a standardy, které podporují integrovaný přístup k posuzování a řízení dopadů a rizik;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50</w:t>
      </w:r>
      <w:r w:rsidR="00885878" w:rsidRPr="00BE446D">
        <w:t>.</w:t>
      </w:r>
      <w:r w:rsidR="00885878" w:rsidRPr="00BE446D">
        <w:tab/>
        <w:t>uznává, že za posledních 15 let podpořily poradenské služby EIB více než 1 000 projektů v regionech soudržnosti; vyzývá EIB, aby aktivně podporovala možnosti financování v méně rozvinutých a přechodových regionech, mimo jiné posílením přítomnosti poradenských služeb ve svých v místních kancelářích; domnívá se, že je nezbytné zohlednit také zeměpisné rozložení podpory poskytované EIB na zvýšení sociální soudržnosti;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51</w:t>
      </w:r>
      <w:r w:rsidR="00885878" w:rsidRPr="00BE446D">
        <w:t>.</w:t>
      </w:r>
      <w:r w:rsidR="00885878" w:rsidRPr="00BE446D">
        <w:tab/>
        <w:t xml:space="preserve">zdůrazňuje iniciativy EIB v regionech soudržnosti na podporu odvětví zdravotní péče, včetně programu HERA Invest, tj. záruky ve výši 100 milionů EUR zřízené ve spolupráci s Komisí na podporu výzkumu a vývoje při řešení naléhavých přeshraničních zdravotních hrozeb; vybízí EIB, aby podporovala cílené investice do klíčových systémových faktorů, jako je zdravotní péče, vzdělávání, sociální bydlení, digitální konektivita a místní financování měst a regionů, a zajistila lepší zeměpisnou vyváženost, to buď prostřednictvím přímých úvěrů, nebo finančních nástrojů, a aby využila synergií mezi granty EU a půjčkami EIB na posílení přeshraniční </w:t>
      </w:r>
      <w:proofErr w:type="gramStart"/>
      <w:r w:rsidR="00885878" w:rsidRPr="00BE446D">
        <w:t>železničního</w:t>
      </w:r>
      <w:proofErr w:type="gramEnd"/>
      <w:r w:rsidR="00885878" w:rsidRPr="00BE446D">
        <w:t xml:space="preserve"> propojenosti, která má zásadní význam pro lepší integraci v rámci jednotného trhu EU;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52</w:t>
      </w:r>
      <w:r w:rsidR="00885878" w:rsidRPr="00BE446D">
        <w:t>.</w:t>
      </w:r>
      <w:r w:rsidR="00885878" w:rsidRPr="00BE446D">
        <w:tab/>
        <w:t xml:space="preserve">bere na vědomí, že EIB je od roku 2019 je strategicky zaměřena na to, stát se klimatickou bankou EU; zdůrazňuje, že jen v roce 2023 EIB podepsala úvěry ve výši 41,8 miliardy EUR na financování opatření v oblasti klimatu a 25,1 miliardy EUR na environmentální udržitelnost (35,1 miliardy EUR, resp. 15,9 miliardy EUR v roce 2022); konstatuje, že financování EIB na přizpůsobení se změně klimatu činilo v roce 2023 celkem 2,7 miliardy EUR, což odpovídá 6,4 % jejích celkových opatření v oblasti klimatu (ve </w:t>
      </w:r>
      <w:proofErr w:type="gramStart"/>
      <w:r w:rsidR="00885878" w:rsidRPr="00BE446D">
        <w:t>srovnání s 1,9</w:t>
      </w:r>
      <w:proofErr w:type="gramEnd"/>
      <w:r w:rsidR="00885878" w:rsidRPr="00BE446D">
        <w:t> miliardy EUR, tj. 5,4 % v roce 2022); vítá skutečnost, že na opatření v oblasti klimatu a financování environmentální udržitelnosti jako celek připadalo v roce 2023 60 % financování EIB; vyzývá k zachování technologické neutrality v investiční strategii EIB v oblasti klimatu a udržitelného financování;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lastRenderedPageBreak/>
        <w:t>53</w:t>
      </w:r>
      <w:r w:rsidR="00885878" w:rsidRPr="00BE446D">
        <w:t>.</w:t>
      </w:r>
      <w:r w:rsidR="00885878" w:rsidRPr="00BE446D">
        <w:tab/>
        <w:t xml:space="preserve">připomíná, že v rámci úvěrové politiky EIB v oblasti energetiky přijaté v roce 2019 bylo stanoveno „postupné ukončení podpory energetických projektů závislých na fosilních palivech bez snížení emisí“ a bylo zavedeno přechodné období, během kterého EIB mohla pokračovat ve schvalování již posuzovaných projektů, avšak správní rada od konce roku 2021 žádný takový projekt neschválila; poznamenává, že v roce 2022 skupina EIB zavedla dočasné a výjimečné prodloužení výjimek z rámce EIB pro sladění protistran s Pařížskou dohodou (tzv. PATH) na podporu projektu </w:t>
      </w:r>
      <w:proofErr w:type="spellStart"/>
      <w:r w:rsidR="00885878" w:rsidRPr="00BE446D">
        <w:t>REPowerEU</w:t>
      </w:r>
      <w:proofErr w:type="spellEnd"/>
      <w:r w:rsidR="00885878" w:rsidRPr="00BE446D">
        <w:t xml:space="preserve">, tak aby byly pokryty projekty s vysokým podílem inovací a projekty v oblasti obnovitelných zdrojů energie a infrastruktury pro nabíjení elektrických vozidel v EU; poznamenává, že v roce 2023 se skupina EIB rozhodla uplatnit stejné dočasné a výjimečné prodloužení i na projekty v duchu </w:t>
      </w:r>
      <w:proofErr w:type="spellStart"/>
      <w:r w:rsidR="00885878" w:rsidRPr="00BE446D">
        <w:t>REPowerEU</w:t>
      </w:r>
      <w:proofErr w:type="spellEnd"/>
      <w:r w:rsidR="00885878" w:rsidRPr="00BE446D">
        <w:t xml:space="preserve"> mimo EU; poznamenává, že se očekává, že tato dočasná a výjimečná prodloužení budou trvat do roku 2027 s výhradou přezkumu plánu pro klimatickou banku, který se očekává v roce 2025; připomíná své předchozí usnesení</w:t>
      </w:r>
      <w:r w:rsidR="00885878" w:rsidRPr="00BE446D">
        <w:rPr>
          <w:rStyle w:val="FootnoteReference"/>
          <w:szCs w:val="24"/>
        </w:rPr>
        <w:footnoteReference w:id="5"/>
      </w:r>
      <w:r w:rsidR="00885878" w:rsidRPr="00BE446D">
        <w:t xml:space="preserve"> a trvá na tom, že PATH nabízí vhodný rámec pro podporu protistran na jejich cestě k dosažení souladu s cíli Pařížské dohody; zdůrazňuje, že se od EIB očekává, že zintenzivní spolupráci se všemi svými klienty, aby podpořila rozvoj jejich plánů dekarbonizace;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54</w:t>
      </w:r>
      <w:r w:rsidR="00885878" w:rsidRPr="00BE446D">
        <w:t>.</w:t>
      </w:r>
      <w:r w:rsidR="00885878" w:rsidRPr="00BE446D">
        <w:tab/>
        <w:t xml:space="preserve">bere na vědomí přezkum plánu pro klimatickou banku skupiny EIB v polovině období, který byl schválen v roce 2023 a který zahrnuje zjednodušený rámec pro sladění s Pařížskou dohodou pro </w:t>
      </w:r>
      <w:proofErr w:type="spellStart"/>
      <w:r w:rsidR="00885878" w:rsidRPr="00BE446D">
        <w:t>mikropodniky</w:t>
      </w:r>
      <w:proofErr w:type="spellEnd"/>
      <w:r w:rsidR="00885878" w:rsidRPr="00BE446D">
        <w:t>, revizi požadavků na zveřejňování informací v rámci PATH pro finanční zprostředkovatele a dočasné rozšíření seznamu zemí, v nichž může EIB působit jako výhradní poskytovatel finančních prostředků na projekty přizpůsobení se změně klimatu vzhledem k jejich zvláštní zranitelnosti vůči změně klimatu;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5</w:t>
      </w:r>
      <w:r w:rsidR="00CB323C">
        <w:t>5</w:t>
      </w:r>
      <w:r w:rsidRPr="00BE446D">
        <w:t>.</w:t>
      </w:r>
      <w:r w:rsidRPr="00BE446D">
        <w:tab/>
        <w:t>vítá skutečnost, že skupina EIB zařadila zemědělství a </w:t>
      </w:r>
      <w:proofErr w:type="spellStart"/>
      <w:r w:rsidRPr="00BE446D">
        <w:t>bioekonomiku</w:t>
      </w:r>
      <w:proofErr w:type="spellEnd"/>
      <w:r w:rsidRPr="00BE446D">
        <w:t xml:space="preserve"> mezi své klíčové priority, ale konstatuje, že na zemědělství, rybolov a lesnictví bylo v roce 2023 poskytnuto pouze 1,1 % úvěrů EIB; považuje za důležité, aby EIB naplánovala poskytnutí významného objemu prostředků na financování zemědělského sektoru, a to prostřednictvím zjednodušených postupů;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5</w:t>
      </w:r>
      <w:r w:rsidR="00CB323C">
        <w:t>6</w:t>
      </w:r>
      <w:r w:rsidRPr="00BE446D">
        <w:t>.</w:t>
      </w:r>
      <w:r w:rsidRPr="00BE446D">
        <w:tab/>
        <w:t>zdůrazňuje, že zemědělství je klíčovou hnací silou růstu a rozvoje venkovských oblastí; uznává, že zemědělství stojí před stále většími výzvami a že je zapotřebí, aby se zemědělci EU přizpůsobili cílům Zelené dohody pro Evropu, vyrovnali se s energetickou krizí a zvládali rostoucí inflaci; vyzývá skupinu EIB, aby zvýšila podporu a posílila inovace v tomto klíčovém odvětví, které hraje významnou úlohu při zajišťování potravinového zabezpečení, a zároveň aby využila přístupu EU „jedno zdraví“ tím, že propojí zdraví lidí, zvířat, rostlin a životního prostředí s cílem vytvořit udržitelné, odolné a produktivní zemědělsko-potravinářské systémy; upozorňuje na finanční problémy, s nimiž se potýkají zemědělci, zejména mladí a drobní provozovatelé podniků, a konstatuje, že zemědělci a podniky v tomto odvětví mají nižší míru úspěšnosti při žádostech o financování;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5</w:t>
      </w:r>
      <w:r w:rsidR="00CB323C">
        <w:t>7</w:t>
      </w:r>
      <w:r w:rsidRPr="00BE446D">
        <w:t>.</w:t>
      </w:r>
      <w:r w:rsidRPr="00BE446D">
        <w:tab/>
        <w:t xml:space="preserve">zdůrazňuje, že podpora EIB by měla být založena na přístupu spravedlivé transformace, aby se dosáhlo udržitelného zemědělství, které chrání životní prostředí, lidské zdraví a dobré životní podmínky zvířat a zároveň zlepšuje živobytí zemědělců, zejména </w:t>
      </w:r>
      <w:r w:rsidRPr="00BE446D">
        <w:lastRenderedPageBreak/>
        <w:t>malých a středních zemědělských podniků; trvá na tom, že podpora venkovských oblastí má zásadní význam pro podporu vyváženého a inkluzivního rozvoje, generační obměny a rovného přístupu žen a mužů k finančním příležitostem; opakuje svou výzvu skupině EIB, aby zvýšila svou angažovanost v odvětví zemědělství zlepšením přístupu k financování;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5</w:t>
      </w:r>
      <w:r w:rsidR="00CB323C">
        <w:t>8</w:t>
      </w:r>
      <w:r w:rsidRPr="00BE446D">
        <w:t>.</w:t>
      </w:r>
      <w:r w:rsidRPr="00BE446D">
        <w:tab/>
        <w:t xml:space="preserve">oceňuje, že skupina EIB je jedním z klíčových podporovatelů digitalizace v EU, zejména v oblasti financování digitální infrastruktury a podpory inovativních digitálních </w:t>
      </w:r>
      <w:proofErr w:type="spellStart"/>
      <w:r w:rsidRPr="00BE446D">
        <w:t>startupů</w:t>
      </w:r>
      <w:proofErr w:type="spellEnd"/>
      <w:r w:rsidRPr="00BE446D">
        <w:t>; vybízí EIB, aby zvýšila svou podporu digitálních sítí a posílila technologickou autonomii EU a inovace v oblasti klíčových technologií;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5</w:t>
      </w:r>
      <w:r w:rsidR="00CB323C">
        <w:t>9</w:t>
      </w:r>
      <w:r w:rsidRPr="00BE446D">
        <w:t>.</w:t>
      </w:r>
      <w:r w:rsidRPr="00BE446D">
        <w:tab/>
        <w:t>domnívá se, že snižování digitální nerovnosti a předcházení sociálnímu vyloučení vyžaduje značné veřejné investice do telekomunikační infrastruktury, zejména ve venkovských oblastech; vybízí EIB, aby podporovala evropské občany, se zvláštním zaměřením na starší osoby a osoby se zdravotním postižením, při získávání dostatečné digitální gramotnosti, aby se mohli plně zapojit do života společnosti;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60</w:t>
      </w:r>
      <w:r w:rsidR="00885878" w:rsidRPr="00BE446D">
        <w:t>.</w:t>
      </w:r>
      <w:r w:rsidR="00885878" w:rsidRPr="00BE446D">
        <w:tab/>
        <w:t xml:space="preserve">uznává zásadní úlohu, kterou sehrává odvětví kybernetické bezpečnosti při ochraně podniků a vládních institucí před pokročilými digitálními hrozbami a zahraničním vlivem; vítá zvýšení investic do bezpečnosti z 6 miliard EUR na 8 miliard EUR, které je financováno prostřednictvím Strategické evropské bezpečnostní iniciativy s cílem řešit bezpečnostní výzvy, a to i výzvy v odvětví „New </w:t>
      </w:r>
      <w:proofErr w:type="spellStart"/>
      <w:r w:rsidR="00885878" w:rsidRPr="00BE446D">
        <w:t>Space</w:t>
      </w:r>
      <w:proofErr w:type="spellEnd"/>
      <w:r w:rsidR="00885878" w:rsidRPr="00BE446D">
        <w:t>“;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61</w:t>
      </w:r>
      <w:r w:rsidR="00885878" w:rsidRPr="00BE446D">
        <w:t>.</w:t>
      </w:r>
      <w:r w:rsidR="00885878" w:rsidRPr="00BE446D">
        <w:tab/>
        <w:t>vítá zaměření EIB na genderovou rovnost a posílení ekonomického postavení žen, které v roce 2023 vedlo k investicím do této oblasti v celkové výši 5,8 miliardy EUR (ve srovnání s 5,1 miliardy EUR v roce 2022); domnívá se, že EIB by mohla dále zvýšit objem mikroúvěrů pro podniky vedené ženami, které stále čelí diskriminaci v přístupu k financování;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62</w:t>
      </w:r>
      <w:r w:rsidR="00885878" w:rsidRPr="00BE446D">
        <w:t>.</w:t>
      </w:r>
      <w:r w:rsidR="00885878" w:rsidRPr="00BE446D">
        <w:tab/>
        <w:t>zdůrazňuje, že zabezpečení dodávek kritických surovin má zásadní význam jak pro ekologickou a digitální transformaci, tak pro odvětví obrany a průmyslovou základnu EU obecně; vyzývá EIB, aby více investovala do odvětví kritických surovin s cílem pomoci diverzifikovat dodávky primárních i sekundárních surovin a rozvíjet řešení oběhového hospodářství, zejména výzkum a vývoj alternativních materiálů, jako jsou biologické materiály; v této souvislosti vítá skutečnost, že dne 21. března 2025 byla přijata nová strategická iniciativa pro kritické suroviny, v jejímž rámci se očekává financování investic do kritických surovin ve výši 2 miliard EUR v roce 2025, zřízení nové pracovní skupiny pro kritické suroviny a specializovaného jednotného kontaktního místa pro budování a řízení souboru operací a poradenských činností v oblasti kritických surovin a rozšířené technické odborné znalosti a partnerství;</w:t>
      </w:r>
    </w:p>
    <w:p w:rsidR="00885878" w:rsidRPr="00BE446D" w:rsidRDefault="00885878" w:rsidP="00885878">
      <w:pPr>
        <w:pStyle w:val="Normal12a24b"/>
        <w:spacing w:before="0"/>
        <w:rPr>
          <w:szCs w:val="24"/>
        </w:rPr>
      </w:pPr>
      <w:r w:rsidRPr="00BE446D">
        <w:rPr>
          <w:rStyle w:val="BoldItalic"/>
        </w:rPr>
        <w:t xml:space="preserve">Činnost EIB mimo EU </w:t>
      </w:r>
    </w:p>
    <w:p w:rsidR="00885878" w:rsidRPr="00BE446D" w:rsidRDefault="00CB323C" w:rsidP="00885878">
      <w:pPr>
        <w:pStyle w:val="NormalHanging12a"/>
        <w:rPr>
          <w:b/>
        </w:rPr>
      </w:pPr>
      <w:r>
        <w:t>63</w:t>
      </w:r>
      <w:r w:rsidR="00885878" w:rsidRPr="00BE446D">
        <w:t>.</w:t>
      </w:r>
      <w:r w:rsidR="00885878" w:rsidRPr="00BE446D">
        <w:tab/>
        <w:t xml:space="preserve">zdůrazňuje, že ve druhém roce své existence poskytla EIB </w:t>
      </w:r>
      <w:proofErr w:type="spellStart"/>
      <w:r w:rsidR="00885878" w:rsidRPr="00BE446D">
        <w:t>Global</w:t>
      </w:r>
      <w:proofErr w:type="spellEnd"/>
      <w:r w:rsidR="00885878" w:rsidRPr="00BE446D">
        <w:t xml:space="preserve"> financování ve výši 8,4 miliardy EUR (ve srovnání s 9,1 miliardy EUR v roce 2022); konstatuje, že vzhledem k tomu, že financování EIB </w:t>
      </w:r>
      <w:proofErr w:type="spellStart"/>
      <w:r w:rsidR="00885878" w:rsidRPr="00BE446D">
        <w:t>Global</w:t>
      </w:r>
      <w:proofErr w:type="spellEnd"/>
      <w:r w:rsidR="00885878" w:rsidRPr="00BE446D">
        <w:t xml:space="preserve"> je omezeno na 50 % celkových nákladů na projekt, přetrvává spolufinancování investic s rozvojovými finančními institucemi a mezinárodními rozvojovými bankami; vyzývá EIB a Komisi, aby investovaly do funkcí interního auditu a nezávislé kontroly s cílem zaručit integritu a spolehlivost všech operací;</w:t>
      </w:r>
    </w:p>
    <w:p w:rsidR="00885878" w:rsidRPr="00BE446D" w:rsidRDefault="00CB323C" w:rsidP="00885878">
      <w:pPr>
        <w:pStyle w:val="NormalHanging12a"/>
      </w:pPr>
      <w:r>
        <w:lastRenderedPageBreak/>
        <w:t>64</w:t>
      </w:r>
      <w:r w:rsidR="00885878" w:rsidRPr="00BE446D">
        <w:t>.</w:t>
      </w:r>
      <w:r w:rsidR="00885878" w:rsidRPr="00BE446D">
        <w:tab/>
        <w:t xml:space="preserve">připomíná, že EIB </w:t>
      </w:r>
      <w:proofErr w:type="spellStart"/>
      <w:r w:rsidR="00885878" w:rsidRPr="00BE446D">
        <w:t>Global</w:t>
      </w:r>
      <w:proofErr w:type="spellEnd"/>
      <w:r w:rsidR="00885878" w:rsidRPr="00BE446D">
        <w:t xml:space="preserve"> patří mezi klíčové aktéry provádění evropské strategie </w:t>
      </w:r>
      <w:proofErr w:type="spellStart"/>
      <w:r w:rsidR="00885878" w:rsidRPr="00BE446D">
        <w:t>Global</w:t>
      </w:r>
      <w:proofErr w:type="spellEnd"/>
      <w:r w:rsidR="00885878" w:rsidRPr="00BE446D">
        <w:t xml:space="preserve"> </w:t>
      </w:r>
      <w:proofErr w:type="spellStart"/>
      <w:r w:rsidR="00885878" w:rsidRPr="00BE446D">
        <w:t>Gateway</w:t>
      </w:r>
      <w:proofErr w:type="spellEnd"/>
      <w:r w:rsidR="00885878" w:rsidRPr="00BE446D">
        <w:t>, a proto se očekává, že bude uplatňovat nejvyšší standardy transparentnosti a odpovědnosti;</w:t>
      </w:r>
    </w:p>
    <w:p w:rsidR="00885878" w:rsidRPr="00BE446D" w:rsidRDefault="00885878" w:rsidP="00885878">
      <w:pPr>
        <w:pStyle w:val="NormalHanging12a"/>
      </w:pPr>
      <w:r w:rsidRPr="00BE446D">
        <w:t>6</w:t>
      </w:r>
      <w:r w:rsidR="00CB323C">
        <w:t>5</w:t>
      </w:r>
      <w:r w:rsidRPr="00BE446D">
        <w:t>.</w:t>
      </w:r>
      <w:r w:rsidRPr="00BE446D">
        <w:tab/>
        <w:t xml:space="preserve">vítá skutečnost, že správní rada EIB přijala strategický plán EIB </w:t>
      </w:r>
      <w:proofErr w:type="spellStart"/>
      <w:r w:rsidRPr="00BE446D">
        <w:t>Global</w:t>
      </w:r>
      <w:proofErr w:type="spellEnd"/>
      <w:r w:rsidRPr="00BE446D">
        <w:t>, a vítá její závazek respektovat a prosazovat lidská práva a zásady právního státu v projektech, které podporuje;</w:t>
      </w:r>
    </w:p>
    <w:p w:rsidR="00885878" w:rsidRPr="00BE446D" w:rsidRDefault="00885878" w:rsidP="00885878">
      <w:pPr>
        <w:pStyle w:val="NormalHanging12a"/>
        <w:rPr>
          <w:bCs/>
          <w:iCs/>
          <w:szCs w:val="24"/>
        </w:rPr>
      </w:pPr>
      <w:r w:rsidRPr="00BE446D">
        <w:t>6</w:t>
      </w:r>
      <w:r w:rsidR="00CB323C">
        <w:t>6</w:t>
      </w:r>
      <w:r w:rsidRPr="00BE446D">
        <w:t>.</w:t>
      </w:r>
      <w:r w:rsidRPr="00BE446D">
        <w:tab/>
        <w:t>zdůrazňuje, že je důležité zajistit, aby intervence skupiny EIB na Ukrajině byly vedeny v souladu s prioritami obnovy země dohodnutými s EU a aby byly v souladu s metodami a rámci stanovenými v Plánu pro Ukrajinu a s ustanoveními smluv EU; konstatuje, že EIB dále zvyšuje své úsilí o řešení podvodů a korupce v souvislosti s projekty skupiny EIB prováděnými na Ukrajině; vyzývá k pokračujícímu uplatňování náležité podmíněnosti finanční pomoci poskytované Ukrajině se zaměřením na zajištění účinných mechanismů dohledu, jako je přístup k informacím a prostorám a monitorování návštěv, a žádá, aby byla podmíněnost rozšířena na všechny země mimo EU, pro které poskytuje finanční prostředky;</w:t>
      </w:r>
    </w:p>
    <w:p w:rsidR="00885878" w:rsidRPr="00BE446D" w:rsidRDefault="00885878" w:rsidP="00885878">
      <w:pPr>
        <w:pStyle w:val="NormalHanging12a"/>
      </w:pPr>
      <w:r w:rsidRPr="00BE446D">
        <w:t>6</w:t>
      </w:r>
      <w:r w:rsidR="00CB323C">
        <w:t>7</w:t>
      </w:r>
      <w:r w:rsidRPr="00BE446D">
        <w:t>.</w:t>
      </w:r>
      <w:r w:rsidRPr="00BE446D">
        <w:tab/>
        <w:t>naléhavě vyzývá k posílení správní a kontrolní kapacity ukrajinských orgánů odpovědných za provádění, monitorování, kontrolu a dohled nad financovanými akcemi, zejména za účelem předcházení podvodům, korupci, střetům zájmů a nesrovnalostem; opakuje, že EIB by měla mít vždy jasný a neomezený dohled;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6</w:t>
      </w:r>
      <w:r w:rsidR="00CB323C">
        <w:t>8</w:t>
      </w:r>
      <w:r w:rsidRPr="00BE446D">
        <w:t>.</w:t>
      </w:r>
      <w:r w:rsidRPr="00BE446D">
        <w:tab/>
        <w:t xml:space="preserve">domnívá se, že větší úloha EIB přinese přidanou hodnotu jak pro obnovu Ukrajiny, tak pro proces rozšíření a pro budoucí partnerství v rámci agendy EU </w:t>
      </w:r>
      <w:proofErr w:type="spellStart"/>
      <w:r w:rsidRPr="00BE446D">
        <w:t>Global</w:t>
      </w:r>
      <w:proofErr w:type="spellEnd"/>
      <w:r w:rsidRPr="00BE446D">
        <w:t xml:space="preserve"> </w:t>
      </w:r>
      <w:proofErr w:type="spellStart"/>
      <w:r w:rsidRPr="00BE446D">
        <w:t>Gateway</w:t>
      </w:r>
      <w:proofErr w:type="spellEnd"/>
      <w:r w:rsidRPr="00BE446D">
        <w:t xml:space="preserve"> a politiky sousedství a na podporu cílů udržitelného rozvoje; vybízí Komisi, aby co nejvíce spolupracovala s EIB s cílem aktivovat strategickou autonomii EU, zejména v oblasti energetiky a surovin;</w:t>
      </w:r>
    </w:p>
    <w:p w:rsidR="00885878" w:rsidRPr="00BE446D" w:rsidRDefault="00885878" w:rsidP="00885878">
      <w:pPr>
        <w:pStyle w:val="NormalHanging12a"/>
      </w:pPr>
      <w:r w:rsidRPr="00BE446D">
        <w:t>6</w:t>
      </w:r>
      <w:r w:rsidR="00CB323C">
        <w:t>9</w:t>
      </w:r>
      <w:r w:rsidRPr="00BE446D">
        <w:t>.</w:t>
      </w:r>
      <w:r w:rsidRPr="00BE446D">
        <w:tab/>
        <w:t>vítá přijetí nástroje pro Ukrajinu v roce 2024, který navazuje na iniciativu EIB EU pro Ukrajinu (EU4U) a zavádí mechanismus podpory založený na rozpočtových zdrojích EU; vybízí členské státy, aby zajistily, že této zemi bude i nadále poskytována důsledná podpora v souladu s jejími potřebami;</w:t>
      </w:r>
    </w:p>
    <w:p w:rsidR="00885878" w:rsidRPr="00BE446D" w:rsidRDefault="00CB323C" w:rsidP="00885878">
      <w:pPr>
        <w:pStyle w:val="NormalHanging12a"/>
        <w:rPr>
          <w:rFonts w:eastAsiaTheme="minorEastAsia"/>
          <w:b/>
          <w:szCs w:val="24"/>
        </w:rPr>
      </w:pPr>
      <w:r>
        <w:t>70</w:t>
      </w:r>
      <w:r w:rsidR="00885878" w:rsidRPr="00BE446D">
        <w:t>.</w:t>
      </w:r>
      <w:r w:rsidR="00885878" w:rsidRPr="00BE446D">
        <w:tab/>
        <w:t>zdůrazňuje, že EIB vytvořila na podporu Ukrajiny od začátku konfliktu s Ruskem v roce 2014 úvěrové portfolio ve výši více než 7 miliard EUR; zdůrazňuje, že k 31. prosinci 2023 činila expozice EIB (vyplacená i dosud nevyplacená) 5,750 miliardy EUR a byla kryta převážně zárukami EU v rámci vnějšího úvěrového mandátu; upozorňuje, že banka navíc poskytla finanční záruky za expozice vůči protistranám na Ukrajině, které jsou plně kryty komplexními zárukami EU, v podepsané výši 388,7 milionu EUR na konci roku 2023 (oproti 478,8 milionu EUR na konci roku 2022);</w:t>
      </w:r>
    </w:p>
    <w:p w:rsidR="00885878" w:rsidRPr="00BE446D" w:rsidRDefault="00CB323C" w:rsidP="00885878">
      <w:pPr>
        <w:pStyle w:val="NormalHanging12a"/>
        <w:rPr>
          <w:rFonts w:eastAsiaTheme="minorEastAsia"/>
          <w:szCs w:val="24"/>
        </w:rPr>
      </w:pPr>
      <w:r>
        <w:t>71</w:t>
      </w:r>
      <w:r w:rsidR="00885878" w:rsidRPr="00BE446D">
        <w:t>.</w:t>
      </w:r>
      <w:r w:rsidR="00885878" w:rsidRPr="00BE446D">
        <w:tab/>
        <w:t>bere na vědomí rostoucí finanční angažovanost EIB na Ukrajině; vyzývá banku, aby rozpočtovému orgánu a příslušným kontrolním orgánům pravidelně poskytovala podrobné informace o čerpání a využívání finančních prostředků krytých zárukami EU;</w:t>
      </w:r>
    </w:p>
    <w:p w:rsidR="00885878" w:rsidRPr="00BE446D" w:rsidRDefault="00CB323C" w:rsidP="00885878">
      <w:pPr>
        <w:pStyle w:val="NormalHanging12a"/>
        <w:rPr>
          <w:rFonts w:eastAsiaTheme="minorEastAsia"/>
          <w:szCs w:val="24"/>
        </w:rPr>
      </w:pPr>
      <w:r>
        <w:t>72</w:t>
      </w:r>
      <w:r w:rsidR="00885878" w:rsidRPr="00BE446D">
        <w:t>.</w:t>
      </w:r>
      <w:r w:rsidR="00885878" w:rsidRPr="00BE446D">
        <w:tab/>
        <w:t xml:space="preserve">zdůrazňuje nepřiměřený dopad ruské útočné války proti Ukrajině na východní regiony EU sousedící s Ruskem a Běloruskem; upozorňuje na náklady, které tyto regiony a členské státy nesou v důsledku společné hranice s nepřátelskými sousedními zeměmi, zejména na to, že musí stále více přesměrovávat veřejné prostředky do bezpečnosti, obrany a připravenosti, přičemž se potýkají s výrazným snížením zdrojů v důsledku </w:t>
      </w:r>
      <w:r w:rsidR="00885878" w:rsidRPr="00BE446D">
        <w:lastRenderedPageBreak/>
        <w:t>narušení hospodářských činností, přeshraničního obchodu a dalších výměn a programů soudržnosti; vyzývá EIB, aby tuto skutečnost zohlednila ve svých rozhodnutích o financování;</w:t>
      </w:r>
    </w:p>
    <w:p w:rsidR="00885878" w:rsidRPr="00BE446D" w:rsidRDefault="00CB323C" w:rsidP="00885878">
      <w:pPr>
        <w:pStyle w:val="NormalHanging12a"/>
        <w:rPr>
          <w:b/>
        </w:rPr>
      </w:pPr>
      <w:r>
        <w:t>73</w:t>
      </w:r>
      <w:r w:rsidR="00885878" w:rsidRPr="00BE446D">
        <w:t>.</w:t>
      </w:r>
      <w:r w:rsidR="00885878" w:rsidRPr="00BE446D">
        <w:tab/>
        <w:t xml:space="preserve">vítá významné investice realizované v Moldavsku na podporu hospodářské odolnosti, zlepšení energetické bezpečnosti, posílení infrastruktury a napomáhání pokroku země na cestě k integraci do EU; uznává, že v zemích západního Balkánu EIB </w:t>
      </w:r>
      <w:proofErr w:type="spellStart"/>
      <w:r w:rsidR="00885878" w:rsidRPr="00BE446D">
        <w:t>Global</w:t>
      </w:r>
      <w:proofErr w:type="spellEnd"/>
      <w:r w:rsidR="00885878" w:rsidRPr="00BE446D">
        <w:t xml:space="preserve"> investovala v roce 2023 1,2 miliardy EUR a dalších 700 milionů EUR byly použity na zvýšení bezpečnosti silničního provozu a zlepšení železničních sítí; vítá přijetí Nástroje pro reformy a růst pro země západního Balkánu v roce 2024 a Nástroje pro reformy a růst pro Moldavsko, které schválil Evropský parlament;</w:t>
      </w:r>
    </w:p>
    <w:p w:rsidR="00885878" w:rsidRPr="00BE446D" w:rsidRDefault="00CB323C" w:rsidP="00885878">
      <w:pPr>
        <w:pStyle w:val="NormalHanging12a"/>
      </w:pPr>
      <w:r>
        <w:t>74</w:t>
      </w:r>
      <w:r w:rsidR="00885878" w:rsidRPr="00BE446D">
        <w:t>.</w:t>
      </w:r>
      <w:r w:rsidR="00885878" w:rsidRPr="00BE446D">
        <w:tab/>
        <w:t xml:space="preserve">uznává úlohu, kterou EIB hraje při podpoře zemí západního Balkánu na jejich cestě ke členství v Unii v souladu s politikou rozšíření EU; bere na vědomí, že EIB </w:t>
      </w:r>
      <w:proofErr w:type="spellStart"/>
      <w:r w:rsidR="00885878" w:rsidRPr="00BE446D">
        <w:t>Global</w:t>
      </w:r>
      <w:proofErr w:type="spellEnd"/>
      <w:r w:rsidR="00885878" w:rsidRPr="00BE446D">
        <w:t xml:space="preserve"> investovala v roce 2023 na západním Balkáně 1,2 miliardy EUR, čímž mobilizovala investice v celkové výši více než 6 miliard EUR; konstatuje, že většina finančních prostředků byla přidělena na udržitelné připojení, dále na úvěrové linky pro malé a střední podniky, infrastrukturní projekty v odvětví zdravotnictví, vzdělávání a dovedností a zásobování vodou a sanitace;</w:t>
      </w:r>
    </w:p>
    <w:p w:rsidR="00885878" w:rsidRPr="00BE446D" w:rsidRDefault="00885878" w:rsidP="00885878">
      <w:pPr>
        <w:pStyle w:val="NormalHanging12a"/>
      </w:pPr>
      <w:r w:rsidRPr="00BE446D">
        <w:t>7</w:t>
      </w:r>
      <w:r w:rsidR="00CB323C">
        <w:t>5</w:t>
      </w:r>
      <w:r w:rsidRPr="00BE446D">
        <w:t>.</w:t>
      </w:r>
      <w:r w:rsidRPr="00BE446D">
        <w:tab/>
        <w:t>žádá EIB, aby spolupracovala s dalšími dvoustrannými a mnohostrannými institucemi na vývoji a uplatňování společných metodik pro analýzu dopadu na rozvoj s cílem zajistit přidanou hodnotu a dlouhodobé pozitivní dopady;</w:t>
      </w:r>
    </w:p>
    <w:p w:rsidR="00885878" w:rsidRPr="00BE446D" w:rsidRDefault="00885878" w:rsidP="00885878">
      <w:pPr>
        <w:pStyle w:val="Normal12a24b"/>
        <w:spacing w:before="0"/>
        <w:rPr>
          <w:szCs w:val="24"/>
        </w:rPr>
      </w:pPr>
      <w:r w:rsidRPr="00BE446D">
        <w:rPr>
          <w:rStyle w:val="BoldItalic"/>
        </w:rPr>
        <w:t>Struktura odpovědnosti EIB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7</w:t>
      </w:r>
      <w:r w:rsidR="00CB323C">
        <w:t>6</w:t>
      </w:r>
      <w:r w:rsidRPr="00BE446D">
        <w:t>.</w:t>
      </w:r>
      <w:r w:rsidRPr="00BE446D">
        <w:tab/>
        <w:t>připomíná, že vnitřní dohled v EIB řídí generální inspektorát (IG), který sdružuje tři oddělení zabývající se odpovědností – hodnocení činností, mechanismus vyřizování stížností a vyšetřování podvodů –, jejichž úlohy se vzájemně doplňují a která přispívají k jednotnému vyřizování obvinění a stížností;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7</w:t>
      </w:r>
      <w:r w:rsidR="00CB323C">
        <w:t>7</w:t>
      </w:r>
      <w:r w:rsidRPr="00BE446D">
        <w:t>.</w:t>
      </w:r>
      <w:r w:rsidRPr="00BE446D">
        <w:tab/>
        <w:t>konstatuje, že mechanismus EIB pro vyřizování stížností (EIB-CM) se v roce 2023 zabýval celkem 104 případy (97 v roce 2022); bere na vědomí, že v roce 2023 bylo obdrženo 60 nových stížností (54 v roce 2022), z nichž 44 bylo považováno za přípustné a 29 se týkalo projektů financovaných EIB, z nichž 27 se uskutečnilo mimo Evropu;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7</w:t>
      </w:r>
      <w:r w:rsidR="00CB323C">
        <w:t>8</w:t>
      </w:r>
      <w:r w:rsidRPr="00BE446D">
        <w:t>.</w:t>
      </w:r>
      <w:r w:rsidRPr="00BE446D">
        <w:tab/>
        <w:t>konstatuje, že výbor EIB pro vyřizování stížností ohledně veřejných zakázek je nezávislým výborem EIB, který se zabývá stížnostmi na postupy zadávání veřejných zakázek v souvislosti s projekty financovanými EIB mimo EU;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7</w:t>
      </w:r>
      <w:r w:rsidR="00CB323C">
        <w:t>9</w:t>
      </w:r>
      <w:r w:rsidRPr="00BE446D">
        <w:t>.</w:t>
      </w:r>
      <w:r w:rsidRPr="00BE446D">
        <w:tab/>
        <w:t>vítá úsilí vyšetřovacího oddělení (IG/IN) o spolupráci a koordinaci úsilí s ostatními složkami struktury EU pro boj proti podvodům, zejména s Evropským úřadem pro boj proti podvodům (OLAF) a Úřadem evropského veřejného žalobce (EPPO), kterým bylo v roce 2023 postoupeno 37 % případů k vyšetřování (27 případů ze 74); vybízí oddělení IG/IN, aby posílilo spolupráci se všemi složkami struktury EU pro boj proti podvodům;</w:t>
      </w:r>
    </w:p>
    <w:p w:rsidR="00885878" w:rsidRPr="00BE446D" w:rsidRDefault="00CB323C" w:rsidP="00885878">
      <w:pPr>
        <w:pStyle w:val="NormalHanging12a"/>
        <w:rPr>
          <w:b/>
          <w:szCs w:val="24"/>
        </w:rPr>
      </w:pPr>
      <w:r>
        <w:t>80</w:t>
      </w:r>
      <w:r w:rsidR="00885878" w:rsidRPr="00BE446D">
        <w:t>.</w:t>
      </w:r>
      <w:r w:rsidR="00885878" w:rsidRPr="00BE446D">
        <w:tab/>
        <w:t xml:space="preserve">konstatuje, že oddělení IG/IN proaktivně odhaluje podvody pomocí nástroje pro hodnocení rizik podvodů a ohrožení integrity a robota pro odhalování rizika korupce při zadávání veřejných zakázek a že během 24 přezkumů v roce 2023 byly identifikovány cíle pro tři úplné a hloubkové aktivní přezkumy integrity; vyzývá banku, aby posoudila, </w:t>
      </w:r>
      <w:r w:rsidR="00885878" w:rsidRPr="00BE446D">
        <w:lastRenderedPageBreak/>
        <w:t>jak by bylo možné tyto digitální nástroje dále vylepšit, aby podpořily transparentnost a finanční odpovědnost;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81</w:t>
      </w:r>
      <w:r w:rsidR="00885878" w:rsidRPr="00BE446D">
        <w:t>.</w:t>
      </w:r>
      <w:r w:rsidR="00885878" w:rsidRPr="00BE446D">
        <w:tab/>
        <w:t>vyjadřuje politování nad tím, že navzdory opakovaným výzvám Parlamentu výroční zpráva IG/IN neposkytuje dostatečné informace o finančním rozsahu případů, jimiž se zabývá, o dotčených finančních prostředcích nebo mandátech, druzích dotčených projektů, přijatých zmírňujících opatřeních, úloze služeb EIB a zprostředkovatelů či partnerů v daných případech, ani o dotčených členských státech; vyzývá zástupce oddělení IG/IN, aby zvýšili míru zapojení, interakce a transparentnosti s Parlamentem, zejména pokud jde o kontrolu finančních činností; znovu vyzývá oddělení IG/IN, aby nezůstávalo u pouhého popisu několika případových studií, a aby pravidelně informovalo o cenných poznatcích o tom, do jaké míry jsou finanční zájmy chráněny; navrhuje, aby oddělení IG/IN přijalo model podávání zpráv podobný modelům, které používají jiné vyšetřovací orgány, jako jsou EPPO a OLAF, kde se sleduje vhodná rovnováha mezi transparentností a povinností zachovávat mlčenlivost nebo služební tajemství;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82</w:t>
      </w:r>
      <w:r w:rsidR="00885878" w:rsidRPr="00BE446D">
        <w:t>.</w:t>
      </w:r>
      <w:r w:rsidR="00885878" w:rsidRPr="00BE446D">
        <w:tab/>
        <w:t>je si vědom toho, že politika EIB v oblasti vyloučení stanoví autonomní proces vyloučení, který není zcela rovnocenný systému Komise pro včasné odhalování a vylučování hospodářských subjektů, pokud jde o standardy rozhodování, výsledky a opravné prostředky; znovu vyzývá skupinu EIB a Komisi, aby spolupracovaly na identifikaci potenciálních nedostatků a navrhly nápravná opatření, včetně zrychleného postupu pro vymáhání rozhodnutí EIB o vyloučení prostřednictvím systému včasného odhalování rizik a vylučování hospodářských subjektů; konstatuje, že v roce 2023 bylo v řízeních o vyloučení založených na zjištěních oddělení IG/IN vyloučeno pět společností z účasti na jakékoli činnosti financované EIB po dobu pěti let;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83</w:t>
      </w:r>
      <w:r w:rsidR="00885878" w:rsidRPr="00BE446D">
        <w:t>.</w:t>
      </w:r>
      <w:r w:rsidR="00885878" w:rsidRPr="00BE446D">
        <w:tab/>
        <w:t>vítá skutečnost, že v roce 2023 byla schválena rámcová politika skupiny EIB v oblasti vnitřní kontroly; bere na vědomí výsledky procesu sladění skupiny mezi EIB a EIF v rozsahu, v jakém odráží rozdílné obchodní modely a struktury řízení obou subjektů; má na mysli konkrétní připomínky výboru pro audit, podle kterých by se měl jak rámec interního auditu, tak rámec vnitřní kontroly změnit tak, aby se tyto rámce staly skupinovými funkcemi;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84</w:t>
      </w:r>
      <w:r w:rsidR="00885878" w:rsidRPr="00BE446D">
        <w:t>.</w:t>
      </w:r>
      <w:r w:rsidR="00885878" w:rsidRPr="00BE446D">
        <w:tab/>
        <w:t>konstatuje, že třetí obrannou linií je nezávislý externí auditor EIB; poukazuje na to, že pravidelná rotace auditorů a úkolů umožňuje nové perspektivy, a proto konstatuje, že externí auditor EIB by měl být pravidelně střídán, avšak jeho mandát byl prodloužen do roku 2027 a auditorem skupiny EIB je již od roku 2009;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8</w:t>
      </w:r>
      <w:r w:rsidR="00CB323C">
        <w:t>5</w:t>
      </w:r>
      <w:r w:rsidRPr="00BE446D">
        <w:t>.</w:t>
      </w:r>
      <w:r w:rsidRPr="00BE446D">
        <w:tab/>
        <w:t>oceňuje, že rámec skupiny EIB pro řízení rizik a pololetní zprávy skupiny EIB týkající se řízení rizik jsou účinné a jsou v souladu s požadavky a technickými normami Evropského orgánu pro bankovnictví;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8</w:t>
      </w:r>
      <w:r w:rsidR="00CB323C">
        <w:t>6</w:t>
      </w:r>
      <w:r w:rsidRPr="00BE446D">
        <w:t>.</w:t>
      </w:r>
      <w:r w:rsidRPr="00BE446D">
        <w:tab/>
        <w:t>zdůrazňuje, že navzdory obtížným tržním podmínkám vykazovalo portfolio EIB v roce 2023 nadále velmi nízkou úroveň nevýkonných expozic; zastává názor, že i když značná část úvěrového portfolia banky využívá úvěrové posílení nebo záruky členských států EU, vysoká kvalita portfolia EIB je výsledkem pečlivého provádění velmi účinných úvěrových politik EIB;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lastRenderedPageBreak/>
        <w:t>8</w:t>
      </w:r>
      <w:r w:rsidR="00CB323C">
        <w:t>7</w:t>
      </w:r>
      <w:r w:rsidRPr="00BE446D">
        <w:t>.</w:t>
      </w:r>
      <w:r w:rsidRPr="00BE446D">
        <w:tab/>
        <w:t>zdůrazňuje, že EIB nespadá do oblasti působnosti právních předpisů EU vztahujících se na úvěrové instituce, zejména nařízení o kapitálových požadavcích</w:t>
      </w:r>
      <w:r w:rsidRPr="00BE446D">
        <w:rPr>
          <w:rStyle w:val="FootnoteReference"/>
          <w:szCs w:val="24"/>
        </w:rPr>
        <w:footnoteReference w:id="6"/>
      </w:r>
      <w:r w:rsidRPr="00BE446D">
        <w:t xml:space="preserve"> a směrnice o kapitálových požadavcích</w:t>
      </w:r>
      <w:r w:rsidRPr="00BE446D">
        <w:rPr>
          <w:rStyle w:val="FootnoteReference"/>
          <w:szCs w:val="24"/>
        </w:rPr>
        <w:footnoteReference w:id="7"/>
      </w:r>
      <w:r w:rsidRPr="00BE446D">
        <w:t xml:space="preserve"> (CRR, CRD), a proto je banka oprávněna stanovit své kapitálové požadavky a požadavky na likviditu způsobem, který je vhodný a přiměřený její činnosti, jejímu poslání a tržním podmínkám; upozorňuje, že skupina EIB se zavázala dodržovat osvědčené bankovní a tržní postupy a může určit jejich použitelnost v souladu se zásadou proporcionality; zdůrazňuje, že provádění těchto norem by nemělo představovat neoprávněnou zátěž; vítá, že skupina EIB dobrovolně provedla proces přezkumu a hodnocení; upozorňuje, že by to mělo být v souladu se strukturou řízení a posláním EIB;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8</w:t>
      </w:r>
      <w:r w:rsidR="00CB323C">
        <w:t>8</w:t>
      </w:r>
      <w:r w:rsidRPr="00BE446D">
        <w:t>.</w:t>
      </w:r>
      <w:r w:rsidRPr="00BE446D">
        <w:tab/>
        <w:t>je si vědom toho, že v souladu s měnícími se potřebami EU orgány EU v roce 2024 schválily změnu statutu navrženou Radou guvernérů EIB, čímž se změnil stanovený limit ukazatele pákového poměru</w:t>
      </w:r>
      <w:r w:rsidRPr="00BE446D">
        <w:rPr>
          <w:rStyle w:val="FootnoteReference"/>
          <w:szCs w:val="24"/>
        </w:rPr>
        <w:footnoteReference w:id="8"/>
      </w:r>
      <w:r w:rsidRPr="00BE446D">
        <w:t xml:space="preserve"> a zvýšil se z 250 % na 290 %, aby EIB mohla více investovat, aniž by zvyšovala svou kapitálovou základnu;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8</w:t>
      </w:r>
      <w:r w:rsidR="00CB323C">
        <w:t>9</w:t>
      </w:r>
      <w:r w:rsidRPr="00BE446D">
        <w:t>.</w:t>
      </w:r>
      <w:r w:rsidRPr="00BE446D">
        <w:tab/>
        <w:t>poznamenává, že změna ukazatele pákového poměru připravuje půdu pro zvýšené podstupování rizik; uznává, že investice do energie z obnovitelných zdrojů, udržitelné infrastruktury a do inovativních technologií mají zásadní význam pro konkurenceschopnost EU, ale často s sebou nesou větší riziko kvůli nejistým výnosům; poukazuje na to, že zvýšené podstupování rizik může zvýšit volatilitu výnosů EIB, konstatuje však, že EIB má kapitálové rezervy, které by ji podpořily při rozšíření její vlastní rizikové činnosti;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90</w:t>
      </w:r>
      <w:r w:rsidR="00885878" w:rsidRPr="00BE446D">
        <w:t>.</w:t>
      </w:r>
      <w:r w:rsidR="00885878" w:rsidRPr="00BE446D">
        <w:tab/>
        <w:t xml:space="preserve">je znepokojen v souvislosti se situací společnosti </w:t>
      </w:r>
      <w:proofErr w:type="spellStart"/>
      <w:r w:rsidR="00885878" w:rsidRPr="00BE446D">
        <w:t>Northvolt</w:t>
      </w:r>
      <w:proofErr w:type="spellEnd"/>
      <w:r w:rsidR="00885878" w:rsidRPr="00BE446D">
        <w:t xml:space="preserve"> AB, výrobce baterií, který je považován za klíčového v oblasti ekologické transformace; zdůrazňuje, že společnost </w:t>
      </w:r>
      <w:proofErr w:type="spellStart"/>
      <w:r w:rsidR="00885878" w:rsidRPr="00BE446D">
        <w:t>Northvolt</w:t>
      </w:r>
      <w:proofErr w:type="spellEnd"/>
      <w:r w:rsidR="00885878" w:rsidRPr="00BE446D">
        <w:t xml:space="preserve"> využívá rozsáhlý úvěrový balíček EIB přesahující 942,6 milionu EUR v rámci dluhového financování na rozšíření </w:t>
      </w:r>
      <w:proofErr w:type="spellStart"/>
      <w:r w:rsidR="00885878" w:rsidRPr="00BE446D">
        <w:t>gigatovárny</w:t>
      </w:r>
      <w:proofErr w:type="spellEnd"/>
      <w:r w:rsidR="00885878" w:rsidRPr="00BE446D">
        <w:t xml:space="preserve">; konstatuje, že společnost </w:t>
      </w:r>
      <w:proofErr w:type="spellStart"/>
      <w:r w:rsidR="00885878" w:rsidRPr="00BE446D">
        <w:t>Northvolt</w:t>
      </w:r>
      <w:proofErr w:type="spellEnd"/>
      <w:r w:rsidR="00885878" w:rsidRPr="00BE446D">
        <w:t xml:space="preserve"> podala v březnu 2025 návrh na konkurz; vyzývá EIB, aby poskytla podrobné informace o procesu hodnocení a rozhodování o financování společnosti </w:t>
      </w:r>
      <w:proofErr w:type="spellStart"/>
      <w:r w:rsidR="00885878" w:rsidRPr="00BE446D">
        <w:t>Northvolt</w:t>
      </w:r>
      <w:proofErr w:type="spellEnd"/>
      <w:r w:rsidR="00885878" w:rsidRPr="00BE446D">
        <w:t xml:space="preserve"> AB a o příčinách, které vedly k neúspěchu projektu;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91</w:t>
      </w:r>
      <w:r w:rsidR="00885878" w:rsidRPr="00BE446D">
        <w:t>.</w:t>
      </w:r>
      <w:r w:rsidR="00885878" w:rsidRPr="00BE446D">
        <w:tab/>
        <w:t xml:space="preserve">zdůrazňuje, že se očekávalo, že rozšíření </w:t>
      </w:r>
      <w:proofErr w:type="spellStart"/>
      <w:r w:rsidR="00885878" w:rsidRPr="00BE446D">
        <w:t>gigatovárny</w:t>
      </w:r>
      <w:proofErr w:type="spellEnd"/>
      <w:r w:rsidR="00885878" w:rsidRPr="00BE446D">
        <w:t xml:space="preserve"> zvýší roční kapacitu pro výrobu baterií a má strategický význam pro globální konkurenceschopnost a byla v souladu se strategiemi EU v tomto odvětví;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92</w:t>
      </w:r>
      <w:r w:rsidR="00885878" w:rsidRPr="00BE446D">
        <w:t>.</w:t>
      </w:r>
      <w:r w:rsidR="00885878" w:rsidRPr="00BE446D">
        <w:tab/>
        <w:t xml:space="preserve">vyzývá Komisi a správní radu EIB, aby neprodleně zahájila hloubkový interní přezkum s cílem ověřit finanční škody, důvody a souvislosti neúspěchu tohoto stěžejního </w:t>
      </w:r>
      <w:r w:rsidR="00885878" w:rsidRPr="00BE446D">
        <w:lastRenderedPageBreak/>
        <w:t>projektu a poučit se z těchto zkušeností, aby se zabránilo opakování podobné situace nebo bylo možné ji včas odhalit;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93</w:t>
      </w:r>
      <w:r w:rsidR="00885878" w:rsidRPr="00BE446D">
        <w:t>.</w:t>
      </w:r>
      <w:r w:rsidR="00885878" w:rsidRPr="00BE446D">
        <w:tab/>
        <w:t xml:space="preserve">trvá na tom, že největší přidanou hodnotou podpory EU je podpora rizikovějších investic do inovativních projektů, expanze strategických cílů EU a umožnění dlouhodobých transformačních projektů, které nemohou získat finanční prostředky ze soukromého sektoru; domnívá se, že má-li program </w:t>
      </w:r>
      <w:proofErr w:type="spellStart"/>
      <w:r w:rsidR="00885878" w:rsidRPr="00BE446D">
        <w:t>InvestEU</w:t>
      </w:r>
      <w:proofErr w:type="spellEnd"/>
      <w:r w:rsidR="00885878" w:rsidRPr="00BE446D">
        <w:t xml:space="preserve"> účinně plnit své cíle v oblasti inovací a konkurenceschopnosti, měl by se zaměřit na financování rizikovějších a rozsáhlejších investic a že skupina EIB by měla přijímat stále větší a rozsáhlejší rizikové projekty, které by měly v první řadě a přednostně zahrnovat evropské investory, a kombinovat využívání zdrojů </w:t>
      </w:r>
      <w:proofErr w:type="spellStart"/>
      <w:r w:rsidR="00885878" w:rsidRPr="00BE446D">
        <w:t>InvestEU</w:t>
      </w:r>
      <w:proofErr w:type="spellEnd"/>
      <w:r w:rsidR="00885878" w:rsidRPr="00BE446D">
        <w:t xml:space="preserve"> více zaměřené na absorpci rizik s obdobným zaměřením při využívání vlastních finančních zdrojů skupiny EIB; naléhavě vyzývá EIB, aby zavedla přísnější podmínky, které by zabránily tomu, aby se veřejné finanční prostředky EU využívaly k dotování podniků, které přesouvají výrobu mimo Evropu, a zajistila, aby všechny projekty financované EIB přispívaly k dlouhodobé odolnosti evropského průmyslu;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94</w:t>
      </w:r>
      <w:r w:rsidR="00885878" w:rsidRPr="00BE446D">
        <w:t>.</w:t>
      </w:r>
      <w:r w:rsidR="00885878" w:rsidRPr="00BE446D">
        <w:tab/>
        <w:t>je si vědom toho, že členové řídícího výboru EIB byli často před začátkem svého funkčního období v EIB, které obvykle trvá dva až šest let, státními zaměstnanci ve svých zemích původu a že jsou proto oprávněni využívat možností profesního rozvoje za určitých podmínek během přechodného období po skončení funkce (které bylo prodlouženo na 24 měsíců po skončení jejich funkčního období v EIB); konstatuje, že členové řídícího výboru by měli informovat výbor pro etiku a dodržování předpisů a co nejrychleji získat schválení veškerých jednání týkajících se budoucího zaměstnání;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9</w:t>
      </w:r>
      <w:r w:rsidR="00CB323C">
        <w:t>5</w:t>
      </w:r>
      <w:r w:rsidRPr="00BE446D">
        <w:t>.</w:t>
      </w:r>
      <w:r w:rsidRPr="00BE446D">
        <w:tab/>
        <w:t>důrazně připomíná opakované žádosti Parlamentu o posílení mechanismu pro předcházení střetům zájmů v EIB a zlepšení způsobu řešení těchto případů a o lepší vymezení podmínek, za nichž se viceprezidenti EIB mohou podílet na rozhodování o operacích ve svých zemích původu, a trvá na tom, aby byly tyto záležitosti řešeny při budoucí revizi kodexu chování řídícího výboru;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9</w:t>
      </w:r>
      <w:r w:rsidR="00CB323C">
        <w:t>6</w:t>
      </w:r>
      <w:r w:rsidRPr="00BE446D">
        <w:t>.</w:t>
      </w:r>
      <w:r w:rsidRPr="00BE446D">
        <w:tab/>
        <w:t>zdůrazňuje, že dne 31. října 2023 ve věci 6112022/KR evropská veřejná ochránkyně práv rozhodla, že bývalý viceprezident se podílel na schválení dohody o financování mezi EIB a národní podpůrnou bankou</w:t>
      </w:r>
      <w:r w:rsidRPr="00BE446D">
        <w:rPr>
          <w:vertAlign w:val="superscript"/>
        </w:rPr>
        <w:footnoteReference w:id="9"/>
      </w:r>
      <w:r w:rsidRPr="00BE446D">
        <w:t xml:space="preserve"> ve své domovské zemi jen několik týdnů předtím, než se stal výkonným ředitelem této národní podpůrné banky, a navzdory doporučení vrchního úředníka EIB pro dodržování předpisů, který takové jednání během postupu jmenování nedoporučoval; konstatuje, že tento případ pochází z doby před vstupem v platnost stávajícího kodexu chování řídícího výboru, který nyní obsahuje zvláštní ustanovení o budoucím zaměstnání jeho členů; konstatuje, že při budoucím přezkumu pravidel platných pro její výbor pro etiku a dodržování předpisů se EIB zavázala zvážit doporučení evropské veřejné ochránkyně práv zveřejnit rozhodnutí výboru;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9</w:t>
      </w:r>
      <w:r w:rsidR="00CB323C">
        <w:t>7</w:t>
      </w:r>
      <w:r w:rsidRPr="00BE446D">
        <w:t>.</w:t>
      </w:r>
      <w:r w:rsidRPr="00BE446D">
        <w:tab/>
        <w:t xml:space="preserve">konstatuje, že zmírňující opatření, jako jsou oddělení a přechodné období po skončení funkce, jsou nejběžnějšími doložkami předběžné opatrnosti, které se mají používat při řešení případu „otáčivých dveří“, a je si vědom toho, že tato opatření jsou prováděna </w:t>
      </w:r>
      <w:r w:rsidRPr="00BE446D">
        <w:lastRenderedPageBreak/>
        <w:t>a jsou dodržována členy řídícího výboru, včetně těch, o nichž nedávno informovaly sdělovací prostředky;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9</w:t>
      </w:r>
      <w:r w:rsidR="00CB323C">
        <w:t>8</w:t>
      </w:r>
      <w:r w:rsidRPr="00BE446D">
        <w:t>.</w:t>
      </w:r>
      <w:r w:rsidRPr="00BE446D">
        <w:tab/>
        <w:t>sdílí názor evropské veřejné ochránkyně práv, že by měla být posílena úloha Výboru EIB pro etiku a soulad s předpisy, pokud jde o dohled nad zamýšlenými novými pracovními místy členů řídícího výboru, a že by měl mít možnost ukládat a prosazovat opatření ke snížení rizik; je srozuměn s tím, že úloha Výboru EIB pro etiku a soulad s předpisy se v posledních letech stala významnější a že probíhají interní diskuse o tom, jak zvýšit jeho účinnost;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9</w:t>
      </w:r>
      <w:r w:rsidR="00CB323C">
        <w:t>9</w:t>
      </w:r>
      <w:r w:rsidRPr="00BE446D">
        <w:t>.</w:t>
      </w:r>
      <w:r w:rsidRPr="00BE446D">
        <w:tab/>
        <w:t>vyzývá banku, aby podpořila účast evropských společností v zadávacích řízeních na projekty financované EIB; vybízí banku, aby dlužníkům doporučila upřednostnit způsobilost evropských podniků s cílem posílit evropskou konkurenceschopnost;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100</w:t>
      </w:r>
      <w:r w:rsidR="00885878" w:rsidRPr="00BE446D">
        <w:t>.</w:t>
      </w:r>
      <w:r w:rsidR="00885878" w:rsidRPr="00BE446D">
        <w:tab/>
        <w:t>připomíná svou výzvu, aby EIB zajistila řádné zeměpisné zastoupení, a to i na úrovni středních a vysokých řídicích funkcí, a vyzývá EIB, aby každoročně zveřejňovala rozčlenění pozic středních a vyšších vedoucích pracovníků podle pohlaví a státní příslušnosti;</w:t>
      </w:r>
    </w:p>
    <w:p w:rsidR="00885878" w:rsidRPr="00BE446D" w:rsidRDefault="00885878" w:rsidP="00885878">
      <w:pPr>
        <w:pStyle w:val="Normal12a24b"/>
        <w:spacing w:before="0"/>
        <w:rPr>
          <w:szCs w:val="24"/>
        </w:rPr>
      </w:pPr>
      <w:r w:rsidRPr="00BE446D">
        <w:rPr>
          <w:rStyle w:val="BoldItalic"/>
        </w:rPr>
        <w:t>Kontrola, transparentnost a dohled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101</w:t>
      </w:r>
      <w:r w:rsidR="00885878" w:rsidRPr="00BE446D">
        <w:t>.</w:t>
      </w:r>
      <w:r w:rsidR="00885878" w:rsidRPr="00BE446D">
        <w:tab/>
        <w:t xml:space="preserve"> vyjadřuje silné politování nad tím, že Evropský účetní dvůr (EÚD) stále nemá plný přístup ke všem údajům týkajícím se operací EIB; uznává, že ne všechny činnosti EIB jsou přímo financovány EU, a proto ne všechny činnosti jsou automaticky přístupné EÚD; trvá na tom, že Účetní dvůr by měl mít přístup k informacím potřebným ke komplexnímu a úplnému posouzení všech operací EIB, které zahrnují prostředky fondů EU, včetně těch, které uskutečňují finanční zprostředkovatelé, a které jsou koncipovány za účelem provádění politik EU; vyzývá Účetní dvůr, aby v rámci svých nejlepších schopností plně kontroloval všechny operace, které v jakékoli míře zahrnují rozpočtové prostředky EU;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102</w:t>
      </w:r>
      <w:r w:rsidR="00885878" w:rsidRPr="00BE446D">
        <w:t>.</w:t>
      </w:r>
      <w:r w:rsidR="00885878" w:rsidRPr="00BE446D">
        <w:tab/>
        <w:t>konstatuje, že hlavní příslušné auditní úkoly jsou svěřeny výboru pro audit EIB, který je zcela nezávislým orgánem; domnívá se, že zapojení kvalifikovaných externích zástupců na konkrétních úkolech výboru pro audit by mohlo zvýšit objektivitu analýz tohoto výboru;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103</w:t>
      </w:r>
      <w:r w:rsidR="00885878" w:rsidRPr="00BE446D">
        <w:t>.</w:t>
      </w:r>
      <w:r w:rsidR="00885878" w:rsidRPr="00BE446D">
        <w:tab/>
        <w:t>bere na vědomí, že politika transparentnosti EIB představuje kompromis mezi zásadou otevřenosti a potřebou chránit citlivé informace; konstatuje, že tato politika uvádí, jaké informace by měly být proaktivně zveřejňovány a kdy – například s tím, že shrnutí projektů by měla být zveřejňována nejméně tři týdny před tím, než správní rada EIB zváží financování projektu – a stanoví příslušné výjimky; vyzývá k tomu, aby tato shrnutí poskytovala zúčastněným stranám smysluplné informace;</w:t>
      </w:r>
    </w:p>
    <w:p w:rsidR="00885878" w:rsidRPr="00BE446D" w:rsidRDefault="00CB323C" w:rsidP="00885878">
      <w:pPr>
        <w:pStyle w:val="NormalHanging12a"/>
        <w:rPr>
          <w:szCs w:val="24"/>
        </w:rPr>
      </w:pPr>
      <w:r>
        <w:t>104</w:t>
      </w:r>
      <w:r w:rsidR="00885878" w:rsidRPr="00BE446D">
        <w:t>.</w:t>
      </w:r>
      <w:r w:rsidR="00885878" w:rsidRPr="00BE446D">
        <w:tab/>
        <w:t>bere na vědomí, že v roce 2023 správní rada EIB schválila 449 projektů a že téměř všechna (94 %) shrnutí projektů byla zveřejněna, a to ve většině (57 %) případů před schválením; konstatuje, že všechny operace EIB prováděné prostřednictvím finančních zprostředkovatelů jsou zveřejňovány na internetových stránkách EIB a že EIB na požádání poskytuje podrobné informace;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10</w:t>
      </w:r>
      <w:r w:rsidR="00CB323C">
        <w:t>5</w:t>
      </w:r>
      <w:r w:rsidRPr="00BE446D">
        <w:t>.</w:t>
      </w:r>
      <w:r w:rsidRPr="00BE446D">
        <w:tab/>
        <w:t xml:space="preserve">připomíná, že všechny dokumenty EIB jsou přístupné veřejnosti v souladu s presumpcí ve prospěch zpřístupnění; zdůrazňuje, že všichni žadatelé by měli být předem </w:t>
      </w:r>
      <w:r w:rsidRPr="00BE446D">
        <w:lastRenderedPageBreak/>
        <w:t>informováni o přístupu veřejnosti k dokumentům a případné zamítnutí by mělo být založeno výhradně na stanovených výjimkách; zdůrazňuje, že EIB by měla zvážit včasné zveřejňování informací týkajících se odůvodnění a souvislostí projektů a vysvětlení jejich souladu s politickými cíli EU a jejich přínosu k nim; vyzývá EIB, aby systematicky zveřejňovala výsledky auditu svých největších finančních operací a zajistila tak nezávislou kontrolu řízení rizik a hodnocení dopadů; očekává, že EIB omezí nezveřejňování informací na příslušné výjimky uvedené v nařízení (ES) č. 1049/2001</w:t>
      </w:r>
      <w:r w:rsidRPr="00BE446D">
        <w:rPr>
          <w:rStyle w:val="FootnoteReference"/>
          <w:szCs w:val="24"/>
        </w:rPr>
        <w:footnoteReference w:id="10"/>
      </w:r>
      <w:r w:rsidRPr="00BE446D">
        <w:t xml:space="preserve"> a nařízení (ES) č. 1367/2006</w:t>
      </w:r>
      <w:r w:rsidRPr="00BE446D">
        <w:rPr>
          <w:rStyle w:val="FootnoteReference"/>
          <w:szCs w:val="24"/>
        </w:rPr>
        <w:footnoteReference w:id="11"/>
      </w:r>
      <w:r w:rsidRPr="00BE446D">
        <w:t>; vyzývá k plnému provedení doporučení veřejné ochránkyně práv vydaných v návaznosti na její šetření týkající se politiky EIB v oblasti zveřejňování informací a souvisejících žádostí o přístup k dokumentům;</w:t>
      </w:r>
    </w:p>
    <w:p w:rsidR="00885878" w:rsidRPr="00BE446D" w:rsidRDefault="00885878" w:rsidP="00885878">
      <w:pPr>
        <w:pStyle w:val="NormalHanging12a"/>
      </w:pPr>
      <w:r w:rsidRPr="00BE446D">
        <w:t>10</w:t>
      </w:r>
      <w:r w:rsidR="00CB323C">
        <w:t>6</w:t>
      </w:r>
      <w:r w:rsidRPr="00BE446D">
        <w:t>.</w:t>
      </w:r>
      <w:r w:rsidRPr="00BE446D">
        <w:tab/>
        <w:t>připomíná, že všichni příjemci finančních prostředků EU mají obecnou povinnost přiznat jejich původ a zajistit viditelnost všech obdržených finančních prostředků EU; vyzývá skupinu EIB, aby zajistila, že koneční příjemci splní kritéria viditelnosti finanční podpory EU;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10</w:t>
      </w:r>
      <w:r w:rsidR="00CB323C">
        <w:t>7</w:t>
      </w:r>
      <w:r w:rsidRPr="00BE446D">
        <w:t>.</w:t>
      </w:r>
      <w:r w:rsidRPr="00BE446D">
        <w:tab/>
        <w:t>zdůrazňuje, že banka pracuje na zkrácení doby potřebné k uvedení produktu na trh (</w:t>
      </w:r>
      <w:proofErr w:type="spellStart"/>
      <w:r w:rsidRPr="00BE446D">
        <w:t>time</w:t>
      </w:r>
      <w:proofErr w:type="spellEnd"/>
      <w:r w:rsidRPr="00BE446D">
        <w:t xml:space="preserve"> to market) tím, že plně digitalizuje své projektové cykly; vyzývá banku, aby zintenzivnila své úsilí v oblasti digitalizace svých operací;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10</w:t>
      </w:r>
      <w:r w:rsidR="00CB323C">
        <w:t>8</w:t>
      </w:r>
      <w:r w:rsidR="00192811">
        <w:t>.</w:t>
      </w:r>
      <w:bookmarkStart w:id="7" w:name="_GoBack"/>
      <w:bookmarkEnd w:id="7"/>
      <w:r w:rsidRPr="00BE446D">
        <w:tab/>
        <w:t>opětovně vyzývá EIB, aby posílila a řádně prováděla svoji politiku boje proti daňovým podvodům, daňovým únikům a vyhýbání se daňovým povinnostem, mimo jiné tím, že nebude financovat příjemce nebo finanční zprostředkovatele, o nichž se zjistilo nebo existuje riziko, že takové praktiky používají;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10</w:t>
      </w:r>
      <w:r w:rsidR="00CB323C">
        <w:t>9</w:t>
      </w:r>
      <w:r w:rsidRPr="00BE446D">
        <w:t>.</w:t>
      </w:r>
      <w:r w:rsidRPr="00BE446D">
        <w:tab/>
        <w:t>opakuje, že strukturovanější dialog mezi Parlamentem a EIB by posílilo přijetí memoranda o spolupráci; v této souvislosti oceňuje bezprecedentní spolupráci EIB s Parlamentem při přípravě tohoto usnesení a konstatuje, že se jedná o zjevný projev otevřenosti a transparentnosti;</w:t>
      </w:r>
    </w:p>
    <w:p w:rsidR="00885878" w:rsidRPr="00BE446D" w:rsidRDefault="00885878" w:rsidP="00885878">
      <w:pPr>
        <w:pStyle w:val="Normal12a24b"/>
        <w:spacing w:before="0"/>
        <w:rPr>
          <w:szCs w:val="24"/>
        </w:rPr>
      </w:pPr>
      <w:r w:rsidRPr="00BE446D">
        <w:rPr>
          <w:rStyle w:val="BoldItalic"/>
        </w:rPr>
        <w:t>Kroky v návaznosti na doporučení Parlamentu</w:t>
      </w:r>
    </w:p>
    <w:p w:rsidR="00885878" w:rsidRPr="00BE446D" w:rsidRDefault="00885878" w:rsidP="00885878">
      <w:pPr>
        <w:pStyle w:val="NormalHanging12a"/>
        <w:rPr>
          <w:szCs w:val="24"/>
        </w:rPr>
      </w:pPr>
      <w:r w:rsidRPr="00BE446D">
        <w:t>1</w:t>
      </w:r>
      <w:r w:rsidR="00CB323C">
        <w:t>10</w:t>
      </w:r>
      <w:r w:rsidRPr="00BE446D">
        <w:t>.</w:t>
      </w:r>
      <w:r w:rsidRPr="00BE446D">
        <w:tab/>
        <w:t>naléhavě vyzývá EIB, aby i nadále podávala zprávy o stavu předchozích doporučení vydaných Parlamentem, zejména pokud jde o dosažené výsledky a dopad opatření přijatých k provádění jejích priorit a politik EU, zejména pokud jde o:</w:t>
      </w:r>
    </w:p>
    <w:p w:rsidR="00885878" w:rsidRPr="00BE446D" w:rsidRDefault="001F66CF" w:rsidP="001F66CF">
      <w:pPr>
        <w:pStyle w:val="NormalHanging12a"/>
        <w:ind w:left="1134"/>
        <w:rPr>
          <w:szCs w:val="24"/>
        </w:rPr>
      </w:pPr>
      <w:r>
        <w:t>a)</w:t>
      </w:r>
      <w:r>
        <w:tab/>
      </w:r>
      <w:r w:rsidR="00885878" w:rsidRPr="00BE446D">
        <w:t>dopady (hospodářské, environmentální a sociální) její investiční strategie a výsledky, jichž bylo dosaženo s cílem přispět k vyváženému a stabilnímu rozvoji vnitřního trhu v zájmu Unie;</w:t>
      </w:r>
    </w:p>
    <w:p w:rsidR="00885878" w:rsidRPr="00BE446D" w:rsidRDefault="001F66CF" w:rsidP="001F66CF">
      <w:pPr>
        <w:pStyle w:val="NormalHanging12a"/>
        <w:ind w:left="1134"/>
        <w:rPr>
          <w:szCs w:val="24"/>
        </w:rPr>
      </w:pPr>
      <w:r>
        <w:t>b)</w:t>
      </w:r>
      <w:r>
        <w:tab/>
      </w:r>
      <w:r w:rsidR="00885878" w:rsidRPr="00BE446D">
        <w:t>opatření přijatá s cílem posílit předcházení střetům zájmů, podvodům, korupci a jiným možným formám pochybení a boj proti nim;</w:t>
      </w:r>
    </w:p>
    <w:p w:rsidR="00885878" w:rsidRPr="00BE446D" w:rsidRDefault="001F66CF" w:rsidP="001F66CF">
      <w:pPr>
        <w:pStyle w:val="NormalHanging12a"/>
        <w:ind w:left="1134"/>
        <w:rPr>
          <w:szCs w:val="24"/>
        </w:rPr>
      </w:pPr>
      <w:r>
        <w:lastRenderedPageBreak/>
        <w:t>c)</w:t>
      </w:r>
      <w:r>
        <w:tab/>
      </w:r>
      <w:r w:rsidR="00885878" w:rsidRPr="00BE446D">
        <w:t>nová opatření k posílení transparentnosti;</w:t>
      </w:r>
    </w:p>
    <w:p w:rsidR="00885878" w:rsidRPr="00BE446D" w:rsidRDefault="001F66CF" w:rsidP="001F66CF">
      <w:pPr>
        <w:pStyle w:val="NormalHanging12a"/>
        <w:ind w:left="1134"/>
        <w:rPr>
          <w:szCs w:val="24"/>
        </w:rPr>
      </w:pPr>
      <w:r>
        <w:t>d)</w:t>
      </w:r>
      <w:r>
        <w:tab/>
      </w:r>
      <w:r w:rsidR="00885878" w:rsidRPr="00BE446D">
        <w:t>opatření na posílení podpory malých a středních podniků a způsobilých hospodářských subjektů při provádění politik EU;</w:t>
      </w:r>
    </w:p>
    <w:p w:rsidR="00885878" w:rsidRPr="00BE446D" w:rsidRDefault="001F66CF" w:rsidP="001F66CF">
      <w:pPr>
        <w:pStyle w:val="NormalHanging12a"/>
        <w:ind w:left="1134"/>
        <w:rPr>
          <w:szCs w:val="24"/>
        </w:rPr>
      </w:pPr>
      <w:r>
        <w:t>e)</w:t>
      </w:r>
      <w:r>
        <w:tab/>
      </w:r>
      <w:r w:rsidR="00885878" w:rsidRPr="00BE446D">
        <w:t>opatření v návaznosti na výzvy a žádosti přijaté prostřednictvím tohoto usnesení;</w:t>
      </w:r>
    </w:p>
    <w:p w:rsidR="00885878" w:rsidRPr="00BE446D" w:rsidRDefault="00885878" w:rsidP="00885878">
      <w:pPr>
        <w:pStyle w:val="NormalCenter12a"/>
        <w:rPr>
          <w:szCs w:val="24"/>
        </w:rPr>
      </w:pPr>
      <w:r w:rsidRPr="00BE446D">
        <w:t>°</w:t>
      </w:r>
    </w:p>
    <w:p w:rsidR="00885878" w:rsidRPr="00BE446D" w:rsidRDefault="00885878" w:rsidP="00885878">
      <w:pPr>
        <w:pStyle w:val="NormalCenter12a"/>
        <w:rPr>
          <w:szCs w:val="24"/>
        </w:rPr>
      </w:pPr>
      <w:r w:rsidRPr="00BE446D">
        <w:t>°</w:t>
      </w:r>
      <w:r w:rsidRPr="00BE446D">
        <w:tab/>
        <w:t>°</w:t>
      </w:r>
    </w:p>
    <w:p w:rsidR="00BE446D" w:rsidRPr="00BE446D" w:rsidRDefault="00885878" w:rsidP="00BE446D">
      <w:pPr>
        <w:pStyle w:val="NormalHanging12a"/>
        <w:ind w:left="560" w:hanging="560"/>
      </w:pPr>
      <w:r w:rsidRPr="00BE446D">
        <w:t>1</w:t>
      </w:r>
      <w:r w:rsidR="00CB323C">
        <w:t>11</w:t>
      </w:r>
      <w:r w:rsidRPr="00BE446D">
        <w:t>.</w:t>
      </w:r>
      <w:r w:rsidRPr="00BE446D">
        <w:tab/>
        <w:t>pověřuje svou předsedkyni, aby předala toto usnesení Radě a Komisi, a žádá Radu a správní radu EIB, aby uspořádaly rozpravu o výše uvedených postojích Parlamentu.</w:t>
      </w:r>
    </w:p>
    <w:p w:rsidR="00E365E1" w:rsidRPr="00BE446D" w:rsidRDefault="00E365E1" w:rsidP="00200C1D"/>
    <w:sectPr w:rsidR="00E365E1" w:rsidRPr="00BE446D" w:rsidSect="00BE44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C1D" w:rsidRPr="00BE446D" w:rsidRDefault="00200C1D">
      <w:r w:rsidRPr="00BE446D">
        <w:separator/>
      </w:r>
    </w:p>
  </w:endnote>
  <w:endnote w:type="continuationSeparator" w:id="0">
    <w:p w:rsidR="00200C1D" w:rsidRPr="00BE446D" w:rsidRDefault="00200C1D">
      <w:r w:rsidRPr="00BE44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446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446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446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C1D" w:rsidRPr="00BE446D" w:rsidRDefault="00200C1D">
      <w:r w:rsidRPr="00BE446D">
        <w:separator/>
      </w:r>
    </w:p>
  </w:footnote>
  <w:footnote w:type="continuationSeparator" w:id="0">
    <w:p w:rsidR="00200C1D" w:rsidRPr="00BE446D" w:rsidRDefault="00200C1D">
      <w:r w:rsidRPr="00BE446D">
        <w:continuationSeparator/>
      </w:r>
    </w:p>
  </w:footnote>
  <w:footnote w:id="1">
    <w:p w:rsidR="00885878" w:rsidRPr="00BE446D" w:rsidRDefault="00885878" w:rsidP="00BE446D">
      <w:pPr>
        <w:pStyle w:val="FootnoteText"/>
        <w:ind w:left="567" w:hanging="567"/>
        <w:rPr>
          <w:sz w:val="24"/>
          <w:lang w:val="cs-CZ"/>
        </w:rPr>
      </w:pPr>
      <w:r w:rsidRPr="00BE446D">
        <w:rPr>
          <w:rStyle w:val="FootnoteReference"/>
          <w:sz w:val="24"/>
          <w:lang w:val="cs-CZ"/>
        </w:rPr>
        <w:footnoteRef/>
      </w:r>
      <w:r w:rsidR="00BE446D" w:rsidRPr="00BE446D">
        <w:rPr>
          <w:sz w:val="24"/>
          <w:lang w:val="cs-CZ"/>
        </w:rPr>
        <w:t xml:space="preserve"> </w:t>
      </w:r>
      <w:r w:rsidR="00BE446D" w:rsidRPr="00BE446D">
        <w:rPr>
          <w:sz w:val="24"/>
          <w:lang w:val="cs-CZ"/>
        </w:rPr>
        <w:tab/>
      </w:r>
      <w:proofErr w:type="spellStart"/>
      <w:r w:rsidRPr="00BE446D">
        <w:rPr>
          <w:sz w:val="24"/>
          <w:lang w:val="cs-CZ"/>
        </w:rPr>
        <w:t>Draghi</w:t>
      </w:r>
      <w:proofErr w:type="spellEnd"/>
      <w:r w:rsidRPr="00BE446D">
        <w:rPr>
          <w:sz w:val="24"/>
          <w:lang w:val="cs-CZ"/>
        </w:rPr>
        <w:t xml:space="preserve">, M., </w:t>
      </w:r>
      <w:proofErr w:type="spellStart"/>
      <w:r w:rsidRPr="00BE446D">
        <w:rPr>
          <w:rStyle w:val="Italic"/>
          <w:sz w:val="24"/>
          <w:lang w:val="cs-CZ"/>
        </w:rPr>
        <w:t>The</w:t>
      </w:r>
      <w:proofErr w:type="spellEnd"/>
      <w:r w:rsidRPr="00BE446D">
        <w:rPr>
          <w:rStyle w:val="Italic"/>
          <w:sz w:val="24"/>
          <w:lang w:val="cs-CZ"/>
        </w:rPr>
        <w:t xml:space="preserve"> </w:t>
      </w:r>
      <w:proofErr w:type="spellStart"/>
      <w:r w:rsidRPr="00BE446D">
        <w:rPr>
          <w:rStyle w:val="Italic"/>
          <w:sz w:val="24"/>
          <w:lang w:val="cs-CZ"/>
        </w:rPr>
        <w:t>future</w:t>
      </w:r>
      <w:proofErr w:type="spellEnd"/>
      <w:r w:rsidRPr="00BE446D">
        <w:rPr>
          <w:rStyle w:val="Italic"/>
          <w:sz w:val="24"/>
          <w:lang w:val="cs-CZ"/>
        </w:rPr>
        <w:t xml:space="preserve"> </w:t>
      </w:r>
      <w:proofErr w:type="spellStart"/>
      <w:r w:rsidRPr="00BE446D">
        <w:rPr>
          <w:rStyle w:val="Italic"/>
          <w:sz w:val="24"/>
          <w:lang w:val="cs-CZ"/>
        </w:rPr>
        <w:t>of</w:t>
      </w:r>
      <w:proofErr w:type="spellEnd"/>
      <w:r w:rsidRPr="00BE446D">
        <w:rPr>
          <w:rStyle w:val="Italic"/>
          <w:sz w:val="24"/>
          <w:lang w:val="cs-CZ"/>
        </w:rPr>
        <w:t xml:space="preserve"> </w:t>
      </w:r>
      <w:proofErr w:type="spellStart"/>
      <w:r w:rsidRPr="00BE446D">
        <w:rPr>
          <w:rStyle w:val="Italic"/>
          <w:sz w:val="24"/>
          <w:lang w:val="cs-CZ"/>
        </w:rPr>
        <w:t>European</w:t>
      </w:r>
      <w:proofErr w:type="spellEnd"/>
      <w:r w:rsidRPr="00BE446D">
        <w:rPr>
          <w:rStyle w:val="Italic"/>
          <w:sz w:val="24"/>
          <w:lang w:val="cs-CZ"/>
        </w:rPr>
        <w:t xml:space="preserve"> </w:t>
      </w:r>
      <w:proofErr w:type="spellStart"/>
      <w:r w:rsidRPr="00BE446D">
        <w:rPr>
          <w:rStyle w:val="Italic"/>
          <w:sz w:val="24"/>
          <w:lang w:val="cs-CZ"/>
        </w:rPr>
        <w:t>competitiveness</w:t>
      </w:r>
      <w:proofErr w:type="spellEnd"/>
      <w:r w:rsidRPr="00BE446D">
        <w:rPr>
          <w:sz w:val="24"/>
          <w:lang w:val="cs-CZ"/>
        </w:rPr>
        <w:t xml:space="preserve"> (Budoucnost evropské konkurenceschopnosti), září 2024.</w:t>
      </w:r>
    </w:p>
  </w:footnote>
  <w:footnote w:id="2">
    <w:p w:rsidR="00CB323C" w:rsidRPr="004B4840" w:rsidRDefault="00CB323C" w:rsidP="004B4840">
      <w:pPr>
        <w:pStyle w:val="FootnoteText"/>
        <w:ind w:left="567" w:hanging="567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 w:rsidRPr="004B4840">
        <w:rPr>
          <w:lang w:val="cs-CZ"/>
        </w:rPr>
        <w:t xml:space="preserve"> </w:t>
      </w:r>
      <w:r>
        <w:rPr>
          <w:lang w:val="cs-CZ"/>
        </w:rPr>
        <w:tab/>
      </w:r>
      <w:r w:rsidRPr="004B4840">
        <w:rPr>
          <w:sz w:val="24"/>
          <w:szCs w:val="24"/>
          <w:lang w:val="cs-CZ"/>
        </w:rPr>
        <w:t>Nařízení Evropského parlamentu a Rady (ES) č. 1049/2001 ze dne 30. května 2001 o přístupu veřejnosti k dokumentům Evropského parlamentu, Rady</w:t>
      </w:r>
      <w:r>
        <w:rPr>
          <w:sz w:val="24"/>
          <w:szCs w:val="24"/>
          <w:lang w:val="cs-CZ"/>
        </w:rPr>
        <w:t xml:space="preserve"> a Komise (</w:t>
      </w:r>
      <w:proofErr w:type="spellStart"/>
      <w:r w:rsidRPr="00CB323C">
        <w:rPr>
          <w:sz w:val="24"/>
          <w:szCs w:val="24"/>
          <w:lang w:val="cs-CZ"/>
        </w:rPr>
        <w:t>Úř</w:t>
      </w:r>
      <w:proofErr w:type="spellEnd"/>
      <w:r w:rsidRPr="00CB323C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CB323C">
        <w:rPr>
          <w:sz w:val="24"/>
          <w:szCs w:val="24"/>
          <w:lang w:val="cs-CZ"/>
        </w:rPr>
        <w:t>věst</w:t>
      </w:r>
      <w:proofErr w:type="spellEnd"/>
      <w:proofErr w:type="gramEnd"/>
      <w:r w:rsidRPr="00CB323C">
        <w:rPr>
          <w:sz w:val="24"/>
          <w:szCs w:val="24"/>
          <w:lang w:val="cs-CZ"/>
        </w:rPr>
        <w:t xml:space="preserve">. L 145, </w:t>
      </w:r>
      <w:proofErr w:type="gramStart"/>
      <w:r w:rsidRPr="00CB323C">
        <w:rPr>
          <w:sz w:val="24"/>
          <w:szCs w:val="24"/>
          <w:lang w:val="cs-CZ"/>
        </w:rPr>
        <w:t>31.5.</w:t>
      </w:r>
      <w:r w:rsidRPr="004B4840">
        <w:rPr>
          <w:sz w:val="24"/>
          <w:szCs w:val="24"/>
          <w:lang w:val="cs-CZ"/>
        </w:rPr>
        <w:t>2001</w:t>
      </w:r>
      <w:proofErr w:type="gramEnd"/>
      <w:r w:rsidRPr="004B4840">
        <w:rPr>
          <w:sz w:val="24"/>
          <w:szCs w:val="24"/>
          <w:lang w:val="cs-CZ"/>
        </w:rPr>
        <w:t xml:space="preserve">, s. 43, ELI: </w:t>
      </w:r>
      <w:hyperlink r:id="rId1" w:history="1">
        <w:r w:rsidRPr="004B4840">
          <w:rPr>
            <w:rStyle w:val="Hyperlink"/>
            <w:sz w:val="24"/>
            <w:szCs w:val="24"/>
            <w:lang w:val="fi-FI"/>
          </w:rPr>
          <w:t>http://data.europa.eu/eli/reg/2001/1049/oj</w:t>
        </w:r>
      </w:hyperlink>
      <w:r>
        <w:rPr>
          <w:sz w:val="24"/>
          <w:szCs w:val="24"/>
          <w:lang w:val="cs-CZ"/>
        </w:rPr>
        <w:t>)</w:t>
      </w:r>
      <w:r w:rsidRPr="004B4840">
        <w:rPr>
          <w:sz w:val="24"/>
          <w:szCs w:val="24"/>
          <w:lang w:val="cs-CZ"/>
        </w:rPr>
        <w:t>.</w:t>
      </w:r>
    </w:p>
  </w:footnote>
  <w:footnote w:id="3">
    <w:p w:rsidR="00885878" w:rsidRPr="00BE446D" w:rsidRDefault="00885878" w:rsidP="00BE446D">
      <w:pPr>
        <w:pStyle w:val="FootnoteText"/>
        <w:ind w:left="567" w:hanging="567"/>
        <w:rPr>
          <w:sz w:val="24"/>
          <w:lang w:val="cs-CZ"/>
        </w:rPr>
      </w:pPr>
      <w:r w:rsidRPr="00BE446D">
        <w:rPr>
          <w:rStyle w:val="FootnoteReference"/>
          <w:sz w:val="24"/>
          <w:lang w:val="cs-CZ"/>
        </w:rPr>
        <w:footnoteRef/>
      </w:r>
      <w:r w:rsidR="00BE446D" w:rsidRPr="00BE446D">
        <w:rPr>
          <w:sz w:val="24"/>
          <w:lang w:val="cs-CZ"/>
        </w:rPr>
        <w:t xml:space="preserve"> </w:t>
      </w:r>
      <w:r w:rsidR="00BE446D" w:rsidRPr="00BE446D">
        <w:rPr>
          <w:sz w:val="24"/>
          <w:lang w:val="cs-CZ"/>
        </w:rPr>
        <w:tab/>
      </w:r>
      <w:r w:rsidRPr="00BE446D">
        <w:rPr>
          <w:sz w:val="24"/>
          <w:lang w:val="cs-CZ"/>
        </w:rPr>
        <w:t xml:space="preserve">Nařízení Evropského parlamentu a Rady (EU) 2021/523 ze dne 24. března 2021, kterým se zavádí Program </w:t>
      </w:r>
      <w:proofErr w:type="spellStart"/>
      <w:r w:rsidRPr="00BE446D">
        <w:rPr>
          <w:sz w:val="24"/>
          <w:lang w:val="cs-CZ"/>
        </w:rPr>
        <w:t>InvestEU</w:t>
      </w:r>
      <w:proofErr w:type="spellEnd"/>
      <w:r w:rsidRPr="00BE446D">
        <w:rPr>
          <w:sz w:val="24"/>
          <w:lang w:val="cs-CZ"/>
        </w:rPr>
        <w:t xml:space="preserve"> a mění nařízení (EU) 2015/1017 (</w:t>
      </w:r>
      <w:proofErr w:type="spellStart"/>
      <w:r w:rsidRPr="00BE446D">
        <w:rPr>
          <w:sz w:val="24"/>
          <w:lang w:val="cs-CZ"/>
        </w:rPr>
        <w:t>Úř</w:t>
      </w:r>
      <w:proofErr w:type="spellEnd"/>
      <w:r w:rsidRPr="00BE446D">
        <w:rPr>
          <w:sz w:val="24"/>
          <w:lang w:val="cs-CZ"/>
        </w:rPr>
        <w:t xml:space="preserve">. </w:t>
      </w:r>
      <w:proofErr w:type="spellStart"/>
      <w:proofErr w:type="gramStart"/>
      <w:r w:rsidRPr="00BE446D">
        <w:rPr>
          <w:sz w:val="24"/>
          <w:lang w:val="cs-CZ"/>
        </w:rPr>
        <w:t>věst</w:t>
      </w:r>
      <w:proofErr w:type="spellEnd"/>
      <w:proofErr w:type="gramEnd"/>
      <w:r w:rsidRPr="00BE446D">
        <w:rPr>
          <w:sz w:val="24"/>
          <w:lang w:val="cs-CZ"/>
        </w:rPr>
        <w:t xml:space="preserve">. L 107, </w:t>
      </w:r>
      <w:proofErr w:type="gramStart"/>
      <w:r w:rsidRPr="00BE446D">
        <w:rPr>
          <w:sz w:val="24"/>
          <w:lang w:val="cs-CZ"/>
        </w:rPr>
        <w:t>26.3.2021</w:t>
      </w:r>
      <w:proofErr w:type="gramEnd"/>
      <w:r w:rsidRPr="00BE446D">
        <w:rPr>
          <w:sz w:val="24"/>
          <w:lang w:val="cs-CZ"/>
        </w:rPr>
        <w:t>, s. 30, ELI: </w:t>
      </w:r>
      <w:hyperlink r:id="rId2" w:history="1">
        <w:r w:rsidRPr="00BE446D">
          <w:rPr>
            <w:rStyle w:val="Hyperlink"/>
            <w:sz w:val="24"/>
            <w:lang w:val="cs-CZ"/>
          </w:rPr>
          <w:t>http://data.europa.eu/eli/reg/2021/523/oj</w:t>
        </w:r>
      </w:hyperlink>
      <w:r w:rsidR="001F66CF">
        <w:rPr>
          <w:rStyle w:val="Hyperlink"/>
          <w:sz w:val="24"/>
          <w:lang w:val="cs-CZ"/>
        </w:rPr>
        <w:t>)</w:t>
      </w:r>
      <w:r w:rsidRPr="00BE446D">
        <w:rPr>
          <w:sz w:val="24"/>
          <w:lang w:val="cs-CZ"/>
        </w:rPr>
        <w:t>.</w:t>
      </w:r>
    </w:p>
  </w:footnote>
  <w:footnote w:id="4">
    <w:p w:rsidR="00CB323C" w:rsidRPr="004B4840" w:rsidRDefault="00CB323C" w:rsidP="004B4840">
      <w:pPr>
        <w:pStyle w:val="FootnoteText"/>
        <w:ind w:left="567" w:hanging="567"/>
        <w:rPr>
          <w:lang w:val="cs-CZ"/>
        </w:rPr>
      </w:pPr>
      <w:r>
        <w:rPr>
          <w:rStyle w:val="FootnoteReference"/>
        </w:rPr>
        <w:footnoteRef/>
      </w:r>
      <w:r w:rsidRPr="004B4840">
        <w:rPr>
          <w:lang w:val="cs-CZ"/>
        </w:rPr>
        <w:t xml:space="preserve"> </w:t>
      </w:r>
      <w:r>
        <w:rPr>
          <w:lang w:val="cs-CZ"/>
        </w:rPr>
        <w:tab/>
      </w:r>
      <w:r w:rsidRPr="00CB323C">
        <w:rPr>
          <w:lang w:val="cs-CZ"/>
        </w:rPr>
        <w:t>Směrnice Evropského parlamentu a Rady (EU) 2019/1937 ze dne 23. října 2019 o ochraně osob, které oznamují porušení práva Unie (</w:t>
      </w:r>
      <w:proofErr w:type="spellStart"/>
      <w:r w:rsidRPr="00CB323C">
        <w:rPr>
          <w:lang w:val="cs-CZ"/>
        </w:rPr>
        <w:t>Úř</w:t>
      </w:r>
      <w:proofErr w:type="spellEnd"/>
      <w:r w:rsidRPr="00CB323C">
        <w:rPr>
          <w:lang w:val="cs-CZ"/>
        </w:rPr>
        <w:t xml:space="preserve">. </w:t>
      </w:r>
      <w:proofErr w:type="spellStart"/>
      <w:proofErr w:type="gramStart"/>
      <w:r w:rsidRPr="00CB323C">
        <w:rPr>
          <w:lang w:val="cs-CZ"/>
        </w:rPr>
        <w:t>věst</w:t>
      </w:r>
      <w:proofErr w:type="spellEnd"/>
      <w:proofErr w:type="gramEnd"/>
      <w:r>
        <w:rPr>
          <w:lang w:val="cs-CZ"/>
        </w:rPr>
        <w:t xml:space="preserve">. L 305, </w:t>
      </w:r>
      <w:proofErr w:type="gramStart"/>
      <w:r>
        <w:rPr>
          <w:lang w:val="cs-CZ"/>
        </w:rPr>
        <w:t>26.11.2019</w:t>
      </w:r>
      <w:proofErr w:type="gramEnd"/>
      <w:r>
        <w:rPr>
          <w:lang w:val="cs-CZ"/>
        </w:rPr>
        <w:t xml:space="preserve">, s. 17, </w:t>
      </w:r>
      <w:r w:rsidRPr="00CB323C">
        <w:rPr>
          <w:lang w:val="cs-CZ"/>
        </w:rPr>
        <w:t xml:space="preserve">ELI: </w:t>
      </w:r>
      <w:hyperlink r:id="rId3" w:history="1">
        <w:r w:rsidRPr="00CB323C">
          <w:rPr>
            <w:rStyle w:val="Hyperlink"/>
            <w:lang w:val="cs-CZ"/>
          </w:rPr>
          <w:t>http://data.europa.eu/eli/dir/2019/1937/oj</w:t>
        </w:r>
      </w:hyperlink>
      <w:r>
        <w:rPr>
          <w:lang w:val="cs-CZ"/>
        </w:rPr>
        <w:t>)</w:t>
      </w:r>
      <w:r w:rsidRPr="00CB323C">
        <w:rPr>
          <w:lang w:val="cs-CZ"/>
        </w:rPr>
        <w:t>.</w:t>
      </w:r>
    </w:p>
  </w:footnote>
  <w:footnote w:id="5">
    <w:p w:rsidR="00885878" w:rsidRPr="00BE446D" w:rsidRDefault="00885878" w:rsidP="00BE446D">
      <w:pPr>
        <w:pStyle w:val="FootnoteText"/>
        <w:ind w:left="567" w:hanging="567"/>
        <w:rPr>
          <w:sz w:val="24"/>
          <w:lang w:val="cs-CZ"/>
        </w:rPr>
      </w:pPr>
      <w:r w:rsidRPr="00BE446D">
        <w:rPr>
          <w:rStyle w:val="FootnoteReference"/>
          <w:sz w:val="24"/>
          <w:lang w:val="cs-CZ"/>
        </w:rPr>
        <w:footnoteRef/>
      </w:r>
      <w:r w:rsidR="00BE446D" w:rsidRPr="00BE446D">
        <w:rPr>
          <w:sz w:val="24"/>
          <w:lang w:val="cs-CZ"/>
        </w:rPr>
        <w:t xml:space="preserve"> </w:t>
      </w:r>
      <w:r w:rsidR="00BE446D" w:rsidRPr="00BE446D">
        <w:rPr>
          <w:sz w:val="24"/>
          <w:lang w:val="cs-CZ"/>
        </w:rPr>
        <w:tab/>
      </w:r>
      <w:r w:rsidRPr="00BE446D">
        <w:rPr>
          <w:sz w:val="24"/>
          <w:lang w:val="cs-CZ"/>
        </w:rPr>
        <w:t>Usnesení Evropského parlamentu ze dne 12. července 2023 o kontrole finanční činnosti Evropské investiční banky – výroční zpráv</w:t>
      </w:r>
      <w:r w:rsidR="001F66CF">
        <w:rPr>
          <w:sz w:val="24"/>
          <w:lang w:val="cs-CZ"/>
        </w:rPr>
        <w:t>a za rok 2022 (2023/2046(INI)) (</w:t>
      </w:r>
      <w:proofErr w:type="spellStart"/>
      <w:r w:rsidRPr="00BE446D">
        <w:rPr>
          <w:sz w:val="24"/>
          <w:lang w:val="cs-CZ"/>
        </w:rPr>
        <w:t>Úř</w:t>
      </w:r>
      <w:proofErr w:type="spellEnd"/>
      <w:r w:rsidRPr="00BE446D">
        <w:rPr>
          <w:sz w:val="24"/>
          <w:lang w:val="cs-CZ"/>
        </w:rPr>
        <w:t xml:space="preserve">. </w:t>
      </w:r>
      <w:proofErr w:type="spellStart"/>
      <w:proofErr w:type="gramStart"/>
      <w:r w:rsidRPr="00BE446D">
        <w:rPr>
          <w:sz w:val="24"/>
          <w:lang w:val="cs-CZ"/>
        </w:rPr>
        <w:t>věst</w:t>
      </w:r>
      <w:proofErr w:type="spellEnd"/>
      <w:proofErr w:type="gramEnd"/>
      <w:r w:rsidRPr="00BE446D">
        <w:rPr>
          <w:sz w:val="24"/>
          <w:lang w:val="cs-CZ"/>
        </w:rPr>
        <w:t>.</w:t>
      </w:r>
      <w:r w:rsidR="00192811">
        <w:rPr>
          <w:sz w:val="24"/>
          <w:lang w:val="cs-CZ"/>
        </w:rPr>
        <w:t xml:space="preserve"> </w:t>
      </w:r>
      <w:r w:rsidR="00192811" w:rsidRPr="00541D03">
        <w:rPr>
          <w:sz w:val="24"/>
          <w:lang w:val="en-GB"/>
        </w:rPr>
        <w:t>C</w:t>
      </w:r>
      <w:r w:rsidR="00192811">
        <w:rPr>
          <w:sz w:val="24"/>
          <w:lang w:val="en-GB"/>
        </w:rPr>
        <w:t>,</w:t>
      </w:r>
      <w:r w:rsidRPr="00BE446D">
        <w:rPr>
          <w:sz w:val="24"/>
          <w:lang w:val="cs-CZ"/>
        </w:rPr>
        <w:t xml:space="preserve"> C/2024/4007, 17.7.2024, ELI: </w:t>
      </w:r>
      <w:hyperlink r:id="rId4" w:history="1">
        <w:r w:rsidRPr="00BE446D">
          <w:rPr>
            <w:rStyle w:val="Hyperlink"/>
            <w:sz w:val="24"/>
            <w:lang w:val="cs-CZ"/>
          </w:rPr>
          <w:t>http://data.europa.eu</w:t>
        </w:r>
        <w:r w:rsidRPr="00BE446D">
          <w:rPr>
            <w:rStyle w:val="Hyperlink"/>
            <w:sz w:val="24"/>
            <w:lang w:val="cs-CZ"/>
          </w:rPr>
          <w:t>/</w:t>
        </w:r>
        <w:r w:rsidRPr="00BE446D">
          <w:rPr>
            <w:rStyle w:val="Hyperlink"/>
            <w:sz w:val="24"/>
            <w:lang w:val="cs-CZ"/>
          </w:rPr>
          <w:t>eli/C/2024/4007/oj</w:t>
        </w:r>
      </w:hyperlink>
      <w:r w:rsidR="001F66CF">
        <w:rPr>
          <w:rStyle w:val="Hyperlink"/>
          <w:sz w:val="24"/>
          <w:lang w:val="cs-CZ"/>
        </w:rPr>
        <w:t>)</w:t>
      </w:r>
      <w:r w:rsidRPr="00BE446D">
        <w:rPr>
          <w:sz w:val="24"/>
          <w:lang w:val="cs-CZ"/>
        </w:rPr>
        <w:t>.</w:t>
      </w:r>
    </w:p>
  </w:footnote>
  <w:footnote w:id="6">
    <w:p w:rsidR="00885878" w:rsidRPr="00BE446D" w:rsidRDefault="00885878" w:rsidP="00BE446D">
      <w:pPr>
        <w:pStyle w:val="FootnoteText"/>
        <w:ind w:left="567" w:hanging="567"/>
        <w:rPr>
          <w:sz w:val="24"/>
          <w:lang w:val="cs-CZ"/>
        </w:rPr>
      </w:pPr>
      <w:r w:rsidRPr="00BE446D">
        <w:rPr>
          <w:rStyle w:val="FootnoteReference"/>
          <w:sz w:val="24"/>
          <w:lang w:val="cs-CZ"/>
        </w:rPr>
        <w:footnoteRef/>
      </w:r>
      <w:r w:rsidR="00BE446D" w:rsidRPr="00BE446D">
        <w:rPr>
          <w:sz w:val="24"/>
          <w:lang w:val="cs-CZ"/>
        </w:rPr>
        <w:t xml:space="preserve"> </w:t>
      </w:r>
      <w:r w:rsidR="00BE446D" w:rsidRPr="00BE446D">
        <w:rPr>
          <w:sz w:val="24"/>
          <w:lang w:val="cs-CZ"/>
        </w:rPr>
        <w:tab/>
      </w:r>
      <w:r w:rsidRPr="00BE446D">
        <w:rPr>
          <w:sz w:val="24"/>
          <w:lang w:val="cs-CZ"/>
        </w:rPr>
        <w:t>Nařízení Evropského parlamentu a Rady (EU) č. 575/2013 ze dne 26. června 2013 o obezřetnostních požadavcích na úvěrové instituce a investiční podniky a o změně nařízení (EU) č. 648/2012 (</w:t>
      </w:r>
      <w:proofErr w:type="spellStart"/>
      <w:r w:rsidRPr="00BE446D">
        <w:rPr>
          <w:sz w:val="24"/>
          <w:lang w:val="cs-CZ"/>
        </w:rPr>
        <w:t>Úř</w:t>
      </w:r>
      <w:proofErr w:type="spellEnd"/>
      <w:r w:rsidRPr="00BE446D">
        <w:rPr>
          <w:sz w:val="24"/>
          <w:lang w:val="cs-CZ"/>
        </w:rPr>
        <w:t xml:space="preserve">. </w:t>
      </w:r>
      <w:proofErr w:type="spellStart"/>
      <w:proofErr w:type="gramStart"/>
      <w:r w:rsidRPr="00BE446D">
        <w:rPr>
          <w:sz w:val="24"/>
          <w:lang w:val="cs-CZ"/>
        </w:rPr>
        <w:t>věst</w:t>
      </w:r>
      <w:proofErr w:type="spellEnd"/>
      <w:proofErr w:type="gramEnd"/>
      <w:r w:rsidRPr="00BE446D">
        <w:rPr>
          <w:sz w:val="24"/>
          <w:lang w:val="cs-CZ"/>
        </w:rPr>
        <w:t xml:space="preserve">. L 176, </w:t>
      </w:r>
      <w:proofErr w:type="gramStart"/>
      <w:r w:rsidRPr="00BE446D">
        <w:rPr>
          <w:sz w:val="24"/>
          <w:lang w:val="cs-CZ"/>
        </w:rPr>
        <w:t>27.6.2013</w:t>
      </w:r>
      <w:proofErr w:type="gramEnd"/>
      <w:r w:rsidRPr="00BE446D">
        <w:rPr>
          <w:sz w:val="24"/>
          <w:lang w:val="cs-CZ"/>
        </w:rPr>
        <w:t xml:space="preserve">, s. 1, ELI: </w:t>
      </w:r>
      <w:hyperlink r:id="rId5" w:history="1">
        <w:r w:rsidRPr="00BE446D">
          <w:rPr>
            <w:rStyle w:val="Hyperlink"/>
            <w:sz w:val="24"/>
            <w:lang w:val="cs-CZ"/>
          </w:rPr>
          <w:t>http://data.europa.eu/eli/reg/2013/575/oj</w:t>
        </w:r>
      </w:hyperlink>
      <w:r w:rsidR="001F66CF">
        <w:rPr>
          <w:rStyle w:val="Hyperlink"/>
          <w:sz w:val="24"/>
          <w:lang w:val="cs-CZ"/>
        </w:rPr>
        <w:t>)</w:t>
      </w:r>
      <w:r w:rsidRPr="00BE446D">
        <w:rPr>
          <w:sz w:val="24"/>
          <w:lang w:val="cs-CZ"/>
        </w:rPr>
        <w:t>.</w:t>
      </w:r>
    </w:p>
  </w:footnote>
  <w:footnote w:id="7">
    <w:p w:rsidR="00885878" w:rsidRPr="00BE446D" w:rsidRDefault="00885878" w:rsidP="00BE446D">
      <w:pPr>
        <w:pStyle w:val="FootnoteText"/>
        <w:ind w:left="567" w:hanging="567"/>
        <w:rPr>
          <w:sz w:val="24"/>
          <w:lang w:val="cs-CZ"/>
        </w:rPr>
      </w:pPr>
      <w:r w:rsidRPr="00BE446D">
        <w:rPr>
          <w:rStyle w:val="FootnoteReference"/>
          <w:sz w:val="24"/>
          <w:lang w:val="cs-CZ"/>
        </w:rPr>
        <w:footnoteRef/>
      </w:r>
      <w:r w:rsidR="00BE446D" w:rsidRPr="00BE446D">
        <w:rPr>
          <w:sz w:val="24"/>
          <w:lang w:val="cs-CZ"/>
        </w:rPr>
        <w:t xml:space="preserve"> </w:t>
      </w:r>
      <w:r w:rsidR="00BE446D" w:rsidRPr="00BE446D">
        <w:rPr>
          <w:sz w:val="24"/>
          <w:lang w:val="cs-CZ"/>
        </w:rPr>
        <w:tab/>
      </w:r>
      <w:r w:rsidRPr="00BE446D">
        <w:rPr>
          <w:sz w:val="24"/>
          <w:lang w:val="cs-CZ"/>
        </w:rPr>
        <w:t>Směrnice Evropského parlamentu a Rady 2013/36/EU ze dne 26. června 2013 o přístupu k činnosti úvěrových institucí a o obezřetnostním dohledu nad úvěrovými institucemi a investičními podniky, o změně směrnice 2002/87/ES a zrušení směrnic 2006/48/ES a 20</w:t>
      </w:r>
      <w:r w:rsidR="001F66CF">
        <w:rPr>
          <w:sz w:val="24"/>
          <w:lang w:val="cs-CZ"/>
        </w:rPr>
        <w:t>06/49/ES (</w:t>
      </w:r>
      <w:proofErr w:type="spellStart"/>
      <w:r w:rsidR="001F66CF">
        <w:rPr>
          <w:sz w:val="24"/>
          <w:lang w:val="cs-CZ"/>
        </w:rPr>
        <w:t>Úř</w:t>
      </w:r>
      <w:proofErr w:type="spellEnd"/>
      <w:r w:rsidR="001F66CF">
        <w:rPr>
          <w:sz w:val="24"/>
          <w:lang w:val="cs-CZ"/>
        </w:rPr>
        <w:t xml:space="preserve">. </w:t>
      </w:r>
      <w:proofErr w:type="spellStart"/>
      <w:proofErr w:type="gramStart"/>
      <w:r w:rsidR="001F66CF">
        <w:rPr>
          <w:sz w:val="24"/>
          <w:lang w:val="cs-CZ"/>
        </w:rPr>
        <w:t>věst</w:t>
      </w:r>
      <w:proofErr w:type="spellEnd"/>
      <w:proofErr w:type="gramEnd"/>
      <w:r w:rsidR="001F66CF">
        <w:rPr>
          <w:sz w:val="24"/>
          <w:lang w:val="cs-CZ"/>
        </w:rPr>
        <w:t xml:space="preserve">. L 176, </w:t>
      </w:r>
      <w:proofErr w:type="gramStart"/>
      <w:r w:rsidR="001F66CF">
        <w:rPr>
          <w:sz w:val="24"/>
          <w:lang w:val="cs-CZ"/>
        </w:rPr>
        <w:t>27.6.2013</w:t>
      </w:r>
      <w:proofErr w:type="gramEnd"/>
      <w:r w:rsidR="001F66CF">
        <w:rPr>
          <w:sz w:val="24"/>
          <w:lang w:val="cs-CZ"/>
        </w:rPr>
        <w:t xml:space="preserve">, s. 338, </w:t>
      </w:r>
      <w:r w:rsidR="001F66CF" w:rsidRPr="001F66CF">
        <w:rPr>
          <w:sz w:val="24"/>
          <w:lang w:val="cs-CZ"/>
        </w:rPr>
        <w:t xml:space="preserve">ELI: </w:t>
      </w:r>
      <w:hyperlink r:id="rId6" w:history="1">
        <w:r w:rsidRPr="00BE446D">
          <w:rPr>
            <w:rStyle w:val="Hyperlink"/>
            <w:sz w:val="24"/>
            <w:lang w:val="cs-CZ"/>
          </w:rPr>
          <w:t>http://data.europa.eu/eli/dir/2013/36/oj</w:t>
        </w:r>
      </w:hyperlink>
      <w:r w:rsidR="001F66CF">
        <w:rPr>
          <w:rStyle w:val="Hyperlink"/>
          <w:sz w:val="24"/>
          <w:lang w:val="cs-CZ"/>
        </w:rPr>
        <w:t>)</w:t>
      </w:r>
      <w:r w:rsidRPr="00BE446D">
        <w:rPr>
          <w:sz w:val="24"/>
          <w:lang w:val="cs-CZ"/>
        </w:rPr>
        <w:t>.</w:t>
      </w:r>
    </w:p>
  </w:footnote>
  <w:footnote w:id="8">
    <w:p w:rsidR="00885878" w:rsidRPr="00BE446D" w:rsidRDefault="00885878" w:rsidP="00BE446D">
      <w:pPr>
        <w:pStyle w:val="FootnoteText"/>
        <w:ind w:left="567" w:hanging="567"/>
        <w:rPr>
          <w:sz w:val="24"/>
          <w:lang w:val="cs-CZ"/>
        </w:rPr>
      </w:pPr>
      <w:r w:rsidRPr="00BE446D">
        <w:rPr>
          <w:rStyle w:val="FootnoteReference"/>
          <w:sz w:val="24"/>
          <w:lang w:val="cs-CZ"/>
        </w:rPr>
        <w:footnoteRef/>
      </w:r>
      <w:r w:rsidR="00BE446D" w:rsidRPr="00BE446D">
        <w:rPr>
          <w:sz w:val="24"/>
          <w:lang w:val="cs-CZ"/>
        </w:rPr>
        <w:t xml:space="preserve"> </w:t>
      </w:r>
      <w:r w:rsidR="00BE446D" w:rsidRPr="00BE446D">
        <w:rPr>
          <w:sz w:val="24"/>
          <w:lang w:val="cs-CZ"/>
        </w:rPr>
        <w:tab/>
      </w:r>
      <w:r w:rsidRPr="00BE446D">
        <w:rPr>
          <w:sz w:val="24"/>
          <w:lang w:val="cs-CZ"/>
        </w:rPr>
        <w:t xml:space="preserve">Ukazatel pákového poměru je to, kolik může EIB půjčovat ve vztahu ke svým vlastním zdrojům. </w:t>
      </w:r>
    </w:p>
  </w:footnote>
  <w:footnote w:id="9">
    <w:p w:rsidR="00885878" w:rsidRPr="00BE446D" w:rsidRDefault="00885878" w:rsidP="00BE446D">
      <w:pPr>
        <w:pStyle w:val="FootnoteText"/>
        <w:ind w:left="567" w:hanging="567"/>
        <w:rPr>
          <w:sz w:val="24"/>
          <w:lang w:val="cs-CZ"/>
        </w:rPr>
      </w:pPr>
      <w:r w:rsidRPr="00BE446D">
        <w:rPr>
          <w:rStyle w:val="FootnoteReference"/>
          <w:sz w:val="24"/>
          <w:lang w:val="cs-CZ"/>
        </w:rPr>
        <w:footnoteRef/>
      </w:r>
      <w:r w:rsidR="00BE446D" w:rsidRPr="00BE446D">
        <w:rPr>
          <w:sz w:val="24"/>
          <w:lang w:val="cs-CZ"/>
        </w:rPr>
        <w:t xml:space="preserve"> </w:t>
      </w:r>
      <w:r w:rsidR="00BE446D" w:rsidRPr="00BE446D">
        <w:rPr>
          <w:sz w:val="24"/>
          <w:lang w:val="cs-CZ"/>
        </w:rPr>
        <w:tab/>
      </w:r>
      <w:r w:rsidRPr="00BE446D">
        <w:rPr>
          <w:sz w:val="24"/>
          <w:lang w:val="cs-CZ"/>
        </w:rPr>
        <w:t>Národní podpůrné banky jsou finančními zprostředkovateli mezi EIB a malými projekty, které využívají investice EIB.</w:t>
      </w:r>
    </w:p>
  </w:footnote>
  <w:footnote w:id="10">
    <w:p w:rsidR="00885878" w:rsidRPr="00BE446D" w:rsidRDefault="00885878" w:rsidP="00BE446D">
      <w:pPr>
        <w:pStyle w:val="FootnoteText"/>
        <w:ind w:left="567" w:hanging="567"/>
        <w:rPr>
          <w:sz w:val="24"/>
          <w:lang w:val="cs-CZ"/>
        </w:rPr>
      </w:pPr>
      <w:r w:rsidRPr="00BE446D">
        <w:rPr>
          <w:rStyle w:val="FootnoteReference"/>
          <w:sz w:val="24"/>
          <w:lang w:val="cs-CZ"/>
        </w:rPr>
        <w:footnoteRef/>
      </w:r>
      <w:r w:rsidR="00BE446D" w:rsidRPr="00BE446D">
        <w:rPr>
          <w:sz w:val="24"/>
          <w:lang w:val="cs-CZ"/>
        </w:rPr>
        <w:t xml:space="preserve"> </w:t>
      </w:r>
      <w:r w:rsidR="00BE446D" w:rsidRPr="00BE446D">
        <w:rPr>
          <w:sz w:val="24"/>
          <w:lang w:val="cs-CZ"/>
        </w:rPr>
        <w:tab/>
      </w:r>
      <w:r w:rsidRPr="00BE446D">
        <w:rPr>
          <w:sz w:val="24"/>
          <w:lang w:val="cs-CZ"/>
        </w:rPr>
        <w:t>Nařízení Evropského parlamentu a Rady (ES) č. 1049/2001 ze dne 30. května 2001 o přístupu veřejnosti k dokumentům Evrops</w:t>
      </w:r>
      <w:r w:rsidR="001F66CF">
        <w:rPr>
          <w:sz w:val="24"/>
          <w:lang w:val="cs-CZ"/>
        </w:rPr>
        <w:t>kého parlamentu, Rady a Komise (</w:t>
      </w:r>
      <w:proofErr w:type="spellStart"/>
      <w:r w:rsidR="001F66CF">
        <w:rPr>
          <w:sz w:val="24"/>
          <w:lang w:val="cs-CZ"/>
        </w:rPr>
        <w:t>Úř</w:t>
      </w:r>
      <w:proofErr w:type="spellEnd"/>
      <w:r w:rsidR="001F66CF">
        <w:rPr>
          <w:sz w:val="24"/>
          <w:lang w:val="cs-CZ"/>
        </w:rPr>
        <w:t xml:space="preserve">. </w:t>
      </w:r>
      <w:proofErr w:type="spellStart"/>
      <w:proofErr w:type="gramStart"/>
      <w:r w:rsidR="001F66CF">
        <w:rPr>
          <w:sz w:val="24"/>
          <w:lang w:val="cs-CZ"/>
        </w:rPr>
        <w:t>věst</w:t>
      </w:r>
      <w:proofErr w:type="spellEnd"/>
      <w:proofErr w:type="gramEnd"/>
      <w:r w:rsidR="001F66CF">
        <w:rPr>
          <w:sz w:val="24"/>
          <w:lang w:val="cs-CZ"/>
        </w:rPr>
        <w:t xml:space="preserve">. L 145, </w:t>
      </w:r>
      <w:proofErr w:type="gramStart"/>
      <w:r w:rsidR="001F66CF">
        <w:rPr>
          <w:sz w:val="24"/>
          <w:lang w:val="cs-CZ"/>
        </w:rPr>
        <w:t>31.5.</w:t>
      </w:r>
      <w:r w:rsidRPr="00BE446D">
        <w:rPr>
          <w:sz w:val="24"/>
          <w:lang w:val="cs-CZ"/>
        </w:rPr>
        <w:t>2001</w:t>
      </w:r>
      <w:proofErr w:type="gramEnd"/>
      <w:r w:rsidRPr="00BE446D">
        <w:rPr>
          <w:sz w:val="24"/>
          <w:lang w:val="cs-CZ"/>
        </w:rPr>
        <w:t xml:space="preserve">, s. 43, ELI: </w:t>
      </w:r>
      <w:hyperlink r:id="rId7" w:history="1">
        <w:r w:rsidRPr="00BE446D">
          <w:rPr>
            <w:rStyle w:val="Hyperlink"/>
            <w:sz w:val="24"/>
            <w:lang w:val="cs-CZ"/>
          </w:rPr>
          <w:t>http://data.europa.eu/eli/reg/2001/1049/oj</w:t>
        </w:r>
      </w:hyperlink>
      <w:r w:rsidR="001F66CF">
        <w:rPr>
          <w:rStyle w:val="Hyperlink"/>
          <w:sz w:val="24"/>
          <w:lang w:val="cs-CZ"/>
        </w:rPr>
        <w:t>)</w:t>
      </w:r>
      <w:r w:rsidRPr="00BE446D">
        <w:rPr>
          <w:sz w:val="24"/>
          <w:lang w:val="cs-CZ"/>
        </w:rPr>
        <w:t>.</w:t>
      </w:r>
    </w:p>
  </w:footnote>
  <w:footnote w:id="11">
    <w:p w:rsidR="00885878" w:rsidRPr="00BE446D" w:rsidRDefault="00885878" w:rsidP="00BE446D">
      <w:pPr>
        <w:pStyle w:val="FootnoteText"/>
        <w:ind w:left="567" w:hanging="567"/>
        <w:rPr>
          <w:sz w:val="24"/>
          <w:lang w:val="cs-CZ"/>
        </w:rPr>
      </w:pPr>
      <w:r w:rsidRPr="00BE446D">
        <w:rPr>
          <w:rStyle w:val="FootnoteReference"/>
          <w:sz w:val="24"/>
          <w:lang w:val="cs-CZ"/>
        </w:rPr>
        <w:footnoteRef/>
      </w:r>
      <w:r w:rsidR="00BE446D" w:rsidRPr="00BE446D">
        <w:rPr>
          <w:sz w:val="24"/>
          <w:lang w:val="cs-CZ"/>
        </w:rPr>
        <w:t xml:space="preserve"> </w:t>
      </w:r>
      <w:r w:rsidR="00BE446D" w:rsidRPr="00BE446D">
        <w:rPr>
          <w:sz w:val="24"/>
          <w:lang w:val="cs-CZ"/>
        </w:rPr>
        <w:tab/>
      </w:r>
      <w:r w:rsidRPr="00BE446D">
        <w:rPr>
          <w:sz w:val="24"/>
          <w:lang w:val="cs-CZ"/>
        </w:rPr>
        <w:t xml:space="preserve">Nařízení Evropského parlamentu a Rady (ES) č. 1367/2006 ze dne 6. září 2006 o použití ustanovení </w:t>
      </w:r>
      <w:proofErr w:type="spellStart"/>
      <w:r w:rsidRPr="00BE446D">
        <w:rPr>
          <w:sz w:val="24"/>
          <w:lang w:val="cs-CZ"/>
        </w:rPr>
        <w:t>Aarhuské</w:t>
      </w:r>
      <w:proofErr w:type="spellEnd"/>
      <w:r w:rsidRPr="00BE446D">
        <w:rPr>
          <w:sz w:val="24"/>
          <w:lang w:val="cs-CZ"/>
        </w:rPr>
        <w:t xml:space="preserve"> úmluvy o přístupu k informacím, účasti veřejnosti na rozhodování a přístupu k právní ochraně v záležitostech životního prostředí na orgány a subjekty Společenství (</w:t>
      </w:r>
      <w:proofErr w:type="spellStart"/>
      <w:r w:rsidRPr="00BE446D">
        <w:rPr>
          <w:sz w:val="24"/>
          <w:lang w:val="cs-CZ"/>
        </w:rPr>
        <w:t>Úř</w:t>
      </w:r>
      <w:proofErr w:type="spellEnd"/>
      <w:r w:rsidRPr="00BE446D">
        <w:rPr>
          <w:sz w:val="24"/>
          <w:lang w:val="cs-CZ"/>
        </w:rPr>
        <w:t>. </w:t>
      </w:r>
      <w:proofErr w:type="spellStart"/>
      <w:proofErr w:type="gramStart"/>
      <w:r w:rsidRPr="00BE446D">
        <w:rPr>
          <w:sz w:val="24"/>
          <w:lang w:val="cs-CZ"/>
        </w:rPr>
        <w:t>věst</w:t>
      </w:r>
      <w:proofErr w:type="spellEnd"/>
      <w:proofErr w:type="gramEnd"/>
      <w:r w:rsidRPr="00BE446D">
        <w:rPr>
          <w:sz w:val="24"/>
          <w:lang w:val="cs-CZ"/>
        </w:rPr>
        <w:t xml:space="preserve">. L 264, </w:t>
      </w:r>
      <w:proofErr w:type="gramStart"/>
      <w:r w:rsidRPr="00BE446D">
        <w:rPr>
          <w:sz w:val="24"/>
          <w:lang w:val="cs-CZ"/>
        </w:rPr>
        <w:t>25.9.2006</w:t>
      </w:r>
      <w:proofErr w:type="gramEnd"/>
      <w:r w:rsidRPr="00BE446D">
        <w:rPr>
          <w:sz w:val="24"/>
          <w:lang w:val="cs-CZ"/>
        </w:rPr>
        <w:t xml:space="preserve">, s. 13, ELI: </w:t>
      </w:r>
      <w:hyperlink r:id="rId8" w:history="1">
        <w:r w:rsidRPr="00BE446D">
          <w:rPr>
            <w:rStyle w:val="Hyperlink"/>
            <w:sz w:val="24"/>
            <w:lang w:val="cs-CZ"/>
          </w:rPr>
          <w:t>http://data.europa.eu/eli/reg/2006/1367/oj</w:t>
        </w:r>
      </w:hyperlink>
      <w:r w:rsidR="001F66CF">
        <w:rPr>
          <w:rStyle w:val="Hyperlink"/>
          <w:sz w:val="24"/>
          <w:lang w:val="cs-CZ"/>
        </w:rPr>
        <w:t>)</w:t>
      </w:r>
      <w:r w:rsidRPr="00BE446D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446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446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446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F654581"/>
    <w:multiLevelType w:val="hybridMultilevel"/>
    <w:tmpl w:val="F16C6036"/>
    <w:lvl w:ilvl="0" w:tplc="31748278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1418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B063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607A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46F9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1AB9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5ECB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0844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D2ADA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6C09CF"/>
    <w:multiLevelType w:val="hybridMultilevel"/>
    <w:tmpl w:val="0DAA9F68"/>
    <w:lvl w:ilvl="0" w:tplc="07FA801C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2FA06E4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38033E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A18052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282D54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C13CB1C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EAADBF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BA0E21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182EA4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8/2025"/>
    <w:docVar w:name="dvlangue" w:val="CS"/>
    <w:docVar w:name="dvnumam" w:val="0"/>
    <w:docVar w:name="dvpe" w:val="769.944"/>
    <w:docVar w:name="dvrapporteur" w:val="Zpravodaj: "/>
    <w:docVar w:name="dvtitre" w:val="Usnesení Evropského parlamentu ze dne.... 2025 o kontrole finanční činnosti Evropské investiční banky – výroční zpráva za rok 2023(2024/2052(INI))"/>
  </w:docVars>
  <w:rsids>
    <w:rsidRoot w:val="00200C1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2811"/>
    <w:rsid w:val="001D29DB"/>
    <w:rsid w:val="001F32AE"/>
    <w:rsid w:val="001F66CF"/>
    <w:rsid w:val="00200C1D"/>
    <w:rsid w:val="0024065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4840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5878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5F70"/>
    <w:rsid w:val="00BD7BD8"/>
    <w:rsid w:val="00BE446D"/>
    <w:rsid w:val="00BE6ADC"/>
    <w:rsid w:val="00C05BFE"/>
    <w:rsid w:val="00C23CD4"/>
    <w:rsid w:val="00C61C0C"/>
    <w:rsid w:val="00C941CB"/>
    <w:rsid w:val="00CB323C"/>
    <w:rsid w:val="00CC2357"/>
    <w:rsid w:val="00CF071A"/>
    <w:rsid w:val="00D058B8"/>
    <w:rsid w:val="00D1375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6628AC"/>
  <w15:chartTrackingRefBased/>
  <w15:docId w15:val="{FB162245-675E-4CB4-8A13-75AD17A7E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88587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88587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88587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88587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8587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85878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885878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885878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885878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885878"/>
    <w:pPr>
      <w:widowControl/>
      <w:spacing w:after="240"/>
    </w:pPr>
    <w:rPr>
      <w:lang w:val="en-GB"/>
    </w:rPr>
  </w:style>
  <w:style w:type="paragraph" w:customStyle="1" w:styleId="EPComma">
    <w:name w:val="EPComma"/>
    <w:basedOn w:val="Normal"/>
    <w:rsid w:val="00885878"/>
    <w:pPr>
      <w:spacing w:before="480" w:after="240"/>
    </w:pPr>
    <w:rPr>
      <w:snapToGrid w:val="0"/>
      <w:lang w:eastAsia="en-US"/>
    </w:rPr>
  </w:style>
  <w:style w:type="paragraph" w:customStyle="1" w:styleId="CoverNormal">
    <w:name w:val="CoverNormal"/>
    <w:basedOn w:val="Normal"/>
    <w:rsid w:val="00885878"/>
    <w:pPr>
      <w:ind w:left="1418"/>
    </w:pPr>
    <w:rPr>
      <w:snapToGrid w:val="0"/>
      <w:lang w:eastAsia="en-US"/>
    </w:rPr>
  </w:style>
  <w:style w:type="paragraph" w:customStyle="1" w:styleId="TOCRight">
    <w:name w:val="TOC Right"/>
    <w:basedOn w:val="Normal"/>
    <w:rsid w:val="00885878"/>
    <w:pPr>
      <w:spacing w:after="240"/>
      <w:jc w:val="right"/>
    </w:pPr>
    <w:rPr>
      <w:snapToGrid w:val="0"/>
      <w:lang w:eastAsia="en-US"/>
    </w:rPr>
  </w:style>
  <w:style w:type="paragraph" w:customStyle="1" w:styleId="CoverDateRefPart">
    <w:name w:val="CoverDateRefPart"/>
    <w:basedOn w:val="Normal"/>
    <w:rsid w:val="00885878"/>
    <w:pPr>
      <w:spacing w:after="1200"/>
    </w:pPr>
    <w:rPr>
      <w:snapToGrid w:val="0"/>
      <w:lang w:eastAsia="en-US"/>
    </w:rPr>
  </w:style>
  <w:style w:type="paragraph" w:customStyle="1" w:styleId="EPFooter2">
    <w:name w:val="EPFooter2"/>
    <w:basedOn w:val="Normal"/>
    <w:next w:val="Normal"/>
    <w:rsid w:val="0088587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paragraph" w:customStyle="1" w:styleId="NormalBold">
    <w:name w:val="NormalBold"/>
    <w:basedOn w:val="Normal"/>
    <w:rsid w:val="00885878"/>
    <w:rPr>
      <w:b/>
      <w:snapToGrid w:val="0"/>
      <w:lang w:eastAsia="en-US"/>
    </w:rPr>
  </w:style>
  <w:style w:type="paragraph" w:customStyle="1" w:styleId="CoverReference">
    <w:name w:val="CoverReference"/>
    <w:basedOn w:val="Normal"/>
    <w:rsid w:val="00885878"/>
    <w:pPr>
      <w:spacing w:before="1080"/>
      <w:jc w:val="right"/>
    </w:pPr>
    <w:rPr>
      <w:rFonts w:ascii="Arial" w:hAnsi="Arial" w:cs="Arial"/>
      <w:b/>
      <w:snapToGrid w:val="0"/>
      <w:lang w:eastAsia="en-US"/>
    </w:rPr>
  </w:style>
  <w:style w:type="paragraph" w:customStyle="1" w:styleId="CoverNormal24a">
    <w:name w:val="CoverNormal24a"/>
    <w:basedOn w:val="Normal"/>
    <w:rsid w:val="00885878"/>
    <w:pPr>
      <w:spacing w:after="480"/>
      <w:ind w:left="1417"/>
    </w:pPr>
    <w:rPr>
      <w:snapToGrid w:val="0"/>
      <w:lang w:eastAsia="en-US"/>
    </w:rPr>
  </w:style>
  <w:style w:type="paragraph" w:customStyle="1" w:styleId="TOCPage">
    <w:name w:val="TOC Page"/>
    <w:basedOn w:val="Normal"/>
    <w:next w:val="TOC1"/>
    <w:rsid w:val="00885878"/>
    <w:pPr>
      <w:keepNext/>
      <w:spacing w:after="240"/>
      <w:jc w:val="right"/>
    </w:pPr>
    <w:rPr>
      <w:rFonts w:ascii="Arial" w:hAnsi="Arial"/>
      <w:b/>
      <w:snapToGrid w:val="0"/>
      <w:lang w:eastAsia="en-US"/>
    </w:rPr>
  </w:style>
  <w:style w:type="paragraph" w:customStyle="1" w:styleId="CoverDocType24a">
    <w:name w:val="CoverDocType24a"/>
    <w:basedOn w:val="Normal"/>
    <w:rsid w:val="00885878"/>
    <w:pPr>
      <w:spacing w:after="480"/>
      <w:ind w:left="1418"/>
    </w:pPr>
    <w:rPr>
      <w:rFonts w:ascii="Arial" w:hAnsi="Arial"/>
      <w:b/>
      <w:snapToGrid w:val="0"/>
      <w:sz w:val="48"/>
      <w:lang w:eastAsia="en-US"/>
    </w:rPr>
  </w:style>
  <w:style w:type="paragraph" w:customStyle="1" w:styleId="NormalHanging12a">
    <w:name w:val="NormalHanging12a"/>
    <w:basedOn w:val="Normal"/>
    <w:link w:val="NormalHanging12aChar"/>
    <w:rsid w:val="00885878"/>
    <w:pPr>
      <w:widowControl/>
      <w:spacing w:after="240"/>
      <w:ind w:left="567" w:hanging="567"/>
    </w:pPr>
    <w:rPr>
      <w:snapToGrid w:val="0"/>
      <w:lang w:eastAsia="en-US"/>
    </w:rPr>
  </w:style>
  <w:style w:type="paragraph" w:styleId="TOC4">
    <w:name w:val="toc 4"/>
    <w:basedOn w:val="Normal"/>
    <w:next w:val="Normal"/>
    <w:autoRedefine/>
    <w:rsid w:val="00885878"/>
    <w:pPr>
      <w:ind w:left="720"/>
    </w:pPr>
    <w:rPr>
      <w:snapToGrid w:val="0"/>
      <w:lang w:eastAsia="en-US"/>
    </w:rPr>
  </w:style>
  <w:style w:type="paragraph" w:customStyle="1" w:styleId="PageHeading">
    <w:name w:val="PageHeading"/>
    <w:basedOn w:val="Normal"/>
    <w:rsid w:val="00885878"/>
    <w:pPr>
      <w:keepNext/>
      <w:spacing w:after="480"/>
      <w:jc w:val="center"/>
    </w:pPr>
    <w:rPr>
      <w:rFonts w:ascii="Arial" w:hAnsi="Arial" w:cs="Arial"/>
      <w:b/>
      <w:snapToGrid w:val="0"/>
      <w:lang w:eastAsia="en-US"/>
    </w:rPr>
  </w:style>
  <w:style w:type="paragraph" w:styleId="TOC5">
    <w:name w:val="toc 5"/>
    <w:basedOn w:val="Normal"/>
    <w:next w:val="Normal"/>
    <w:autoRedefine/>
    <w:rsid w:val="00885878"/>
    <w:pPr>
      <w:ind w:left="960"/>
    </w:pPr>
    <w:rPr>
      <w:snapToGrid w:val="0"/>
      <w:lang w:eastAsia="en-US"/>
    </w:rPr>
  </w:style>
  <w:style w:type="paragraph" w:styleId="TOC6">
    <w:name w:val="toc 6"/>
    <w:basedOn w:val="Normal"/>
    <w:next w:val="Normal"/>
    <w:autoRedefine/>
    <w:rsid w:val="00885878"/>
    <w:pPr>
      <w:ind w:left="1200"/>
    </w:pPr>
    <w:rPr>
      <w:snapToGrid w:val="0"/>
      <w:lang w:eastAsia="en-US"/>
    </w:rPr>
  </w:style>
  <w:style w:type="paragraph" w:styleId="TOC7">
    <w:name w:val="toc 7"/>
    <w:basedOn w:val="Normal"/>
    <w:next w:val="Normal"/>
    <w:autoRedefine/>
    <w:rsid w:val="00885878"/>
    <w:pPr>
      <w:ind w:left="1440"/>
    </w:pPr>
    <w:rPr>
      <w:snapToGrid w:val="0"/>
      <w:lang w:eastAsia="en-US"/>
    </w:rPr>
  </w:style>
  <w:style w:type="paragraph" w:styleId="TOC8">
    <w:name w:val="toc 8"/>
    <w:basedOn w:val="Normal"/>
    <w:next w:val="Normal"/>
    <w:autoRedefine/>
    <w:rsid w:val="00885878"/>
    <w:pPr>
      <w:ind w:left="1680"/>
    </w:pPr>
    <w:rPr>
      <w:snapToGrid w:val="0"/>
      <w:lang w:eastAsia="en-US"/>
    </w:rPr>
  </w:style>
  <w:style w:type="paragraph" w:styleId="TOC9">
    <w:name w:val="toc 9"/>
    <w:basedOn w:val="Normal"/>
    <w:next w:val="Normal"/>
    <w:autoRedefine/>
    <w:rsid w:val="00885878"/>
    <w:pPr>
      <w:ind w:left="1920"/>
    </w:pPr>
    <w:rPr>
      <w:snapToGrid w:val="0"/>
      <w:lang w:eastAsia="en-US"/>
    </w:rPr>
  </w:style>
  <w:style w:type="paragraph" w:customStyle="1" w:styleId="TOCSubHeading">
    <w:name w:val="TOC SubHeading"/>
    <w:basedOn w:val="Normal"/>
    <w:rsid w:val="00885878"/>
    <w:pPr>
      <w:spacing w:before="480" w:after="240"/>
    </w:pPr>
    <w:rPr>
      <w:b/>
      <w:snapToGrid w:val="0"/>
      <w:lang w:eastAsia="en-US"/>
    </w:rPr>
  </w:style>
  <w:style w:type="paragraph" w:customStyle="1" w:styleId="TOCTabLeader">
    <w:name w:val="TOC TabLeader"/>
    <w:basedOn w:val="Normal"/>
    <w:rsid w:val="00885878"/>
    <w:pPr>
      <w:tabs>
        <w:tab w:val="left" w:leader="dot" w:pos="5954"/>
      </w:tabs>
      <w:spacing w:after="240"/>
    </w:pPr>
    <w:rPr>
      <w:snapToGrid w:val="0"/>
      <w:lang w:eastAsia="en-US"/>
    </w:rPr>
  </w:style>
  <w:style w:type="paragraph" w:customStyle="1" w:styleId="CoverNormalHanging">
    <w:name w:val="CoverNormalHanging"/>
    <w:basedOn w:val="Normal"/>
    <w:rsid w:val="00885878"/>
    <w:pPr>
      <w:ind w:left="3686" w:hanging="2268"/>
    </w:pPr>
    <w:rPr>
      <w:snapToGrid w:val="0"/>
      <w:lang w:eastAsia="en-US"/>
    </w:rPr>
  </w:style>
  <w:style w:type="paragraph" w:customStyle="1" w:styleId="EPBody">
    <w:name w:val="EPBody"/>
    <w:basedOn w:val="Normal"/>
    <w:rsid w:val="0088587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CoverRefPart">
    <w:name w:val="CoverRefPart"/>
    <w:basedOn w:val="Normal"/>
    <w:rsid w:val="00885878"/>
    <w:pPr>
      <w:jc w:val="right"/>
    </w:pPr>
    <w:rPr>
      <w:rFonts w:ascii="Arial" w:hAnsi="Arial"/>
      <w:snapToGrid w:val="0"/>
      <w:lang w:eastAsia="en-US"/>
    </w:rPr>
  </w:style>
  <w:style w:type="paragraph" w:customStyle="1" w:styleId="Subheading">
    <w:name w:val="Subheading"/>
    <w:basedOn w:val="Normal"/>
    <w:rsid w:val="00885878"/>
    <w:pPr>
      <w:spacing w:before="480" w:after="240"/>
    </w:pPr>
    <w:rPr>
      <w:b/>
      <w:bCs/>
      <w:i/>
      <w:iCs/>
      <w:snapToGrid w:val="0"/>
      <w:lang w:eastAsia="en-US"/>
    </w:rPr>
  </w:style>
  <w:style w:type="paragraph" w:customStyle="1" w:styleId="EPFooter">
    <w:name w:val="EPFooter"/>
    <w:basedOn w:val="Normal"/>
    <w:rsid w:val="00885878"/>
    <w:pPr>
      <w:tabs>
        <w:tab w:val="center" w:pos="4535"/>
        <w:tab w:val="right" w:pos="9071"/>
      </w:tabs>
      <w:spacing w:before="240" w:after="240"/>
    </w:pPr>
    <w:rPr>
      <w:snapToGrid w:val="0"/>
      <w:color w:val="010000"/>
      <w:sz w:val="22"/>
      <w:lang w:eastAsia="en-US"/>
    </w:rPr>
  </w:style>
  <w:style w:type="paragraph" w:styleId="Header">
    <w:name w:val="header"/>
    <w:basedOn w:val="Normal"/>
    <w:link w:val="HeaderChar"/>
    <w:rsid w:val="00885878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HeaderChar">
    <w:name w:val="Header Char"/>
    <w:basedOn w:val="DefaultParagraphFont"/>
    <w:link w:val="Header"/>
    <w:rsid w:val="00885878"/>
    <w:rPr>
      <w:snapToGrid w:val="0"/>
      <w:sz w:val="24"/>
      <w:lang w:val="cs-CZ" w:eastAsia="en-US"/>
    </w:rPr>
  </w:style>
  <w:style w:type="paragraph" w:customStyle="1" w:styleId="AmColumnHeading">
    <w:name w:val="AmColumnHeading"/>
    <w:basedOn w:val="Normal"/>
    <w:rsid w:val="00885878"/>
    <w:pPr>
      <w:spacing w:after="240"/>
      <w:jc w:val="center"/>
    </w:pPr>
    <w:rPr>
      <w:i/>
    </w:rPr>
  </w:style>
  <w:style w:type="paragraph" w:customStyle="1" w:styleId="AmCrossRef">
    <w:name w:val="AmCrossRef"/>
    <w:basedOn w:val="Normal"/>
    <w:rsid w:val="00885878"/>
    <w:pPr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rsid w:val="00885878"/>
    <w:pPr>
      <w:spacing w:after="240"/>
    </w:pPr>
    <w:rPr>
      <w:i/>
    </w:rPr>
  </w:style>
  <w:style w:type="paragraph" w:customStyle="1" w:styleId="AmJustTitle">
    <w:name w:val="AmJustTitle"/>
    <w:basedOn w:val="Normal"/>
    <w:next w:val="AmJustText"/>
    <w:rsid w:val="00885878"/>
    <w:pPr>
      <w:keepNext/>
      <w:spacing w:before="240" w:after="240"/>
      <w:jc w:val="center"/>
    </w:pPr>
    <w:rPr>
      <w:i/>
    </w:rPr>
  </w:style>
  <w:style w:type="paragraph" w:customStyle="1" w:styleId="AmNumberTabs">
    <w:name w:val="AmNumberTabs"/>
    <w:basedOn w:val="Normal"/>
    <w:rsid w:val="008858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OrLang">
    <w:name w:val="AmOrLang"/>
    <w:basedOn w:val="Normal"/>
    <w:rsid w:val="00885878"/>
    <w:pPr>
      <w:spacing w:before="240" w:after="240"/>
      <w:jc w:val="right"/>
    </w:pPr>
  </w:style>
  <w:style w:type="paragraph" w:customStyle="1" w:styleId="AnnexWPDate">
    <w:name w:val="AnnexWPDate"/>
    <w:basedOn w:val="Normal"/>
    <w:rsid w:val="00885878"/>
    <w:pPr>
      <w:spacing w:before="240" w:after="480"/>
      <w:jc w:val="right"/>
    </w:pPr>
  </w:style>
  <w:style w:type="paragraph" w:customStyle="1" w:styleId="AnnexWPDocType">
    <w:name w:val="AnnexWPDocType"/>
    <w:basedOn w:val="Normal"/>
    <w:rsid w:val="00885878"/>
    <w:pPr>
      <w:spacing w:after="240"/>
      <w:jc w:val="center"/>
    </w:pPr>
    <w:rPr>
      <w:b/>
    </w:rPr>
  </w:style>
  <w:style w:type="paragraph" w:customStyle="1" w:styleId="AnnexWPLogo">
    <w:name w:val="AnnexWPLogo"/>
    <w:basedOn w:val="Normal"/>
    <w:rsid w:val="00885878"/>
    <w:pPr>
      <w:spacing w:before="120" w:after="120"/>
    </w:pPr>
  </w:style>
  <w:style w:type="paragraph" w:customStyle="1" w:styleId="AnnexWPSmall">
    <w:name w:val="AnnexWPSmall"/>
    <w:basedOn w:val="Normal"/>
    <w:rsid w:val="00885878"/>
    <w:rPr>
      <w:smallCaps/>
      <w:sz w:val="20"/>
    </w:rPr>
  </w:style>
  <w:style w:type="paragraph" w:customStyle="1" w:styleId="AnnexWPTabs">
    <w:name w:val="AnnexWPTabs"/>
    <w:basedOn w:val="Normal"/>
    <w:rsid w:val="00885878"/>
    <w:pPr>
      <w:tabs>
        <w:tab w:val="right" w:pos="3686"/>
        <w:tab w:val="left" w:pos="3827"/>
      </w:tabs>
    </w:pPr>
    <w:rPr>
      <w:b/>
    </w:rPr>
  </w:style>
  <w:style w:type="paragraph" w:customStyle="1" w:styleId="AnnexWPTitle">
    <w:name w:val="AnnexWPTitle"/>
    <w:basedOn w:val="Normal"/>
    <w:rsid w:val="00885878"/>
    <w:pPr>
      <w:spacing w:before="480"/>
    </w:pPr>
    <w:rPr>
      <w:b/>
    </w:rPr>
  </w:style>
  <w:style w:type="paragraph" w:customStyle="1" w:styleId="AmHeadingConsam">
    <w:name w:val="AmHeadingConsam"/>
    <w:basedOn w:val="Normal"/>
    <w:next w:val="Normal"/>
    <w:rsid w:val="00885878"/>
    <w:pPr>
      <w:spacing w:before="720" w:after="240"/>
      <w:jc w:val="center"/>
    </w:pPr>
  </w:style>
  <w:style w:type="paragraph" w:customStyle="1" w:styleId="CoverNormal12a">
    <w:name w:val="CoverNormal12a"/>
    <w:basedOn w:val="Normal"/>
    <w:rsid w:val="00885878"/>
    <w:pPr>
      <w:spacing w:after="240"/>
      <w:ind w:left="1418"/>
    </w:pPr>
  </w:style>
  <w:style w:type="paragraph" w:customStyle="1" w:styleId="Confidential">
    <w:name w:val="Confidential"/>
    <w:basedOn w:val="Normal"/>
    <w:rsid w:val="00885878"/>
    <w:pPr>
      <w:spacing w:before="120" w:after="120"/>
      <w:jc w:val="center"/>
    </w:pPr>
    <w:rPr>
      <w:rFonts w:ascii="Arial" w:hAnsi="Arial"/>
      <w:caps/>
    </w:rPr>
  </w:style>
  <w:style w:type="paragraph" w:customStyle="1" w:styleId="CoverReferenceIMM">
    <w:name w:val="CoverReferenceIMM"/>
    <w:basedOn w:val="Normal"/>
    <w:rsid w:val="00885878"/>
    <w:pPr>
      <w:spacing w:before="360"/>
      <w:jc w:val="right"/>
    </w:pPr>
    <w:rPr>
      <w:rFonts w:ascii="Arial" w:hAnsi="Arial"/>
      <w:b/>
    </w:rPr>
  </w:style>
  <w:style w:type="paragraph" w:customStyle="1" w:styleId="CoverDate">
    <w:name w:val="CoverDate"/>
    <w:basedOn w:val="Normal"/>
    <w:rsid w:val="00885878"/>
    <w:pPr>
      <w:spacing w:before="240" w:after="1200"/>
    </w:pPr>
  </w:style>
  <w:style w:type="paragraph" w:customStyle="1" w:styleId="CoverDocType">
    <w:name w:val="CoverDocType"/>
    <w:basedOn w:val="Normal"/>
    <w:rsid w:val="00885878"/>
    <w:pPr>
      <w:ind w:left="1418"/>
    </w:pPr>
    <w:rPr>
      <w:rFonts w:ascii="Arial" w:hAnsi="Arial"/>
      <w:b/>
      <w:sz w:val="48"/>
    </w:rPr>
  </w:style>
  <w:style w:type="paragraph" w:customStyle="1" w:styleId="NormalBold12a">
    <w:name w:val="NormalBold12a"/>
    <w:basedOn w:val="Normal"/>
    <w:rsid w:val="00885878"/>
    <w:pPr>
      <w:spacing w:after="240"/>
    </w:pPr>
    <w:rPr>
      <w:b/>
    </w:rPr>
  </w:style>
  <w:style w:type="paragraph" w:customStyle="1" w:styleId="NormalCenter12a">
    <w:name w:val="NormalCenter12a"/>
    <w:basedOn w:val="Normal"/>
    <w:rsid w:val="00885878"/>
    <w:pPr>
      <w:spacing w:after="240"/>
      <w:jc w:val="center"/>
    </w:pPr>
  </w:style>
  <w:style w:type="paragraph" w:customStyle="1" w:styleId="Normal6a">
    <w:name w:val="Normal6a"/>
    <w:basedOn w:val="Normal"/>
    <w:rsid w:val="00885878"/>
    <w:pPr>
      <w:spacing w:after="120"/>
    </w:pPr>
  </w:style>
  <w:style w:type="paragraph" w:customStyle="1" w:styleId="NormalBold12b">
    <w:name w:val="NormalBold12b"/>
    <w:basedOn w:val="Normal"/>
    <w:rsid w:val="00885878"/>
    <w:pPr>
      <w:spacing w:before="240"/>
    </w:pPr>
    <w:rPr>
      <w:b/>
    </w:rPr>
  </w:style>
  <w:style w:type="paragraph" w:customStyle="1" w:styleId="Arial14CentreBold">
    <w:name w:val="Arial14CentreBold"/>
    <w:basedOn w:val="Normal"/>
    <w:qFormat/>
    <w:rsid w:val="00885878"/>
    <w:pPr>
      <w:jc w:val="center"/>
    </w:pPr>
    <w:rPr>
      <w:rFonts w:ascii="Arial" w:hAnsi="Arial" w:cs="Arial"/>
      <w:b/>
      <w:sz w:val="28"/>
      <w:szCs w:val="28"/>
    </w:rPr>
  </w:style>
  <w:style w:type="character" w:customStyle="1" w:styleId="Bold">
    <w:name w:val="Bold"/>
    <w:uiPriority w:val="1"/>
    <w:rsid w:val="00885878"/>
    <w:rPr>
      <w:b/>
    </w:rPr>
  </w:style>
  <w:style w:type="character" w:customStyle="1" w:styleId="BoldItalic">
    <w:name w:val="BoldItalic"/>
    <w:uiPriority w:val="1"/>
    <w:rsid w:val="00885878"/>
    <w:rPr>
      <w:b/>
      <w:i/>
      <w:u w:val="none"/>
    </w:rPr>
  </w:style>
  <w:style w:type="character" w:customStyle="1" w:styleId="BoldItalicUnderline">
    <w:name w:val="BoldItalicUnderline"/>
    <w:uiPriority w:val="1"/>
    <w:rsid w:val="00885878"/>
    <w:rPr>
      <w:b/>
      <w:i/>
      <w:u w:val="single"/>
    </w:rPr>
  </w:style>
  <w:style w:type="character" w:customStyle="1" w:styleId="BoldUnderline">
    <w:name w:val="BoldUnderline"/>
    <w:uiPriority w:val="1"/>
    <w:rsid w:val="00885878"/>
    <w:rPr>
      <w:b/>
      <w:u w:val="single"/>
    </w:rPr>
  </w:style>
  <w:style w:type="paragraph" w:customStyle="1" w:styleId="CoverNormalLeft">
    <w:name w:val="CoverNormalLeft"/>
    <w:basedOn w:val="CoverNormal"/>
    <w:qFormat/>
    <w:rsid w:val="00885878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885878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cs-CZ"/>
    </w:rPr>
  </w:style>
  <w:style w:type="character" w:customStyle="1" w:styleId="EPFooter2Motto">
    <w:name w:val="EPFooter2Motto"/>
    <w:uiPriority w:val="1"/>
    <w:qFormat/>
    <w:rsid w:val="00885878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885878"/>
    <w:pPr>
      <w:tabs>
        <w:tab w:val="center" w:pos="6804"/>
        <w:tab w:val="right" w:pos="15026"/>
      </w:tabs>
    </w:pPr>
    <w:rPr>
      <w:sz w:val="22"/>
      <w:lang w:val="cs-CZ"/>
    </w:rPr>
  </w:style>
  <w:style w:type="character" w:customStyle="1" w:styleId="Italic">
    <w:name w:val="Italic"/>
    <w:uiPriority w:val="1"/>
    <w:rsid w:val="00885878"/>
    <w:rPr>
      <w:i/>
    </w:rPr>
  </w:style>
  <w:style w:type="character" w:customStyle="1" w:styleId="ItalicUnderline">
    <w:name w:val="ItalicUnderline"/>
    <w:uiPriority w:val="1"/>
    <w:rsid w:val="00885878"/>
    <w:rPr>
      <w:i/>
      <w:u w:val="single"/>
    </w:rPr>
  </w:style>
  <w:style w:type="paragraph" w:customStyle="1" w:styleId="LegendSign">
    <w:name w:val="LegendSign"/>
    <w:basedOn w:val="Normal"/>
    <w:qFormat/>
    <w:rsid w:val="00885878"/>
    <w:pPr>
      <w:tabs>
        <w:tab w:val="right" w:pos="454"/>
        <w:tab w:val="left" w:pos="737"/>
      </w:tabs>
      <w:ind w:left="737" w:hanging="737"/>
    </w:pPr>
    <w:rPr>
      <w:sz w:val="18"/>
    </w:rPr>
  </w:style>
  <w:style w:type="paragraph" w:customStyle="1" w:styleId="LegendStandard">
    <w:name w:val="LegendStandard"/>
    <w:basedOn w:val="LegendSign"/>
    <w:qFormat/>
    <w:rsid w:val="00885878"/>
    <w:pPr>
      <w:ind w:left="0" w:firstLine="0"/>
    </w:pPr>
  </w:style>
  <w:style w:type="paragraph" w:customStyle="1" w:styleId="LegendTitle">
    <w:name w:val="LegendTitle"/>
    <w:basedOn w:val="Normal"/>
    <w:qFormat/>
    <w:rsid w:val="00885878"/>
    <w:pPr>
      <w:spacing w:before="240" w:after="240"/>
    </w:pPr>
    <w:rPr>
      <w:b/>
      <w:i/>
    </w:rPr>
  </w:style>
  <w:style w:type="character" w:customStyle="1" w:styleId="HideTermComment">
    <w:name w:val="HideTermComment"/>
    <w:uiPriority w:val="1"/>
    <w:qFormat/>
    <w:rsid w:val="00885878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885878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885878"/>
    <w:pPr>
      <w:spacing w:after="240"/>
    </w:pPr>
  </w:style>
  <w:style w:type="paragraph" w:customStyle="1" w:styleId="Normal12b">
    <w:name w:val="Normal12b"/>
    <w:basedOn w:val="Normal"/>
    <w:qFormat/>
    <w:rsid w:val="00885878"/>
    <w:pPr>
      <w:spacing w:before="240"/>
    </w:pPr>
  </w:style>
  <w:style w:type="paragraph" w:customStyle="1" w:styleId="NormalBoldUnderline24b">
    <w:name w:val="NormalBoldUnderline24b"/>
    <w:basedOn w:val="Normal"/>
    <w:qFormat/>
    <w:rsid w:val="00885878"/>
    <w:pPr>
      <w:spacing w:before="480"/>
    </w:pPr>
    <w:rPr>
      <w:b/>
      <w:u w:val="single"/>
    </w:rPr>
  </w:style>
  <w:style w:type="paragraph" w:customStyle="1" w:styleId="NormalBoldUnderline24b12a">
    <w:name w:val="NormalBoldUnderline24b12a"/>
    <w:basedOn w:val="NormalBoldUnderline24b"/>
    <w:qFormat/>
    <w:rsid w:val="00885878"/>
    <w:pPr>
      <w:spacing w:after="240"/>
    </w:pPr>
  </w:style>
  <w:style w:type="paragraph" w:customStyle="1" w:styleId="Normal12aBullet1">
    <w:name w:val="Normal12aBullet1"/>
    <w:basedOn w:val="Normal"/>
    <w:qFormat/>
    <w:rsid w:val="00885878"/>
    <w:pPr>
      <w:widowControl/>
      <w:numPr>
        <w:numId w:val="45"/>
      </w:numPr>
    </w:pPr>
  </w:style>
  <w:style w:type="paragraph" w:customStyle="1" w:styleId="Normal12aBullet2">
    <w:name w:val="Normal12aBullet2"/>
    <w:basedOn w:val="Normal"/>
    <w:qFormat/>
    <w:rsid w:val="00885878"/>
    <w:pPr>
      <w:numPr>
        <w:numId w:val="46"/>
      </w:numPr>
    </w:pPr>
  </w:style>
  <w:style w:type="paragraph" w:customStyle="1" w:styleId="NormalHanging12a1">
    <w:name w:val="NormalHanging12a1"/>
    <w:basedOn w:val="Normal"/>
    <w:qFormat/>
    <w:rsid w:val="00885878"/>
    <w:pPr>
      <w:spacing w:after="240"/>
      <w:ind w:left="992" w:hanging="425"/>
    </w:pPr>
  </w:style>
  <w:style w:type="paragraph" w:customStyle="1" w:styleId="NormalHanging12a2">
    <w:name w:val="NormalHanging12a2"/>
    <w:basedOn w:val="NormalHanging12a1"/>
    <w:qFormat/>
    <w:rsid w:val="00885878"/>
    <w:pPr>
      <w:ind w:left="1417"/>
    </w:pPr>
  </w:style>
  <w:style w:type="paragraph" w:customStyle="1" w:styleId="NormalHanging12a3">
    <w:name w:val="NormalHanging12a3"/>
    <w:basedOn w:val="NormalHanging12a2"/>
    <w:qFormat/>
    <w:rsid w:val="00885878"/>
    <w:pPr>
      <w:ind w:left="1843"/>
    </w:pPr>
  </w:style>
  <w:style w:type="paragraph" w:customStyle="1" w:styleId="NormalHanging12a4">
    <w:name w:val="NormalHanging12a4"/>
    <w:basedOn w:val="NormalHanging12a3"/>
    <w:qFormat/>
    <w:rsid w:val="00885878"/>
    <w:pPr>
      <w:ind w:left="2268"/>
    </w:pPr>
  </w:style>
  <w:style w:type="paragraph" w:customStyle="1" w:styleId="NormalHanging12a5">
    <w:name w:val="NormalHanging12a5"/>
    <w:basedOn w:val="NormalHanging12a4"/>
    <w:qFormat/>
    <w:rsid w:val="00885878"/>
    <w:pPr>
      <w:ind w:left="2693"/>
    </w:pPr>
  </w:style>
  <w:style w:type="paragraph" w:customStyle="1" w:styleId="NormalHanging12a6">
    <w:name w:val="NormalHanging12a6"/>
    <w:basedOn w:val="NormalHanging12a5"/>
    <w:qFormat/>
    <w:rsid w:val="00885878"/>
    <w:pPr>
      <w:ind w:left="3118"/>
    </w:pPr>
  </w:style>
  <w:style w:type="paragraph" w:customStyle="1" w:styleId="NormalHanging12a7">
    <w:name w:val="NormalHanging12a7"/>
    <w:basedOn w:val="NormalHanging12a6"/>
    <w:qFormat/>
    <w:rsid w:val="00885878"/>
    <w:pPr>
      <w:ind w:left="3544"/>
    </w:pPr>
  </w:style>
  <w:style w:type="paragraph" w:customStyle="1" w:styleId="NormalHangingCenter">
    <w:name w:val="NormalHangingCenter"/>
    <w:basedOn w:val="Normal"/>
    <w:qFormat/>
    <w:rsid w:val="00885878"/>
    <w:pPr>
      <w:spacing w:after="240"/>
      <w:ind w:left="567" w:hanging="567"/>
      <w:jc w:val="center"/>
    </w:pPr>
  </w:style>
  <w:style w:type="paragraph" w:customStyle="1" w:styleId="NormalHangingJustified">
    <w:name w:val="NormalHangingJustified"/>
    <w:basedOn w:val="Normal"/>
    <w:qFormat/>
    <w:rsid w:val="00885878"/>
    <w:pPr>
      <w:spacing w:after="240"/>
      <w:ind w:left="714" w:hanging="357"/>
      <w:jc w:val="both"/>
    </w:pPr>
  </w:style>
  <w:style w:type="paragraph" w:customStyle="1" w:styleId="NormalUnderline24b12a">
    <w:name w:val="NormalUnderline24b12a"/>
    <w:basedOn w:val="EPComma"/>
    <w:qFormat/>
    <w:rsid w:val="00885878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885878"/>
    <w:pPr>
      <w:spacing w:line="120" w:lineRule="auto"/>
    </w:pPr>
    <w:rPr>
      <w:color w:val="000000"/>
      <w:sz w:val="4"/>
      <w:szCs w:val="24"/>
      <w:lang w:val="cs-CZ"/>
    </w:rPr>
  </w:style>
  <w:style w:type="character" w:customStyle="1" w:styleId="NormalBI">
    <w:name w:val="NormalBI"/>
    <w:basedOn w:val="DefaultParagraphFont"/>
    <w:uiPriority w:val="1"/>
    <w:qFormat/>
    <w:rsid w:val="00885878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885878"/>
    <w:rPr>
      <w:b/>
      <w:i/>
    </w:rPr>
  </w:style>
  <w:style w:type="paragraph" w:customStyle="1" w:styleId="NormalBoldItalicCenter6a">
    <w:name w:val="NormalBoldItalicCenter6a"/>
    <w:basedOn w:val="Normal6a"/>
    <w:qFormat/>
    <w:rsid w:val="00885878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885878"/>
    <w:rPr>
      <w:i/>
    </w:rPr>
  </w:style>
  <w:style w:type="paragraph" w:customStyle="1" w:styleId="PageHeadingNotTOC">
    <w:name w:val="PageHeadingNotTOC"/>
    <w:basedOn w:val="PageHeading"/>
    <w:rsid w:val="00885878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885878"/>
    <w:rPr>
      <w:vertAlign w:val="subscript"/>
    </w:rPr>
  </w:style>
  <w:style w:type="character" w:customStyle="1" w:styleId="SubBold">
    <w:name w:val="SubBold"/>
    <w:uiPriority w:val="1"/>
    <w:qFormat/>
    <w:rsid w:val="00885878"/>
    <w:rPr>
      <w:b/>
      <w:vertAlign w:val="subscript"/>
    </w:rPr>
  </w:style>
  <w:style w:type="character" w:customStyle="1" w:styleId="SubBoldItalic">
    <w:name w:val="SubBoldItalic"/>
    <w:uiPriority w:val="1"/>
    <w:rsid w:val="00885878"/>
    <w:rPr>
      <w:b/>
      <w:i/>
      <w:vertAlign w:val="subscript"/>
    </w:rPr>
  </w:style>
  <w:style w:type="character" w:customStyle="1" w:styleId="SubItalic">
    <w:name w:val="SubItalic"/>
    <w:uiPriority w:val="1"/>
    <w:qFormat/>
    <w:rsid w:val="00885878"/>
    <w:rPr>
      <w:b/>
      <w:i/>
      <w:vertAlign w:val="subscript"/>
    </w:rPr>
  </w:style>
  <w:style w:type="character" w:customStyle="1" w:styleId="Sup">
    <w:name w:val="Sup"/>
    <w:uiPriority w:val="1"/>
    <w:rsid w:val="00885878"/>
    <w:rPr>
      <w:vertAlign w:val="superscript"/>
    </w:rPr>
  </w:style>
  <w:style w:type="character" w:customStyle="1" w:styleId="SupBoldItalic">
    <w:name w:val="SupBoldItalic"/>
    <w:uiPriority w:val="1"/>
    <w:qFormat/>
    <w:rsid w:val="00885878"/>
    <w:rPr>
      <w:b/>
      <w:i/>
      <w:vertAlign w:val="superscript"/>
    </w:rPr>
  </w:style>
  <w:style w:type="character" w:customStyle="1" w:styleId="Underline">
    <w:name w:val="Underline"/>
    <w:uiPriority w:val="1"/>
    <w:rsid w:val="00885878"/>
    <w:rPr>
      <w:u w:val="single"/>
    </w:rPr>
  </w:style>
  <w:style w:type="paragraph" w:customStyle="1" w:styleId="NormalBoldCenter">
    <w:name w:val="NormalBoldCenter"/>
    <w:basedOn w:val="Normal"/>
    <w:rsid w:val="00885878"/>
    <w:pPr>
      <w:jc w:val="center"/>
    </w:pPr>
    <w:rPr>
      <w:b/>
    </w:rPr>
  </w:style>
  <w:style w:type="paragraph" w:customStyle="1" w:styleId="ProcedureTable">
    <w:name w:val="ProcedureTable"/>
    <w:basedOn w:val="Normal"/>
    <w:rsid w:val="00885878"/>
    <w:rPr>
      <w:sz w:val="20"/>
    </w:rPr>
  </w:style>
  <w:style w:type="paragraph" w:customStyle="1" w:styleId="ProcedureTableBold">
    <w:name w:val="ProcedureTableBold"/>
    <w:basedOn w:val="Normal"/>
    <w:rsid w:val="00885878"/>
    <w:rPr>
      <w:b/>
      <w:sz w:val="20"/>
    </w:rPr>
  </w:style>
  <w:style w:type="paragraph" w:customStyle="1" w:styleId="NormalCenter">
    <w:name w:val="NormalCenter"/>
    <w:basedOn w:val="Normal"/>
    <w:rsid w:val="00885878"/>
    <w:pPr>
      <w:jc w:val="center"/>
    </w:pPr>
  </w:style>
  <w:style w:type="character" w:customStyle="1" w:styleId="SubBoldItalicUnderline">
    <w:name w:val="SubBoldItalicUnderline"/>
    <w:uiPriority w:val="1"/>
    <w:rsid w:val="00885878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885878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885878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885878"/>
    <w:rPr>
      <w:u w:val="single"/>
      <w:vertAlign w:val="subscript"/>
    </w:rPr>
  </w:style>
  <w:style w:type="character" w:customStyle="1" w:styleId="SupBold">
    <w:name w:val="SupBold"/>
    <w:uiPriority w:val="1"/>
    <w:rsid w:val="00885878"/>
    <w:rPr>
      <w:b/>
      <w:vertAlign w:val="superscript"/>
    </w:rPr>
  </w:style>
  <w:style w:type="character" w:customStyle="1" w:styleId="SupBoldItalicUnderline">
    <w:name w:val="SupBoldItalicUnderline"/>
    <w:uiPriority w:val="1"/>
    <w:rsid w:val="00885878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885878"/>
    <w:rPr>
      <w:b/>
      <w:u w:val="single"/>
      <w:vertAlign w:val="superscript"/>
    </w:rPr>
  </w:style>
  <w:style w:type="character" w:customStyle="1" w:styleId="SupItalic">
    <w:name w:val="SupItalic"/>
    <w:uiPriority w:val="1"/>
    <w:rsid w:val="00885878"/>
    <w:rPr>
      <w:i/>
      <w:vertAlign w:val="superscript"/>
    </w:rPr>
  </w:style>
  <w:style w:type="character" w:customStyle="1" w:styleId="SupItalicUnderline">
    <w:name w:val="SupItalicUnderline"/>
    <w:uiPriority w:val="1"/>
    <w:rsid w:val="00885878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885878"/>
    <w:rPr>
      <w:u w:val="single"/>
      <w:vertAlign w:val="superscript"/>
    </w:rPr>
  </w:style>
  <w:style w:type="paragraph" w:customStyle="1" w:styleId="Normal24a">
    <w:name w:val="Normal24a"/>
    <w:basedOn w:val="Normal"/>
    <w:rsid w:val="00885878"/>
    <w:pPr>
      <w:spacing w:after="480"/>
    </w:pPr>
  </w:style>
  <w:style w:type="paragraph" w:customStyle="1" w:styleId="Normal12a24b">
    <w:name w:val="Normal12a24b"/>
    <w:basedOn w:val="Normal"/>
    <w:rsid w:val="00885878"/>
    <w:pPr>
      <w:spacing w:before="360" w:after="240"/>
    </w:pPr>
    <w:rPr>
      <w:snapToGrid w:val="0"/>
      <w:lang w:eastAsia="en-US"/>
    </w:rPr>
  </w:style>
  <w:style w:type="paragraph" w:customStyle="1" w:styleId="NormalTab">
    <w:name w:val="NormalTab"/>
    <w:basedOn w:val="Normal"/>
    <w:rsid w:val="00885878"/>
    <w:pPr>
      <w:tabs>
        <w:tab w:val="center" w:pos="284"/>
        <w:tab w:val="left" w:pos="425"/>
      </w:tabs>
    </w:pPr>
  </w:style>
  <w:style w:type="paragraph" w:customStyle="1" w:styleId="RollCallVotes">
    <w:name w:val="RollCallVotes"/>
    <w:basedOn w:val="Normal"/>
    <w:rsid w:val="0088587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8587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8587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85878"/>
    <w:pPr>
      <w:spacing w:before="120" w:after="120"/>
    </w:pPr>
    <w:rPr>
      <w:snapToGrid w:val="0"/>
      <w:sz w:val="16"/>
      <w:lang w:eastAsia="en-US"/>
    </w:rPr>
  </w:style>
  <w:style w:type="paragraph" w:styleId="ListParagraph">
    <w:name w:val="List Paragraph"/>
    <w:basedOn w:val="Normal"/>
    <w:uiPriority w:val="34"/>
    <w:qFormat/>
    <w:rsid w:val="00885878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NoSpacing">
    <w:name w:val="No Spacing"/>
    <w:uiPriority w:val="1"/>
    <w:qFormat/>
    <w:rsid w:val="00885878"/>
    <w:pPr>
      <w:jc w:val="both"/>
    </w:pPr>
    <w:rPr>
      <w:rFonts w:eastAsiaTheme="minorHAnsi"/>
      <w:sz w:val="24"/>
      <w:szCs w:val="24"/>
      <w:lang w:val="cs-CZ" w:eastAsia="en-US"/>
    </w:rPr>
  </w:style>
  <w:style w:type="paragraph" w:styleId="NormalWeb">
    <w:name w:val="Normal (Web)"/>
    <w:basedOn w:val="Normal"/>
    <w:uiPriority w:val="99"/>
    <w:unhideWhenUsed/>
    <w:rsid w:val="00885878"/>
    <w:pPr>
      <w:widowControl/>
      <w:spacing w:before="100" w:beforeAutospacing="1" w:after="100" w:afterAutospacing="1"/>
    </w:pPr>
    <w:rPr>
      <w:rFonts w:eastAsiaTheme="minorEastAsia"/>
      <w:szCs w:val="24"/>
    </w:rPr>
  </w:style>
  <w:style w:type="character" w:customStyle="1" w:styleId="NormalHanging12aChar">
    <w:name w:val="NormalHanging12a Char"/>
    <w:basedOn w:val="DefaultParagraphFont"/>
    <w:link w:val="NormalHanging12a"/>
    <w:rsid w:val="00885878"/>
    <w:rPr>
      <w:snapToGrid w:val="0"/>
      <w:sz w:val="24"/>
      <w:lang w:val="cs-CZ" w:eastAsia="en-US"/>
    </w:rPr>
  </w:style>
  <w:style w:type="paragraph" w:customStyle="1" w:styleId="Footprint12b">
    <w:name w:val="Footprint12b"/>
    <w:basedOn w:val="Normal"/>
    <w:rsid w:val="00885878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885878"/>
    <w:rPr>
      <w:szCs w:val="24"/>
    </w:rPr>
  </w:style>
  <w:style w:type="character" w:styleId="Hyperlink">
    <w:name w:val="Hyperlink"/>
    <w:basedOn w:val="DefaultParagraphFont"/>
    <w:unhideWhenUsed/>
    <w:rsid w:val="00885878"/>
    <w:rPr>
      <w:color w:val="0563C1" w:themeColor="hyperlink"/>
      <w:u w:val="single"/>
    </w:rPr>
  </w:style>
  <w:style w:type="paragraph" w:styleId="Footer">
    <w:name w:val="footer"/>
    <w:basedOn w:val="Normal"/>
    <w:link w:val="FooterChar"/>
    <w:unhideWhenUsed/>
    <w:rsid w:val="00885878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FooterChar">
    <w:name w:val="Footer Char"/>
    <w:basedOn w:val="DefaultParagraphFont"/>
    <w:link w:val="Footer"/>
    <w:rsid w:val="00885878"/>
    <w:rPr>
      <w:snapToGrid w:val="0"/>
      <w:sz w:val="24"/>
      <w:lang w:val="cs-CZ" w:eastAsia="en-US"/>
    </w:rPr>
  </w:style>
  <w:style w:type="paragraph" w:styleId="BalloonText">
    <w:name w:val="Balloon Text"/>
    <w:basedOn w:val="Normal"/>
    <w:link w:val="BalloonTextChar"/>
    <w:unhideWhenUsed/>
    <w:rsid w:val="00885878"/>
    <w:rPr>
      <w:rFonts w:ascii="Segoe UI" w:hAnsi="Segoe UI" w:cs="Segoe UI"/>
      <w:snapToGrid w:val="0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885878"/>
    <w:rPr>
      <w:rFonts w:ascii="Segoe UI" w:hAnsi="Segoe UI" w:cs="Segoe UI"/>
      <w:snapToGrid w:val="0"/>
      <w:sz w:val="18"/>
      <w:szCs w:val="18"/>
      <w:lang w:val="cs-CZ" w:eastAsia="en-US"/>
    </w:rPr>
  </w:style>
  <w:style w:type="character" w:styleId="CommentReference">
    <w:name w:val="annotation reference"/>
    <w:basedOn w:val="DefaultParagraphFont"/>
    <w:unhideWhenUsed/>
    <w:rsid w:val="0088587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85878"/>
    <w:rPr>
      <w:snapToGrid w:val="0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885878"/>
    <w:rPr>
      <w:snapToGrid w:val="0"/>
      <w:lang w:val="cs-CZ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858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85878"/>
    <w:rPr>
      <w:b/>
      <w:bCs/>
      <w:snapToGrid w:val="0"/>
      <w:lang w:val="cs-CZ" w:eastAsia="en-US"/>
    </w:rPr>
  </w:style>
  <w:style w:type="character" w:styleId="FollowedHyperlink">
    <w:name w:val="FollowedHyperlink"/>
    <w:basedOn w:val="DefaultParagraphFont"/>
    <w:rsid w:val="0019281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06/1367/oj" TargetMode="External"/><Relationship Id="rId3" Type="http://schemas.openxmlformats.org/officeDocument/2006/relationships/hyperlink" Target="http://data.europa.eu/eli/dir/2019/1937/oj" TargetMode="External"/><Relationship Id="rId7" Type="http://schemas.openxmlformats.org/officeDocument/2006/relationships/hyperlink" Target="http://data.europa.eu/eli/reg/2001/1049/oj" TargetMode="External"/><Relationship Id="rId2" Type="http://schemas.openxmlformats.org/officeDocument/2006/relationships/hyperlink" Target="http://data.europa.eu/eli/reg/2021/523/oj" TargetMode="External"/><Relationship Id="rId1" Type="http://schemas.openxmlformats.org/officeDocument/2006/relationships/hyperlink" Target="http://data.europa.eu/eli/reg/2001/1049/oj" TargetMode="External"/><Relationship Id="rId6" Type="http://schemas.openxmlformats.org/officeDocument/2006/relationships/hyperlink" Target="http://data.europa.eu/eli/dir/2013/36/oj" TargetMode="External"/><Relationship Id="rId5" Type="http://schemas.openxmlformats.org/officeDocument/2006/relationships/hyperlink" Target="http://data.europa.eu/eli/reg/2013/575/oj" TargetMode="External"/><Relationship Id="rId4" Type="http://schemas.openxmlformats.org/officeDocument/2006/relationships/hyperlink" Target="http://data.europa.eu/eli/C/2024/40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DECE6-EC47-4B29-B5C9-A824A688A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9971</Words>
  <Characters>58811</Characters>
  <Application>Microsoft Office Word</Application>
  <DocSecurity>0</DocSecurity>
  <Lines>1306</Lines>
  <Paragraphs>625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68157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SOCHOROVA Lenka</cp:lastModifiedBy>
  <cp:revision>2</cp:revision>
  <cp:lastPrinted>2004-11-19T15:42:00Z</cp:lastPrinted>
  <dcterms:created xsi:type="dcterms:W3CDTF">2025-06-11T16:28:00Z</dcterms:created>
  <dcterms:modified xsi:type="dcterms:W3CDTF">2025-06-11T16:28:00Z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A10-0068/2025</vt:lpwstr>
  </property>
  <property fmtid="{D5CDD505-2E9C-101B-9397-08002B2CF9AE}" pid="4" name="&lt;Type&gt;">
    <vt:lpwstr>RR</vt:lpwstr>
  </property>
</Properties>
</file>