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199C" w14:paraId="3F7BD0CA" w14:textId="77777777" w:rsidTr="0010095E">
        <w:trPr>
          <w:trHeight w:hRule="exact" w:val="1418"/>
        </w:trPr>
        <w:tc>
          <w:tcPr>
            <w:tcW w:w="6804" w:type="dxa"/>
            <w:shd w:val="clear" w:color="auto" w:fill="auto"/>
            <w:vAlign w:val="center"/>
          </w:tcPr>
          <w:p w14:paraId="22CF6A53" w14:textId="77777777" w:rsidR="00751A4A" w:rsidRPr="0095199C" w:rsidRDefault="00E22F14" w:rsidP="0010095E">
            <w:pPr>
              <w:pStyle w:val="EPName"/>
            </w:pPr>
            <w:r w:rsidRPr="0095199C">
              <w:t>Europa-Parlamentet</w:t>
            </w:r>
          </w:p>
          <w:p w14:paraId="0A2EB2CF" w14:textId="77777777" w:rsidR="00751A4A" w:rsidRPr="0095199C" w:rsidRDefault="005F1B17" w:rsidP="005F1B17">
            <w:pPr>
              <w:pStyle w:val="EPTerm"/>
              <w:rPr>
                <w:rStyle w:val="HideTWBExt"/>
                <w:noProof w:val="0"/>
                <w:vanish w:val="0"/>
                <w:color w:val="auto"/>
              </w:rPr>
            </w:pPr>
            <w:r w:rsidRPr="0095199C">
              <w:t>2024</w:t>
            </w:r>
            <w:r w:rsidR="00817416" w:rsidRPr="0095199C">
              <w:t>-202</w:t>
            </w:r>
            <w:r w:rsidRPr="0095199C">
              <w:t>9</w:t>
            </w:r>
          </w:p>
        </w:tc>
        <w:tc>
          <w:tcPr>
            <w:tcW w:w="2268" w:type="dxa"/>
            <w:shd w:val="clear" w:color="auto" w:fill="auto"/>
          </w:tcPr>
          <w:p w14:paraId="3C8E706D" w14:textId="77777777" w:rsidR="00751A4A" w:rsidRPr="0095199C" w:rsidRDefault="00187494" w:rsidP="0010095E">
            <w:pPr>
              <w:pStyle w:val="EPLogo"/>
            </w:pPr>
            <w:r w:rsidRPr="0095199C">
              <w:rPr>
                <w:noProof/>
                <w:lang w:val="en-GB"/>
              </w:rPr>
              <w:drawing>
                <wp:inline distT="0" distB="0" distL="0" distR="0" wp14:anchorId="64DE231B" wp14:editId="38F59E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05A69C" w14:textId="77777777" w:rsidR="00D058B8" w:rsidRPr="0095199C" w:rsidRDefault="00D058B8" w:rsidP="004C5D52">
      <w:pPr>
        <w:pStyle w:val="LineTop"/>
      </w:pPr>
    </w:p>
    <w:p w14:paraId="4FD55E40" w14:textId="77777777" w:rsidR="00680577" w:rsidRPr="0095199C" w:rsidRDefault="00E22F14" w:rsidP="00680577">
      <w:pPr>
        <w:pStyle w:val="EPBodyTA1"/>
      </w:pPr>
      <w:r w:rsidRPr="0095199C">
        <w:t>VEDTAGNE TEKSTER</w:t>
      </w:r>
    </w:p>
    <w:p w14:paraId="478DA434" w14:textId="77777777" w:rsidR="00D058B8" w:rsidRPr="0095199C" w:rsidRDefault="00D058B8" w:rsidP="00D058B8">
      <w:pPr>
        <w:pStyle w:val="LineBottom"/>
      </w:pPr>
    </w:p>
    <w:p w14:paraId="1FE12866" w14:textId="79DA9434" w:rsidR="00E22F14" w:rsidRPr="0095199C" w:rsidRDefault="00E22F14" w:rsidP="00E22F14">
      <w:pPr>
        <w:pStyle w:val="ATHeading1"/>
      </w:pPr>
      <w:bookmarkStart w:id="0" w:name="TANumber"/>
      <w:r w:rsidRPr="0095199C">
        <w:t>P10_TA(2025)00</w:t>
      </w:r>
      <w:bookmarkEnd w:id="0"/>
      <w:r w:rsidR="00B34464">
        <w:t>76</w:t>
      </w:r>
    </w:p>
    <w:p w14:paraId="1BD78BCD" w14:textId="77777777" w:rsidR="00E22F14" w:rsidRPr="0095199C" w:rsidRDefault="001471FE" w:rsidP="001471FE">
      <w:pPr>
        <w:pStyle w:val="ATHeading2"/>
      </w:pPr>
      <w:r>
        <w:t>Kontrol med Den Europæiske Investeringsbanks finansielle aktiviteter – årsberetning 2023</w:t>
      </w:r>
    </w:p>
    <w:p w14:paraId="371AFA89" w14:textId="77777777" w:rsidR="00E22F14" w:rsidRPr="0095199C" w:rsidRDefault="00E22F14" w:rsidP="00E22F14">
      <w:pPr>
        <w:rPr>
          <w:i/>
          <w:vanish/>
        </w:rPr>
      </w:pPr>
      <w:r w:rsidRPr="0095199C">
        <w:rPr>
          <w:i/>
        </w:rPr>
        <w:fldChar w:fldCharType="begin"/>
      </w:r>
      <w:r w:rsidRPr="0095199C">
        <w:rPr>
          <w:i/>
        </w:rPr>
        <w:instrText xml:space="preserve"> TC"(</w:instrText>
      </w:r>
      <w:bookmarkStart w:id="1" w:name="DocNumber"/>
      <w:r w:rsidRPr="0095199C">
        <w:rPr>
          <w:i/>
        </w:rPr>
        <w:instrText>A10-0068/2025</w:instrText>
      </w:r>
      <w:bookmarkEnd w:id="1"/>
      <w:r w:rsidRPr="0095199C">
        <w:rPr>
          <w:i/>
        </w:rPr>
        <w:instrText xml:space="preserve"> - Ordfører: Ondřej Knotek)"\l3 \n&gt; \* MERGEFORMAT </w:instrText>
      </w:r>
      <w:r w:rsidRPr="0095199C">
        <w:rPr>
          <w:i/>
        </w:rPr>
        <w:fldChar w:fldCharType="end"/>
      </w:r>
    </w:p>
    <w:p w14:paraId="210A230D" w14:textId="77777777" w:rsidR="00E22F14" w:rsidRPr="0095199C" w:rsidRDefault="00E22F14" w:rsidP="00E22F14">
      <w:pPr>
        <w:rPr>
          <w:vanish/>
        </w:rPr>
      </w:pPr>
      <w:bookmarkStart w:id="2" w:name="Commission"/>
      <w:r w:rsidRPr="0095199C">
        <w:rPr>
          <w:vanish/>
        </w:rPr>
        <w:t>Budgetkontroludvalget</w:t>
      </w:r>
      <w:bookmarkEnd w:id="2"/>
    </w:p>
    <w:p w14:paraId="1CEF75ED" w14:textId="77777777" w:rsidR="00E22F14" w:rsidRPr="0095199C" w:rsidRDefault="00E22F14" w:rsidP="00E22F14">
      <w:pPr>
        <w:rPr>
          <w:vanish/>
        </w:rPr>
      </w:pPr>
      <w:bookmarkStart w:id="3" w:name="PE"/>
      <w:r w:rsidRPr="0095199C">
        <w:rPr>
          <w:vanish/>
        </w:rPr>
        <w:t>PE769.944</w:t>
      </w:r>
      <w:bookmarkEnd w:id="3"/>
    </w:p>
    <w:p w14:paraId="298BD486" w14:textId="1111CC36" w:rsidR="00E22F14" w:rsidRPr="0095199C" w:rsidRDefault="00E22F14" w:rsidP="00E22F14">
      <w:pPr>
        <w:pStyle w:val="ATHeading3"/>
      </w:pPr>
      <w:bookmarkStart w:id="4" w:name="Sujet"/>
      <w:r w:rsidRPr="0095199C">
        <w:t xml:space="preserve">Europa-Parlamentets beslutning af </w:t>
      </w:r>
      <w:r w:rsidR="00F84F9E">
        <w:t>6</w:t>
      </w:r>
      <w:r w:rsidRPr="0095199C">
        <w:t>.</w:t>
      </w:r>
      <w:r w:rsidR="00F84F9E">
        <w:t xml:space="preserve"> maj</w:t>
      </w:r>
      <w:r w:rsidRPr="0095199C">
        <w:t xml:space="preserve"> 2025 om kontrol med Den Europæiske Investeringsbanks finansielle aktiviteter – årsberetning 2023</w:t>
      </w:r>
      <w:bookmarkEnd w:id="4"/>
      <w:r w:rsidRPr="0095199C">
        <w:t xml:space="preserve"> </w:t>
      </w:r>
      <w:bookmarkStart w:id="5" w:name="References"/>
      <w:r w:rsidRPr="0095199C">
        <w:t>(2024/2052(INI))</w:t>
      </w:r>
      <w:bookmarkEnd w:id="5"/>
    </w:p>
    <w:p w14:paraId="7464E0D5" w14:textId="77777777" w:rsidR="00486513" w:rsidRPr="0095199C" w:rsidRDefault="00486513" w:rsidP="00486513">
      <w:pPr>
        <w:pStyle w:val="EPComma"/>
      </w:pPr>
      <w:r w:rsidRPr="0095199C">
        <w:rPr>
          <w:rStyle w:val="Italic"/>
        </w:rPr>
        <w:t>Europa-Parlamentet,</w:t>
      </w:r>
    </w:p>
    <w:p w14:paraId="5D124882" w14:textId="77777777" w:rsidR="00F84F9E" w:rsidRDefault="00486513" w:rsidP="00486513">
      <w:pPr>
        <w:pStyle w:val="NormalHanging12a"/>
      </w:pPr>
      <w:r w:rsidRPr="0095199C">
        <w:t>–</w:t>
      </w:r>
      <w:r w:rsidRPr="0095199C">
        <w:tab/>
        <w:t>der henviser til aktivitetsrapporten for 2023 fra Den Europæiske Investeringsbank-Gruppen ("EIB-Gruppen") af 1. februar 2024 med titlen "A Blueprint for Sustainable Living" (En plan for en bæredygtig livsstil) og til EIB-Gruppens dokument af 2. februar 2023 med titlen "EIB Group Operational Plan 2023-2025" (EIB-Gruppens forretningsplan for 2023-2025),</w:t>
      </w:r>
    </w:p>
    <w:p w14:paraId="21748A41" w14:textId="77777777" w:rsidR="00486513" w:rsidRPr="0095199C" w:rsidRDefault="00F84F9E" w:rsidP="00486513">
      <w:pPr>
        <w:pStyle w:val="NormalHanging12a"/>
      </w:pPr>
      <w:r w:rsidRPr="0095199C">
        <w:t>–</w:t>
      </w:r>
      <w:r w:rsidR="00486513" w:rsidRPr="0095199C">
        <w:tab/>
        <w:t>der henviser til Den Europæiske Investeringsbanks ("EIB's", "bankens") investeringsrapport 2023/2024 med titlen "Transforming for competitiveness" (Forandring med henblik på konkurrenceevne), som blev offentliggjort den 7. februar 2024,</w:t>
      </w:r>
    </w:p>
    <w:p w14:paraId="0EE8B017" w14:textId="77777777" w:rsidR="00486513" w:rsidRPr="0095199C" w:rsidRDefault="00486513" w:rsidP="00486513">
      <w:pPr>
        <w:pStyle w:val="NormalHanging12a"/>
      </w:pPr>
      <w:r w:rsidRPr="0095199C">
        <w:t>–</w:t>
      </w:r>
      <w:r w:rsidRPr="0095199C">
        <w:tab/>
        <w:t>der henviser til EIB's dokument af 8. maj 2023 med titlen "Mid-term review of the EIB Energy Lending Policy" (Midtvejsevaluering af EIB's energiudlånspolitik),</w:t>
      </w:r>
    </w:p>
    <w:p w14:paraId="0FB818FB" w14:textId="77777777" w:rsidR="00486513" w:rsidRPr="0095199C" w:rsidRDefault="00486513" w:rsidP="00486513">
      <w:pPr>
        <w:pStyle w:val="NormalHanging12a"/>
      </w:pPr>
      <w:r w:rsidRPr="0095199C">
        <w:t>–</w:t>
      </w:r>
      <w:r w:rsidRPr="0095199C">
        <w:tab/>
        <w:t>der henviser til rapporten om gennemførelsen af EIB-Gruppens gennemsigtighedspolitik i 2023, som blev offentliggjort den 1. juli 2024,</w:t>
      </w:r>
    </w:p>
    <w:p w14:paraId="24A3189F" w14:textId="77777777" w:rsidR="00486513" w:rsidRPr="0095199C" w:rsidRDefault="00486513" w:rsidP="00486513">
      <w:pPr>
        <w:pStyle w:val="NormalHanging12a"/>
      </w:pPr>
      <w:r w:rsidRPr="0095199C">
        <w:t>–</w:t>
      </w:r>
      <w:r w:rsidRPr="0095199C">
        <w:tab/>
        <w:t>der henviser til EIB-Gruppens dokument af 27. november 2023 med titlen "The EIB Group PATH Framework – Version 1.2 November 2023 – Supporting counterparties on their pathways to align with the Paris Agreement" (Støtte til modparter i deres bestræbelser på at tilpasse sig Parisaftalen),</w:t>
      </w:r>
    </w:p>
    <w:p w14:paraId="1FF45186" w14:textId="77777777" w:rsidR="00486513" w:rsidRPr="0095199C" w:rsidRDefault="00486513" w:rsidP="00486513">
      <w:pPr>
        <w:pStyle w:val="NormalHanging12a"/>
      </w:pPr>
      <w:r w:rsidRPr="0095199C">
        <w:t>–</w:t>
      </w:r>
      <w:r w:rsidRPr="0095199C">
        <w:tab/>
        <w:t>der henviser til EIB-Gruppens og EIB's dokumenter af 21. juni 2024 med titlen "EIB Group 2024-2027 Strategic Roadmap" og af 29. november 2023 med titlen "EIB Global Strategic Roadmap" (EIB-Gruppens og EIB Globals strategiske køreplaner),</w:t>
      </w:r>
    </w:p>
    <w:p w14:paraId="7AE83946" w14:textId="77777777" w:rsidR="00486513" w:rsidRPr="0095199C" w:rsidRDefault="00486513" w:rsidP="00486513">
      <w:pPr>
        <w:pStyle w:val="NormalHanging12a"/>
      </w:pPr>
      <w:r w:rsidRPr="0095199C">
        <w:t>–</w:t>
      </w:r>
      <w:r w:rsidRPr="0095199C">
        <w:tab/>
        <w:t>der henviser til EIB-Gruppens bæredygtighedsrapport for 2023, som blev offentliggjort den 25. juli 2024,</w:t>
      </w:r>
    </w:p>
    <w:p w14:paraId="39EA2A17" w14:textId="77777777" w:rsidR="00486513" w:rsidRPr="0095199C" w:rsidRDefault="00486513" w:rsidP="00486513">
      <w:pPr>
        <w:pStyle w:val="NormalHanging12a"/>
      </w:pPr>
      <w:r w:rsidRPr="0095199C">
        <w:lastRenderedPageBreak/>
        <w:t>–</w:t>
      </w:r>
      <w:r w:rsidRPr="0095199C">
        <w:tab/>
        <w:t>der henviser til EIB's orienterende note af 6. februar 2023 med titlen "The European Investment Bank's approach to human rights" (Den Europæiske Investeringsbanks tilgang til menneskerettigheder),</w:t>
      </w:r>
    </w:p>
    <w:p w14:paraId="675D9157" w14:textId="77777777" w:rsidR="00486513" w:rsidRPr="0095199C" w:rsidRDefault="00486513" w:rsidP="00486513">
      <w:pPr>
        <w:pStyle w:val="NormalHanging12a"/>
      </w:pPr>
      <w:r w:rsidRPr="0095199C">
        <w:t>–</w:t>
      </w:r>
      <w:r w:rsidRPr="0095199C">
        <w:tab/>
        <w:t>der henviser til EIB-Gruppens rapport om klagemekanismen for 2023, som blev offentliggjort den 10. juni 2024,</w:t>
      </w:r>
    </w:p>
    <w:p w14:paraId="0B9DA068" w14:textId="77777777" w:rsidR="00486513" w:rsidRPr="0095199C" w:rsidRDefault="00486513" w:rsidP="00486513">
      <w:pPr>
        <w:pStyle w:val="NormalHanging12a"/>
      </w:pPr>
      <w:r w:rsidRPr="0095199C">
        <w:t>–</w:t>
      </w:r>
      <w:r w:rsidRPr="0095199C">
        <w:tab/>
        <w:t>der henviser til EIB-gruppens dokument af 14. oktober 2024 med titlen "Diversity, Equity and Inclusion at the EIB Group" (Diversitet, lighed og inklusion i EIB-Gruppen),</w:t>
      </w:r>
    </w:p>
    <w:p w14:paraId="391F7B8A" w14:textId="77777777" w:rsidR="00486513" w:rsidRPr="0095199C" w:rsidRDefault="00486513" w:rsidP="00486513">
      <w:pPr>
        <w:pStyle w:val="NormalHanging12a"/>
      </w:pPr>
      <w:r w:rsidRPr="0095199C">
        <w:t>–</w:t>
      </w:r>
      <w:r w:rsidRPr="0095199C">
        <w:tab/>
        <w:t>der henviser til EIB's publikation af 23. september 2024 med titlen "EIB Audit Committee Annual Reports for the year 2023" (EIB's revisionsudvalgs årsrapporter for 2023),</w:t>
      </w:r>
    </w:p>
    <w:p w14:paraId="07D33B19" w14:textId="77777777" w:rsidR="00F009EB" w:rsidRDefault="00486513" w:rsidP="00486513">
      <w:pPr>
        <w:pStyle w:val="NormalHanging12a"/>
      </w:pPr>
      <w:r w:rsidRPr="0095199C">
        <w:t>–</w:t>
      </w:r>
      <w:r w:rsidRPr="0095199C">
        <w:tab/>
        <w:t>der henviser til EIB-Gruppens rapport af 15. juli 2024 med titlen "EIB Group activities in EU cohesion regions 2023" (EIB-Gruppens aktiviteter i EU's samhørighedsregioner 2023),</w:t>
      </w:r>
    </w:p>
    <w:p w14:paraId="4D8ED904" w14:textId="77777777" w:rsidR="00486513" w:rsidRPr="0095199C" w:rsidRDefault="00F009EB" w:rsidP="00486513">
      <w:pPr>
        <w:pStyle w:val="NormalHanging12a"/>
      </w:pPr>
      <w:r w:rsidRPr="0095199C">
        <w:t>–</w:t>
      </w:r>
      <w:r w:rsidR="00486513" w:rsidRPr="0095199C">
        <w:tab/>
        <w:t>der henviser til EIB's rapport af 19. oktober 2023 med titlen "EIB Investment Survey 2023 – European Union overview" (EIB's investeringsundersøgelse for 2023 – oversigt over aktiviteter i EU),</w:t>
      </w:r>
    </w:p>
    <w:p w14:paraId="7C284B5C" w14:textId="77777777" w:rsidR="00486513" w:rsidRPr="0095199C" w:rsidRDefault="00486513" w:rsidP="00486513">
      <w:pPr>
        <w:pStyle w:val="NormalHanging12a"/>
      </w:pPr>
      <w:r w:rsidRPr="0095199C">
        <w:t xml:space="preserve"> –</w:t>
      </w:r>
      <w:r w:rsidRPr="0095199C">
        <w:tab/>
        <w:t>der henviser til EIB-Gruppens rapport af 26. juni 2024 med titlen "EIB Group support for EU businesses: Evidence of impact in addressing market failures" (EIB-Gruppens støtte til EU-virksomheder: dokumentation for indvirkning af afhjælpning af markedssvigt),</w:t>
      </w:r>
    </w:p>
    <w:p w14:paraId="30E0119E" w14:textId="77777777" w:rsidR="00486513" w:rsidRPr="0095199C" w:rsidRDefault="00486513" w:rsidP="00486513">
      <w:pPr>
        <w:pStyle w:val="NormalHanging12a"/>
      </w:pPr>
      <w:r w:rsidRPr="0095199C">
        <w:t>–</w:t>
      </w:r>
      <w:r w:rsidRPr="0095199C">
        <w:tab/>
        <w:t>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forsvarsindustri i Europa"(JOIN(2024)0010),</w:t>
      </w:r>
    </w:p>
    <w:p w14:paraId="1F10A45B" w14:textId="77777777" w:rsidR="00486513" w:rsidRPr="0095199C" w:rsidRDefault="00486513" w:rsidP="00486513">
      <w:pPr>
        <w:pStyle w:val="NormalHanging12a"/>
      </w:pPr>
      <w:r w:rsidRPr="0095199C">
        <w:t>–</w:t>
      </w:r>
      <w:r w:rsidRPr="0095199C">
        <w:tab/>
        <w:t>der henviser til Den Europæiske Revisionsrets særberetning 22/2024 med titlen "Dobbeltfinansiering fra EU-budgettet",</w:t>
      </w:r>
    </w:p>
    <w:p w14:paraId="5C7DF53F" w14:textId="77777777" w:rsidR="00486513" w:rsidRPr="0095199C" w:rsidRDefault="00486513" w:rsidP="00486513">
      <w:pPr>
        <w:pStyle w:val="NormalHanging12a"/>
      </w:pPr>
      <w:r w:rsidRPr="0095199C">
        <w:t>–</w:t>
      </w:r>
      <w:r w:rsidRPr="0095199C">
        <w:tab/>
        <w:t>der henviser til EIB-Gruppens rapport af 29. december 2023 med titlen "European Investment Bank Group Risk Management Disclosure Report – June 2023" (EIB-Gruppens rapport om risikovurdering – juni 2023),</w:t>
      </w:r>
    </w:p>
    <w:p w14:paraId="673668F2" w14:textId="77777777" w:rsidR="00486513" w:rsidRPr="0095199C" w:rsidRDefault="00486513" w:rsidP="00486513">
      <w:pPr>
        <w:pStyle w:val="NormalHanging12a"/>
      </w:pPr>
      <w:r w:rsidRPr="0095199C">
        <w:t>–</w:t>
      </w:r>
      <w:r w:rsidRPr="0095199C">
        <w:tab/>
        <w:t>der henviser til den fælles meddelelse af 19. marts 2025 fra Kommissionen og den højtstående repræsentant for udenrigsanliggender og sikkerhedspolitik med titlen "Hvidbog om fremtiden for det europæiske forsvar 2030" (JOIN(2025)0120),</w:t>
      </w:r>
    </w:p>
    <w:p w14:paraId="2D64FDCE" w14:textId="77777777" w:rsidR="00486513" w:rsidRPr="0095199C" w:rsidRDefault="00486513" w:rsidP="00486513">
      <w:pPr>
        <w:pStyle w:val="NormalHanging12a"/>
      </w:pPr>
      <w:r w:rsidRPr="0095199C">
        <w:t>–</w:t>
      </w:r>
      <w:r w:rsidRPr="0095199C">
        <w:tab/>
        <w:t>der henviser til forretningsordenens artikel 55,</w:t>
      </w:r>
    </w:p>
    <w:p w14:paraId="1669A546" w14:textId="77777777" w:rsidR="00486513" w:rsidRPr="0095199C" w:rsidRDefault="00486513" w:rsidP="00486513">
      <w:pPr>
        <w:pStyle w:val="NormalHanging12a"/>
      </w:pPr>
      <w:r w:rsidRPr="0095199C">
        <w:t>–</w:t>
      </w:r>
      <w:r w:rsidRPr="0095199C">
        <w:tab/>
        <w:t>der henviser til betænkning fra Budgetkontroludvalget (A10-0068/2025),</w:t>
      </w:r>
    </w:p>
    <w:p w14:paraId="6DF6354F" w14:textId="77777777" w:rsidR="00486513" w:rsidRPr="0095199C" w:rsidRDefault="00486513" w:rsidP="00486513">
      <w:pPr>
        <w:pStyle w:val="NormalHanging12a"/>
      </w:pPr>
      <w:r w:rsidRPr="0095199C">
        <w:t>A.</w:t>
      </w:r>
      <w:r w:rsidRPr="0095199C">
        <w:tab/>
        <w:t xml:space="preserve">der henviser til, at EIB-Gruppen omfatter EIB og Den Europæiske Investeringsfond (EIF); der henviser til, at EIB er verdens største multilaterale udviklingsbank; der henviser til, at EIB i henhold til traktaten er forpligtet til at bidrage til EU-integration; der henviser til, at EIB's vigtigste prioriteter omfatter finansiering af projekter til fremme af europæisk integration og social samhørighed; der henviser til, at EIF </w:t>
      </w:r>
      <w:r w:rsidRPr="0095199C">
        <w:lastRenderedPageBreak/>
        <w:t>fungerer som et særligt organ til støtte for Den Europæiske Unions politiske mål på områderne iværksætteri, jobskabelse og økonomisk samhørighed;</w:t>
      </w:r>
    </w:p>
    <w:p w14:paraId="19681176" w14:textId="77777777" w:rsidR="00486513" w:rsidRPr="0095199C" w:rsidRDefault="00486513" w:rsidP="00486513">
      <w:pPr>
        <w:pStyle w:val="NormalHanging12a"/>
      </w:pPr>
      <w:r w:rsidRPr="0095199C">
        <w:t>B.</w:t>
      </w:r>
      <w:r w:rsidRPr="0095199C">
        <w:tab/>
        <w:t>der henviser til, at EIB som en bank, der ejes af EU-medlemsstaterne, forvaltes af et styrelsesråd, en bestyrelse og en direktion, og den har solide interne mekanismer for ansvarlighed, ledelse og revision; der henviser til, at EIF ejes af EIB (60 %), EU (30 %) og finansielle institutioner (10 %) fra medlemsstaterne, Det Forenede Kongerige og Tyrkiet og forvaltes af aktionærernes generalforsamling i EIF, bestyrelsen og den administrerende direktør og har uafhængige interne mekanismer for ansvarlighed, ledelse og revision, hvoraf nogle deles på gruppeniveau;</w:t>
      </w:r>
    </w:p>
    <w:p w14:paraId="487295C9" w14:textId="77777777" w:rsidR="00486513" w:rsidRPr="0095199C" w:rsidRDefault="00486513" w:rsidP="00486513">
      <w:pPr>
        <w:pStyle w:val="NormalHanging12a"/>
      </w:pPr>
      <w:r w:rsidRPr="0095199C">
        <w:t>C.</w:t>
      </w:r>
      <w:r w:rsidRPr="0095199C">
        <w:tab/>
        <w:t>der henviser til, at både EIB og EIF opererer på et konkurrencepræget marked, men at de som EU-organer er underlagt høje standarder for gennemsigtighed og inddragelse af interessenter;</w:t>
      </w:r>
    </w:p>
    <w:p w14:paraId="6EE92984" w14:textId="77777777" w:rsidR="00486513" w:rsidRPr="0095199C" w:rsidRDefault="00486513" w:rsidP="00486513">
      <w:pPr>
        <w:pStyle w:val="NormalHanging12a"/>
      </w:pPr>
      <w:r w:rsidRPr="0095199C">
        <w:t>D.</w:t>
      </w:r>
      <w:r w:rsidRPr="0095199C">
        <w:tab/>
        <w:t>der henviser til, at EIB-Gruppen fremmer EU's politikker både i og uden for EU og arbejder tæt sammen med andre EU-institutioner og nationale institutioner og tilpasser sin finansiering til EU's politiske prioriteter; der henviser til, at EIB-Gruppen skitserede otte strategiske prioriteter i sin strategiske køreplan for 2024-2027: klimaindsats, digital omstilling, forsvar, samhørighed, landbrug, social infrastruktur, ekstern finansiering og fremme af kapitalmarkedsunionen</w:t>
      </w:r>
    </w:p>
    <w:p w14:paraId="01EAA392" w14:textId="77777777" w:rsidR="00486513" w:rsidRPr="0095199C" w:rsidRDefault="00486513" w:rsidP="00486513">
      <w:pPr>
        <w:pStyle w:val="NormalHanging12a"/>
      </w:pPr>
      <w:r w:rsidRPr="0095199C">
        <w:t>E.</w:t>
      </w:r>
      <w:r w:rsidRPr="0095199C">
        <w:tab/>
        <w:t>der henviser til, at EIB også har til opgave at sikre ressourcer gennem låntagningsaktiviteter, som er afgørende for gennemførelsen af EU's politikker;</w:t>
      </w:r>
    </w:p>
    <w:p w14:paraId="2191B9D5" w14:textId="77777777" w:rsidR="00486513" w:rsidRPr="0095199C" w:rsidRDefault="00486513" w:rsidP="00486513">
      <w:pPr>
        <w:pStyle w:val="NormalHanging12a"/>
      </w:pPr>
      <w:r w:rsidRPr="0095199C">
        <w:t>F.</w:t>
      </w:r>
      <w:r w:rsidRPr="0095199C">
        <w:tab/>
        <w:t>der henviser til, at Det Europæiske Råds strategiske dagsorden for 2024-2029 giver EIB-Gruppen en styrket rolle som drivkraft for EU's forsvar og sikkerhed og understreger behovet for at styrke EU's konkurrenceevne og forbedre borgernes økonomiske og sociale velfærd gennem en betydelig kollektiv investeringsindsats, der mobiliserer både offentlig og privat finansiering;</w:t>
      </w:r>
    </w:p>
    <w:p w14:paraId="6E92F725" w14:textId="77777777" w:rsidR="00486513" w:rsidRPr="0095199C" w:rsidRDefault="00486513" w:rsidP="00486513">
      <w:pPr>
        <w:pStyle w:val="NormalHanging12a"/>
      </w:pPr>
      <w:r w:rsidRPr="0095199C">
        <w:t>G.</w:t>
      </w:r>
      <w:r w:rsidRPr="0095199C">
        <w:tab/>
        <w:t>der henviser til, at Draghirapporten om fremtiden for den europæiske konkurrenceevne</w:t>
      </w:r>
      <w:r w:rsidRPr="0095199C">
        <w:rPr>
          <w:rStyle w:val="FootnoteReference"/>
        </w:rPr>
        <w:footnoteReference w:id="1"/>
      </w:r>
      <w:r w:rsidRPr="0095199C">
        <w:t xml:space="preserve"> foreslog mange måder til at udvide EIB's rolle i finansieringen af EU's politikker og til at sætte EIB i stand til at påtage sig en større risiko;</w:t>
      </w:r>
    </w:p>
    <w:p w14:paraId="17204453" w14:textId="77777777" w:rsidR="00486513" w:rsidRPr="0095199C" w:rsidRDefault="00486513" w:rsidP="00486513">
      <w:pPr>
        <w:pStyle w:val="NormalHanging12a"/>
      </w:pPr>
      <w:r w:rsidRPr="0095199C">
        <w:t>H.</w:t>
      </w:r>
      <w:r w:rsidRPr="0095199C">
        <w:tab/>
        <w:t>der henviser til, at EIB-Gruppens hovedopgave er at styrke Europas potentiale for jobskabelse og økonomisk vækst; der henviser til, at dets investeringer bør tackle uligheder ved at forbedre adgangen til job, erhvervsuddannelsestilbud, boliger og uddannelse med henblik på at bekæmpe fattigdom og arbejdsløshed; der henviser til, at det er afgørende at overvinde hindringerne for finansiering for små og mellemstore virksomheder (SMV'er) og midcapselskaber; der henviser til, at offentlige udlåns- og garantiordninger fungerer som vigtige kontracykliske politiske værktøjer, især i forbindelse med økonomisk recession, og bidrager til at afbøde strukturelle markedssvigt;</w:t>
      </w:r>
    </w:p>
    <w:p w14:paraId="4BE9DD9F" w14:textId="77777777" w:rsidR="00486513" w:rsidRPr="0095199C" w:rsidRDefault="00486513" w:rsidP="00486513">
      <w:pPr>
        <w:pStyle w:val="NormalHanging12a"/>
      </w:pPr>
      <w:r w:rsidRPr="0095199C">
        <w:t>I.</w:t>
      </w:r>
      <w:r w:rsidRPr="0095199C">
        <w:tab/>
        <w:t xml:space="preserve">der henviser til, at EIB er en hjørnesten i den europæiske finansielle udviklingsstruktur og den største multilaterale långiver i EU's naboregioner, herunder de østlige nabolande, Vestbalkan, Mellemøsten og Nordafrika; der henviser til, at EIB forventes at bidrage til at lukke hullet inden for produktive investeringer mellem Europa og dets vigtigste </w:t>
      </w:r>
      <w:r w:rsidRPr="0095199C">
        <w:lastRenderedPageBreak/>
        <w:t>konkurrenter ved at øge investeringerne i innovation, kommunikationsteknologi og intellektuel ejendomsret;</w:t>
      </w:r>
    </w:p>
    <w:p w14:paraId="65E802D0" w14:textId="77777777" w:rsidR="00486513" w:rsidRPr="0095199C" w:rsidRDefault="00486513" w:rsidP="00486513">
      <w:pPr>
        <w:pStyle w:val="NormalHanging12a"/>
      </w:pPr>
      <w:r w:rsidRPr="0095199C">
        <w:t>J.</w:t>
      </w:r>
      <w:r w:rsidRPr="0095199C">
        <w:tab/>
        <w:t>der henviser til, at EU's politikmål og deres effektive gennemførelse i stigende grad afhænger af EIB-Gruppen; der henviser til, at dybden og kvaliteten af Parlamentets tilsyn med EIB's finansielle transaktioner derfor bør være i overensstemmelse med intensiteten af samarbejdet mellem EIB og Kommissionen, som er blevet meget stærkt;</w:t>
      </w:r>
    </w:p>
    <w:p w14:paraId="10C0CE8A" w14:textId="77777777" w:rsidR="00486513" w:rsidRPr="0095199C" w:rsidRDefault="00486513" w:rsidP="00486513">
      <w:pPr>
        <w:pStyle w:val="NormalHanging12a"/>
      </w:pPr>
      <w:r w:rsidRPr="0095199C">
        <w:t>K.</w:t>
      </w:r>
      <w:r w:rsidRPr="0095199C">
        <w:tab/>
        <w:t>der henviser til, at EIB's forretningsmodel kræver de højeste standarder for integritet, ansvarlighed og gennemsigtighed, og at robuste foranstaltninger skal gennemføres og regelmæssigt ajourføres for at bekæmpe økonomisk svig, korruption, hvidvask af penge, terrorisme, organiseret kriminalitet samt både momsunddragelse og momsundgåelse; der henviser til, at EIB-Gruppen har en kontrolramme, der har til formål at forebygge og afbøde risici for sanktioner;</w:t>
      </w:r>
    </w:p>
    <w:p w14:paraId="4FC049F7" w14:textId="77777777" w:rsidR="00486513" w:rsidRPr="0095199C" w:rsidRDefault="00486513" w:rsidP="00486513">
      <w:pPr>
        <w:pStyle w:val="NormalHanging12a"/>
      </w:pPr>
      <w:r w:rsidRPr="0095199C">
        <w:t>L.</w:t>
      </w:r>
      <w:r w:rsidRPr="0095199C">
        <w:tab/>
        <w:t>der henviser til, at EIB-Gruppen tilslutter sig Baselkomitéen for Banktilsyns definition af compliancerisiko med det formål at forebygge risikoen for retlige eller lovgivningsmæssige sanktioner, væsentlige økonomiske tab eller skade på omdømme; der henviser til, at banken træffer passende foranstaltninger til at afbøde sådanne risici ved at sikre streng overholdelse af retlige og lovgivningsmæssige rammer, både på EU-plan og internationalt plan;</w:t>
      </w:r>
    </w:p>
    <w:p w14:paraId="1EE26DA9" w14:textId="77777777" w:rsidR="00486513" w:rsidRPr="0095199C" w:rsidRDefault="00486513" w:rsidP="00486513">
      <w:pPr>
        <w:pStyle w:val="Normal12a24b"/>
      </w:pPr>
      <w:r w:rsidRPr="0095199C">
        <w:rPr>
          <w:rStyle w:val="BoldItalic"/>
        </w:rPr>
        <w:t>Finansielle transaktioner og præstation</w:t>
      </w:r>
    </w:p>
    <w:p w14:paraId="6F95B991" w14:textId="77777777" w:rsidR="00486513" w:rsidRPr="0095199C" w:rsidRDefault="00486513" w:rsidP="00486513">
      <w:pPr>
        <w:pStyle w:val="NormalHanging12a"/>
      </w:pPr>
      <w:r w:rsidRPr="0095199C">
        <w:t>1.</w:t>
      </w:r>
      <w:r w:rsidRPr="0095199C">
        <w:tab/>
        <w:t>anerkender, at EIB har fungeret effektivt og virkningsfuldt i et landskab, der er præget af betydelige globale udfordringer, herunder geopolitiske spændinger, virkningerne af klimaændringerne og andre faktorer, der påvirker den globale økonomi; foreslår at undersøge både EIB's effektivitet og virkning gennem en gennemtænkt analyse, navnlig med fokus på indvirkningen på konkurrenceevne og vækst;</w:t>
      </w:r>
    </w:p>
    <w:p w14:paraId="5DFCF353" w14:textId="77777777" w:rsidR="00486513" w:rsidRPr="0095199C" w:rsidRDefault="00486513" w:rsidP="00486513">
      <w:pPr>
        <w:pStyle w:val="NormalHanging12a"/>
      </w:pPr>
      <w:r w:rsidRPr="0095199C">
        <w:t>2.</w:t>
      </w:r>
      <w:r w:rsidRPr="0095199C">
        <w:tab/>
        <w:t>anerkender, at EIB's finansiering bliver stadig vigtigere på baggrund af høje rentesatser og begrænsede offentlige finanser; forventer, at EIB i en situation med vanskelige økonomiske udsigter og øget global konkurrence afhjælper begrænsninger for EU's konkurrenceevne såsom svingende energipriser, mangel på kvalificeret arbejdskraft i nøglesektorer og utilstrækkelige investeringer i innovation og nye teknologier;</w:t>
      </w:r>
    </w:p>
    <w:p w14:paraId="4C0F9689" w14:textId="77777777" w:rsidR="00486513" w:rsidRPr="0095199C" w:rsidRDefault="00486513" w:rsidP="00486513">
      <w:pPr>
        <w:pStyle w:val="NormalHanging12a"/>
      </w:pPr>
      <w:r w:rsidRPr="0095199C">
        <w:t>3.</w:t>
      </w:r>
      <w:r w:rsidRPr="0095199C">
        <w:tab/>
        <w:t>bemærker, at EIB-Gruppen opnåede gode konsoliderede resultater på 2,272 mia. EUR i 2023 i henhold til internationale regnskabsstandarder (IFRS) sammenlignet med 2,327 mia. EUR i 2022, hvilket svarer til et fald på 2,4 % fra år til år; opfordrer til en detaljeret analyse af de faktorer, der bidrager til dette fald, navnlig da perioden var præget af stabil økonomisk vækst; bemærker, at EIB's reserver nåede op på over 56 mia. EUR i 2023, hvilket er en stigning fra 53,9 mia. EUR i 2022 og 36 mia. EUR i 2014;</w:t>
      </w:r>
    </w:p>
    <w:p w14:paraId="0D0EE861" w14:textId="77777777" w:rsidR="00486513" w:rsidRPr="0095199C" w:rsidRDefault="00486513" w:rsidP="00486513">
      <w:pPr>
        <w:pStyle w:val="NormalHanging12a"/>
      </w:pPr>
      <w:r w:rsidRPr="0095199C">
        <w:t>4.</w:t>
      </w:r>
      <w:r w:rsidRPr="0095199C">
        <w:tab/>
        <w:t>bemærker, at EIB's samlede likviditetsgrad lå et godt stykke inden for de interne grænser frem til udgangen af 2023, og at EIB's egentlige kernekapitalprocent var på 33,1 % i 2023, hvilket er betydeligt højere end den gennemsnitlige andel for signifikante institutter under tilsyn af Den Europæiske Centralbank (ECB) på daværende tidspunkt; understreger, at opretholdelse af EIB's AAA-rating med stabile udsigter er afgørende for at sikre gunstig markedsfinansiering til præferencesatser og bør bevares; understreger, at EIB's høje kreditværdighed er afgørende for dens vellykkede forretningsmodel;</w:t>
      </w:r>
    </w:p>
    <w:p w14:paraId="0FF58637" w14:textId="5D6EFD65" w:rsidR="00486513" w:rsidRDefault="00486513" w:rsidP="00486513">
      <w:pPr>
        <w:pStyle w:val="NormalHanging12a"/>
      </w:pPr>
      <w:r w:rsidRPr="0095199C">
        <w:lastRenderedPageBreak/>
        <w:t>5.</w:t>
      </w:r>
      <w:r w:rsidRPr="0095199C">
        <w:tab/>
        <w:t>opfordrer EIB til at fastholde sin stærke kapitalposition og konsekvent høje fortjeneste, men bemærker, at banken har potentiale til at absorbere potentielle udsving i afkast uden at gå på kompromis med aktionærkapitalen eller dens kreditvurdering, har kapacitet til at påtage sig større risiko i strategiske investeringer og er godt rustet til at investere mere i innovative projekter med højere risiko, hvor privat kapital fortsat er tilbageholdende;</w:t>
      </w:r>
    </w:p>
    <w:p w14:paraId="05FBF7E4" w14:textId="0A0D4DA5" w:rsidR="00B34464" w:rsidRPr="0095199C" w:rsidRDefault="00B34464" w:rsidP="00486513">
      <w:pPr>
        <w:pStyle w:val="NormalHanging12a"/>
      </w:pPr>
      <w:r>
        <w:t>6.</w:t>
      </w:r>
      <w:r>
        <w:tab/>
      </w:r>
      <w:r w:rsidRPr="00B34464">
        <w:t>opfordrer EIB til at forbedre sin institutionelle gennemsigtighed ved at offentliggøre mere detaljerede referater fra bestyrelsesmøderne, herunder afstemningsreferater og projektspecifikke begrundelser, samtidig med at den legitime fortrolighed respekteres, hvor det er strengt nødvendigt;</w:t>
      </w:r>
    </w:p>
    <w:p w14:paraId="592AAF91" w14:textId="451FB5FF" w:rsidR="00486513" w:rsidRPr="0095199C" w:rsidRDefault="00451C7D" w:rsidP="00486513">
      <w:pPr>
        <w:pStyle w:val="NormalHanging12a"/>
      </w:pPr>
      <w:r>
        <w:t>7</w:t>
      </w:r>
      <w:r w:rsidR="00486513" w:rsidRPr="0095199C">
        <w:t>.</w:t>
      </w:r>
      <w:r w:rsidR="00486513" w:rsidRPr="0095199C">
        <w:tab/>
        <w:t>fremhæver, at EIB's samlede udbetalinger nåede op på 54,4 mia. EUR i 2023, med 53,4 mia. EUR fra dens egne midler) sammenlignet med 54,3 mia. EUR (53,3 mia. EUR fra egne midler) i 2022; bemærker, at EIF's udbetalinger til private equity-investeringer beløb sig til 139,7 mio. EUR i 2023 sammenlignet med 113,7 mio. EUR i 2022; bemærker, at ifølge en økonomisk model, der er udviklet i fællesskab af EIB's økonomiafdeling og Kommissionens Fælles Forskningscenter, forventes EIB-Gruppens samlede investering i EU i 2023 at skabe omkring 1 460 000 nye arbejdspladser i EU-27 inden 2027 og øge EU's BNP med 1,03 procentpoint; opfordrer EIB-Gruppen til at sikre en mere afbalanceret geografisk fordeling af investeringer for at maksimere deres virkning i alle EU's regioner og fremme sammenhængende og inklusiv vækst i hele Unionen med særlig vægt på underrepræsenterede og mindre udviklede områder;</w:t>
      </w:r>
    </w:p>
    <w:p w14:paraId="559E215F" w14:textId="6C95E3C2" w:rsidR="00486513" w:rsidRPr="0095199C" w:rsidRDefault="00451C7D" w:rsidP="00486513">
      <w:pPr>
        <w:pStyle w:val="NormalHanging12a"/>
      </w:pPr>
      <w:r>
        <w:t>8</w:t>
      </w:r>
      <w:r w:rsidR="00486513" w:rsidRPr="0095199C">
        <w:t>.</w:t>
      </w:r>
      <w:r w:rsidR="00486513" w:rsidRPr="0095199C">
        <w:tab/>
        <w:t>minder om, at EIB's vedtægter fastsætter, at der skal være en geografisk balance blandt dens personale, og at udvælgelsen af medarbejdere skal være meritbaseret, samtidig med at der også tages hensyn til en retfærdig repræsentation af statsborgere fra alle medlemsstater; opfordrer banken til løbende at overvåge den geografiske balance blandt sine medarbejdere og til om nødvendigt at tilpasse ansættelsesprocessen i overensstemmelse hermed;</w:t>
      </w:r>
    </w:p>
    <w:p w14:paraId="2E730F3B" w14:textId="6B1B5C8E" w:rsidR="00486513" w:rsidRPr="00645993" w:rsidRDefault="00451C7D" w:rsidP="00486513">
      <w:pPr>
        <w:pStyle w:val="NormalHanging12a"/>
      </w:pPr>
      <w:r w:rsidRPr="00645993">
        <w:t>9</w:t>
      </w:r>
      <w:r w:rsidR="00486513" w:rsidRPr="00645993">
        <w:t>.</w:t>
      </w:r>
      <w:r w:rsidR="00486513" w:rsidRPr="00645993">
        <w:tab/>
      </w:r>
      <w:r w:rsidR="00B34464" w:rsidRPr="00645993">
        <w:t>bemærker EIB-Gruppens tilsagn om stringent at bekæmpe skattesvig, skatteunddragelse, skatteundgåelse, hvidvask af penge og finansiering af terrorisme; opfordrer til en yderligere styrkelse af de endelige støttemodtageres gennemsigtighed, overvågningsmekanismer og adgang til offentlig information for at sikre fuld ansvarlighed;</w:t>
      </w:r>
    </w:p>
    <w:p w14:paraId="0BC1C75F" w14:textId="4EDD0937" w:rsidR="00B34464" w:rsidRPr="00B34464" w:rsidRDefault="00451C7D" w:rsidP="00486513">
      <w:pPr>
        <w:pStyle w:val="NormalHanging12a"/>
      </w:pPr>
      <w:r>
        <w:t>10</w:t>
      </w:r>
      <w:r w:rsidR="00B34464">
        <w:t>.</w:t>
      </w:r>
      <w:r w:rsidR="00B34464">
        <w:tab/>
      </w:r>
      <w:r w:rsidR="00B34464" w:rsidRPr="00B34464">
        <w:t>understreger, at EIB som et EU-organ fuldt ud bør tilpasse sin gennemsigtighedspraksis til de standarder, der er fastsat i</w:t>
      </w:r>
      <w:r w:rsidR="00B34464">
        <w:t xml:space="preserve"> forordning (EF) nr. 1049/</w:t>
      </w:r>
      <w:r w:rsidR="00FA5172">
        <w:t>2</w:t>
      </w:r>
      <w:r w:rsidR="00B34464">
        <w:t>001</w:t>
      </w:r>
      <w:r w:rsidR="00B34464">
        <w:rPr>
          <w:rStyle w:val="FootnoteReference"/>
        </w:rPr>
        <w:footnoteReference w:id="2"/>
      </w:r>
      <w:r w:rsidR="00B34464" w:rsidRPr="00B34464">
        <w:t xml:space="preserve"> om aktindsigt; opfordrer banken til at sikre en proaktiv offentliggørelse af dokumenter vedrørende finansierede projekter og beslutninger, der er truffet, med kun begrænsede og begrundede undtagelser; gentager betydningen af reel offentlig adgang som en hjørnesten i institutionel ansvarlighed; </w:t>
      </w:r>
    </w:p>
    <w:p w14:paraId="0F1C1C7C" w14:textId="30B1E36D" w:rsidR="00486513" w:rsidRPr="0095199C" w:rsidRDefault="00486513" w:rsidP="00486513">
      <w:pPr>
        <w:pStyle w:val="Normal12a24b"/>
      </w:pPr>
      <w:r w:rsidRPr="0095199C">
        <w:rPr>
          <w:rStyle w:val="BoldItalic"/>
        </w:rPr>
        <w:t>InvestEU, forenkling af den flerårige finansielle ramme og genopretnings- og resiliensfaciliteten</w:t>
      </w:r>
    </w:p>
    <w:p w14:paraId="447D708D" w14:textId="6862C307" w:rsidR="00486513" w:rsidRPr="0095199C" w:rsidRDefault="00451C7D" w:rsidP="00486513">
      <w:pPr>
        <w:pStyle w:val="NormalHanging12a"/>
      </w:pPr>
      <w:r>
        <w:lastRenderedPageBreak/>
        <w:t>11</w:t>
      </w:r>
      <w:r w:rsidR="00486513" w:rsidRPr="0095199C">
        <w:t>.</w:t>
      </w:r>
      <w:r w:rsidR="00486513" w:rsidRPr="0095199C">
        <w:tab/>
        <w:t>glæder sig over vedtagelsen den 13. december 2023 af EIB-Gruppens forretningsplan for 2024-2026, som skitserer prioriteter og aktiviteter med henblik på at gennemføre EIB-Gruppens strategi i løbet af de næste tre år; opfordrer til tilpasninger til nye markedsvilkår, herunder forenkling og reduktion af bureaukratiet for at fjerne hindringer for finansiering for SMV'er, som skal øges betydeligt; anerkender, at øgede aktiviteter og mandater med højere risiko er afgørende for at yde effektiv støtte til innovative sektorer med høj merværdi;</w:t>
      </w:r>
    </w:p>
    <w:p w14:paraId="1B53B135" w14:textId="2FE0C2B4" w:rsidR="00486513" w:rsidRDefault="00451C7D" w:rsidP="00486513">
      <w:pPr>
        <w:pStyle w:val="NormalHanging12a"/>
      </w:pPr>
      <w:r>
        <w:t>12</w:t>
      </w:r>
      <w:r w:rsidR="00486513" w:rsidRPr="0095199C">
        <w:t>.</w:t>
      </w:r>
      <w:r w:rsidR="00486513" w:rsidRPr="0095199C">
        <w:tab/>
        <w:t>minder om, at EIB-Gruppen er blevet tildelt 75 % (19,6 mia. EUR) af EU's budgetgaranti i henhold til InvestEU-forordningen</w:t>
      </w:r>
      <w:r w:rsidR="00486513" w:rsidRPr="0095199C">
        <w:rPr>
          <w:rStyle w:val="FootnoteReference"/>
        </w:rPr>
        <w:footnoteReference w:id="3"/>
      </w:r>
      <w:r w:rsidR="00486513" w:rsidRPr="0095199C">
        <w:t>; fremhæver, at EIB alene i 2023 godkendte 30 transaktioner under InvestEU til et samlet beløb på 9,1 mia. EUR; mener, at der er behov for betydelige investeringer, primært fra den private sektor, for at forblive konkurrencedygtig; mener, at fokus på innovative projekter, nystartede virksomheder og vækstvirksomheder vil styrke den europæiske konkurrenceevne og vækst; bemærker, at dette kræver mobilisering af private investeringer; opfordrer derfor EIB til at spille en mere betydningsfuld rolle i den strategiske risikobegrænsning gennem garantier og dermed tilskynde til private kapitalinvesteringer;</w:t>
      </w:r>
    </w:p>
    <w:p w14:paraId="7157A758" w14:textId="6519A674" w:rsidR="0075056F" w:rsidRPr="0095199C" w:rsidRDefault="00451C7D" w:rsidP="00486513">
      <w:pPr>
        <w:pStyle w:val="NormalHanging12a"/>
      </w:pPr>
      <w:r>
        <w:t>13</w:t>
      </w:r>
      <w:r w:rsidR="0075056F">
        <w:t>.</w:t>
      </w:r>
      <w:r w:rsidR="0075056F">
        <w:tab/>
      </w:r>
      <w:r w:rsidR="0075056F" w:rsidRPr="0075056F">
        <w:t>opfordrer EIB-Gruppen til, hvor det er muligt og i overensstemmelse med databeskyttelsesforpligtelserne, systematisk at angive de endelige modtagere af dens finansieringstransaktioner, navnlig for projekter, der støttes under EU's budgetgarantier og -mandater, for at sikre offentlighedens tillid og tilsyn;</w:t>
      </w:r>
    </w:p>
    <w:p w14:paraId="74C20BE0" w14:textId="5C9A4117" w:rsidR="00486513" w:rsidRPr="0095199C" w:rsidRDefault="00451C7D" w:rsidP="00486513">
      <w:pPr>
        <w:pStyle w:val="NormalHanging12a"/>
      </w:pPr>
      <w:r>
        <w:t>14</w:t>
      </w:r>
      <w:r w:rsidR="00486513" w:rsidRPr="0095199C">
        <w:t>.</w:t>
      </w:r>
      <w:r w:rsidR="00486513" w:rsidRPr="0095199C">
        <w:tab/>
        <w:t>understreger, at EIB inden for den nuværende flerårige finansielle ramme for 2021-2027 forvalter 87 mandater fra Kommissionen, som stiger til ca. 130, hvis de mandater, der vedrører delt forvaltning og tildeles af lokale myndigheder og medlemsstaterne, medtages, og bemærker, at EIB udarbejder mindst 457 rapporter om året vedrørende disse; påpeger, at afbureaukratisering og forenkling anses for nødvendig for at muliggøre en bedre udnyttelse af ressourcerne;</w:t>
      </w:r>
    </w:p>
    <w:p w14:paraId="534E9778" w14:textId="24BFF70F" w:rsidR="00486513" w:rsidRDefault="00451C7D" w:rsidP="00486513">
      <w:pPr>
        <w:pStyle w:val="NormalHanging12a"/>
      </w:pPr>
      <w:r>
        <w:t>15</w:t>
      </w:r>
      <w:r w:rsidR="00486513" w:rsidRPr="0095199C">
        <w:t>.</w:t>
      </w:r>
      <w:r w:rsidR="00486513" w:rsidRPr="0095199C">
        <w:tab/>
        <w:t xml:space="preserve">fremhæver, at EIB forvalter seks mandater under genopretnings- og resiliensfaciliteten i fire medlemsstater, der blev undertegnet i 2021 (Grækenland og Italien), i 2022 (Rumænien) og i 2024 (Spanien) til en samlet værdi af 8,7 mia. EUR; anerkender, at vedtagelsen af instrumenter til "finansiering, der ikke er knyttet til omkostninger", som er udvidet betydeligt med genopretnings- og resiliensfaciliteten, i sagens natur øger risikoen for fejl og dobbeltfinansiering; giver udtryk for sin bekymring over gennemsigtigheden, revisionen og overvågningen af gennemførelsen af genopretnings- og resiliensfaciliteten; opfordrer EIB til at samarbejde med medlemsstaterne om at afhjælpe statslige kapacitetsbegrænsninger og manglen på tekniske færdigheder for at sikre, at genopretnings- og resiliensfacilitetens midler forvaltes så effektivt som muligt i overensstemmelse med nationale strukturer og i overensstemmelse med alle rapporteringskrav under genopretnings- og resiliensfaciliteten, navnlig i forbindelse med gennemførelsen af investeringsprojekter og reformer; opfordrer indtrængende Kommissionen og EIB til i deres rådgivende rolle at afstå fra at foreslå nye finansieringsmekanismer baseret på genopretnings- og resiliensfacilitetens model uden at træffe korrigerende foranstaltninger, herunder i den kommende flerårige finansielle ramme for perioden efter 2027; understreger, at selv om EIB søger forenkling, må den </w:t>
      </w:r>
      <w:r w:rsidR="00486513" w:rsidRPr="0095199C">
        <w:lastRenderedPageBreak/>
        <w:t>ikke kompromittere forsvarligheden af EU's ressourceforvaltning eller evnen til at opretholde tilsyn og ansvarlighed som fastsat i traktaterne;</w:t>
      </w:r>
    </w:p>
    <w:p w14:paraId="1C5F74A3" w14:textId="3459D868" w:rsidR="0075056F" w:rsidRPr="0095199C" w:rsidRDefault="00451C7D" w:rsidP="00486513">
      <w:pPr>
        <w:pStyle w:val="NormalHanging12a"/>
        <w:rPr>
          <w:szCs w:val="24"/>
        </w:rPr>
      </w:pPr>
      <w:r>
        <w:t>16</w:t>
      </w:r>
      <w:r w:rsidR="0075056F">
        <w:t>.</w:t>
      </w:r>
      <w:r w:rsidR="0075056F">
        <w:tab/>
      </w:r>
      <w:r w:rsidR="0075056F" w:rsidRPr="0075056F">
        <w:t>opfordrer til en uafhængig og omfattende revision af alle risikodelingsinstrumenter, der forvaltes af EIB-Gruppen, herunder dem, der er knyttet til genopretnings- og resiliensfaciliteten, for at sikre de højeste standarder for gennemsigtighed, ansvarlighed og for at undgå risikoen for dobbeltfinansiering;</w:t>
      </w:r>
    </w:p>
    <w:p w14:paraId="0915C39E" w14:textId="77777777" w:rsidR="00486513" w:rsidRPr="0095199C" w:rsidRDefault="00486513" w:rsidP="00486513">
      <w:pPr>
        <w:pStyle w:val="Normal12a24b"/>
        <w:spacing w:before="0"/>
        <w:rPr>
          <w:szCs w:val="24"/>
        </w:rPr>
      </w:pPr>
      <w:r w:rsidRPr="0095199C">
        <w:rPr>
          <w:rStyle w:val="BoldItalic"/>
        </w:rPr>
        <w:t>Energisikkerhed</w:t>
      </w:r>
    </w:p>
    <w:p w14:paraId="22FE42E4" w14:textId="7375BCE8" w:rsidR="00486513" w:rsidRPr="0095199C" w:rsidRDefault="00451C7D" w:rsidP="00486513">
      <w:pPr>
        <w:pStyle w:val="NormalHanging12a"/>
        <w:rPr>
          <w:szCs w:val="24"/>
        </w:rPr>
      </w:pPr>
      <w:r>
        <w:t>17</w:t>
      </w:r>
      <w:r w:rsidR="00486513" w:rsidRPr="0095199C">
        <w:t>.</w:t>
      </w:r>
      <w:r w:rsidR="00486513" w:rsidRPr="0095199C">
        <w:tab/>
        <w:t>noterer sig EIB's fortsatte støtte til forsyningssikkerhed, som hovedsagelig tager form af en styrkelse af elnettene og den grænseoverskridende infrastruktur, reduktion af energiefterspørgslen gennem energieffektivitetsprojekter og fremme af kulstoffattig elproduktion; glæder sig over, at EIB har støttet nye dimensioner af energisikkerhed såsom prisfleksibelt elforbrug og energilagring og har fremmet udviklingen af en bæredygtig forsyning af kritiske råstoffer, der er nødvendige for energiomstillingen; opfordrer til, at der hurtigst muligt foretages en analyse af de reelle virkninger af disse projekter, der hidtil er gennemført, navnlig af deres indvirkning på tilgængeligheden af og omkostningerne ved energi og dermed på de europæiske virksomheders generelle konkurrenceevne;</w:t>
      </w:r>
    </w:p>
    <w:p w14:paraId="0F58EB0A" w14:textId="06DD14E8" w:rsidR="00486513" w:rsidRPr="0095199C" w:rsidRDefault="00451C7D" w:rsidP="00486513">
      <w:pPr>
        <w:pStyle w:val="NormalHanging12a"/>
        <w:rPr>
          <w:szCs w:val="24"/>
        </w:rPr>
      </w:pPr>
      <w:r>
        <w:t>18</w:t>
      </w:r>
      <w:r w:rsidR="00486513" w:rsidRPr="0095199C">
        <w:t>.</w:t>
      </w:r>
      <w:r w:rsidR="00486513" w:rsidRPr="0095199C">
        <w:tab/>
        <w:t>gentager behovet for at bekæmpe energifattigdom og understreger behovet for en retfærdig og inklusiv energiomstilling; minder om, at energikrisen forværrer inflationen, øger den manglende fødevaresikring og belaster husholdningernes budgetter; opfordrer EIB til at udnytte mekanismen for retfærdig omstilling og moderniseringsfonden til at støtte de regioner og befolkninger, der er mest berørt af energiomstillingen; understreger betydningen af at anvende mekanismen for retfærdig omstilling til at støtte arbejdstagere og regioner, der er berørt af udfasningen af fossile brændstoffer, og sikre adgang til omskoling og kvalitetsjob; anerkender, at en lang række sektorer kæmper med udfordringer på grund af den kombinerede virkning af tilpasningen til målene i den europæiske grønne pagt og konsekvenserne af energikrisen og inflationen; understreger, at fremskyndelse af udbredelsen af innovative lavemissionsteknologier kræver, at deres omkostninger bringes til et niveau, der er konkurrencedygtigt med fossile brændstoffer, og at der sker en tilpasning til den igangværende reform af de grønne politikker;</w:t>
      </w:r>
    </w:p>
    <w:p w14:paraId="613D99AD" w14:textId="6A77CF3C" w:rsidR="00486513" w:rsidRPr="0095199C" w:rsidRDefault="00451C7D" w:rsidP="00486513">
      <w:pPr>
        <w:pStyle w:val="NormalHanging12a"/>
        <w:rPr>
          <w:szCs w:val="24"/>
        </w:rPr>
      </w:pPr>
      <w:r>
        <w:t>19</w:t>
      </w:r>
      <w:r w:rsidR="00486513" w:rsidRPr="0095199C">
        <w:t>.</w:t>
      </w:r>
      <w:r w:rsidR="00486513" w:rsidRPr="0095199C">
        <w:tab/>
        <w:t>anerkender, at REPowerEU-planen er et afgørende nyt element i EU's politiske reaktion på energikrisen; bemærker, at EIB-Gruppen i juli 2023 øgede finansieringsmålene i tilsagnet fra oktober 2022 fra 30,0 mia. EUR frem til 2027 til 45,0 mia. EUR (REPowerEU+) for at øge sine bestræbelser på at støtte EU's energisikkerhed; opfordrer til en klar oversigt over potentiel dobbeltfinansiering af energiprojekter;</w:t>
      </w:r>
    </w:p>
    <w:p w14:paraId="133D60C9" w14:textId="11563187" w:rsidR="00486513" w:rsidRPr="0095199C" w:rsidRDefault="00451C7D" w:rsidP="00486513">
      <w:pPr>
        <w:pStyle w:val="NormalHanging12a"/>
        <w:rPr>
          <w:b/>
          <w:i/>
          <w:szCs w:val="24"/>
        </w:rPr>
      </w:pPr>
      <w:r>
        <w:t>20</w:t>
      </w:r>
      <w:r w:rsidR="00486513" w:rsidRPr="0095199C">
        <w:t>.</w:t>
      </w:r>
      <w:r w:rsidR="00486513" w:rsidRPr="0095199C">
        <w:tab/>
        <w:t>understreger, at EIB i 2023 ydede ca. 21,4 mia. EUR i finansiering til energirelaterede projekter, heraf ca. 19,8 mia. EUR i EU og 1,6 mia. EUR uden for EU; mener, at det er nødvendigt at øge ikke blot omfanget af finansieringen af energirelaterede projekter, men også investeringernes effektivitet; understreger i denne forbindelse betydningen af EIB's kombinerede tilbud om kompetent teknisk bistand og innovativ finansiel støtte og opfordrer banken til at udvide den vifte af innovative finansieringsprodukter, der tilbydes økonomiske aktører, og som går videre end standardudbuddet på markedet;</w:t>
      </w:r>
    </w:p>
    <w:p w14:paraId="34B6B7D1" w14:textId="32B6BDC5" w:rsidR="00486513" w:rsidRPr="0095199C" w:rsidRDefault="00451C7D" w:rsidP="00486513">
      <w:pPr>
        <w:pStyle w:val="NormalHanging12a"/>
        <w:rPr>
          <w:szCs w:val="24"/>
        </w:rPr>
      </w:pPr>
      <w:r>
        <w:t>21</w:t>
      </w:r>
      <w:r w:rsidR="00486513" w:rsidRPr="0095199C">
        <w:t>.</w:t>
      </w:r>
      <w:r w:rsidR="00486513" w:rsidRPr="0095199C">
        <w:tab/>
        <w:t xml:space="preserve">mener, at brint og derivater heraf, især når de stammer fra vedvarende energikilder, kan bidrage væsentligt til at opfylde EU's dekarboniseringsmål og mindske afhængigheden af fossile brændstoffer; opfordrer indtrængende EIB til at påtage sig en ledende rolle </w:t>
      </w:r>
      <w:r w:rsidR="00486513" w:rsidRPr="0095199C">
        <w:lastRenderedPageBreak/>
        <w:t>med hensyn til at mobilisere private investeringer, som er afgørende for at opskalere brintproduktionen i EU, samtidig med at der sikres teknologisk neutralitet og ydes støtte til en bred vifte af innovative dekarboniseringsløsninger, herunder yderligere videnskabelig forskning, der har til formål at forbedre og stabilisere brintteknologiens effektivitet; opfordrer banken til at overveje sådanne projekters omkostningseffektivitet set i lyset af deres samlede livscyklus;</w:t>
      </w:r>
    </w:p>
    <w:p w14:paraId="60B69AA0" w14:textId="77777777" w:rsidR="00486513" w:rsidRPr="0095199C" w:rsidRDefault="00486513" w:rsidP="00486513">
      <w:pPr>
        <w:pStyle w:val="Normal12a24b"/>
        <w:spacing w:before="0"/>
        <w:rPr>
          <w:szCs w:val="24"/>
        </w:rPr>
      </w:pPr>
      <w:r w:rsidRPr="0095199C">
        <w:rPr>
          <w:rStyle w:val="BoldItalic"/>
        </w:rPr>
        <w:t>Forsvars- og sikkerhedspolitik</w:t>
      </w:r>
    </w:p>
    <w:p w14:paraId="5856D3D3" w14:textId="279AEB1C" w:rsidR="00486513" w:rsidRPr="0095199C" w:rsidRDefault="00451C7D" w:rsidP="00486513">
      <w:pPr>
        <w:pStyle w:val="NormalHanging12a"/>
        <w:rPr>
          <w:szCs w:val="24"/>
        </w:rPr>
      </w:pPr>
      <w:r>
        <w:t>22</w:t>
      </w:r>
      <w:r w:rsidR="00486513" w:rsidRPr="0095199C">
        <w:t>.</w:t>
      </w:r>
      <w:r w:rsidR="00486513" w:rsidRPr="0095199C">
        <w:tab/>
        <w:t>glæder sig over den betydelige rolle, som EIB-Gruppen spiller med hensyn til at støtte EU's forsvars- og sikkerhedspolitik ved at yde finansiering og mobilisere private investeringer for at styrke Unionens strategiske autonomi og modstandsdygtighed; understreger betydningen af EIB's investeringskapacitet, der støtter initiativer, der bidrager til at styrke EU's forsvarsindustri, fremme cybersikkerhedsinfrastruktur og fremme innovation inden for kritiske forsvarsteknologier;</w:t>
      </w:r>
    </w:p>
    <w:p w14:paraId="16092E7B" w14:textId="7D3A6204" w:rsidR="00486513" w:rsidRPr="0095199C" w:rsidRDefault="00451C7D" w:rsidP="00486513">
      <w:pPr>
        <w:pStyle w:val="NormalHanging12a"/>
        <w:rPr>
          <w:szCs w:val="24"/>
        </w:rPr>
      </w:pPr>
      <w:r>
        <w:t>23</w:t>
      </w:r>
      <w:r w:rsidR="00486513" w:rsidRPr="0095199C">
        <w:t>.</w:t>
      </w:r>
      <w:r w:rsidR="00486513" w:rsidRPr="0095199C">
        <w:tab/>
        <w:t>glæder sig over, at sikkerhed og forsvar er fastsat som en af bankens centrale prioriteter i dens strategiske køreplan for 2024-2027; fremhæver, at EIB's bestyrelse i maj 2024 godkendte EIB-Gruppens handlingsplan for sikkerheds- og forsvarsindustrien, som følger EIB-Gruppens strategiske europæiske sikkerhedsinitiativ 2022, der har til formål at støtte innovation inden for teknologi med dobbelt anvendelse, med henblik på at øge støtten til EU's sikkerheds- og forsvarsindustri; noterer sig med tilfredshed, at EIB-Gruppen yder støtte til SMV'er og innovative nystartede virksomheder inden for sikkerheds- og forsvarssektoren i henhold til princippet om "dobbelt anvendelse", hvilket opretholder kriteriet om "troværdig civil anvendelse", men afstår fra indtægtstesten; glæder sig over EIB's bestyrelses beslutning af 21. marts 2025 om at udvide bankens muligheder for finansiering af Europas sikkerheds- og forsvarsindustri og -infrastruktur ved at sikre, at anvendelsesområdet for udelukkede aktiviteter begrænses så meget som muligt;</w:t>
      </w:r>
    </w:p>
    <w:p w14:paraId="7948DC94" w14:textId="43CF3348" w:rsidR="00486513" w:rsidRPr="0095199C" w:rsidRDefault="00451C7D" w:rsidP="00486513">
      <w:pPr>
        <w:pStyle w:val="NormalHanging12a"/>
        <w:rPr>
          <w:szCs w:val="24"/>
        </w:rPr>
      </w:pPr>
      <w:r>
        <w:t>24</w:t>
      </w:r>
      <w:r w:rsidR="00486513" w:rsidRPr="0095199C">
        <w:t>.</w:t>
      </w:r>
      <w:r w:rsidR="00486513" w:rsidRPr="0095199C">
        <w:tab/>
        <w:t>glæder sig over EIB's målrettede investeringer i både forsvarsinfrastruktur og civil infrastruktur og understreger behovet for strategiske investeringer i teknologier, der tjener både civile og forsvarsmæssige formål, i overensstemmelse med EU's bredere mål om at fremme innovation og øge Unionens sikkerhed; opfordrer EIB-Gruppen til at foretage en gennemgang af virkningen af udvidelsen af dens nye politik for varer med dobbelt anvendelse;</w:t>
      </w:r>
    </w:p>
    <w:p w14:paraId="7B4306EF" w14:textId="7EEF267F" w:rsidR="00486513" w:rsidRPr="0095199C" w:rsidRDefault="00451C7D" w:rsidP="00486513">
      <w:pPr>
        <w:pStyle w:val="NormalHanging12a"/>
        <w:rPr>
          <w:szCs w:val="24"/>
        </w:rPr>
      </w:pPr>
      <w:r>
        <w:t>25</w:t>
      </w:r>
      <w:r w:rsidR="00486513" w:rsidRPr="0095199C">
        <w:t>.</w:t>
      </w:r>
      <w:r w:rsidR="00486513" w:rsidRPr="0095199C">
        <w:tab/>
        <w:t>understreger betydningen af SMV'er, nystartede virksomheder og midcapselskaber i sikkerheds- og forsvarsindustrien og i udviklingen af et fælles europæisk forsvarsmarked; mener, at mindre aktører spiller en afgørende rolle med hensyn til at styrke Unionens kapacitet og autonomi til at udvikle innovative forsvarsprodukter; opfordrer EIB til yderligere at støtte grænseoverskridende samarbejde om forskning og udvikling (FoU), navnlig ved at bane vejen for, at mindre aktører kan deltage i forsvarsforsyningskæderne; understreger, at større EIB-investeringer i forsvarssektoren kan tilskynde forretningsbanker til at investere på samme område, og mener, at det er nødvendigt at øge fleksibiliteten i långivningen til SMV'er i denne henseende;</w:t>
      </w:r>
    </w:p>
    <w:p w14:paraId="556DF1B0" w14:textId="37A4D212" w:rsidR="00486513" w:rsidRPr="0095199C" w:rsidRDefault="00451C7D" w:rsidP="00486513">
      <w:pPr>
        <w:pStyle w:val="NormalHanging12a"/>
        <w:rPr>
          <w:szCs w:val="24"/>
        </w:rPr>
      </w:pPr>
      <w:r>
        <w:t>26</w:t>
      </w:r>
      <w:r w:rsidR="00486513" w:rsidRPr="0095199C">
        <w:t>.</w:t>
      </w:r>
      <w:r w:rsidR="00486513" w:rsidRPr="0095199C">
        <w:tab/>
        <w:t xml:space="preserve">bemærker, at de midler, der er afsat til at støtte forsvars- og sikkerhedssektoren, hovedsagelig kommer fra Den Europæiske Forsvarsfond (8 mia. EUR), EIB's strategiske europæiske sikkerhedsinitiativ (SESI) (8 mia. EUR) og programmet for den europæiske forsvarsindustri (EDIP) (1,5 mia. EUR); opfordrer til en særlig kapitaltildeling på forsvarsområdet og en yderligere tilpasning af omfanget af </w:t>
      </w:r>
      <w:r w:rsidR="00486513" w:rsidRPr="0095199C">
        <w:lastRenderedPageBreak/>
        <w:t>støtteberettigede investeringer med henblik på at opfylde den ambitiøse rolle om at bidrage til Europas fred og sikkerhed som fastsat i hvidbogen om fremtiden for det europæiske forsvar 2030 for EIB-Gruppen; glæder sig over integreringen af EIB's eksisterende SESI på 8 mia. EUR i et tværgående og permanent offentligt politisk mål og fjernelsen af et på forhånd fastsat loft for finansiering på dette område. mener, at disse foranstaltninger vil gøre det muligt for banken at imødekomme investeringsbehovene inden for sikkerhed og forsvar, samtidig med at dens transaktioner og stærke finansielle stilling sikres; mener, at styrelsesrådets beslutning i juni 2024 om at øge bankens gearingsgrad vil muliggøre øgede investeringer på områder af strategisk betydning, bl.a. inden for sikkerhed og forsvar;</w:t>
      </w:r>
    </w:p>
    <w:p w14:paraId="75DDD84F" w14:textId="491BC0CC" w:rsidR="00486513" w:rsidRPr="0095199C" w:rsidRDefault="00451C7D" w:rsidP="00486513">
      <w:pPr>
        <w:pStyle w:val="NormalHanging12a"/>
        <w:rPr>
          <w:szCs w:val="24"/>
        </w:rPr>
      </w:pPr>
      <w:r>
        <w:t>27</w:t>
      </w:r>
      <w:r w:rsidR="00486513" w:rsidRPr="0095199C">
        <w:t>.</w:t>
      </w:r>
      <w:r w:rsidR="00486513" w:rsidRPr="0095199C">
        <w:tab/>
        <w:t>understreger merværdien af de innovative foranstaltninger, som EIB har vedtaget for at fremskynde investeringer i sikkerhed og forsvar, og af "one-stop-shoppen", der fungerer som det eneste kontaktpunkt for kunder og eksterne interessenter, som tilbydes ekspertbistand med henblik på at strømline adgangen til tilgængelig finansiering inden for rammerne af SESI og fremskynde udbetalingen af denne finansiering; opfordrer EIB til fortsat at udvikle og gennemføre aftalte foranstaltninger, der forenkler kundeprocedurerne og yderligere fremskynder investeringsprocesserne, samtidig med at det sikres, at AAA-vurderingen bevares;</w:t>
      </w:r>
    </w:p>
    <w:p w14:paraId="5AC033B4" w14:textId="48C03E28" w:rsidR="00486513" w:rsidRPr="0095199C" w:rsidRDefault="00451C7D" w:rsidP="00486513">
      <w:pPr>
        <w:pStyle w:val="NormalHanging12a"/>
        <w:rPr>
          <w:szCs w:val="24"/>
        </w:rPr>
      </w:pPr>
      <w:r>
        <w:t>28</w:t>
      </w:r>
      <w:r w:rsidR="00486513" w:rsidRPr="0095199C">
        <w:t>.</w:t>
      </w:r>
      <w:r w:rsidR="00486513" w:rsidRPr="0095199C">
        <w:tab/>
        <w:t>bemærker med tilfredshed, at EIB i juni 2023 godkendte en forhøjelse af SESI for sikkerhedsinvesteringer i EU fra 6,0 mia. EUR til 8,0 mia. EUR for perioden 2022-2027, herunder også rum- og cybersikkerhedssektoren; opfordrer EIB til at styrke de institutionelle partnerskaber med Den Europæiske Unions Agentur for Rumprogrammet og andre potentielt relevante partnere i overensstemmelse med EU’s konkurrenceregler;</w:t>
      </w:r>
    </w:p>
    <w:p w14:paraId="1A8C548A" w14:textId="121D5B87" w:rsidR="00486513" w:rsidRPr="0095199C" w:rsidRDefault="00451C7D" w:rsidP="00486513">
      <w:pPr>
        <w:pStyle w:val="NormalHanging12a"/>
        <w:rPr>
          <w:szCs w:val="24"/>
        </w:rPr>
      </w:pPr>
      <w:r>
        <w:t>29</w:t>
      </w:r>
      <w:r w:rsidR="00486513" w:rsidRPr="0095199C">
        <w:t>.</w:t>
      </w:r>
      <w:r w:rsidR="00486513" w:rsidRPr="0095199C">
        <w:tab/>
        <w:t>roser EIB's samarbejde med alle relevante interessenter, herunder medlemsstaternes regeringer, Det Europæiske Forsvarsagentur (EDA) og NATO's innovationsfond; påskønner navnlig EIB-Gruppens samarbejde med EDA og glæder sig over undertegnelsen af en ajourføring af aftalememorandummet mellem de to organer den 3. oktober 2024, som vil gøre det muligt for dem at styrke strategiske partnerskaber og i fællesskab identificere finansieringsbehov for bedre at støtte forskning, udvikling og innovation (FUI) på sikkerheds- og forsvarsområdet i Unionen;</w:t>
      </w:r>
    </w:p>
    <w:p w14:paraId="1493E4F0" w14:textId="0B4CF91A" w:rsidR="00486513" w:rsidRPr="0095199C" w:rsidRDefault="00451C7D" w:rsidP="00486513">
      <w:pPr>
        <w:pStyle w:val="NormalHanging12a"/>
        <w:rPr>
          <w:szCs w:val="24"/>
        </w:rPr>
      </w:pPr>
      <w:r>
        <w:t>30</w:t>
      </w:r>
      <w:r w:rsidR="00486513" w:rsidRPr="0095199C">
        <w:t>.</w:t>
      </w:r>
      <w:r w:rsidR="00486513" w:rsidRPr="0095199C">
        <w:tab/>
        <w:t>opfordrer EIB til yderligere at styrke et sådant samarbejde med centrale interessenter med henblik på at øge virkningen, synergierne og komplementariteten med EU's forsvarsprogrammer og sikre, at dens investeringer supplerer EU's bredere forsvarspolitiske mål og bidrager til at opnå stordriftsfordele i de europæiske forsvarskapaciteter; anmoder EIB om at øge den regionale sikkerhed og modstandsdygtighed, navnlig i Østeuropa og Middelhavsområdet, gennem etablering af infrastruktur, der støtter regional sikkerhed og fremmer et større samarbejde mellem EU's medlemsstater om forsvarsspørgsmål; understreger endvidere betydningen af at undersøge samarbejdet med NATO's innovationsfond med henblik på at forbedre adgangen til finansiering for nystartede teknologivirksomheder sideløbende med anvendelsen af EIF's egenkapitalfacilitet på forsvarsområdet;</w:t>
      </w:r>
    </w:p>
    <w:p w14:paraId="08C28483" w14:textId="77777777" w:rsidR="00486513" w:rsidRPr="0095199C" w:rsidRDefault="00486513" w:rsidP="00486513">
      <w:pPr>
        <w:pStyle w:val="Normal12a24b"/>
        <w:spacing w:before="0"/>
        <w:rPr>
          <w:szCs w:val="24"/>
        </w:rPr>
      </w:pPr>
      <w:r w:rsidRPr="0095199C">
        <w:rPr>
          <w:rStyle w:val="BoldItalic"/>
        </w:rPr>
        <w:t>Social infrastruktur og boliger</w:t>
      </w:r>
    </w:p>
    <w:p w14:paraId="29624758" w14:textId="22FD109F" w:rsidR="00486513" w:rsidRPr="0095199C" w:rsidRDefault="00451C7D" w:rsidP="00486513">
      <w:pPr>
        <w:pStyle w:val="NormalHanging12a"/>
        <w:rPr>
          <w:szCs w:val="24"/>
        </w:rPr>
      </w:pPr>
      <w:r>
        <w:t>31</w:t>
      </w:r>
      <w:r w:rsidR="00486513" w:rsidRPr="0095199C">
        <w:t>.</w:t>
      </w:r>
      <w:r w:rsidR="00486513" w:rsidRPr="0095199C">
        <w:tab/>
        <w:t xml:space="preserve">anmoder EIB om at øge risikotagningen for så vidt angår projekter, der leverer væsentlige tjenester med langsigtede klare og målbare fordele; glæder sig i denne forbindelse over EIB-Gruppens tiltag og foranstaltninger på området boliger og social infrastruktur, der bidrager til økonomisk overkommelige boliger, social inklusion og </w:t>
      </w:r>
      <w:r w:rsidR="00486513" w:rsidRPr="0095199C">
        <w:lastRenderedPageBreak/>
        <w:t>regional udvikling, samtidig med at bæredygtighed og innovation støttes; opfordrer EIB til at prioritere sine investeringer i retning af disse mål for at opnå bedre økonomisk vækst, social inklusion og regional samhørighed og samtidig støtte EU's bæredygtighedsmål; opfordrer banken til at fokusere på bæredygtig byudvikling og inklusiv vækst ved at sikre, at EU's bolig- og infrastrukturbehov opfyldes med henblik på et stærkere, mere sammenhængende og velstående Europa;</w:t>
      </w:r>
    </w:p>
    <w:p w14:paraId="3A57C5D3" w14:textId="617363C0" w:rsidR="00486513" w:rsidRPr="0095199C" w:rsidRDefault="00451C7D" w:rsidP="00486513">
      <w:pPr>
        <w:pStyle w:val="NormalHanging12a"/>
        <w:rPr>
          <w:szCs w:val="24"/>
        </w:rPr>
      </w:pPr>
      <w:r>
        <w:t>32</w:t>
      </w:r>
      <w:r w:rsidR="00486513" w:rsidRPr="0095199C">
        <w:t>.</w:t>
      </w:r>
      <w:r w:rsidR="00486513" w:rsidRPr="0095199C">
        <w:tab/>
        <w:t>understreger, at købs- og lejeomkostninger til boliger er steget betydeligt i de seneste år, hvilket har mindsket prisoverkommeligheden i mange storbyområder i EU og begrænset adgangen til disse boliger; understreger, at EIB skal spille en stærkere rolle i håndteringen af boligkrisen; glæder sig over medtagelsen af støtte til social infrastruktur blandt EIB-Gruppens otte strategiske prioriteter for 2024-2027 og er enig i, at investeringer i energieffektive, bæredygtige og tilgængelige boliger og uddannelse inden for rækkevidde er afgørende for at øge produktiviteten og bidrage til stærke og modstandsdygtige samfund; opfordrer EIB til at prioritere investeringer i andelsboligforeninger, energieffektivt socialt boligbyggeri og renoveringsprojekter rettet mod lavindkomsthusholdninger; mener, at afhjælpning af EU's store investeringsunderskud på boligområdet kræver, at både finansielle og ikkefinansielle investeringshindringer overvindes, og at der mobiliseres ressourcer og kapaciteter i stor skala;</w:t>
      </w:r>
    </w:p>
    <w:p w14:paraId="544CF4BC" w14:textId="22C69B3D" w:rsidR="00486513" w:rsidRPr="0095199C" w:rsidRDefault="00451C7D" w:rsidP="00486513">
      <w:pPr>
        <w:pStyle w:val="NormalHanging12a"/>
        <w:rPr>
          <w:szCs w:val="24"/>
        </w:rPr>
      </w:pPr>
      <w:r>
        <w:t>33</w:t>
      </w:r>
      <w:r w:rsidR="00486513" w:rsidRPr="0095199C">
        <w:t>.</w:t>
      </w:r>
      <w:r w:rsidR="00486513" w:rsidRPr="0095199C">
        <w:tab/>
        <w:t>glæder sig over, at EIB i samarbejde med Kommissionen har iværksat en paneuropæisk investeringsplatform, der har til formål at fremme økonomisk overkommelige og bæredygtige boliger, og som kombinerer rådgivningstjenester og finansiering, og opfordrer deltagerne til at fortsætte dette initiativ;</w:t>
      </w:r>
    </w:p>
    <w:p w14:paraId="2755BC45" w14:textId="383E2883" w:rsidR="00486513" w:rsidRPr="0095199C" w:rsidRDefault="00451C7D" w:rsidP="00486513">
      <w:pPr>
        <w:pStyle w:val="NormalHanging12a"/>
        <w:rPr>
          <w:szCs w:val="24"/>
        </w:rPr>
      </w:pPr>
      <w:r>
        <w:t>34</w:t>
      </w:r>
      <w:r w:rsidR="00486513" w:rsidRPr="0095199C">
        <w:t>.</w:t>
      </w:r>
      <w:r w:rsidR="00486513" w:rsidRPr="0095199C">
        <w:tab/>
        <w:t>glæder sig over EIB's tilsagn om at lette presset på boligmarkederne i Europa; understreger, at priserne på køb og leje af boliger er steget betydeligt i de seneste år, hvilket har mindsket prisoverkommeligheden i mange storbyområder i EU og bragt adgangen til boliger i fare; understreger, at EIB's analyse viser, at EU har brug for ca. 1,5 mio. nye boligenheder om året for at imødekomme efterspørgslen, og at ca. 75 % af EU's bygningsmasse skal renoveres, hvilket svarer til yderligere 5 mio. enheder om året; glæder sig over, at EIB støtter genopbygningen af eksisterende boliger og opførelsen af nye sociale og økonomisk overkommelige boliger; opfordrer EIB til at mobilisere flere midler til økonomisk overkommelige boligprojekter blandt medlemsstaterne;</w:t>
      </w:r>
    </w:p>
    <w:p w14:paraId="1F247318" w14:textId="28A4911F" w:rsidR="00486513" w:rsidRPr="0095199C" w:rsidRDefault="00451C7D" w:rsidP="00486513">
      <w:pPr>
        <w:pStyle w:val="NormalHanging12a"/>
        <w:rPr>
          <w:szCs w:val="24"/>
        </w:rPr>
      </w:pPr>
      <w:r>
        <w:t>35</w:t>
      </w:r>
      <w:r w:rsidR="00486513" w:rsidRPr="0095199C">
        <w:t>.</w:t>
      </w:r>
      <w:r w:rsidR="00486513" w:rsidRPr="0095199C">
        <w:tab/>
        <w:t>opfordrer til at styrke den tekniske bistand og den finansielle ekspertise til støtte for de lokale og regionale myndigheder, navnlig i områder med lav investeringskapacitet, med henblik på at forbedre adgangen til EIB-finansiering; mener, at samarbejdet med lokale myndigheder, kommuner og repræsentanter for civilsamfundet bør fremme udviklingen af sociale boliger, der egner sig til alle, og navnlig til de mest sårbare; er klar over, at effektiviteten af EIB's indsats inden for boligsektoren og sektoren for social infrastruktur også afhænger af fjernelsen af politiske og lovgivningsmæssige hindringer;</w:t>
      </w:r>
    </w:p>
    <w:p w14:paraId="546012E5" w14:textId="4C6029DA" w:rsidR="00486513" w:rsidRPr="0095199C" w:rsidRDefault="00451C7D" w:rsidP="00486513">
      <w:pPr>
        <w:pStyle w:val="NormalHanging12a"/>
        <w:rPr>
          <w:szCs w:val="24"/>
        </w:rPr>
      </w:pPr>
      <w:r>
        <w:t>36</w:t>
      </w:r>
      <w:r w:rsidR="00486513" w:rsidRPr="0095199C">
        <w:t>.</w:t>
      </w:r>
      <w:r w:rsidR="00486513" w:rsidRPr="0095199C">
        <w:tab/>
        <w:t>bemærker, at EIB i 2023 undertegnede 8,3 mia. EUR i finansiel støtte til energieffektivitetsforanstaltninger, hvoraf 65 % gik til energieffektivitet i bygninger; opfordrer EIB til at prioritere langsigtede økonomisk overkommelige og tilgængelige løsninger og bæredygtige investeringer såsom energieffektive renoveringer og genbrug af ledige bygninger;</w:t>
      </w:r>
    </w:p>
    <w:p w14:paraId="04C1B75B" w14:textId="20327700" w:rsidR="00486513" w:rsidRPr="0095199C" w:rsidRDefault="00451C7D" w:rsidP="00486513">
      <w:pPr>
        <w:pStyle w:val="NormalHanging12a"/>
        <w:rPr>
          <w:szCs w:val="24"/>
        </w:rPr>
      </w:pPr>
      <w:r>
        <w:t>37</w:t>
      </w:r>
      <w:r w:rsidR="00486513" w:rsidRPr="0095199C">
        <w:t>.</w:t>
      </w:r>
      <w:r w:rsidR="00486513" w:rsidRPr="0095199C">
        <w:tab/>
        <w:t>mener, at de dermed forbundne investeringer bør sikre tilstrækkelig holdbarhed, inden nogen ændring af bestemmelsessted eller anvendelse tillades;</w:t>
      </w:r>
    </w:p>
    <w:p w14:paraId="16A3E192" w14:textId="4B0BF691" w:rsidR="00486513" w:rsidRPr="0095199C" w:rsidRDefault="00451C7D" w:rsidP="00486513">
      <w:pPr>
        <w:pStyle w:val="NormalHanging12a"/>
        <w:rPr>
          <w:szCs w:val="24"/>
        </w:rPr>
      </w:pPr>
      <w:r>
        <w:lastRenderedPageBreak/>
        <w:t>38</w:t>
      </w:r>
      <w:r w:rsidR="00486513" w:rsidRPr="0095199C">
        <w:t>.</w:t>
      </w:r>
      <w:r w:rsidR="00486513" w:rsidRPr="0095199C">
        <w:tab/>
        <w:t>opfordrer EIB til at bygge videre på sin mangeårige erfaring som accelerator for europæiske investeringer og til også at udnytte sit potentiale i uddannelses- og sundhedssektoren, herunder gennem rådgivningstjenester; opfordrer banken til at styrke støtten til sundhedskapaciteter, både i og uden for EU, og dermed sikre en stærkere rolle for Europa i verden;</w:t>
      </w:r>
    </w:p>
    <w:p w14:paraId="28116AC4" w14:textId="77777777" w:rsidR="00486513" w:rsidRPr="0095199C" w:rsidRDefault="00486513" w:rsidP="00486513">
      <w:pPr>
        <w:pStyle w:val="Normal12a24b"/>
        <w:spacing w:before="0"/>
        <w:rPr>
          <w:rStyle w:val="BoldItalic"/>
          <w:szCs w:val="24"/>
        </w:rPr>
      </w:pPr>
      <w:r w:rsidRPr="0095199C">
        <w:rPr>
          <w:rStyle w:val="BoldItalic"/>
        </w:rPr>
        <w:t>Støtte til SMV'er, midcapselskaber, nystartede virksomheder, vækstvirksomheder og virksomheder i landdistrikter og fjerntliggende områder, kapitalmarkedsunionen og EIF's rolle</w:t>
      </w:r>
    </w:p>
    <w:p w14:paraId="3F39BB0B" w14:textId="24FF0207" w:rsidR="00486513" w:rsidRPr="0095199C" w:rsidRDefault="00451C7D" w:rsidP="00486513">
      <w:pPr>
        <w:pStyle w:val="NormalHanging12a"/>
        <w:rPr>
          <w:szCs w:val="24"/>
        </w:rPr>
      </w:pPr>
      <w:r>
        <w:t>39</w:t>
      </w:r>
      <w:r w:rsidR="00486513" w:rsidRPr="0095199C">
        <w:t>.</w:t>
      </w:r>
      <w:r w:rsidR="00486513" w:rsidRPr="0095199C">
        <w:tab/>
        <w:t>fremhæver, at SMV'er, nystartede virksomheder og vækstvirksomheder er afgørende for EU's økonomi; bemærker, at disse virksomheder støder på betydelige hindringer med hensyn til at få adgang til finansiering, markeder og talenter, hvilket begrænser deres vækst; hævder, at virksomheders vækst, dynamik og offentlige investeringer er afgørende for at fremme innovation, konkurrenceevne og produktivitet; opfordrer EIB-Gruppen til fortsat at tackle disse udfordringer, navnlig i den nuværende geopolitiske kontekst, gennem skræddersyede finansielle programmer, risikodelingsmekanismer og målrettede finansielle instrumenter og samtidig sikre additionaliteten af offentlige midler til disse formål og undgå fortrængning af privat kapital; bemærker, at forskellige instrumenter til støtte for udlån til virksomheder kan kombineres afhængigt af konteksten, og at EIB-Gruppens forskellige instrumenter er rettet mod forskellige markedssvigt og virksomhedstyper; understreger behovet for at yde teknisk bistand til SMV'er inden projektgodkendelse for at forbedre adgangen til EIB-finansiering;</w:t>
      </w:r>
    </w:p>
    <w:p w14:paraId="24C966AB" w14:textId="65FD88DA" w:rsidR="00486513" w:rsidRPr="0095199C" w:rsidRDefault="00451C7D" w:rsidP="00486513">
      <w:pPr>
        <w:pStyle w:val="NormalHanging12a"/>
        <w:rPr>
          <w:szCs w:val="24"/>
        </w:rPr>
      </w:pPr>
      <w:r>
        <w:t>40</w:t>
      </w:r>
      <w:r w:rsidR="00486513" w:rsidRPr="0095199C">
        <w:t>.</w:t>
      </w:r>
      <w:r w:rsidR="00486513" w:rsidRPr="0095199C">
        <w:tab/>
        <w:t>bemærker, at udviklingen af et velfungerende securitiseringsmarked kan være et vigtigt første skridt i retning af at etablere en stærk kapitalmarkedsunion; mener, at kapitalmarkedsunionen vil gavne forbrugere og SMV'er ved at tilbyde investeringsmuligheder med et højt afkast i realøkonomien og i sidste ende vil styrke venturekapitalmarkedet ved at forbedre adgangen til diversificerede finansieringskilder; mener, at finansiering af europæiske vækstvirksomheder med europæisk kapital bør være en prioritet, som det fremgår af European Tech Champions Initiative, som blev lanceret i februar 2023 for at finansiere lovende europæiske teknologivirksomheder og forhindre salg af virksomheder til udenlandske investorer på grund af manglen på europæiske investeringer; opfordrer EIF til at undersøge muligheden for at etablere anden generation af dette initiativ; bemærker, at European Tech Champions Initiative suppleres af det europæiske opskaleringsinitiativ, som har til formål at yde afgørende finansiering til Europas højteknologiske virksomheder i deres sene udvikling; bemærker, at disse investeringer bør være i overensstemmelse med politiske tiltag på EU-plan og nationalt plan; er klar over de komparative svagheder på det europæiske venturekapitalmarked i forhold til andre konkurrenters markeder, og at europæiske nystartede virksomheder og vækstvirksomheder ofte er nødt til at flytte eller søge udenlandske købere eller være afhængige af andre finansieringskilder end venturekapital, og at de derfor er mindre velegnede til høj vækst;</w:t>
      </w:r>
    </w:p>
    <w:p w14:paraId="5D748782" w14:textId="4A7809E2" w:rsidR="00486513" w:rsidRPr="0095199C" w:rsidRDefault="00451C7D" w:rsidP="00486513">
      <w:pPr>
        <w:pStyle w:val="NormalHanging12a"/>
        <w:rPr>
          <w:szCs w:val="24"/>
        </w:rPr>
      </w:pPr>
      <w:r>
        <w:t>41</w:t>
      </w:r>
      <w:r w:rsidR="00486513" w:rsidRPr="0095199C">
        <w:t>.</w:t>
      </w:r>
      <w:r w:rsidR="00486513" w:rsidRPr="0095199C">
        <w:tab/>
        <w:t>anerkender EIF's mission om at støtte adgangen til finansiering for europæiske mikrovirksomheder og små og mellemstore virksomheder; mener, at EIF i væsentlig grad bør intensivere sine aktiviteter til udvikling af det europæiske økosystem for risikovillig kapital, samtidig med at den geografiske balance opretholdes; opfordrer til, at EIF's aktiviteter styrkes, hvilket vil gøre det muligt at øge investeringer i sektorer med høj vækst, forbedre risikodelingen mellem offentlige og private investorer og fremme innovation i hele Europa; mener, at det er nødvendigt at overvåge stigningen i støtten til mikrovirksomheder og små og mellemstore virksomheder;</w:t>
      </w:r>
    </w:p>
    <w:p w14:paraId="5A7F7AD0" w14:textId="7A1FF226" w:rsidR="00486513" w:rsidRPr="0095199C" w:rsidRDefault="00451C7D" w:rsidP="00486513">
      <w:pPr>
        <w:pStyle w:val="NormalHanging12a"/>
        <w:rPr>
          <w:szCs w:val="24"/>
        </w:rPr>
      </w:pPr>
      <w:r>
        <w:lastRenderedPageBreak/>
        <w:t>42</w:t>
      </w:r>
      <w:r w:rsidR="00486513" w:rsidRPr="0095199C">
        <w:t>.</w:t>
      </w:r>
      <w:r w:rsidR="00486513" w:rsidRPr="0095199C">
        <w:tab/>
        <w:t>opfordrer EIF til at videreudvikle sine overvågningsværktøjer for bedre at kunne spore venturekapitalfondes og SMV-finansieringstransaktioners langsigtede resultater, navnlig med hensyn til jobskabelse, innovationsformidling og regionale virkninger; understreger også den afgørende rolle, som store europæiske virksomheder spiller i Europas økonomiske struktur, navnlig dem, der opererer i vigtige sektorer såsom energi, forsvar og infrastruktur; opfordrer til en afbalanceret tilgang, der sikrer, at EIB fortsat støtter store europæiske virksomheder i at sikre investeringskapital til store projekter og forsknings- og udviklingsinitiativer og dermed styrker Europas globale konkurrenceevne;</w:t>
      </w:r>
    </w:p>
    <w:p w14:paraId="67976FAD" w14:textId="36998DD9" w:rsidR="00486513" w:rsidRPr="0095199C" w:rsidRDefault="00451C7D" w:rsidP="00486513">
      <w:pPr>
        <w:pStyle w:val="NormalHanging12a"/>
        <w:rPr>
          <w:b/>
          <w:szCs w:val="24"/>
        </w:rPr>
      </w:pPr>
      <w:r>
        <w:t>43</w:t>
      </w:r>
      <w:r w:rsidR="00486513" w:rsidRPr="0095199C">
        <w:t>.</w:t>
      </w:r>
      <w:r w:rsidR="00486513" w:rsidRPr="0095199C">
        <w:tab/>
        <w:t>roser EIB-Gruppens støtte til ca. 400 000 SMV'er og midcapselskaber alene i 2023 med 31,1 mia. EUR i finansiering, herunder lån og garantier til virksomheder (hvoraf 14,9 mia. EUR blev anvendt af EIF), hvilket resulterede i mobilisering af over 134 mia. EUR, og bemærker, at EIB-Gruppen indgik partnerskaber med næsten 300 institutioner i hele Europa med henblik herpå; opfordrer EIB til at fortsætte sin rolle med hensyn til at forbedre adgangen til finansiering for SMV'er, som ofte står over for hindringer for finansiering fra traditionelle finansielle institutioner, og yde målrettet finansiering med henblik på at sikre tilstrækkelige ressourcer til at vokse og trives; glæder sig over og opfordrer til en konstant udvidelse af antallet af partnerinstitutioner for at nå en bred geografisk og sektoriel dækning;</w:t>
      </w:r>
    </w:p>
    <w:p w14:paraId="37A43230" w14:textId="3BE382FE" w:rsidR="00486513" w:rsidRPr="0095199C" w:rsidRDefault="00451C7D" w:rsidP="00486513">
      <w:pPr>
        <w:pStyle w:val="NormalHanging12a"/>
        <w:rPr>
          <w:szCs w:val="24"/>
        </w:rPr>
      </w:pPr>
      <w:r>
        <w:t>44</w:t>
      </w:r>
      <w:r w:rsidR="00486513" w:rsidRPr="0095199C">
        <w:t>.</w:t>
      </w:r>
      <w:r w:rsidR="00486513" w:rsidRPr="0095199C">
        <w:tab/>
        <w:t>minder om, at anvendelsen af Den Europæiske Garantifond for Landbruget sluttede i 2023, og at dens udbetalinger for at hjælpe SMV'er med at komme på fode igen efter de negative konsekvenser af pandemien nåede ud til ca. 200 000 SMV'er i hele EU; minder om de bekymringer, der er blevet givet udtryk for i tidligere beslutninger om gennemsigtighed i beslutningsprocesserne og oplysninger om slutmodtagerne;</w:t>
      </w:r>
    </w:p>
    <w:p w14:paraId="31263C52" w14:textId="222516DA" w:rsidR="00486513" w:rsidRDefault="00451C7D" w:rsidP="00486513">
      <w:pPr>
        <w:pStyle w:val="NormalHanging12a"/>
      </w:pPr>
      <w:r>
        <w:t>45</w:t>
      </w:r>
      <w:r w:rsidR="00486513" w:rsidRPr="0095199C">
        <w:t>.</w:t>
      </w:r>
      <w:r w:rsidR="00486513" w:rsidRPr="0095199C">
        <w:tab/>
        <w:t>glæder sig over, at EIF's foranstaltninger til bekæmpelse af hvidvask af penge, finansiering af terrorisme og skatteundgåelse omfatter risikovurderinger af produkter og transaktioner, grundig due diligence-undersøgelse af modparter og screening af ejerskabsstrukturer og centrale enkeltpersoner mod sanktioner og negative medier; glæder sig over indførelsen af obligatorisk personaleuddannelse og indgåelsen af en aftale med Luxembourgs finansielle efterretningsenhed om indberetning af og opfølgning på eventuelle mistænkelige transaktioner, der opdages;</w:t>
      </w:r>
    </w:p>
    <w:p w14:paraId="23F19443" w14:textId="02082CB7" w:rsidR="0075056F" w:rsidRPr="0095199C" w:rsidRDefault="00451C7D" w:rsidP="00486513">
      <w:pPr>
        <w:pStyle w:val="NormalHanging12a"/>
        <w:rPr>
          <w:szCs w:val="24"/>
        </w:rPr>
      </w:pPr>
      <w:r>
        <w:t>46</w:t>
      </w:r>
      <w:r w:rsidR="0075056F">
        <w:t>.</w:t>
      </w:r>
      <w:r w:rsidR="0075056F">
        <w:tab/>
      </w:r>
      <w:r w:rsidR="0075056F" w:rsidRPr="0075056F">
        <w:t>opfordrer EIB-Gruppen til at etablere en omfattende og bindende politik for beskyttelse af whistleblowere for hele gruppen i overensstemmelse med direktiv (EU) 2019/1937</w:t>
      </w:r>
      <w:r w:rsidR="0075056F">
        <w:rPr>
          <w:rStyle w:val="FootnoteReference"/>
        </w:rPr>
        <w:footnoteReference w:id="4"/>
      </w:r>
      <w:r w:rsidR="0075056F" w:rsidRPr="0075056F">
        <w:t>, der sikrer sikre indberetningskanaler, beskyttelse mod repressalier og fuldstændige opfølgningsmekanismer;</w:t>
      </w:r>
    </w:p>
    <w:p w14:paraId="22E4EA4F" w14:textId="77777777" w:rsidR="00486513" w:rsidRPr="0095199C" w:rsidRDefault="00486513" w:rsidP="00486513">
      <w:pPr>
        <w:pStyle w:val="Normal12a24b"/>
        <w:spacing w:before="0"/>
        <w:rPr>
          <w:szCs w:val="24"/>
        </w:rPr>
      </w:pPr>
      <w:r w:rsidRPr="0095199C">
        <w:rPr>
          <w:rStyle w:val="BoldItalic"/>
        </w:rPr>
        <w:t>De centrale politikområder samhørighed, klimaindsats og miljømæssig bæredygtighed samt digitalisering</w:t>
      </w:r>
    </w:p>
    <w:p w14:paraId="42FDAE58" w14:textId="03EA751A" w:rsidR="00486513" w:rsidRPr="0095199C" w:rsidRDefault="00451C7D" w:rsidP="00486513">
      <w:pPr>
        <w:pStyle w:val="NormalHanging12a"/>
        <w:rPr>
          <w:szCs w:val="24"/>
        </w:rPr>
      </w:pPr>
      <w:r>
        <w:t>47</w:t>
      </w:r>
      <w:r w:rsidR="00486513" w:rsidRPr="0095199C">
        <w:t>.</w:t>
      </w:r>
      <w:r w:rsidR="00486513" w:rsidRPr="0095199C">
        <w:tab/>
        <w:t xml:space="preserve">glæder sig over, at EIB i sin samhørighedsorientering for 2021-2027 forpligtede sig til at afsætte mindst 40 % af sin samlede finansiering i EU mellem 2022 og 2024 til projekter i samhørighedsregioner; bemærker, at denne finansiering i 2023 beløb sig til 29,8 mia. EUR, hvilket svarer til 45 % af bankens samlede undertegnelser i EU; understreger, at andelen af EIB-finansiering til mindre udviklede regioner steg fra 24 % </w:t>
      </w:r>
      <w:r w:rsidR="00486513" w:rsidRPr="0095199C">
        <w:lastRenderedPageBreak/>
        <w:t>i 2022 til 26 % i 2023 til et beløb på 17,2 mia. EUR, hvilket er et godt stykke over det mål på 21 %, der er fastsat i EIB's samhørighedsorientering for 2023; gentager sin opfordring til EIB om fortsat at overvåge, analysere og afhjælpe de mangler, der forhindrer visse regioner eller lande i fuldt ud at drage fordel af EIB's finansielle støtte og bistand;</w:t>
      </w:r>
    </w:p>
    <w:p w14:paraId="1916310D" w14:textId="549B19FF" w:rsidR="00486513" w:rsidRPr="0095199C" w:rsidRDefault="00451C7D" w:rsidP="00486513">
      <w:pPr>
        <w:pStyle w:val="NormalHanging12a"/>
        <w:rPr>
          <w:szCs w:val="24"/>
        </w:rPr>
      </w:pPr>
      <w:r>
        <w:t>48</w:t>
      </w:r>
      <w:r w:rsidR="00486513" w:rsidRPr="0095199C">
        <w:t>.</w:t>
      </w:r>
      <w:r w:rsidR="00486513" w:rsidRPr="0095199C">
        <w:tab/>
        <w:t>anerkender den rolle, som EIF spiller med hensyn til at bidrage til økonomisk og social samhørighed i Unionen gennem en lang række finansielle instrumenter; bemærker, at EIF's forpligtelser til kreditgarantier, venturekapital og investering i private equity til samhørighedsregioner i 2023 beløb sig til 6,8 mia. EUR, hvilket svarer til 48 % af EIF's samlede forpligtelser i EU; bemærker, at EIF i 2023 var særlig aktiv i Central- og Østeuropa;</w:t>
      </w:r>
    </w:p>
    <w:p w14:paraId="0364735A" w14:textId="5D412447" w:rsidR="00486513" w:rsidRPr="0095199C" w:rsidRDefault="00451C7D" w:rsidP="00486513">
      <w:pPr>
        <w:pStyle w:val="NormalHanging12a"/>
      </w:pPr>
      <w:r>
        <w:t>49</w:t>
      </w:r>
      <w:r w:rsidR="00486513" w:rsidRPr="0095199C">
        <w:t>.</w:t>
      </w:r>
      <w:r w:rsidR="00486513" w:rsidRPr="0095199C">
        <w:tab/>
        <w:t>bemærker, at EIB's ramme for miljømæssig og social bæredygtighed omfatter en revideret miljø- og socialpolitik og reviderede miljømæssige og sociale standarder, der fremmer en integreret tilgang til konsekvens- og risikovurdering og -styring;</w:t>
      </w:r>
    </w:p>
    <w:p w14:paraId="3FA9FCF1" w14:textId="27198D10" w:rsidR="00486513" w:rsidRPr="0095199C" w:rsidRDefault="00451C7D" w:rsidP="00486513">
      <w:pPr>
        <w:pStyle w:val="NormalHanging12a"/>
        <w:rPr>
          <w:szCs w:val="24"/>
        </w:rPr>
      </w:pPr>
      <w:r>
        <w:t>50</w:t>
      </w:r>
      <w:r w:rsidR="00486513" w:rsidRPr="0095199C">
        <w:t>.</w:t>
      </w:r>
      <w:r w:rsidR="00486513" w:rsidRPr="0095199C">
        <w:tab/>
        <w:t>anerkender, at EIB's rådgivningstjeneste i løbet af de seneste 15 år har støttet mere end 1 000 projekter i samhørighedsregioner; opfordrer banken til aktivt at fremme finansieringsmuligheder i mindre udviklede regioner og overgangsregioner, bl.a. ved at øge tilstedeværelsen af rådgivningstjenester i EIB's lokale kontorer; mener, at det også er nødvendigt at tage hensyn til den geografiske fordeling af EIB's støtte til at øge den sociale samhørighed;</w:t>
      </w:r>
    </w:p>
    <w:p w14:paraId="77597AB2" w14:textId="1A456D6A" w:rsidR="00486513" w:rsidRPr="0095199C" w:rsidRDefault="00451C7D" w:rsidP="00486513">
      <w:pPr>
        <w:pStyle w:val="NormalHanging12a"/>
        <w:rPr>
          <w:szCs w:val="24"/>
        </w:rPr>
      </w:pPr>
      <w:r>
        <w:t>51</w:t>
      </w:r>
      <w:r w:rsidR="00486513" w:rsidRPr="0095199C">
        <w:t>.</w:t>
      </w:r>
      <w:r w:rsidR="00486513" w:rsidRPr="0095199C">
        <w:tab/>
        <w:t>fremhæver EIB's initiativer i samhørighedsregioner til støtte for sundhedssektoren, herunder programmet HERA Invest, en garanti på 100 mio. EUR, der er oprettet sammen med Kommissionen for at støtte forskning og udvikling i forbindelse med håndtering af presserende grænseoverskridende sundhedstrusler; opfordrer EIB til at fremme målrettede investeringer i vigtige systemiske katalysatorer såsom sundhedspleje, uddannelse, socialt boligbyggeri, digital konnektivitet og lokal finansiering til byer og regioner, der sikrer en bedre geografisk balance, enten via direkte långivning eller finansielle instrumenter, og til at udnytte synergierne mellem EU-tilskud og EIB-lån for at styrke grænseoverskridende jernbanekonnektivitet, hvilket er afgørende for en bedre integration i EU's indre marked;</w:t>
      </w:r>
    </w:p>
    <w:p w14:paraId="3EC4F401" w14:textId="748343BC" w:rsidR="00486513" w:rsidRPr="0095199C" w:rsidRDefault="00451C7D" w:rsidP="00486513">
      <w:pPr>
        <w:pStyle w:val="NormalHanging12a"/>
        <w:rPr>
          <w:szCs w:val="24"/>
        </w:rPr>
      </w:pPr>
      <w:r>
        <w:t>52</w:t>
      </w:r>
      <w:r w:rsidR="00486513" w:rsidRPr="0095199C">
        <w:t>.</w:t>
      </w:r>
      <w:r w:rsidR="00486513" w:rsidRPr="0095199C">
        <w:tab/>
        <w:t>anerkender EIB's strategiske retningslinjer siden 2019 om at være EU's klimabank; understreger, at EIB alene i 2023 undertegnede 41,8 mia. EUR i finansiering til klimaindsatsen og 25,1 mia. EUR til miljømæssig bæredygtighed (henholdsvis 35,1 mia. EUR og 15,9 mia. EUR i 2022); bemærker, at EIB's finansiering af tilpasning til klimaændringer beløb sig til i alt 2,7 mia. EUR i 2023, hvilket svarer til 6,4 % af dens samlede klimaindsats (sammenlignet med 1,9 mia. EUR eller 5,4 % i 2022); glæder sig over, at finansieringen af klimaindsatsen og miljømæssig bæredygtighed som helhed tegnede sig for 60 % af EIB's finansiering i 2023; opfordrer til at opretholde teknologineutraliteten i sin investeringsstrategi for klima og bæredygtig finansiering;</w:t>
      </w:r>
    </w:p>
    <w:p w14:paraId="24D18F39" w14:textId="6ACA8765" w:rsidR="00486513" w:rsidRPr="0095199C" w:rsidRDefault="00451C7D" w:rsidP="00486513">
      <w:pPr>
        <w:pStyle w:val="NormalHanging12a"/>
        <w:rPr>
          <w:szCs w:val="24"/>
        </w:rPr>
      </w:pPr>
      <w:r>
        <w:t>53</w:t>
      </w:r>
      <w:r w:rsidR="00486513" w:rsidRPr="0095199C">
        <w:t>.</w:t>
      </w:r>
      <w:r w:rsidR="00486513" w:rsidRPr="0095199C">
        <w:tab/>
        <w:t>minder om, at EIB's energiudlånspolitik, der blev vedtaget i 2019, indførte en udfasning af støtte til energiprojekter, der er afhængige af fossile brændstoffer med uformindsket CO</w:t>
      </w:r>
      <w:r w:rsidR="00486513" w:rsidRPr="0095199C">
        <w:rPr>
          <w:vertAlign w:val="subscript"/>
        </w:rPr>
        <w:t>2</w:t>
      </w:r>
      <w:r w:rsidR="00486513" w:rsidRPr="0095199C">
        <w:t xml:space="preserve">-udledning og indførte en overgangsperiode, hvor banken fortsat kunne godkende projekter, der allerede var under vurdering, men bestyrelsen godkendte ikke sådanne projekter efter udgangen af 2021; bemærker, at EIB-Gruppen i 2022 indførte en midlertidig og ekstraordinær forlængelse af undtagelserne fra rammen for tilpasning til Parisaftalen for modparter (den såkaldte PATH) til støtte for REPowerEU for at omfatte </w:t>
      </w:r>
      <w:r w:rsidR="00486513" w:rsidRPr="0095199C">
        <w:lastRenderedPageBreak/>
        <w:t>projekter med højt innovativt indhold og projekter vedrørende vedvarende energi og opladningsinfrastruktur til elektriske køretøjer i EU; bemærker, at EIB-Gruppen i 2023 besluttede at anvende den samme midlertidige og ekstraordinære forlængelse selv for projekter inden for rammerne af REPowerEU uden for EU; bemærker, at sådanne midlertidige og ekstraordinære forlængelser forventes at løbe indtil 2027, med forbehold af en evaluering af klimabankkøreplanen, der forventes i 2025; minder om sin tidligere beslutning</w:t>
      </w:r>
      <w:r w:rsidR="00486513" w:rsidRPr="0095199C">
        <w:rPr>
          <w:rStyle w:val="FootnoteReference"/>
          <w:szCs w:val="24"/>
        </w:rPr>
        <w:footnoteReference w:id="5"/>
      </w:r>
      <w:r w:rsidR="00486513" w:rsidRPr="0095199C">
        <w:t xml:space="preserve"> og fastholder, at PATH udgør en passende ramme for støtte til modparter på deres vej til at tilpasse sig Parisaftalens mål; understreger, at EIB forventes at intensivere sit samarbejde med alle sine kunder for at fremme udviklingen af deres dekarboniseringsplaner;</w:t>
      </w:r>
    </w:p>
    <w:p w14:paraId="167054C7" w14:textId="76B91085" w:rsidR="00486513" w:rsidRPr="0095199C" w:rsidRDefault="00451C7D" w:rsidP="00486513">
      <w:pPr>
        <w:pStyle w:val="NormalHanging12a"/>
        <w:rPr>
          <w:szCs w:val="24"/>
        </w:rPr>
      </w:pPr>
      <w:r>
        <w:t>54</w:t>
      </w:r>
      <w:r w:rsidR="00486513" w:rsidRPr="0095199C">
        <w:t>.</w:t>
      </w:r>
      <w:r w:rsidR="00486513" w:rsidRPr="0095199C">
        <w:tab/>
        <w:t>noterer sig midtvejsevalueringen af EIB-Gruppens klimabankkøreplan, der blev godkendt i 2023, og som omfatter en forenklet ramme for tilpasning til Parisaftalen for mikrovirksomheder, revisionen af PATH-rammens oplysningskrav for finansielle formidlere og en midlertidig forlængelse af listen over lande, hvor EIB kan fungere som eneste finansieringsyder til klimatilpasningsprojekter på grund af deres særlige sårbarhed over for klimaændringer;</w:t>
      </w:r>
    </w:p>
    <w:p w14:paraId="6E710C50" w14:textId="34BBAEA3" w:rsidR="00486513" w:rsidRPr="0095199C" w:rsidRDefault="00451C7D" w:rsidP="00486513">
      <w:pPr>
        <w:pStyle w:val="NormalHanging12a"/>
        <w:rPr>
          <w:szCs w:val="24"/>
        </w:rPr>
      </w:pPr>
      <w:r>
        <w:t>55</w:t>
      </w:r>
      <w:r w:rsidR="00486513" w:rsidRPr="0095199C">
        <w:t>.</w:t>
      </w:r>
      <w:r w:rsidR="00486513" w:rsidRPr="0095199C">
        <w:tab/>
        <w:t>glæder sig over EIB-Gruppens medtagelse af landbrug og bioøkonomi blandt dens vigtigste prioriteter, men bemærker, at landbrug, fiskeri og skovbrug kun modtog 1,1 % af EIB's udlånsbeholdning i 2023; mener, at det er vigtigt, at EIB programmerer betydelige beløb til finansiering af landbrugssektoren, og at dette sker gennem forenklede procedurer;</w:t>
      </w:r>
    </w:p>
    <w:p w14:paraId="01F257D8" w14:textId="1F27617C" w:rsidR="00486513" w:rsidRPr="0095199C" w:rsidRDefault="00451C7D" w:rsidP="00486513">
      <w:pPr>
        <w:pStyle w:val="NormalHanging12a"/>
        <w:rPr>
          <w:szCs w:val="24"/>
        </w:rPr>
      </w:pPr>
      <w:r>
        <w:t>56</w:t>
      </w:r>
      <w:r w:rsidR="00486513" w:rsidRPr="0095199C">
        <w:t>.</w:t>
      </w:r>
      <w:r w:rsidR="00486513" w:rsidRPr="0095199C">
        <w:tab/>
        <w:t>understreger, at landbruget er en vigtig drivkraft for vækst og udvikling i landdistrikterne; anerkender de stigende udfordringer, som landbrugssektoren står over for, og behovet for, at EU's landbrugere tilpasser sig målene i den europæiske grønne pagt, håndterer energikrisen og håndterer den stigende inflation; opfordrer EIB-Gruppen til at øge støtten til og fremme innovation i denne vigtige sektor, som spiller en væsentlig rolle med hensyn til at sikre fødevaresikkerheden, og udnytte EU's One Health-model ved at integrere menneskers, dyrs, planters og miljøets sundhed med henblik på at skabe bæredygtige, modstandsdygtige og produktive landbrugsfødevaresystemer; fremhæver de finansielle udfordringer, som landbrugere, navnlig unge og små bedrifter, står over for, og bemærker, at landbrugere og virksomheder i denne sektor oplever lavere succesrater, når de ansøger om finansiering;</w:t>
      </w:r>
    </w:p>
    <w:p w14:paraId="4920B9D5" w14:textId="44D3835A" w:rsidR="00486513" w:rsidRPr="0095199C" w:rsidRDefault="00451C7D" w:rsidP="00486513">
      <w:pPr>
        <w:pStyle w:val="NormalHanging12a"/>
        <w:rPr>
          <w:szCs w:val="24"/>
        </w:rPr>
      </w:pPr>
      <w:r>
        <w:t>57</w:t>
      </w:r>
      <w:r w:rsidR="00486513" w:rsidRPr="0095199C">
        <w:t>.</w:t>
      </w:r>
      <w:r w:rsidR="00486513" w:rsidRPr="0095199C">
        <w:tab/>
        <w:t>understreger, at EIB-støtten bør have en strategi for retfærdig omstilling med henblik på at opnå et bæredygtigt landbrug, der beskytter miljøet, menneskers sundhed og dyrevelfærden, samtidig med at landbrugernes eksistensgrundlag forbedres, navnlig for små og mellemstore bedrifter; fastholder, at støtte til landdistrikterne er afgørende for at fremme en afbalanceret og inklusiv udvikling, generationsskifte og lige adgang til økonomiske muligheder for kvinder og mænd; gentager sin opfordring til EIB-Gruppen om at øge sit engagement i landbrugssektoren ved at forbedre adgangen til finansiering;</w:t>
      </w:r>
    </w:p>
    <w:p w14:paraId="0785FB59" w14:textId="0162DB1B" w:rsidR="00486513" w:rsidRPr="0095199C" w:rsidRDefault="00451C7D" w:rsidP="00486513">
      <w:pPr>
        <w:pStyle w:val="NormalHanging12a"/>
        <w:rPr>
          <w:szCs w:val="24"/>
        </w:rPr>
      </w:pPr>
      <w:r>
        <w:t>58</w:t>
      </w:r>
      <w:r w:rsidR="00486513" w:rsidRPr="0095199C">
        <w:t>.</w:t>
      </w:r>
      <w:r w:rsidR="00486513" w:rsidRPr="0095199C">
        <w:tab/>
        <w:t xml:space="preserve">glæder sig over, at EIB-Gruppen er en af de vigtigste bidragsydere til digitalisering i EU, navnlig med hensyn til at finansiere digital infrastruktur og støtte innovative </w:t>
      </w:r>
      <w:r w:rsidR="00486513" w:rsidRPr="0095199C">
        <w:lastRenderedPageBreak/>
        <w:t>digitale nystartede virksomheder; opfordrer EIB til at øge sin støtte til digitale netværk for at styrke EU's teknologiske autonomi og innovation inden for centrale teknologier;</w:t>
      </w:r>
    </w:p>
    <w:p w14:paraId="3A083D14" w14:textId="487C5241" w:rsidR="00486513" w:rsidRPr="0095199C" w:rsidRDefault="00451C7D" w:rsidP="00486513">
      <w:pPr>
        <w:pStyle w:val="NormalHanging12a"/>
        <w:rPr>
          <w:szCs w:val="24"/>
        </w:rPr>
      </w:pPr>
      <w:r>
        <w:t>59</w:t>
      </w:r>
      <w:r w:rsidR="00486513" w:rsidRPr="0095199C">
        <w:t>.</w:t>
      </w:r>
      <w:r w:rsidR="00486513" w:rsidRPr="0095199C">
        <w:tab/>
        <w:t>mener, at en mindskelse af den digitale ulighed og forebyggelse af social udstødelse kræver betydelige offentlige investeringer i telekommunikationsinfrastruktur, navnlig i landdistrikterne; opfordrer EIB til at støtte europæiske borgere i at erhverve tilstrækkelige digitale færdigheder til at deltage fuldt ud i samfundet, med særligt fokus på ældre og personer med handicap;</w:t>
      </w:r>
    </w:p>
    <w:p w14:paraId="691C077F" w14:textId="646C7156" w:rsidR="00486513" w:rsidRPr="0095199C" w:rsidRDefault="00451C7D" w:rsidP="00486513">
      <w:pPr>
        <w:pStyle w:val="NormalHanging12a"/>
        <w:rPr>
          <w:szCs w:val="24"/>
        </w:rPr>
      </w:pPr>
      <w:r>
        <w:t>60</w:t>
      </w:r>
      <w:r w:rsidR="00486513" w:rsidRPr="0095199C">
        <w:t>.</w:t>
      </w:r>
      <w:r w:rsidR="00486513" w:rsidRPr="0095199C">
        <w:tab/>
        <w:t>anerkender cybersikkerhedssektorens afgørende rolle med hensyn til at beskytte virksomheder og regeringer mod avancerede digitale trusler og udenlandsk indflydelse; glæder sig over stigningen i sikkerhedsinvesteringer fra 6 mia. EUR til 8 mia. EUR, der finansieres via SESI til håndtering af sikkerhedsudfordringer, herunder i New Space-industrien;</w:t>
      </w:r>
    </w:p>
    <w:p w14:paraId="73588E2B" w14:textId="2F44E0DC" w:rsidR="00486513" w:rsidRPr="0095199C" w:rsidRDefault="00451C7D" w:rsidP="00486513">
      <w:pPr>
        <w:pStyle w:val="NormalHanging12a"/>
        <w:rPr>
          <w:szCs w:val="24"/>
        </w:rPr>
      </w:pPr>
      <w:r>
        <w:t>61</w:t>
      </w:r>
      <w:r w:rsidR="00486513" w:rsidRPr="0095199C">
        <w:t>.</w:t>
      </w:r>
      <w:r w:rsidR="00486513" w:rsidRPr="0095199C">
        <w:tab/>
        <w:t>glæder sig over EIB's fokus på ligestilling mellem kønnene og styrkelse af kvinders økonomiske indflydelse og status, hvilket resulterede i investeringer på i alt 5,8 mia. EUR på dette område i 2023 (sammenlignet med 5,1 mia. EUR i 2022); mener, at EIB yderligere kan øge mikrofinansieringslånene til virksomheder, der ledes af kvinder, og som stadig udsættes for forskelsbehandling hvad angår adgang til finansiering;</w:t>
      </w:r>
    </w:p>
    <w:p w14:paraId="2752EB34" w14:textId="007331FD" w:rsidR="00486513" w:rsidRPr="0095199C" w:rsidRDefault="00451C7D" w:rsidP="00486513">
      <w:pPr>
        <w:pStyle w:val="NormalHanging12a"/>
        <w:rPr>
          <w:szCs w:val="24"/>
        </w:rPr>
      </w:pPr>
      <w:r>
        <w:t>62</w:t>
      </w:r>
      <w:r w:rsidR="00486513" w:rsidRPr="0095199C">
        <w:t>.</w:t>
      </w:r>
      <w:r w:rsidR="00486513" w:rsidRPr="0095199C">
        <w:tab/>
        <w:t>fremhæver, at forsyningssikkerheden for så vidt angår kritiske råstoffer er helt afgørende for både den grønne og den digitale omstilling, forsvarssektoren samt for EU's industrielle base som helhed; opfordrer EIB til at øge investeringerne i sektoren for kritiske råstoffer for at bidrage til at diversificere forsyningen af både primære og sekundære råstoffer og til at udvikle løsninger inden for den cirkulære økonomi, navnlig FoU for alternative materialer såsom biobaserede materialer; glæder sig i denne forbindelse over vedtagelsen den 21. marts 2025 af et nyt strategisk initiativ vedrørende kritiske råstoffer med en forventet finansiering på 2 mia. EUR til investering i kritiske råstoffer i 2025, en ny taskforce om kritiske råstoffer og en særlig one-stop-shop til opbygning og forvaltning af en reserve af operationer og rådgivningsaktiviteter på området kritiske råstoffer og øget teknisk ekspertise og flere partnerskaber;</w:t>
      </w:r>
    </w:p>
    <w:p w14:paraId="3315ECCD" w14:textId="77777777" w:rsidR="00486513" w:rsidRPr="0095199C" w:rsidRDefault="00486513" w:rsidP="00486513">
      <w:pPr>
        <w:pStyle w:val="Normal12a24b"/>
        <w:spacing w:before="0"/>
        <w:rPr>
          <w:szCs w:val="24"/>
        </w:rPr>
      </w:pPr>
      <w:r w:rsidRPr="0095199C">
        <w:rPr>
          <w:rStyle w:val="BoldItalic"/>
        </w:rPr>
        <w:t xml:space="preserve">EIB's aktiviteter uden for EU </w:t>
      </w:r>
    </w:p>
    <w:p w14:paraId="6B2A562D" w14:textId="5E51771F" w:rsidR="00486513" w:rsidRPr="0095199C" w:rsidRDefault="00451C7D" w:rsidP="00486513">
      <w:pPr>
        <w:pStyle w:val="NormalHanging12a"/>
        <w:rPr>
          <w:b/>
        </w:rPr>
      </w:pPr>
      <w:r>
        <w:t>63</w:t>
      </w:r>
      <w:r w:rsidR="00486513" w:rsidRPr="0095199C">
        <w:t>.</w:t>
      </w:r>
      <w:r w:rsidR="00486513" w:rsidRPr="0095199C">
        <w:tab/>
        <w:t>understreger, at EIB Global i sit andet år ydede finansiering på 8,4 mia. EUR (sammenlignet med 9,1 mia. EUR i 2022); bemærker, at eftersom finansiering fra EIB Global er begrænset til 50 % af de samlede omkostninger ved et projekt, foregår medfinansiering af investeringer med institutioner for udviklingsfinansiering og multilaterale udviklingsbanker; opfordrer EIB og Kommissionen til at investere i intern revision og uafhængige kontrolfunktioner for at sikre integriteten og soliditeten af alle transaktioner;</w:t>
      </w:r>
    </w:p>
    <w:p w14:paraId="5238F728" w14:textId="7653D3A6" w:rsidR="00486513" w:rsidRPr="0095199C" w:rsidRDefault="00451C7D" w:rsidP="00486513">
      <w:pPr>
        <w:pStyle w:val="NormalHanging12a"/>
      </w:pPr>
      <w:r>
        <w:t>64</w:t>
      </w:r>
      <w:r w:rsidR="00486513" w:rsidRPr="0095199C">
        <w:t>.</w:t>
      </w:r>
      <w:r w:rsidR="00486513" w:rsidRPr="0095199C">
        <w:tab/>
        <w:t>minder om, at EIB Global er blandt de centrale gennemførelsesaktører i den europæiske strategi Global Gateway og som sådan forventes at anvende de højeste standarder for gennemsigtighed og ansvarlighed;</w:t>
      </w:r>
    </w:p>
    <w:p w14:paraId="6E6E8847" w14:textId="08EB887C" w:rsidR="00486513" w:rsidRPr="0095199C" w:rsidRDefault="00451C7D" w:rsidP="00486513">
      <w:pPr>
        <w:pStyle w:val="NormalHanging12a"/>
      </w:pPr>
      <w:r>
        <w:t>65</w:t>
      </w:r>
      <w:r w:rsidR="00486513" w:rsidRPr="0095199C">
        <w:t>.</w:t>
      </w:r>
      <w:r w:rsidR="00486513" w:rsidRPr="0095199C">
        <w:tab/>
        <w:t>noterer sig, at EIB's bestyrelse har vedtaget den strategiske køreplan for EIB Global og givet tilsagn om at respektere og fremme menneskerettighederne og retsstatsprincippet i de projekter, den støtter;</w:t>
      </w:r>
    </w:p>
    <w:p w14:paraId="216F0853" w14:textId="4EDFB637" w:rsidR="00486513" w:rsidRPr="0095199C" w:rsidRDefault="00451C7D" w:rsidP="00486513">
      <w:pPr>
        <w:pStyle w:val="NormalHanging12a"/>
        <w:rPr>
          <w:bCs/>
          <w:iCs/>
          <w:szCs w:val="24"/>
        </w:rPr>
      </w:pPr>
      <w:r>
        <w:lastRenderedPageBreak/>
        <w:t>66</w:t>
      </w:r>
      <w:r w:rsidR="00486513" w:rsidRPr="0095199C">
        <w:t>.</w:t>
      </w:r>
      <w:r w:rsidR="00486513" w:rsidRPr="0095199C">
        <w:tab/>
        <w:t>fremhæver betydningen af at sikre, at EIB-Gruppens indsats i Ukraine baseres på de prioriteter for landets genopbygning, der er aftalt med EU, og er i overensstemmelse med de metoder og rammer, der er fastsat i planen for Ukraine, og med bestemmelserne i EU-traktaterne; bemærker, at EIB yderligere øger sine bestræbelser på at tackle svig og korruption i forbindelse med EIB-Gruppens projekter, der gennemføres i Ukraine; opfordrer til fortsat anvendelse af passende betingelser for den finansielle bistand, der ydes til Ukraine, med fokus på at sikre effektive tilsynsmekanismer såsom adgang til oplysninger og lokaler og overvågning af besøg, og opfordrer til, at konditionaliteten udvides til at omfatte alle lande uden for EU, som den yder finansiering til;</w:t>
      </w:r>
    </w:p>
    <w:p w14:paraId="3B9F2DCC" w14:textId="775E4C85" w:rsidR="00486513" w:rsidRPr="0095199C" w:rsidRDefault="00451C7D" w:rsidP="00486513">
      <w:pPr>
        <w:pStyle w:val="NormalHanging12a"/>
      </w:pPr>
      <w:r>
        <w:t>67</w:t>
      </w:r>
      <w:r w:rsidR="00486513" w:rsidRPr="0095199C">
        <w:t>.</w:t>
      </w:r>
      <w:r w:rsidR="00486513" w:rsidRPr="0095199C">
        <w:tab/>
        <w:t>opfordrer indtrængende til at styrke den administrative kapacitet og revisionskapaciteten hos de ukrainske myndigheder, der er ansvarlige for at gennemføre, overvåge, kontrollere og føre tilsyn med finansierede foranstaltninger, navnlig med henblik på forebyggelse af svig, korruption, interessekonflikter og uregelmæssigheder; gentager, at EIB til enhver tid bør have et klart og ubegrænset tilsyn;</w:t>
      </w:r>
    </w:p>
    <w:p w14:paraId="64ACB630" w14:textId="77AA83C6" w:rsidR="00486513" w:rsidRPr="0095199C" w:rsidRDefault="00451C7D" w:rsidP="00486513">
      <w:pPr>
        <w:pStyle w:val="NormalHanging12a"/>
        <w:rPr>
          <w:szCs w:val="24"/>
        </w:rPr>
      </w:pPr>
      <w:r>
        <w:t>68</w:t>
      </w:r>
      <w:r w:rsidR="00486513" w:rsidRPr="0095199C">
        <w:t>.</w:t>
      </w:r>
      <w:r w:rsidR="00486513" w:rsidRPr="0095199C">
        <w:tab/>
        <w:t>mener, at en større rolle for EIB vil skabe merværdi for både genopbygningen af Ukraine og udvidelsesprocessen og for fremtidige partnerskaber under EU's Global Gateway-dagsorden og naboskabspolitik og til støtte for målene for bæredygtig udvikling; opfordrer Kommissionen til at maksimere samarbejdet med EIB for at styrke EU's strategiske autonomi, navnlig med hensyn til energi og råstoffer;</w:t>
      </w:r>
    </w:p>
    <w:p w14:paraId="50D6296D" w14:textId="638E2DB3" w:rsidR="00486513" w:rsidRPr="0095199C" w:rsidRDefault="00451C7D" w:rsidP="00486513">
      <w:pPr>
        <w:pStyle w:val="NormalHanging12a"/>
      </w:pPr>
      <w:r>
        <w:t>69</w:t>
      </w:r>
      <w:r w:rsidR="00486513" w:rsidRPr="0095199C">
        <w:t>.</w:t>
      </w:r>
      <w:r w:rsidR="00486513" w:rsidRPr="0095199C">
        <w:tab/>
        <w:t>glæder sig over vedtagelsen i 2024 af Ukrainefaciliteten, som følger EIB's initiativ EU for Ukraine (EU4U) og opretter en støttemekanisme baseret på EU's budgetmidler; opfordrer medlemsstaterne til at sikre, at der fortsat ydes solid støtte til landet i overensstemmelse med dets behov;</w:t>
      </w:r>
    </w:p>
    <w:p w14:paraId="43001A35" w14:textId="607C2615" w:rsidR="00486513" w:rsidRPr="0095199C" w:rsidRDefault="00451C7D" w:rsidP="00486513">
      <w:pPr>
        <w:pStyle w:val="NormalHanging12a"/>
        <w:rPr>
          <w:rFonts w:eastAsiaTheme="minorEastAsia"/>
          <w:b/>
          <w:szCs w:val="24"/>
        </w:rPr>
      </w:pPr>
      <w:r>
        <w:t>70</w:t>
      </w:r>
      <w:r w:rsidR="00486513" w:rsidRPr="0095199C">
        <w:t>.</w:t>
      </w:r>
      <w:r w:rsidR="00486513" w:rsidRPr="0095199C">
        <w:tab/>
        <w:t>understreger, at EIB for at støtte Ukraine har opbygget en låneportefølje på over 7 mia. EUR siden begyndelsen af konflikten med Rusland i 2014; understreger, at EIB's eksponering (udbetalt og endnu ikke udbetalt) pr. 31. december 2023 beløb sig til 5,750 mia. EUR, hovedsagelig dækket af EU-garantier under det eksterne lånemandat; bemærker endvidere, at banken også ydede finansielle garantier for eksponeringer mod modparter beliggende i Ukraine, som var fuldt ud dækket af EU's omfattende garantier, til et undertegnet beløb på 388,7 mio. EUR ved udgangen af 2023 (sammenlignet med 478,8 mio. EUR ved udgangen af 2022);</w:t>
      </w:r>
    </w:p>
    <w:p w14:paraId="75FA3466" w14:textId="15CDEFB7" w:rsidR="00486513" w:rsidRPr="0095199C" w:rsidRDefault="00451C7D" w:rsidP="00486513">
      <w:pPr>
        <w:pStyle w:val="NormalHanging12a"/>
        <w:rPr>
          <w:rFonts w:eastAsiaTheme="minorEastAsia"/>
          <w:szCs w:val="24"/>
        </w:rPr>
      </w:pPr>
      <w:r>
        <w:t>71</w:t>
      </w:r>
      <w:r w:rsidR="00486513" w:rsidRPr="0095199C">
        <w:t>.</w:t>
      </w:r>
      <w:r w:rsidR="00486513" w:rsidRPr="0095199C">
        <w:tab/>
        <w:t>noterer sig EIB's voksende finansielle engagement i Ukraine; opfordrer banken til regelmæssigt og detaljeret at informere budgetmyndigheden og de relevante revisionsorganer om udbetalingen og gennemførelsen af midler, der er omfattet af EU-garantier;</w:t>
      </w:r>
    </w:p>
    <w:p w14:paraId="1AB92265" w14:textId="1871EB2B" w:rsidR="00486513" w:rsidRPr="0095199C" w:rsidRDefault="00451C7D" w:rsidP="00486513">
      <w:pPr>
        <w:pStyle w:val="NormalHanging12a"/>
        <w:rPr>
          <w:rFonts w:eastAsiaTheme="minorEastAsia"/>
          <w:szCs w:val="24"/>
        </w:rPr>
      </w:pPr>
      <w:r>
        <w:t>72</w:t>
      </w:r>
      <w:r w:rsidR="00486513" w:rsidRPr="0095199C">
        <w:t>.</w:t>
      </w:r>
      <w:r w:rsidR="00486513" w:rsidRPr="0095199C">
        <w:tab/>
        <w:t>understreger den uforholdsmæssigt store indvirkning af den russiske angrebskrig mod Ukraine på de østlige EU-regioner, der grænser op til Rusland og Belarus; henleder opmærksomheden på de omkostninger, som disse regioner og medlemsstater bærer som følge af deres fælles grænse med fjendtlige nabolande, navnlig deres behov for i stigende grad at omdirigere offentlige midler i retning af sikkerhed, forsvar og beredskab, samtidig med at de skal håndtere kraftigt reducerede ressourcer som følge af forstyrrelser i økonomiske aktiviteter, grænseoverskridende handel og andre udvekslinger og i samhørighedsprogrammer; opfordrer EIB til at tage hensyn til dette i sine finansieringsafgørelser;</w:t>
      </w:r>
    </w:p>
    <w:p w14:paraId="4B69418D" w14:textId="65578020" w:rsidR="00486513" w:rsidRPr="0095199C" w:rsidRDefault="00451C7D" w:rsidP="00486513">
      <w:pPr>
        <w:pStyle w:val="NormalHanging12a"/>
        <w:rPr>
          <w:b/>
        </w:rPr>
      </w:pPr>
      <w:r>
        <w:lastRenderedPageBreak/>
        <w:t>73</w:t>
      </w:r>
      <w:r w:rsidR="00486513" w:rsidRPr="0095199C">
        <w:t>.</w:t>
      </w:r>
      <w:r w:rsidR="00486513" w:rsidRPr="0095199C">
        <w:tab/>
        <w:t>glæder sig over de betydelige investeringer, der er foretaget i Moldova for at støtte økonomisk modstandsdygtighed, forbedre energisikkerheden, forbedre infrastrukturen og støtte landets fremskridt hen imod integration i EU; anerkender, at EIB Global på Vestbalkan investerede 1,2 mia. EUR i 2023 plus yderligere 700 mio. EUR for at forbedre trafiksikkerheden og forbedre jernbanenettet; glæder sig over vedtagelsen af reform- og vækstfaciliteten for Vestbalkan i 2024 og reform- og vækstfaciliteten for Moldova, som Europa-Parlamentet har godkendt;</w:t>
      </w:r>
    </w:p>
    <w:p w14:paraId="2004954B" w14:textId="68DB2B9B" w:rsidR="00486513" w:rsidRPr="0095199C" w:rsidRDefault="00451C7D" w:rsidP="00486513">
      <w:pPr>
        <w:pStyle w:val="NormalHanging12a"/>
      </w:pPr>
      <w:r>
        <w:t>74</w:t>
      </w:r>
      <w:r w:rsidR="00486513" w:rsidRPr="0095199C">
        <w:t>.</w:t>
      </w:r>
      <w:r w:rsidR="00486513" w:rsidRPr="0095199C">
        <w:tab/>
        <w:t>anerkender den rolle, som EIB spiller med hensyn til at støtte Vestbalkan på deres vej mod EU-medlemskab, i overensstemmelse med EU's udvidelsespolitik; bemærker, at EIB Global investerede 1,2 mia. EUR i Vestbalkan i 2023 og i alt mobiliserede over 6 mia. EUR i investeringer; bemærker, at størstedelen af finansieringen blev afsat til bæredygtig konnektivitet efterfulgt af kreditlinjer til SMV'er, infrastrukturprojekter inden for sektorerne sundhedspleje, uddannelse og færdigheder samt vandforsyning og sanitet;</w:t>
      </w:r>
    </w:p>
    <w:p w14:paraId="6AE01444" w14:textId="3B24CD4C" w:rsidR="00486513" w:rsidRPr="0095199C" w:rsidRDefault="00451C7D" w:rsidP="00486513">
      <w:pPr>
        <w:pStyle w:val="NormalHanging12a"/>
      </w:pPr>
      <w:r>
        <w:t>75</w:t>
      </w:r>
      <w:r w:rsidR="00486513" w:rsidRPr="0095199C">
        <w:t>.</w:t>
      </w:r>
      <w:r w:rsidR="00486513" w:rsidRPr="0095199C">
        <w:tab/>
        <w:t>anmoder EIB om at samarbejde med andre bilaterale og multilaterale institutioner om at udvikle og anvende fælles metoder til analyse af udviklingseffekter med henblik på at sikre merværdi og langsigtede positive virkninger;</w:t>
      </w:r>
    </w:p>
    <w:p w14:paraId="3176737C" w14:textId="77777777" w:rsidR="00486513" w:rsidRPr="0095199C" w:rsidRDefault="00486513" w:rsidP="00486513">
      <w:pPr>
        <w:pStyle w:val="Normal12a24b"/>
        <w:keepNext/>
        <w:keepLines/>
        <w:spacing w:before="0"/>
        <w:rPr>
          <w:szCs w:val="24"/>
        </w:rPr>
      </w:pPr>
      <w:r w:rsidRPr="0095199C">
        <w:rPr>
          <w:rStyle w:val="BoldItalic"/>
        </w:rPr>
        <w:t>EIB's ansvarlighedsstruktur</w:t>
      </w:r>
    </w:p>
    <w:p w14:paraId="28391C69" w14:textId="0DE4BD58" w:rsidR="00486513" w:rsidRPr="0095199C" w:rsidRDefault="00451C7D" w:rsidP="00486513">
      <w:pPr>
        <w:pStyle w:val="NormalHanging12a"/>
        <w:rPr>
          <w:szCs w:val="24"/>
        </w:rPr>
      </w:pPr>
      <w:r>
        <w:t>76</w:t>
      </w:r>
      <w:r w:rsidR="00486513" w:rsidRPr="0095199C">
        <w:t>.</w:t>
      </w:r>
      <w:r w:rsidR="00486513" w:rsidRPr="0095199C">
        <w:tab/>
        <w:t>minder om, at det interne tilsyn i EIB ledes af generalinspektoratet (IG), som omfatter tre regnskabsrelaterede afdelinger – evaluering af transaktioner, klagemekanismen og undersøgelse af svig – der har komplementære roller og bidrager til en konsekvent behandling af påstande og klager;</w:t>
      </w:r>
    </w:p>
    <w:p w14:paraId="3203C31C" w14:textId="1B409F8E" w:rsidR="00486513" w:rsidRPr="0095199C" w:rsidRDefault="00451C7D" w:rsidP="00486513">
      <w:pPr>
        <w:pStyle w:val="NormalHanging12a"/>
        <w:rPr>
          <w:szCs w:val="24"/>
        </w:rPr>
      </w:pPr>
      <w:r>
        <w:t>77</w:t>
      </w:r>
      <w:r w:rsidR="00486513" w:rsidRPr="0095199C">
        <w:t>.</w:t>
      </w:r>
      <w:r w:rsidR="00486513" w:rsidRPr="0095199C">
        <w:tab/>
        <w:t>bemærker, at EIB's klagemekanisme (EIB-CM) i 2023 behandlede i alt 104 sager (97 i 2022); bemærker, at der i 2023 blev modtaget 60 nye klager (54 i 2022), hvoraf 44 blev anset for at være antagelige, og 29 vedrørte EIB-finansierede projekter, hvoraf 27 var beliggende uden for Europa;</w:t>
      </w:r>
    </w:p>
    <w:p w14:paraId="5560D047" w14:textId="1935C21C" w:rsidR="00486513" w:rsidRPr="0095199C" w:rsidRDefault="00451C7D" w:rsidP="00486513">
      <w:pPr>
        <w:pStyle w:val="NormalHanging12a"/>
        <w:rPr>
          <w:szCs w:val="24"/>
        </w:rPr>
      </w:pPr>
      <w:r>
        <w:t>78</w:t>
      </w:r>
      <w:r w:rsidR="00486513" w:rsidRPr="0095199C">
        <w:t>.</w:t>
      </w:r>
      <w:r w:rsidR="00486513" w:rsidRPr="0095199C">
        <w:tab/>
        <w:t>bemærker, at EIB's udbudsklageudvalg er det uafhængige EIB-udvalg, der behandler klager over udbudsprocedurer vedrørende EIB-finansierede projekter uden for EU;</w:t>
      </w:r>
    </w:p>
    <w:p w14:paraId="7E231C17" w14:textId="3E647680" w:rsidR="00486513" w:rsidRPr="0095199C" w:rsidRDefault="00451C7D" w:rsidP="00486513">
      <w:pPr>
        <w:pStyle w:val="NormalHanging12a"/>
        <w:rPr>
          <w:szCs w:val="24"/>
        </w:rPr>
      </w:pPr>
      <w:r>
        <w:t>79</w:t>
      </w:r>
      <w:r w:rsidR="00486513" w:rsidRPr="0095199C">
        <w:t>.</w:t>
      </w:r>
      <w:r w:rsidR="00486513" w:rsidRPr="0095199C">
        <w:tab/>
        <w:t>glæder sig over undersøgelsesafdelingens (IG/IN) bestræbelser på at samarbejde og koordinere indsatsen med de øvrige dele af EU's struktur for bekæmpelse af svig, navnlig Det Europæiske Kontor for Bekæmpelse af Svig (OLAF) og Den Europæiske Anklagemyndighed (EPPO), som modtog 37 % af indberetningerne med henblik på undersøgelse i 2023 (27 ud af 74 sager); opfordrer IG/IN til at styrke sit samarbejde med alle komponenter i EU's struktur for bekæmpelse af svig;</w:t>
      </w:r>
    </w:p>
    <w:p w14:paraId="23F99891" w14:textId="2F22ED89" w:rsidR="00486513" w:rsidRPr="0095199C" w:rsidRDefault="00451C7D" w:rsidP="00486513">
      <w:pPr>
        <w:pStyle w:val="NormalHanging12a"/>
        <w:rPr>
          <w:b/>
          <w:szCs w:val="24"/>
        </w:rPr>
      </w:pPr>
      <w:r>
        <w:t>80</w:t>
      </w:r>
      <w:r w:rsidR="00486513" w:rsidRPr="0095199C">
        <w:t>.</w:t>
      </w:r>
      <w:r w:rsidR="00486513" w:rsidRPr="0095199C">
        <w:tab/>
        <w:t>bemærker, at IG/IN gennemfører proaktive aktiviteter til afsløring af svig ved hjælp af værktøjet til vurdering af svig og integritetsrisici og robotten til vurdering af risici for korruption i forbindelse med udbud, og at der i 2023 i forbindelse med 24 gennemgange blev fastsat mål for tre fuldstændige og tilbundsgående proaktive integritetsgennemgange; opfordrer banken til at vurdere, hvordan disse digitale værktøjer kan styrkes yderligere for at støtte gennemsigtighed og finansiel ansvarlighed;</w:t>
      </w:r>
    </w:p>
    <w:p w14:paraId="395EB00B" w14:textId="69FF5CDC" w:rsidR="00486513" w:rsidRPr="0095199C" w:rsidRDefault="00451C7D" w:rsidP="00486513">
      <w:pPr>
        <w:pStyle w:val="NormalHanging12a"/>
        <w:rPr>
          <w:szCs w:val="24"/>
        </w:rPr>
      </w:pPr>
      <w:r>
        <w:t>81</w:t>
      </w:r>
      <w:r w:rsidR="00486513" w:rsidRPr="0095199C">
        <w:t>.</w:t>
      </w:r>
      <w:r w:rsidR="00486513" w:rsidRPr="0095199C">
        <w:tab/>
        <w:t xml:space="preserve">beklager, at årsrapporten fra IG/IN til trods for gentagne opfordringer fra Parlamentet ikke indeholder tilstrækkelige oplysninger om det finansielle omfang af de sager, den behandler, de berørte midler eller mandater, de pågældende typer projekter, de vedtagne </w:t>
      </w:r>
      <w:r w:rsidR="00486513" w:rsidRPr="0095199C">
        <w:lastRenderedPageBreak/>
        <w:t>afbødende foranstaltninger, EIB's tjenestegrenes og formidlernes eller partnernes rolle i sagerne eller endda de berørte medlemsstater; opfordrer IG/IN's repræsentanter til at øge engagementet, interaktionerne og gennemsigtigheden med Parlamentet, navnlig med hensyn til kontrollen med de finansielle aktiviteter; gentager sin opfordring til IG/IN om at gå videre end blot en overfladisk beskrivelse af nogle få casestudier og til regelmæssigt at rapportere værdifuld indsigt i, i hvilket omfang de finansielle interesser beskyttes; foreslår, at IG/IN vedtager en rapporteringsmodel svarende til dem, der anvendes af andre undersøgelsesorganer såsom EPPO og OLAF, hvor der tilstræbes en passende balance mellem gennemsigtighed og fortrolighedspligt eller tavshedspligt;</w:t>
      </w:r>
    </w:p>
    <w:p w14:paraId="009466C6" w14:textId="049A57B1" w:rsidR="00486513" w:rsidRPr="0095199C" w:rsidRDefault="00451C7D" w:rsidP="00486513">
      <w:pPr>
        <w:pStyle w:val="NormalHanging12a"/>
        <w:rPr>
          <w:szCs w:val="24"/>
        </w:rPr>
      </w:pPr>
      <w:r>
        <w:t>82</w:t>
      </w:r>
      <w:r w:rsidR="00486513" w:rsidRPr="0095199C">
        <w:t>.</w:t>
      </w:r>
      <w:r w:rsidR="00486513" w:rsidRPr="0095199C">
        <w:tab/>
        <w:t>er klar over, at EIB's udelukkelsespolitik omfatter en autonom udelukkelsesproces, der ikke fuldt ud svarer til Kommissionens system for tidlig opdagelse og udelukkelse med hensyn til beslutningsstandarder, resultater og afhjælpende foranstaltninger; gentager sin opfordring til EIB-Gruppen og Kommissionen om at samarbejde om at udpege de potentielle mangler og foreslå afhjælpende foranstaltninger, herunder en fremskyndet procedure for håndhævelse af EIB's afgørelser om udelukkelse via systemet for tidlig opdagelse og udelukkelse; bemærker, at udelukkelsesprocedurer baseret på IG/IN's resultater i 2023 udelukkede fem virksomheder fra at deltage i EIB-finansierede aktiviteter i en periode på fem år;</w:t>
      </w:r>
    </w:p>
    <w:p w14:paraId="58376610" w14:textId="3022C6C4" w:rsidR="00486513" w:rsidRPr="0095199C" w:rsidRDefault="00451C7D" w:rsidP="00486513">
      <w:pPr>
        <w:pStyle w:val="NormalHanging12a"/>
        <w:rPr>
          <w:szCs w:val="24"/>
        </w:rPr>
      </w:pPr>
      <w:r>
        <w:t>83</w:t>
      </w:r>
      <w:r w:rsidR="00486513" w:rsidRPr="0095199C">
        <w:t>.</w:t>
      </w:r>
      <w:r w:rsidR="00486513" w:rsidRPr="0095199C">
        <w:tab/>
        <w:t>glæder sig over godkendelsen i 2023 af EIB-Gruppens interne kontrolrammepolitik; anerkender resultaterne af gruppens tilpasningsproces mellem EIB og EIF, for så vidt som de afspejler de to enheders forskellige forretningsmodeller og forvaltningsstrukturer; henviser især til revisionsudvalgets bemærkninger om, at både intern revision og rammen for intern kontrol bør udvikle sig til funktioner for hele EIB-Gruppen;</w:t>
      </w:r>
    </w:p>
    <w:p w14:paraId="60534D20" w14:textId="41302026" w:rsidR="00486513" w:rsidRPr="0095199C" w:rsidRDefault="00451C7D" w:rsidP="00486513">
      <w:pPr>
        <w:pStyle w:val="NormalHanging12a"/>
        <w:rPr>
          <w:szCs w:val="24"/>
        </w:rPr>
      </w:pPr>
      <w:r>
        <w:t>84</w:t>
      </w:r>
      <w:r w:rsidR="00486513" w:rsidRPr="0095199C">
        <w:t>.</w:t>
      </w:r>
      <w:r w:rsidR="00486513" w:rsidRPr="0095199C">
        <w:tab/>
        <w:t>bemærker, at EIB's uafhængige eksterne revisor er den tredje forsvarslinje; påpeger, at den regelmæssige rotation af revisorer og opgaver giver mulighed for nye perspektiver, og bemærker derfor, at EIB's eksterne revisor bør udskiftes regelmæssigt, men at vedkommendes mandat blev forlænget indtil 2027, og at den pågældende har været EIB-Gruppens revisor siden 2009;</w:t>
      </w:r>
    </w:p>
    <w:p w14:paraId="76C2BDB5" w14:textId="6E4E2E90" w:rsidR="00486513" w:rsidRPr="0095199C" w:rsidRDefault="00451C7D" w:rsidP="00486513">
      <w:pPr>
        <w:pStyle w:val="NormalHanging12a"/>
        <w:rPr>
          <w:szCs w:val="24"/>
        </w:rPr>
      </w:pPr>
      <w:r>
        <w:t>85</w:t>
      </w:r>
      <w:r w:rsidR="00486513" w:rsidRPr="0095199C">
        <w:t>.</w:t>
      </w:r>
      <w:r w:rsidR="00486513" w:rsidRPr="0095199C">
        <w:tab/>
        <w:t>påskønner, at EIB-Gruppens risikostyringsramme og EIB-Gruppens halvårlige rapporter om risikostyring er effektive og er i overensstemmelse med Den Europæiske Banktilsynsmyndigheds krav og tekniske standarder;</w:t>
      </w:r>
    </w:p>
    <w:p w14:paraId="27F4B6FA" w14:textId="485D4592" w:rsidR="00486513" w:rsidRPr="0095199C" w:rsidRDefault="00451C7D" w:rsidP="00486513">
      <w:pPr>
        <w:pStyle w:val="NormalHanging12a"/>
        <w:rPr>
          <w:szCs w:val="24"/>
        </w:rPr>
      </w:pPr>
      <w:r>
        <w:t>86</w:t>
      </w:r>
      <w:r w:rsidR="00486513" w:rsidRPr="0095199C">
        <w:t>.</w:t>
      </w:r>
      <w:r w:rsidR="00486513" w:rsidRPr="0095199C">
        <w:tab/>
        <w:t>understreger, at EIB's portefølje i 2023 på trods af vanskelige markedsvilkår fortsat udviste meget lave niveauer af misligholdte eksponeringer; er af den opfattelse, at selv om en betydelig del af bankens låneportefølje drager fordel af kreditforbedringer eller garantier fra EU-medlemsstater, skyldes den høje kvalitet af EIB's portefølje den omhyggelige gennemførelse af meget effektive EIB-udlånspolitikker;</w:t>
      </w:r>
    </w:p>
    <w:p w14:paraId="721C4FC9" w14:textId="3D42C43C" w:rsidR="00486513" w:rsidRPr="0095199C" w:rsidRDefault="00451C7D" w:rsidP="00486513">
      <w:pPr>
        <w:pStyle w:val="NormalHanging12a"/>
        <w:rPr>
          <w:szCs w:val="24"/>
        </w:rPr>
      </w:pPr>
      <w:r>
        <w:t>87</w:t>
      </w:r>
      <w:r w:rsidR="00486513" w:rsidRPr="0095199C">
        <w:t>.</w:t>
      </w:r>
      <w:r w:rsidR="00486513" w:rsidRPr="0095199C">
        <w:tab/>
        <w:t>fremhæver, at EIB ikke er omfattet af anvendelsesområdet for den EU-lovgivning, der finder anvendelse på kreditinstitutter, navnlig kapitalkravsforordningen (CRR)</w:t>
      </w:r>
      <w:r w:rsidR="00486513" w:rsidRPr="0095199C">
        <w:rPr>
          <w:rStyle w:val="FootnoteReference"/>
          <w:szCs w:val="24"/>
        </w:rPr>
        <w:footnoteReference w:id="6"/>
      </w:r>
      <w:r w:rsidR="00486513" w:rsidRPr="0095199C">
        <w:t xml:space="preserve"> og </w:t>
      </w:r>
      <w:r w:rsidR="00486513" w:rsidRPr="0095199C">
        <w:lastRenderedPageBreak/>
        <w:t>kapitalkravsdirektivet (CRD)</w:t>
      </w:r>
      <w:r w:rsidR="00486513" w:rsidRPr="0095199C">
        <w:rPr>
          <w:rStyle w:val="FootnoteReference"/>
          <w:szCs w:val="24"/>
        </w:rPr>
        <w:footnoteReference w:id="7"/>
      </w:r>
      <w:r w:rsidR="00486513" w:rsidRPr="0095199C">
        <w:t>, og at banken derfor er berettiget til at fastsætte sine kapital- og likviditetskrav på en måde, der er passende og hensigtsmæssig i forhold til dens aktiviteter, dens opgaver og markedsvilkårene; påpeger, at EIB-Gruppen er fast besluttet på at overholde bedste bank- og markedspraksis og kan fastslå, om denne praksis finder anvendelse i overensstemmelse med proportionalitetsprincippet; understreger, at gennemførelsen af disse normer ikke bør skabe uberettigede byrder; glæder sig over, at EIB-Gruppen frivilligt gennemførte revisions- og evalueringsprocessen; påpeger, at dette bør være i overensstemmelse med EIB's forvaltningsstruktur og -mission;</w:t>
      </w:r>
    </w:p>
    <w:p w14:paraId="432DD059" w14:textId="456F159A" w:rsidR="00486513" w:rsidRPr="0095199C" w:rsidRDefault="00451C7D" w:rsidP="00486513">
      <w:pPr>
        <w:pStyle w:val="NormalHanging12a"/>
        <w:rPr>
          <w:szCs w:val="24"/>
        </w:rPr>
      </w:pPr>
      <w:r>
        <w:t>88</w:t>
      </w:r>
      <w:r w:rsidR="00486513" w:rsidRPr="0095199C">
        <w:t>.</w:t>
      </w:r>
      <w:r w:rsidR="00486513" w:rsidRPr="0095199C">
        <w:tab/>
        <w:t>forstår, at EU-institutionerne i overensstemmelse med EU's skiftende behov i 2024 godkendte den ændring af vedtægterne, som EIB's styrelsesråd havde foreslået, ved at ændre den lovbestemte grænse for gearingsgraden</w:t>
      </w:r>
      <w:r w:rsidR="00486513" w:rsidRPr="0095199C">
        <w:rPr>
          <w:rStyle w:val="FootnoteReference"/>
          <w:szCs w:val="24"/>
        </w:rPr>
        <w:footnoteReference w:id="8"/>
      </w:r>
      <w:r w:rsidR="00486513" w:rsidRPr="0095199C">
        <w:t xml:space="preserve"> og hæve den fra 250 % til 290 % for at gøre det muligt for EIB at investere mere uden at øge sit egenkapitalgrundlag;</w:t>
      </w:r>
    </w:p>
    <w:p w14:paraId="4F9EC9C3" w14:textId="519C8CB0" w:rsidR="00486513" w:rsidRPr="0095199C" w:rsidRDefault="00451C7D" w:rsidP="00486513">
      <w:pPr>
        <w:pStyle w:val="NormalHanging12a"/>
        <w:rPr>
          <w:szCs w:val="24"/>
        </w:rPr>
      </w:pPr>
      <w:r>
        <w:t>89</w:t>
      </w:r>
      <w:r w:rsidR="00486513" w:rsidRPr="0095199C">
        <w:t>.</w:t>
      </w:r>
      <w:r w:rsidR="00486513" w:rsidRPr="0095199C">
        <w:tab/>
        <w:t>noterer sig, at den ændrede gearingsgrad baner vejen for øget risikotagning; anerkender, at investeringer i vedvarende energi, bæredygtig infrastruktur og innovative teknologier er afgørende for EU's konkurrenceevne, men ofte indebærer større risiko på grund af usikkerheden om afkast; påpeger, at øget risikotagning kan øge volatiliteten i EIB's afkast, men bemærker, at EIB opretholder kapitalbuffere, som vil støtte øgede risikoaktiviteter;</w:t>
      </w:r>
    </w:p>
    <w:p w14:paraId="19AF191B" w14:textId="7DCE0A4F" w:rsidR="00486513" w:rsidRPr="0095199C" w:rsidRDefault="00451C7D" w:rsidP="00486513">
      <w:pPr>
        <w:pStyle w:val="NormalHanging12a"/>
        <w:rPr>
          <w:szCs w:val="24"/>
        </w:rPr>
      </w:pPr>
      <w:r>
        <w:t>90</w:t>
      </w:r>
      <w:r w:rsidR="00486513" w:rsidRPr="0095199C">
        <w:t>.</w:t>
      </w:r>
      <w:r w:rsidR="00486513" w:rsidRPr="0095199C">
        <w:tab/>
        <w:t>er foruroliget over situationen for Northvolt AB – en batteriproducent, der betragtes som central i den grønne omstillingsproces; understreger, at Northvolt har nydt godt af en betydelig EIB-udlånspakke på lidt over 942,6 mio. EUR som led i gældsfinansieringen for at udvide en gigafabrik; bemærker, at Northvolt indgav konkursbegæring i marts 2025; opfordrer EIB til at fremlægge nærmere oplysninger om evaluerings- og beslutningsprocessen for at finansiere Northvolt AB og de årsager, der førte til, at projektet mislykkedes;</w:t>
      </w:r>
    </w:p>
    <w:p w14:paraId="6D62DD6C" w14:textId="646E78C0" w:rsidR="00486513" w:rsidRPr="0095199C" w:rsidRDefault="00451C7D" w:rsidP="00486513">
      <w:pPr>
        <w:pStyle w:val="NormalHanging12a"/>
        <w:rPr>
          <w:szCs w:val="24"/>
        </w:rPr>
      </w:pPr>
      <w:r>
        <w:t>91</w:t>
      </w:r>
      <w:r w:rsidR="00486513" w:rsidRPr="0095199C">
        <w:t>.</w:t>
      </w:r>
      <w:r w:rsidR="00486513" w:rsidRPr="0095199C">
        <w:tab/>
        <w:t>understreger, at udvidelsen af gigafabrikken forventedes at øge den årlige produktionskapacitet til batteriproduktion og var af strategisk betydning for den globale konkurrenceevne, og at den var i overensstemmelse med EU's strategier inden for denne sektor;</w:t>
      </w:r>
    </w:p>
    <w:p w14:paraId="04D5766B" w14:textId="7D1B47EC" w:rsidR="00486513" w:rsidRPr="0095199C" w:rsidRDefault="00451C7D" w:rsidP="00486513">
      <w:pPr>
        <w:pStyle w:val="NormalHanging12a"/>
        <w:rPr>
          <w:szCs w:val="24"/>
        </w:rPr>
      </w:pPr>
      <w:r>
        <w:t>92</w:t>
      </w:r>
      <w:r w:rsidR="00486513" w:rsidRPr="0095199C">
        <w:t>.</w:t>
      </w:r>
      <w:r w:rsidR="00486513" w:rsidRPr="0095199C">
        <w:tab/>
        <w:t>opfordrer Kommissionen og EIB's bestyrelse til uden unødig forsinkelse at iværksætte en grundig, intern gennemgang for at kontrollere dette økonomiske tab, årsagerne til og baggrunden for dette flagskibsprojekts fiasko og til at tage ved lære af disse erfaringer for at forhindre en gentagelse af en lignende situation eller gøre det muligt at opdage en sådan situation på et tidligt tidspunkt;</w:t>
      </w:r>
    </w:p>
    <w:p w14:paraId="0C2C95DB" w14:textId="1AA31156" w:rsidR="00486513" w:rsidRPr="0095199C" w:rsidRDefault="00451C7D" w:rsidP="00486513">
      <w:pPr>
        <w:pStyle w:val="NormalHanging12a"/>
        <w:rPr>
          <w:szCs w:val="24"/>
        </w:rPr>
      </w:pPr>
      <w:r>
        <w:t>93</w:t>
      </w:r>
      <w:r w:rsidR="00486513" w:rsidRPr="0095199C">
        <w:t>.</w:t>
      </w:r>
      <w:r w:rsidR="00486513" w:rsidRPr="0095199C">
        <w:tab/>
        <w:t xml:space="preserve">fastholder, at den største merværdi af EU's støtte ligger i at fremme mere risikobetonede investeringer i innovative projekter, opskalere EU's strategiske mål og muliggøre langsigtede omstillingsprojekter, der ikke kan opnå finansiering fra den private sektor; mener, at InvestEU-programmet for effektivt at forfølge sine mål inden for innovation og konkurrenceevne bør fokusere på at finansiere højrisiko- og </w:t>
      </w:r>
      <w:r w:rsidR="00486513" w:rsidRPr="0095199C">
        <w:lastRenderedPageBreak/>
        <w:t>opskaleringsinvesteringer, og at EIB-Gruppen bør engagere sig i flere og større højrisikoprojekter, som primært og fortrinsvis bør omfatte europæiske investorer, ved at kombinere en mere risikoabsorptionsorienteret anvendelse af InvestEU-midler med en tilsvarende orientering i anvendelsen af EIB-Gruppens egne finansielle ressourcer; opfordrer indtrængende EIB til at indføre strengere betingelser for at forhindre, at EU's offentlige finansiering anvendes til at støtte virksomheder, der flytter produktionen uden for Europa, og sikre, at alle EIB-finansierede projekter bidrager til langsigtet europæisk industriel modstandsdygtighed;</w:t>
      </w:r>
    </w:p>
    <w:p w14:paraId="257DA1C4" w14:textId="7CDCD998" w:rsidR="00486513" w:rsidRPr="0095199C" w:rsidRDefault="00451C7D" w:rsidP="00486513">
      <w:pPr>
        <w:pStyle w:val="NormalHanging12a"/>
        <w:rPr>
          <w:szCs w:val="24"/>
        </w:rPr>
      </w:pPr>
      <w:r>
        <w:t>94</w:t>
      </w:r>
      <w:r w:rsidR="00486513" w:rsidRPr="0095199C">
        <w:t>.</w:t>
      </w:r>
      <w:r w:rsidR="00486513" w:rsidRPr="0095199C">
        <w:tab/>
        <w:t>er klar over, at medlemmerne af EIB's direktion ofte har været tjenestemænd i deres oprindelseslande, inden de påbegynder deres mandat i EIB, som typisk varer to til seks år, og at de på visse betingelser derfor har ret til at forfølge muligheder for faglig udvikling i afkølingsperioden (som er blevet forlænget til en periode på 24 måneder efter udløbet af deres mandatperiode i EIB); bemærker, at direktionsmedlemmer anmodes om at underrette udvalget vedrørende deontologi og compliance og hurtigst muligt søge godkendelse af eventuelle forhandlinger om fremtidig beskæftigelse;</w:t>
      </w:r>
    </w:p>
    <w:p w14:paraId="5FB3A050" w14:textId="3F9495C1" w:rsidR="00486513" w:rsidRPr="0095199C" w:rsidRDefault="00451C7D" w:rsidP="00486513">
      <w:pPr>
        <w:pStyle w:val="NormalHanging12a"/>
        <w:rPr>
          <w:szCs w:val="24"/>
        </w:rPr>
      </w:pPr>
      <w:r>
        <w:t>95</w:t>
      </w:r>
      <w:r w:rsidR="00486513" w:rsidRPr="0095199C">
        <w:t>.</w:t>
      </w:r>
      <w:r w:rsidR="00486513" w:rsidRPr="0095199C">
        <w:tab/>
        <w:t>gentager med eftertryk Parlamentets gentagne opfordringer til at styrke mekanismen til forebyggelse af interessekonflikter inden for EIB og til at forbedre håndteringen af sådanne sager og til bedre at definere de betingelser, hvorunder EIB's næstformænd kan deltage i beslutninger om transaktioner i deres oprindelseslande, og insisterer på, at disse spørgsmål behandles i forbindelse med en fremtidig revision af adfærdskodeksen for direktionen;</w:t>
      </w:r>
    </w:p>
    <w:p w14:paraId="0919FB2D" w14:textId="4241D891" w:rsidR="00486513" w:rsidRPr="0095199C" w:rsidRDefault="00451C7D" w:rsidP="00486513">
      <w:pPr>
        <w:pStyle w:val="NormalHanging12a"/>
        <w:rPr>
          <w:szCs w:val="24"/>
        </w:rPr>
      </w:pPr>
      <w:r>
        <w:t>96</w:t>
      </w:r>
      <w:r w:rsidR="00486513" w:rsidRPr="0095199C">
        <w:t>.</w:t>
      </w:r>
      <w:r w:rsidR="00486513" w:rsidRPr="0095199C">
        <w:tab/>
        <w:t>fremhæver, at Den Europæiske Ombudsmand den 31. oktober 2023 i sag 611/2022/KR fastslog, at en tidligere næstformand havde deltaget i godkendelsen af finansieringsaftaler mellem EIB og en national erhvervsfremmende bank</w:t>
      </w:r>
      <w:r w:rsidR="00486513" w:rsidRPr="0095199C">
        <w:rPr>
          <w:vertAlign w:val="superscript"/>
        </w:rPr>
        <w:footnoteReference w:id="9"/>
      </w:r>
      <w:r w:rsidR="00486513" w:rsidRPr="0095199C">
        <w:t xml:space="preserve"> i sit oprindelsesland blot få uger, før han blev administrerende direktør for den pågældende nationale erhvervsfremmende bank, selv om EIB's compliancechef frarådede sådanne handlinger under udnævnelsesprocessen; forstår, at denne sag lå forud for ikrafttrædelsen af den nuværende adfærdskodeks for direktionen, som nu indeholder specifikke bestemmelser om fremtidig ansættelse dens medlemmer; bemærker, at EIB i forbindelse med den fremtidige revision af de regler, der gælder for dens udvalg vedrørende deontologi og compliance, har forpligtet sig til at overveje Den Europæiske Ombudsmands henstilling om at offentliggøre udvalgets afgørelser;</w:t>
      </w:r>
    </w:p>
    <w:p w14:paraId="44C5A638" w14:textId="731E0924" w:rsidR="00486513" w:rsidRPr="0095199C" w:rsidRDefault="00451C7D" w:rsidP="00486513">
      <w:pPr>
        <w:pStyle w:val="NormalHanging12a"/>
        <w:rPr>
          <w:szCs w:val="24"/>
        </w:rPr>
      </w:pPr>
      <w:r>
        <w:t>97</w:t>
      </w:r>
      <w:r w:rsidR="00486513" w:rsidRPr="0095199C">
        <w:t>.</w:t>
      </w:r>
      <w:r w:rsidR="00486513" w:rsidRPr="0095199C">
        <w:tab/>
        <w:t>bemærker, at afbødende foranstaltninger såsom øremærkning og afkølingsperioder er de mest almindelige sikkerhedsklausuler, der skal anvendes ved håndtering af en svingdørssag, og forstår, at sådanne foranstaltninger gennemføres og overholdes af direktionens medlemmer, herunder dem, der for nylig er blevet omtalt i medierne;</w:t>
      </w:r>
    </w:p>
    <w:p w14:paraId="6D868703" w14:textId="62519B71" w:rsidR="00486513" w:rsidRPr="0095199C" w:rsidRDefault="00451C7D" w:rsidP="00486513">
      <w:pPr>
        <w:pStyle w:val="NormalHanging12a"/>
        <w:rPr>
          <w:szCs w:val="24"/>
        </w:rPr>
      </w:pPr>
      <w:r>
        <w:t>98</w:t>
      </w:r>
      <w:r w:rsidR="00486513" w:rsidRPr="0095199C">
        <w:t>.</w:t>
      </w:r>
      <w:r w:rsidR="00486513" w:rsidRPr="0095199C">
        <w:tab/>
        <w:t>deler Den Europæiske Ombudsmands synspunkt om, at EIB's udvalg vedrørende deontologi og compliance bør styrkes, når det drejer sig om at føre tilsyn med de planlagte nye job for medlemmer af direktionen, og at den bør være i stand til at pålægge og håndhæve risikobegrænsende foranstaltninger; forstår, at den rolle, som udvalget vedrørende deontologi og compliance spiller, er blevet mere fremtrædende i de seneste år, og at der er interne drøftelser i gang om, hvordan dets effektivitet kan øges;</w:t>
      </w:r>
    </w:p>
    <w:p w14:paraId="5CF661AB" w14:textId="6FC53782" w:rsidR="00486513" w:rsidRPr="0095199C" w:rsidRDefault="00451C7D" w:rsidP="00486513">
      <w:pPr>
        <w:pStyle w:val="NormalHanging12a"/>
        <w:rPr>
          <w:szCs w:val="24"/>
        </w:rPr>
      </w:pPr>
      <w:r>
        <w:lastRenderedPageBreak/>
        <w:t>99</w:t>
      </w:r>
      <w:r w:rsidR="00486513" w:rsidRPr="0095199C">
        <w:t>.</w:t>
      </w:r>
      <w:r w:rsidR="00486513" w:rsidRPr="0095199C">
        <w:tab/>
        <w:t>opfordrer banken til at fremme europæiske virksomheders deltagelse i udbudsprocedurer, der iværksættes for projekter, der finansieres af EIB; opfordrer banken til at rådgive låntagere om at prioritere støtteberettigelse for europæiske virksomheder med henblik på at styrke den europæiske konkurrenceevne;</w:t>
      </w:r>
    </w:p>
    <w:p w14:paraId="730DC664" w14:textId="7BEF60EC" w:rsidR="00486513" w:rsidRPr="0095199C" w:rsidRDefault="00451C7D" w:rsidP="00486513">
      <w:pPr>
        <w:pStyle w:val="NormalHanging12a"/>
        <w:rPr>
          <w:szCs w:val="24"/>
        </w:rPr>
      </w:pPr>
      <w:r>
        <w:t>100</w:t>
      </w:r>
      <w:r w:rsidR="00486513" w:rsidRPr="0095199C">
        <w:t>.</w:t>
      </w:r>
      <w:r w:rsidR="00486513" w:rsidRPr="0095199C">
        <w:tab/>
        <w:t>gentager sin opfordring til EIB om at sikre en passende geografisk repræsentation, herunder på mellemleder- og toplederniveau; og opfordrer den til at offentliggøre en årlig fordeling af køn og nationalitet for mellem- og toplederstillinger;</w:t>
      </w:r>
    </w:p>
    <w:p w14:paraId="7280F265" w14:textId="77777777" w:rsidR="00486513" w:rsidRPr="0095199C" w:rsidRDefault="00486513" w:rsidP="00486513">
      <w:pPr>
        <w:pStyle w:val="Normal12a24b"/>
        <w:spacing w:before="0"/>
        <w:rPr>
          <w:szCs w:val="24"/>
        </w:rPr>
      </w:pPr>
      <w:r w:rsidRPr="0095199C">
        <w:rPr>
          <w:rStyle w:val="BoldItalic"/>
        </w:rPr>
        <w:t>Kontrol, gennemsigtighed og tilsyn</w:t>
      </w:r>
    </w:p>
    <w:p w14:paraId="57E0077F" w14:textId="296630C0" w:rsidR="00486513" w:rsidRPr="0095199C" w:rsidRDefault="00451C7D" w:rsidP="00486513">
      <w:pPr>
        <w:pStyle w:val="NormalHanging12a"/>
        <w:rPr>
          <w:szCs w:val="24"/>
        </w:rPr>
      </w:pPr>
      <w:r>
        <w:t>101</w:t>
      </w:r>
      <w:r w:rsidR="00486513" w:rsidRPr="0095199C">
        <w:t>.</w:t>
      </w:r>
      <w:r w:rsidR="00486513" w:rsidRPr="0095199C">
        <w:tab/>
        <w:t>beklager på det kraftigste, at Den Europæiske Revisionsret stadig ikke har fuld adgang til alle data vedrørende EIB's transaktioner; anerkender, at ikke alle EIB's aktiviteter finansieres direkte af EU, og at Revisionsretten derfor ikke automatisk har adgang til alle aktiviteter; insisterer på, at Revisionsretten bør have adgang til de nødvendige oplysninger med henblik på en omfattende og udtømmende vurdering af alle EIB-transaktioner, der involverer EU-midler, herunder dem, der gennemføres gennem finansielle formidlere, og som har til formål at gennemføre EU's politikker; opfordrer Revisionsretten til efter bedste evne fuldt ud at undersøge alle transaktioner, der involverer EU-budgettet i enhver henseende;</w:t>
      </w:r>
    </w:p>
    <w:p w14:paraId="488C8840" w14:textId="506908B2" w:rsidR="00486513" w:rsidRPr="0095199C" w:rsidRDefault="00451C7D" w:rsidP="00486513">
      <w:pPr>
        <w:pStyle w:val="NormalHanging12a"/>
        <w:rPr>
          <w:szCs w:val="24"/>
        </w:rPr>
      </w:pPr>
      <w:r>
        <w:t>102</w:t>
      </w:r>
      <w:r w:rsidR="00486513" w:rsidRPr="0095199C">
        <w:t>.</w:t>
      </w:r>
      <w:r w:rsidR="00486513" w:rsidRPr="0095199C">
        <w:tab/>
        <w:t>bemærker, at de vigtigste relevante revisionsopgaver er overdraget til EIB's revisionsudvalg, som er et helt uafhængigt organ; mener, at deltagelse af kvalificerede eksterne repræsentanter i specifikke opgaver i revisionsudvalget kan øge objektiviteten af revisionsudvalgets analyser;</w:t>
      </w:r>
    </w:p>
    <w:p w14:paraId="5253D56B" w14:textId="687F716C" w:rsidR="00486513" w:rsidRPr="0095199C" w:rsidRDefault="00451C7D" w:rsidP="00486513">
      <w:pPr>
        <w:pStyle w:val="NormalHanging12a"/>
        <w:rPr>
          <w:szCs w:val="24"/>
        </w:rPr>
      </w:pPr>
      <w:r>
        <w:t>103</w:t>
      </w:r>
      <w:r w:rsidR="00486513" w:rsidRPr="0095199C">
        <w:t>.</w:t>
      </w:r>
      <w:r w:rsidR="00486513" w:rsidRPr="0095199C">
        <w:tab/>
        <w:t>bemærker, at EIB's gennemsigtighedspolitik skaber et kompromis mellem princippet om åbenhed og behovet for at beskytte følsomme oplysninger; bemærker, at gennemsigtighedspolitikken fastsætter, hvilke oplysninger der skal offentliggøres proaktivt, og hvornår de skal offentliggøres – idet det f.eks. fastslås, at projektresuméer skal offentliggøres mindst tre uger, før finansieringen af projektet skal behandles med henblik på godkendelse i EIB's bestyrelse – og at den også fastsætter relevante undtagelser; opfordrer til, at disse resuméer tilvejebringer relevante oplysninger til interessenterne;</w:t>
      </w:r>
    </w:p>
    <w:p w14:paraId="752F3F5D" w14:textId="7C2F377D" w:rsidR="00486513" w:rsidRPr="0095199C" w:rsidRDefault="00451C7D" w:rsidP="00486513">
      <w:pPr>
        <w:pStyle w:val="NormalHanging12a"/>
        <w:rPr>
          <w:szCs w:val="24"/>
        </w:rPr>
      </w:pPr>
      <w:r>
        <w:t>104</w:t>
      </w:r>
      <w:r w:rsidR="00486513" w:rsidRPr="0095199C">
        <w:t>.</w:t>
      </w:r>
      <w:r w:rsidR="00486513" w:rsidRPr="0095199C">
        <w:tab/>
        <w:t>bemærker, at EIB's bestyrelse i 2023 godkendte 449 projekter, og at næsten alle (94 %) projektresuméerne blev offentliggjort – i de fleste tilfælde (57 %) før godkendelsen; bemærker, at alle EIB-transaktioner, der gennemføres gennem finansielle formidlere, offentliggøres på EIB's websted, og at EIB efter anmodning giver nærmere oplysninger;</w:t>
      </w:r>
    </w:p>
    <w:p w14:paraId="309EB64B" w14:textId="3A70AEE5" w:rsidR="00486513" w:rsidRPr="0095199C" w:rsidRDefault="00451C7D" w:rsidP="00486513">
      <w:pPr>
        <w:pStyle w:val="NormalHanging12a"/>
        <w:rPr>
          <w:szCs w:val="24"/>
        </w:rPr>
      </w:pPr>
      <w:r>
        <w:t>105</w:t>
      </w:r>
      <w:r w:rsidR="00486513" w:rsidRPr="0095199C">
        <w:t>.</w:t>
      </w:r>
      <w:r w:rsidR="00486513" w:rsidRPr="0095199C">
        <w:tab/>
        <w:t xml:space="preserve">minder om, at alle EIB-dokumenter er offentligt tilgængelige i overensstemmelse med princippet om aktindsigt; understreger, at alle ansøgere på forhånd bør informeres om aktindsigt, og at ethvert afslag udelukkende bør baseres på specificerede undtagelser; understreger, at EIB bør overveje rettidigt at offentliggøre oplysninger om rationalet bag og konteksten for projekter og redegørelsen for deres overensstemmelse med og bidrag til EU's politiske mål; opfordrer EIB til systematisk at offentliggøre revisionsresultater af sine største finansielle transaktioner og sikre uafhængig kontrol af dens risikostyring og konsekvensanalyser; forventer, at EIB begrænser den manglende fremlæggelse af oplysninger til de gældende undtagelser, der er anført i forordning (EF) </w:t>
      </w:r>
      <w:r w:rsidR="00486513" w:rsidRPr="0095199C">
        <w:lastRenderedPageBreak/>
        <w:t>nr. 1049/2001</w:t>
      </w:r>
      <w:r w:rsidR="00486513" w:rsidRPr="0095199C">
        <w:rPr>
          <w:rStyle w:val="FootnoteReference"/>
          <w:szCs w:val="24"/>
        </w:rPr>
        <w:footnoteReference w:id="10"/>
      </w:r>
      <w:r w:rsidR="00486513" w:rsidRPr="0095199C">
        <w:t xml:space="preserve"> og forordning (EF) nr. 1367/2006</w:t>
      </w:r>
      <w:r w:rsidR="00486513" w:rsidRPr="0095199C">
        <w:rPr>
          <w:rStyle w:val="FootnoteReference"/>
          <w:szCs w:val="24"/>
        </w:rPr>
        <w:footnoteReference w:id="11"/>
      </w:r>
      <w:r w:rsidR="00486513" w:rsidRPr="0095199C">
        <w:t>; opfordrer til fuld gennemførelse af Ombudsmandens henstillinger, der blev fremsat efter dennes undersøgelser af EIB's offentliggørelsespolitik og relaterede anmodninger om aktindsigt;</w:t>
      </w:r>
    </w:p>
    <w:p w14:paraId="53C4171D" w14:textId="0FF26408" w:rsidR="00486513" w:rsidRPr="0095199C" w:rsidRDefault="00451C7D" w:rsidP="00486513">
      <w:pPr>
        <w:pStyle w:val="NormalHanging12a"/>
      </w:pPr>
      <w:r>
        <w:t>106</w:t>
      </w:r>
      <w:r w:rsidR="00486513" w:rsidRPr="0095199C">
        <w:t>.</w:t>
      </w:r>
      <w:r w:rsidR="00486513" w:rsidRPr="0095199C">
        <w:tab/>
        <w:t>minder om, at alle modtagere af EU-finansiering har en generel forpligtelse til at anerkende dens oprindelse og sikre synligheden af enhver modtaget EU-finansiering; opfordrer EIB-Gruppen til at sikre, at slutmodtagerne opfylder synlighedskriterierne for EU's finansielle støtte;</w:t>
      </w:r>
    </w:p>
    <w:p w14:paraId="24B79265" w14:textId="60F43C67" w:rsidR="00486513" w:rsidRPr="0095199C" w:rsidRDefault="00451C7D" w:rsidP="00486513">
      <w:pPr>
        <w:pStyle w:val="NormalHanging12a"/>
        <w:rPr>
          <w:szCs w:val="24"/>
        </w:rPr>
      </w:pPr>
      <w:r>
        <w:t>107</w:t>
      </w:r>
      <w:r w:rsidR="00486513" w:rsidRPr="0095199C">
        <w:t>.</w:t>
      </w:r>
      <w:r w:rsidR="00486513" w:rsidRPr="0095199C">
        <w:tab/>
        <w:t>fremhæver, at banken arbejder på at reducere den tid, der er nødvendig for at bringe et produkt fra konceptudvikling til tilgængelighed på markedet (markedsføringstid) ved fuldt ud at digitalisere sine projektcyklusser; opfordrer banken til at intensivere sine bestræbelser på at digitalisere sine aktiviteter;</w:t>
      </w:r>
    </w:p>
    <w:p w14:paraId="317804E2" w14:textId="14BE2FC9" w:rsidR="00486513" w:rsidRPr="0095199C" w:rsidRDefault="00451C7D" w:rsidP="00486513">
      <w:pPr>
        <w:pStyle w:val="NormalHanging12a"/>
        <w:rPr>
          <w:szCs w:val="24"/>
        </w:rPr>
      </w:pPr>
      <w:r>
        <w:t>108</w:t>
      </w:r>
      <w:r w:rsidR="00486513" w:rsidRPr="0095199C">
        <w:t>.</w:t>
      </w:r>
      <w:r w:rsidR="00486513" w:rsidRPr="0095199C">
        <w:tab/>
        <w:t>gentager sin opfordring til EIB om at styrke og fuldt ud gennemføre sin politik for skattesvig, skatteunddragelse og skatteundgåelse, herunder ved at afstå fra at finansiere støttemodtagere eller finansielle formidlere, som har vist sig at være eller har en høj risiko for at blive involveret i en sådan praksis;</w:t>
      </w:r>
    </w:p>
    <w:p w14:paraId="646023EC" w14:textId="5F3BE8DE" w:rsidR="00486513" w:rsidRPr="0095199C" w:rsidRDefault="00451C7D" w:rsidP="00486513">
      <w:pPr>
        <w:pStyle w:val="NormalHanging12a"/>
        <w:rPr>
          <w:szCs w:val="24"/>
        </w:rPr>
      </w:pPr>
      <w:r>
        <w:t>109</w:t>
      </w:r>
      <w:r w:rsidR="00486513" w:rsidRPr="0095199C">
        <w:t>.</w:t>
      </w:r>
      <w:r w:rsidR="00486513" w:rsidRPr="0095199C">
        <w:tab/>
        <w:t>gentager, at en mere struktureret dialog mellem Parlamentet og EIB ville blive styrket gennem vedtagelsen af et samarbejdsmemorandum; roser i denne forbindelse EIB's hidtil usete samarbejde med Parlamentet om udarbejdelsen af denne beslutning og bemærker, at det er et håndgribeligt udtryk for åbenhed og gennemsigtighed;</w:t>
      </w:r>
    </w:p>
    <w:p w14:paraId="574EFC0F" w14:textId="77777777" w:rsidR="00486513" w:rsidRPr="0095199C" w:rsidRDefault="00486513" w:rsidP="00486513">
      <w:pPr>
        <w:pStyle w:val="Normal12a24b"/>
        <w:spacing w:before="0"/>
        <w:rPr>
          <w:szCs w:val="24"/>
        </w:rPr>
      </w:pPr>
      <w:r w:rsidRPr="0095199C">
        <w:rPr>
          <w:rStyle w:val="BoldItalic"/>
        </w:rPr>
        <w:t>Opfølgning på Parlamentets henstillinger</w:t>
      </w:r>
    </w:p>
    <w:p w14:paraId="0C28B7CD" w14:textId="186164FE" w:rsidR="00486513" w:rsidRPr="0095199C" w:rsidRDefault="00451C7D" w:rsidP="00486513">
      <w:pPr>
        <w:pStyle w:val="NormalHanging12a"/>
        <w:rPr>
          <w:szCs w:val="24"/>
        </w:rPr>
      </w:pPr>
      <w:r>
        <w:t>110</w:t>
      </w:r>
      <w:r w:rsidR="00486513" w:rsidRPr="0095199C">
        <w:t>.</w:t>
      </w:r>
      <w:r w:rsidR="00486513" w:rsidRPr="0095199C">
        <w:tab/>
        <w:t>opfordrer indtrængende EIB til fortsat at rapportere om status for tidligere henstillinger fra Parlamentet, navnlig med hensyn til de opnåede resultater og virkningen af de foranstaltninger, der er truffet for at gennemføre dens prioriteter og EU's politikker, navnlig med hensyn til:</w:t>
      </w:r>
    </w:p>
    <w:p w14:paraId="111FD99D" w14:textId="77777777" w:rsidR="00486513" w:rsidRPr="0095199C" w:rsidRDefault="00486513" w:rsidP="000404B7">
      <w:pPr>
        <w:pStyle w:val="NormalHanging12a"/>
        <w:ind w:left="1134"/>
        <w:rPr>
          <w:szCs w:val="24"/>
        </w:rPr>
      </w:pPr>
      <w:r w:rsidRPr="0095199C">
        <w:t xml:space="preserve">a) </w:t>
      </w:r>
      <w:r w:rsidR="00F84F9E">
        <w:tab/>
      </w:r>
      <w:r w:rsidRPr="0095199C">
        <w:t>virkninger (økonomiske, miljømæssige og sociale) af investeringsstrategien og de resultater, der er opnået for at bidrage til en afbalanceret og stabil udvikling af det indre marked i Unionens interesse</w:t>
      </w:r>
    </w:p>
    <w:p w14:paraId="0DEC20F9" w14:textId="77777777" w:rsidR="00486513" w:rsidRPr="0095199C" w:rsidRDefault="00486513" w:rsidP="000404B7">
      <w:pPr>
        <w:pStyle w:val="NormalHanging12a"/>
        <w:ind w:left="1134"/>
        <w:rPr>
          <w:szCs w:val="24"/>
        </w:rPr>
      </w:pPr>
      <w:r w:rsidRPr="0095199C">
        <w:t xml:space="preserve">b) </w:t>
      </w:r>
      <w:r w:rsidR="00F84F9E">
        <w:tab/>
      </w:r>
      <w:r w:rsidRPr="0095199C">
        <w:t>foranstaltninger, der er vedtaget for at forbedre forebyggelsen og bekæmpelsen af interessekonflikter, svig, korruption og andre potentielle former for forseelser</w:t>
      </w:r>
    </w:p>
    <w:p w14:paraId="36B9A821" w14:textId="77777777" w:rsidR="00486513" w:rsidRPr="0095199C" w:rsidRDefault="00486513" w:rsidP="000404B7">
      <w:pPr>
        <w:pStyle w:val="NormalHanging12a"/>
        <w:ind w:left="1134"/>
        <w:rPr>
          <w:szCs w:val="24"/>
        </w:rPr>
      </w:pPr>
      <w:r w:rsidRPr="0095199C">
        <w:t xml:space="preserve">c) </w:t>
      </w:r>
      <w:r w:rsidR="00F84F9E">
        <w:tab/>
      </w:r>
      <w:r w:rsidRPr="0095199C">
        <w:t>nye foranstaltninger til styrkelse af gennemsigtighed</w:t>
      </w:r>
    </w:p>
    <w:p w14:paraId="0B73D242" w14:textId="77777777" w:rsidR="00486513" w:rsidRPr="0095199C" w:rsidRDefault="00486513" w:rsidP="000404B7">
      <w:pPr>
        <w:pStyle w:val="NormalHanging12a"/>
        <w:ind w:left="1134"/>
        <w:rPr>
          <w:szCs w:val="24"/>
        </w:rPr>
      </w:pPr>
      <w:r w:rsidRPr="0095199C">
        <w:t xml:space="preserve">d) </w:t>
      </w:r>
      <w:r w:rsidR="00F84F9E">
        <w:tab/>
      </w:r>
      <w:r w:rsidRPr="0095199C">
        <w:t>foranstaltninger til styrkelse af støtten til SMV'er og støtteberettigede økonomiske aktører under gennemførelsen af EU's politikker</w:t>
      </w:r>
    </w:p>
    <w:p w14:paraId="7555E066" w14:textId="77777777" w:rsidR="00486513" w:rsidRPr="0095199C" w:rsidRDefault="00486513" w:rsidP="000404B7">
      <w:pPr>
        <w:pStyle w:val="NormalHanging12a"/>
        <w:ind w:left="1134"/>
        <w:rPr>
          <w:szCs w:val="24"/>
        </w:rPr>
      </w:pPr>
      <w:r w:rsidRPr="0095199C">
        <w:lastRenderedPageBreak/>
        <w:t xml:space="preserve">e) </w:t>
      </w:r>
      <w:r w:rsidR="00F84F9E">
        <w:tab/>
      </w:r>
      <w:r w:rsidRPr="0095199C">
        <w:t>opfølgning på de opfordringer og anmodninger, der er vedtaget via denne beslutning;</w:t>
      </w:r>
    </w:p>
    <w:p w14:paraId="7A8EB29F" w14:textId="77777777" w:rsidR="00486513" w:rsidRPr="0095199C" w:rsidRDefault="00486513" w:rsidP="00486513">
      <w:pPr>
        <w:pStyle w:val="NormalCenter12a"/>
        <w:rPr>
          <w:szCs w:val="24"/>
        </w:rPr>
      </w:pPr>
      <w:r w:rsidRPr="0095199C">
        <w:t>°</w:t>
      </w:r>
    </w:p>
    <w:p w14:paraId="4F676A7B" w14:textId="77777777" w:rsidR="00486513" w:rsidRPr="0095199C" w:rsidRDefault="00486513" w:rsidP="00486513">
      <w:pPr>
        <w:pStyle w:val="NormalCenter12a"/>
        <w:rPr>
          <w:szCs w:val="24"/>
        </w:rPr>
      </w:pPr>
      <w:r w:rsidRPr="0095199C">
        <w:t>°</w:t>
      </w:r>
      <w:r w:rsidRPr="0095199C">
        <w:tab/>
        <w:t>°</w:t>
      </w:r>
    </w:p>
    <w:p w14:paraId="4D6CE01A" w14:textId="6B6C1DAB" w:rsidR="00E365E1" w:rsidRPr="0095199C" w:rsidRDefault="00451C7D" w:rsidP="004F5B3F">
      <w:pPr>
        <w:pStyle w:val="NormalHanging12a"/>
        <w:ind w:left="560" w:hanging="560"/>
      </w:pPr>
      <w:r>
        <w:t>111</w:t>
      </w:r>
      <w:r w:rsidR="00486513" w:rsidRPr="0095199C">
        <w:t>.</w:t>
      </w:r>
      <w:r w:rsidR="00486513" w:rsidRPr="0095199C">
        <w:tab/>
        <w:t>pålægger sin formand at sende denne beslutning til Rådet og Kommissionen og anmoder Rådet og EIB's bestyrelse om at drøfte Parlamentets holdninger som fremsat heri.</w:t>
      </w:r>
    </w:p>
    <w:sectPr w:rsidR="00E365E1" w:rsidRPr="0095199C" w:rsidSect="009519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373FF" w14:textId="77777777" w:rsidR="00E22F14" w:rsidRPr="0095199C" w:rsidRDefault="00E22F14">
      <w:r w:rsidRPr="0095199C">
        <w:separator/>
      </w:r>
    </w:p>
  </w:endnote>
  <w:endnote w:type="continuationSeparator" w:id="0">
    <w:p w14:paraId="01B27FA8" w14:textId="77777777" w:rsidR="00E22F14" w:rsidRPr="0095199C" w:rsidRDefault="00E22F14">
      <w:r w:rsidRPr="009519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A532A" w14:textId="77777777" w:rsidR="00E22F14" w:rsidRPr="0095199C" w:rsidRDefault="00E22F14">
      <w:r w:rsidRPr="0095199C">
        <w:separator/>
      </w:r>
    </w:p>
  </w:footnote>
  <w:footnote w:type="continuationSeparator" w:id="0">
    <w:p w14:paraId="74D8B483" w14:textId="77777777" w:rsidR="00E22F14" w:rsidRPr="0095199C" w:rsidRDefault="00E22F14">
      <w:r w:rsidRPr="0095199C">
        <w:continuationSeparator/>
      </w:r>
    </w:p>
  </w:footnote>
  <w:footnote w:id="1">
    <w:p w14:paraId="666CA013" w14:textId="77777777" w:rsidR="00486513" w:rsidRPr="000404B7" w:rsidRDefault="00486513" w:rsidP="0095199C">
      <w:pPr>
        <w:pStyle w:val="FootnoteText"/>
        <w:ind w:left="567" w:hanging="567"/>
        <w:rPr>
          <w:sz w:val="24"/>
          <w:lang w:val="en-GB"/>
        </w:rPr>
      </w:pPr>
      <w:r w:rsidRPr="0095199C">
        <w:rPr>
          <w:rStyle w:val="FootnoteReference"/>
          <w:sz w:val="24"/>
          <w:lang w:val="da-DK"/>
        </w:rPr>
        <w:footnoteRef/>
      </w:r>
      <w:r w:rsidR="0095199C" w:rsidRPr="000404B7">
        <w:rPr>
          <w:sz w:val="24"/>
          <w:lang w:val="en-GB"/>
        </w:rPr>
        <w:t xml:space="preserve"> </w:t>
      </w:r>
      <w:r w:rsidR="0095199C" w:rsidRPr="000404B7">
        <w:rPr>
          <w:sz w:val="24"/>
          <w:lang w:val="en-GB"/>
        </w:rPr>
        <w:tab/>
      </w:r>
      <w:r w:rsidRPr="000404B7">
        <w:rPr>
          <w:sz w:val="24"/>
          <w:lang w:val="en-GB"/>
        </w:rPr>
        <w:t xml:space="preserve">Draghi, M.: </w:t>
      </w:r>
      <w:r w:rsidRPr="000404B7">
        <w:rPr>
          <w:rStyle w:val="Italic"/>
          <w:sz w:val="24"/>
          <w:lang w:val="en-GB"/>
        </w:rPr>
        <w:t>The future of European competitiveness</w:t>
      </w:r>
      <w:r w:rsidRPr="000404B7">
        <w:rPr>
          <w:sz w:val="24"/>
          <w:lang w:val="en-GB"/>
        </w:rPr>
        <w:t>, september 2024.</w:t>
      </w:r>
    </w:p>
  </w:footnote>
  <w:footnote w:id="2">
    <w:p w14:paraId="1E1B6A58" w14:textId="3CAC6DAE" w:rsidR="00B34464" w:rsidRPr="00BE0018" w:rsidRDefault="00B34464" w:rsidP="00BE0018">
      <w:pPr>
        <w:pStyle w:val="FootnoteText"/>
        <w:ind w:left="567" w:hanging="567"/>
        <w:rPr>
          <w:sz w:val="24"/>
          <w:szCs w:val="24"/>
          <w:lang w:val="da-DK"/>
        </w:rPr>
      </w:pPr>
      <w:r w:rsidRPr="00BE0018">
        <w:rPr>
          <w:rStyle w:val="FootnoteReference"/>
          <w:sz w:val="24"/>
          <w:szCs w:val="24"/>
        </w:rPr>
        <w:footnoteRef/>
      </w:r>
      <w:r w:rsidRPr="00BE0018">
        <w:rPr>
          <w:sz w:val="24"/>
          <w:szCs w:val="24"/>
          <w:lang w:val="da-DK"/>
        </w:rPr>
        <w:t xml:space="preserve"> </w:t>
      </w:r>
      <w:r w:rsidRPr="00BE0018">
        <w:rPr>
          <w:sz w:val="24"/>
          <w:szCs w:val="24"/>
          <w:lang w:val="da-DK"/>
        </w:rPr>
        <w:tab/>
        <w:t>Europa-Parlamentets og Rådets forordning (EF) nr. 1049/2001 af 30. maj 2001 om aktindsigt i Europa-Parlamentets, Rådets og Kommissionens dokumenter (EFT L 145 af 31.5.2001, s. 43, ELI: http://data.europa.eu/eli/reg/2001/1049/oj.</w:t>
      </w:r>
    </w:p>
  </w:footnote>
  <w:footnote w:id="3">
    <w:p w14:paraId="7045F103"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Europa-Parlamentets og Rådets forordning (EU) 2021/523 af 24. marts 2021 om oprettelse af InvestEU-programmet og om ændring af forordning (EU) 2015/1017 (EUT L 107 af 26.3.2021, s. 30, ELI: </w:t>
      </w:r>
      <w:hyperlink r:id="rId1" w:history="1">
        <w:r w:rsidRPr="0095199C">
          <w:rPr>
            <w:rStyle w:val="Hyperlink"/>
            <w:sz w:val="24"/>
            <w:lang w:val="da-DK"/>
          </w:rPr>
          <w:t>http://data.europa.eu/eli/reg/2021/523/oj</w:t>
        </w:r>
      </w:hyperlink>
      <w:r w:rsidR="00855DE1">
        <w:rPr>
          <w:rStyle w:val="Hyperlink"/>
          <w:sz w:val="24"/>
          <w:lang w:val="da-DK"/>
        </w:rPr>
        <w:t>)</w:t>
      </w:r>
      <w:r w:rsidRPr="0095199C">
        <w:rPr>
          <w:sz w:val="24"/>
          <w:lang w:val="da-DK"/>
        </w:rPr>
        <w:t>.</w:t>
      </w:r>
    </w:p>
  </w:footnote>
  <w:footnote w:id="4">
    <w:p w14:paraId="0C36438E" w14:textId="1DC2C0C4" w:rsidR="0075056F" w:rsidRPr="00BE0018" w:rsidRDefault="0075056F" w:rsidP="00BE0018">
      <w:pPr>
        <w:pStyle w:val="FootnoteText"/>
        <w:ind w:left="567" w:hanging="567"/>
        <w:rPr>
          <w:sz w:val="24"/>
          <w:szCs w:val="24"/>
          <w:lang w:val="da-DK"/>
        </w:rPr>
      </w:pPr>
      <w:r w:rsidRPr="00BE0018">
        <w:rPr>
          <w:rStyle w:val="FootnoteReference"/>
          <w:sz w:val="24"/>
          <w:szCs w:val="24"/>
        </w:rPr>
        <w:footnoteRef/>
      </w:r>
      <w:r w:rsidRPr="00BE0018">
        <w:rPr>
          <w:sz w:val="24"/>
          <w:szCs w:val="24"/>
          <w:lang w:val="da-DK"/>
        </w:rPr>
        <w:t xml:space="preserve"> </w:t>
      </w:r>
      <w:r w:rsidRPr="00BE0018">
        <w:rPr>
          <w:sz w:val="24"/>
          <w:szCs w:val="24"/>
          <w:lang w:val="da-DK"/>
        </w:rPr>
        <w:tab/>
        <w:t>Europa-Parlamentets og Rådets direktiv (EU) 2019/1937 af 23. oktober 2019 om beskyttelse af personer, der indberetter overtrædelser af EU-retten, EUT L 305 af 26.11.2019, s. 17, ELI: http://data.europa.eu/eli/dir/2019/1937/oj.</w:t>
      </w:r>
    </w:p>
  </w:footnote>
  <w:footnote w:id="5">
    <w:p w14:paraId="463BE073" w14:textId="373ED129"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 xml:space="preserve">Europa-Parlamentets beslutning af 12. juli 2023 om kontrol med Den Europæiske Investeringsbanks finansielle aktiviteter – årsberetning 2022 (2023/2046(INI)) </w:t>
      </w:r>
      <w:r w:rsidR="00855DE1">
        <w:rPr>
          <w:sz w:val="24"/>
          <w:lang w:val="da-DK"/>
        </w:rPr>
        <w:t>(</w:t>
      </w:r>
      <w:r w:rsidRPr="0095199C">
        <w:rPr>
          <w:sz w:val="24"/>
          <w:lang w:val="da-DK"/>
        </w:rPr>
        <w:t xml:space="preserve">EUT C, C/2024/4007, 17.7.2024, ELI: </w:t>
      </w:r>
      <w:hyperlink r:id="rId2" w:history="1">
        <w:r w:rsidRPr="0095199C">
          <w:rPr>
            <w:rStyle w:val="Hyperlink"/>
            <w:sz w:val="24"/>
            <w:lang w:val="da-DK"/>
          </w:rPr>
          <w:t>http://data.europa.eu/eli/C/2024/4007/oj</w:t>
        </w:r>
      </w:hyperlink>
      <w:r w:rsidR="00855DE1">
        <w:rPr>
          <w:rStyle w:val="Hyperlink"/>
          <w:sz w:val="24"/>
          <w:lang w:val="da-DK"/>
        </w:rPr>
        <w:t>)</w:t>
      </w:r>
      <w:r w:rsidRPr="0095199C">
        <w:rPr>
          <w:sz w:val="24"/>
          <w:lang w:val="da-DK"/>
        </w:rPr>
        <w:t>.</w:t>
      </w:r>
    </w:p>
  </w:footnote>
  <w:footnote w:id="6">
    <w:p w14:paraId="021E6609"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 xml:space="preserve">Europa-Parlamentets og Rådets forordning (EU) nr. 575/2013 af 26. juni 2013 om tilsynsmæssige krav til kreditinstitutter og om ændring af forordning (EU) nr. 648/2012 (EUT L 176 af 27.6.2013, s. 1, ELI: </w:t>
      </w:r>
      <w:hyperlink r:id="rId3" w:history="1">
        <w:r w:rsidRPr="0095199C">
          <w:rPr>
            <w:rStyle w:val="Hyperlink"/>
            <w:sz w:val="24"/>
            <w:lang w:val="da-DK"/>
          </w:rPr>
          <w:t>http://data.europa.eu/eli/reg/2013/575/oj</w:t>
        </w:r>
      </w:hyperlink>
      <w:r w:rsidR="00855DE1">
        <w:rPr>
          <w:rStyle w:val="Hyperlink"/>
          <w:sz w:val="24"/>
          <w:lang w:val="da-DK"/>
        </w:rPr>
        <w:t>)</w:t>
      </w:r>
      <w:r w:rsidRPr="0095199C">
        <w:rPr>
          <w:sz w:val="24"/>
          <w:lang w:val="da-DK"/>
        </w:rPr>
        <w:t>.</w:t>
      </w:r>
    </w:p>
  </w:footnote>
  <w:footnote w:id="7">
    <w:p w14:paraId="633D1AF8"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Europa-Parlamentets og Rådets direktiv 2013/36/EU af 26. juni 2013 om adgang til at udøve virksomhed som kreditinstitut og om tilsyn med kreditinstitutter, om ændring af direktiv 2002/87/EF og om ophævelse af direktiv 2006/48/EF og 2006/49/EF (EUT L 176 af 27.6.2013, s. 338, ELI: </w:t>
      </w:r>
      <w:hyperlink r:id="rId4" w:history="1">
        <w:r w:rsidRPr="0095199C">
          <w:rPr>
            <w:rStyle w:val="Hyperlink"/>
            <w:sz w:val="24"/>
            <w:lang w:val="da-DK"/>
          </w:rPr>
          <w:t>http://data.europa.eu/eli/dir/2013/36/oj</w:t>
        </w:r>
      </w:hyperlink>
      <w:r w:rsidR="00855DE1">
        <w:rPr>
          <w:rStyle w:val="Hyperlink"/>
          <w:sz w:val="24"/>
          <w:lang w:val="da-DK"/>
        </w:rPr>
        <w:t>)</w:t>
      </w:r>
      <w:r w:rsidRPr="0095199C">
        <w:rPr>
          <w:sz w:val="24"/>
          <w:lang w:val="da-DK"/>
        </w:rPr>
        <w:t>.</w:t>
      </w:r>
    </w:p>
  </w:footnote>
  <w:footnote w:id="8">
    <w:p w14:paraId="3A4082AC"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Gearingsgraden er, hvor meget EIB kan udlåne i forhold til dens egne midler.</w:t>
      </w:r>
    </w:p>
  </w:footnote>
  <w:footnote w:id="9">
    <w:p w14:paraId="57E1E483"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Nationale erhvervsfremmende banker er finansielle formidlere mellem EIB og mindre projekter, der drager fordel af EIB's investeringer.</w:t>
      </w:r>
    </w:p>
  </w:footnote>
  <w:footnote w:id="10">
    <w:p w14:paraId="1008623D"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 xml:space="preserve">Europa-Parlamentets og Rådets forordning (EF) nr. 1049/2001 af 30. maj 2001 om aktindsigt i Europa-Parlamentets, Rådets og Kommissionens dokumenter (EFT L 145 af 31.5.2001, s. 43, ELI: </w:t>
      </w:r>
      <w:hyperlink r:id="rId5" w:history="1">
        <w:r w:rsidRPr="0095199C">
          <w:rPr>
            <w:rStyle w:val="Hyperlink"/>
            <w:sz w:val="24"/>
            <w:lang w:val="da-DK"/>
          </w:rPr>
          <w:t>http://data.europa.eu/eli/reg/2001/1049/oj</w:t>
        </w:r>
      </w:hyperlink>
      <w:r w:rsidR="00855DE1">
        <w:rPr>
          <w:rStyle w:val="Hyperlink"/>
          <w:sz w:val="24"/>
          <w:lang w:val="da-DK"/>
        </w:rPr>
        <w:t>)</w:t>
      </w:r>
      <w:r w:rsidRPr="0095199C">
        <w:rPr>
          <w:sz w:val="24"/>
          <w:lang w:val="da-DK"/>
        </w:rPr>
        <w:t>.</w:t>
      </w:r>
    </w:p>
  </w:footnote>
  <w:footnote w:id="11">
    <w:p w14:paraId="2CAD802C" w14:textId="77777777" w:rsidR="00486513" w:rsidRPr="0095199C" w:rsidRDefault="00486513" w:rsidP="0095199C">
      <w:pPr>
        <w:pStyle w:val="FootnoteText"/>
        <w:ind w:left="567" w:hanging="567"/>
        <w:rPr>
          <w:sz w:val="24"/>
          <w:lang w:val="da-DK"/>
        </w:rPr>
      </w:pPr>
      <w:r w:rsidRPr="0095199C">
        <w:rPr>
          <w:rStyle w:val="FootnoteReference"/>
          <w:sz w:val="24"/>
          <w:lang w:val="da-DK"/>
        </w:rPr>
        <w:footnoteRef/>
      </w:r>
      <w:r w:rsidR="0095199C" w:rsidRPr="0095199C">
        <w:rPr>
          <w:sz w:val="24"/>
          <w:lang w:val="da-DK"/>
        </w:rPr>
        <w:t xml:space="preserve"> </w:t>
      </w:r>
      <w:r w:rsidR="0095199C" w:rsidRPr="0095199C">
        <w:rPr>
          <w:sz w:val="24"/>
          <w:lang w:val="da-DK"/>
        </w:rPr>
        <w:tab/>
      </w:r>
      <w:r w:rsidRPr="0095199C">
        <w:rPr>
          <w:sz w:val="24"/>
          <w:lang w:val="da-DK"/>
        </w:rPr>
        <w:t xml:space="preserve">Europa-Parlamentets og Rådets forordning (EF) nr. 1367/2006 af 6. september 2006 om anvendelse af Århus-konventionens bestemmelser om adgang til oplysninger, offentlig deltagelse i beslutningsprocesser samt adgang til klage og domstolsprøvelse på miljøområdet på Unionens institutioner og organer (EUT L 264 af 25.9.2006, s. 13, ELI: </w:t>
      </w:r>
      <w:hyperlink r:id="rId6" w:history="1">
        <w:r w:rsidRPr="0095199C">
          <w:rPr>
            <w:rStyle w:val="Hyperlink"/>
            <w:sz w:val="24"/>
            <w:lang w:val="da-DK"/>
          </w:rPr>
          <w:t>http://data.europa.eu/eli/reg/2006/1367/oj</w:t>
        </w:r>
      </w:hyperlink>
      <w:r w:rsidR="00855DE1">
        <w:rPr>
          <w:rStyle w:val="Hyperlink"/>
          <w:sz w:val="24"/>
          <w:lang w:val="da-DK"/>
        </w:rPr>
        <w:t>)</w:t>
      </w:r>
      <w:r w:rsidRPr="0095199C">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8546483">
    <w:abstractNumId w:val="9"/>
  </w:num>
  <w:num w:numId="2" w16cid:durableId="594098203">
    <w:abstractNumId w:val="9"/>
  </w:num>
  <w:num w:numId="3" w16cid:durableId="1998992017">
    <w:abstractNumId w:val="7"/>
  </w:num>
  <w:num w:numId="4" w16cid:durableId="1493566114">
    <w:abstractNumId w:val="7"/>
  </w:num>
  <w:num w:numId="5" w16cid:durableId="1796487484">
    <w:abstractNumId w:val="6"/>
  </w:num>
  <w:num w:numId="6" w16cid:durableId="369578227">
    <w:abstractNumId w:val="6"/>
  </w:num>
  <w:num w:numId="7" w16cid:durableId="478614849">
    <w:abstractNumId w:val="5"/>
  </w:num>
  <w:num w:numId="8" w16cid:durableId="1422722484">
    <w:abstractNumId w:val="5"/>
  </w:num>
  <w:num w:numId="9" w16cid:durableId="837232160">
    <w:abstractNumId w:val="4"/>
  </w:num>
  <w:num w:numId="10" w16cid:durableId="1812676148">
    <w:abstractNumId w:val="4"/>
  </w:num>
  <w:num w:numId="11" w16cid:durableId="2107840758">
    <w:abstractNumId w:val="8"/>
  </w:num>
  <w:num w:numId="12" w16cid:durableId="1117869566">
    <w:abstractNumId w:val="8"/>
  </w:num>
  <w:num w:numId="13" w16cid:durableId="45759972">
    <w:abstractNumId w:val="3"/>
  </w:num>
  <w:num w:numId="14" w16cid:durableId="4989482">
    <w:abstractNumId w:val="3"/>
  </w:num>
  <w:num w:numId="15" w16cid:durableId="94374410">
    <w:abstractNumId w:val="2"/>
  </w:num>
  <w:num w:numId="16" w16cid:durableId="173611850">
    <w:abstractNumId w:val="2"/>
  </w:num>
  <w:num w:numId="17" w16cid:durableId="794174123">
    <w:abstractNumId w:val="1"/>
  </w:num>
  <w:num w:numId="18" w16cid:durableId="1107391522">
    <w:abstractNumId w:val="1"/>
  </w:num>
  <w:num w:numId="19" w16cid:durableId="1129856401">
    <w:abstractNumId w:val="0"/>
  </w:num>
  <w:num w:numId="20" w16cid:durableId="1455827111">
    <w:abstractNumId w:val="0"/>
  </w:num>
  <w:num w:numId="21" w16cid:durableId="1757898178">
    <w:abstractNumId w:val="9"/>
  </w:num>
  <w:num w:numId="22" w16cid:durableId="876308133">
    <w:abstractNumId w:val="7"/>
  </w:num>
  <w:num w:numId="23" w16cid:durableId="2093963056">
    <w:abstractNumId w:val="6"/>
  </w:num>
  <w:num w:numId="24" w16cid:durableId="885945892">
    <w:abstractNumId w:val="5"/>
  </w:num>
  <w:num w:numId="25" w16cid:durableId="1214318573">
    <w:abstractNumId w:val="4"/>
  </w:num>
  <w:num w:numId="26" w16cid:durableId="1140654882">
    <w:abstractNumId w:val="8"/>
  </w:num>
  <w:num w:numId="27" w16cid:durableId="263731378">
    <w:abstractNumId w:val="3"/>
  </w:num>
  <w:num w:numId="28" w16cid:durableId="54358656">
    <w:abstractNumId w:val="2"/>
  </w:num>
  <w:num w:numId="29" w16cid:durableId="1217007808">
    <w:abstractNumId w:val="1"/>
  </w:num>
  <w:num w:numId="30" w16cid:durableId="1856190397">
    <w:abstractNumId w:val="0"/>
  </w:num>
  <w:num w:numId="31" w16cid:durableId="1008019413">
    <w:abstractNumId w:val="9"/>
  </w:num>
  <w:num w:numId="32" w16cid:durableId="445584087">
    <w:abstractNumId w:val="7"/>
  </w:num>
  <w:num w:numId="33" w16cid:durableId="94446310">
    <w:abstractNumId w:val="6"/>
  </w:num>
  <w:num w:numId="34" w16cid:durableId="716703099">
    <w:abstractNumId w:val="5"/>
  </w:num>
  <w:num w:numId="35" w16cid:durableId="704450799">
    <w:abstractNumId w:val="4"/>
  </w:num>
  <w:num w:numId="36" w16cid:durableId="963460358">
    <w:abstractNumId w:val="8"/>
  </w:num>
  <w:num w:numId="37" w16cid:durableId="1197964956">
    <w:abstractNumId w:val="3"/>
  </w:num>
  <w:num w:numId="38" w16cid:durableId="172964864">
    <w:abstractNumId w:val="2"/>
  </w:num>
  <w:num w:numId="39" w16cid:durableId="959189442">
    <w:abstractNumId w:val="1"/>
  </w:num>
  <w:num w:numId="40" w16cid:durableId="1785342439">
    <w:abstractNumId w:val="0"/>
  </w:num>
  <w:num w:numId="41" w16cid:durableId="930621316">
    <w:abstractNumId w:val="10"/>
  </w:num>
  <w:num w:numId="42" w16cid:durableId="789974229">
    <w:abstractNumId w:val="10"/>
  </w:num>
  <w:num w:numId="43" w16cid:durableId="452403444">
    <w:abstractNumId w:val="10"/>
  </w:num>
  <w:num w:numId="44" w16cid:durableId="357317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DA"/>
    <w:docVar w:name="dvnumam" w:val="0"/>
    <w:docVar w:name="dvpe" w:val="769.944"/>
    <w:docVar w:name="dvrapporteur" w:val="Ordfører: "/>
    <w:docVar w:name="dvtitre" w:val="Europa-Parlamentets beslutning af xx.xx 2025 om kontrol med Den Europæiske Investeringsbanks finansielle aktiviteter – årsberetning 2023(2024/2052(INI))"/>
  </w:docVars>
  <w:rsids>
    <w:rsidRoot w:val="00E22F14"/>
    <w:rsid w:val="00002272"/>
    <w:rsid w:val="000404B7"/>
    <w:rsid w:val="00064002"/>
    <w:rsid w:val="000677B9"/>
    <w:rsid w:val="000831BA"/>
    <w:rsid w:val="000A42CC"/>
    <w:rsid w:val="000E7DD9"/>
    <w:rsid w:val="0010095E"/>
    <w:rsid w:val="00125B37"/>
    <w:rsid w:val="001471FE"/>
    <w:rsid w:val="00187494"/>
    <w:rsid w:val="001F32AE"/>
    <w:rsid w:val="002767FF"/>
    <w:rsid w:val="002B18FE"/>
    <w:rsid w:val="002B5493"/>
    <w:rsid w:val="00343214"/>
    <w:rsid w:val="00357274"/>
    <w:rsid w:val="00361C00"/>
    <w:rsid w:val="00395FA1"/>
    <w:rsid w:val="003D09B2"/>
    <w:rsid w:val="003E15D4"/>
    <w:rsid w:val="00411CCE"/>
    <w:rsid w:val="0041666E"/>
    <w:rsid w:val="00421060"/>
    <w:rsid w:val="00451C7D"/>
    <w:rsid w:val="00456F2B"/>
    <w:rsid w:val="00471C19"/>
    <w:rsid w:val="00486513"/>
    <w:rsid w:val="004867E3"/>
    <w:rsid w:val="00494A28"/>
    <w:rsid w:val="004C0004"/>
    <w:rsid w:val="004C5D52"/>
    <w:rsid w:val="004F5B3F"/>
    <w:rsid w:val="0050519A"/>
    <w:rsid w:val="005072A1"/>
    <w:rsid w:val="00514517"/>
    <w:rsid w:val="00545827"/>
    <w:rsid w:val="00560270"/>
    <w:rsid w:val="005C2568"/>
    <w:rsid w:val="005F1B17"/>
    <w:rsid w:val="006037C0"/>
    <w:rsid w:val="00645993"/>
    <w:rsid w:val="006631B6"/>
    <w:rsid w:val="00680577"/>
    <w:rsid w:val="006F74FA"/>
    <w:rsid w:val="00731ADD"/>
    <w:rsid w:val="00734777"/>
    <w:rsid w:val="00747932"/>
    <w:rsid w:val="0075056F"/>
    <w:rsid w:val="00751A4A"/>
    <w:rsid w:val="00756632"/>
    <w:rsid w:val="00762C74"/>
    <w:rsid w:val="00786EC0"/>
    <w:rsid w:val="007D1690"/>
    <w:rsid w:val="007E22AD"/>
    <w:rsid w:val="00817416"/>
    <w:rsid w:val="00842779"/>
    <w:rsid w:val="00855DE1"/>
    <w:rsid w:val="00865F67"/>
    <w:rsid w:val="00881A7B"/>
    <w:rsid w:val="008840E5"/>
    <w:rsid w:val="00887B3E"/>
    <w:rsid w:val="008C2AC6"/>
    <w:rsid w:val="00930C23"/>
    <w:rsid w:val="0093193B"/>
    <w:rsid w:val="009509D8"/>
    <w:rsid w:val="00950B64"/>
    <w:rsid w:val="0095199C"/>
    <w:rsid w:val="00981893"/>
    <w:rsid w:val="009B24E4"/>
    <w:rsid w:val="00A1687D"/>
    <w:rsid w:val="00A43E52"/>
    <w:rsid w:val="00A4678D"/>
    <w:rsid w:val="00A778C7"/>
    <w:rsid w:val="00AB441E"/>
    <w:rsid w:val="00AB6293"/>
    <w:rsid w:val="00AE0928"/>
    <w:rsid w:val="00AF3B82"/>
    <w:rsid w:val="00B12E95"/>
    <w:rsid w:val="00B22876"/>
    <w:rsid w:val="00B34464"/>
    <w:rsid w:val="00B558F0"/>
    <w:rsid w:val="00BC0F3B"/>
    <w:rsid w:val="00BD48FE"/>
    <w:rsid w:val="00BD7BD8"/>
    <w:rsid w:val="00BE0018"/>
    <w:rsid w:val="00BE6ADC"/>
    <w:rsid w:val="00C05BFE"/>
    <w:rsid w:val="00C23CD4"/>
    <w:rsid w:val="00C61C0C"/>
    <w:rsid w:val="00C941CB"/>
    <w:rsid w:val="00CA16A5"/>
    <w:rsid w:val="00CC2357"/>
    <w:rsid w:val="00CF071A"/>
    <w:rsid w:val="00D058B8"/>
    <w:rsid w:val="00D56C11"/>
    <w:rsid w:val="00D834A0"/>
    <w:rsid w:val="00D872DF"/>
    <w:rsid w:val="00D91E21"/>
    <w:rsid w:val="00DA5F5D"/>
    <w:rsid w:val="00DA7FCD"/>
    <w:rsid w:val="00E04B40"/>
    <w:rsid w:val="00E22F14"/>
    <w:rsid w:val="00E365E1"/>
    <w:rsid w:val="00E820A4"/>
    <w:rsid w:val="00EB006A"/>
    <w:rsid w:val="00EB4772"/>
    <w:rsid w:val="00ED169E"/>
    <w:rsid w:val="00ED4235"/>
    <w:rsid w:val="00F009EB"/>
    <w:rsid w:val="00F04346"/>
    <w:rsid w:val="00F075DC"/>
    <w:rsid w:val="00F149E9"/>
    <w:rsid w:val="00F5134D"/>
    <w:rsid w:val="00F74202"/>
    <w:rsid w:val="00F84F9E"/>
    <w:rsid w:val="00F87713"/>
    <w:rsid w:val="00FA517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59320"/>
  <w15:chartTrackingRefBased/>
  <w15:docId w15:val="{DC0474D5-0933-4E00-8EDD-2148FE6C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513"/>
    <w:pPr>
      <w:spacing w:before="480" w:after="240"/>
    </w:pPr>
    <w:rPr>
      <w:snapToGrid w:val="0"/>
      <w:lang w:eastAsia="en-US"/>
    </w:rPr>
  </w:style>
  <w:style w:type="paragraph" w:customStyle="1" w:styleId="NormalHanging12a">
    <w:name w:val="NormalHanging12a"/>
    <w:basedOn w:val="Normal"/>
    <w:link w:val="NormalHanging12aChar"/>
    <w:rsid w:val="00486513"/>
    <w:pPr>
      <w:widowControl/>
      <w:spacing w:after="240"/>
      <w:ind w:left="567" w:hanging="567"/>
    </w:pPr>
    <w:rPr>
      <w:snapToGrid w:val="0"/>
      <w:lang w:eastAsia="en-US"/>
    </w:rPr>
  </w:style>
  <w:style w:type="paragraph" w:customStyle="1" w:styleId="NormalCenter12a">
    <w:name w:val="NormalCenter12a"/>
    <w:basedOn w:val="Normal"/>
    <w:rsid w:val="00486513"/>
    <w:pPr>
      <w:spacing w:after="240"/>
      <w:jc w:val="center"/>
    </w:pPr>
  </w:style>
  <w:style w:type="character" w:customStyle="1" w:styleId="BoldItalic">
    <w:name w:val="BoldItalic"/>
    <w:uiPriority w:val="1"/>
    <w:rsid w:val="00486513"/>
    <w:rPr>
      <w:b/>
      <w:i/>
      <w:u w:val="none"/>
    </w:rPr>
  </w:style>
  <w:style w:type="character" w:customStyle="1" w:styleId="Italic">
    <w:name w:val="Italic"/>
    <w:uiPriority w:val="1"/>
    <w:rsid w:val="00486513"/>
    <w:rPr>
      <w:i/>
    </w:rPr>
  </w:style>
  <w:style w:type="paragraph" w:customStyle="1" w:styleId="Normal12a24b">
    <w:name w:val="Normal12a24b"/>
    <w:basedOn w:val="Normal"/>
    <w:rsid w:val="00486513"/>
    <w:pPr>
      <w:spacing w:before="360" w:after="240"/>
    </w:pPr>
    <w:rPr>
      <w:snapToGrid w:val="0"/>
      <w:lang w:eastAsia="en-US"/>
    </w:rPr>
  </w:style>
  <w:style w:type="character" w:customStyle="1" w:styleId="NormalHanging12aChar">
    <w:name w:val="NormalHanging12a Char"/>
    <w:basedOn w:val="DefaultParagraphFont"/>
    <w:link w:val="NormalHanging12a"/>
    <w:rsid w:val="00486513"/>
    <w:rPr>
      <w:snapToGrid w:val="0"/>
      <w:sz w:val="24"/>
      <w:lang w:val="da-DK" w:eastAsia="en-US"/>
    </w:rPr>
  </w:style>
  <w:style w:type="character" w:styleId="Hyperlink">
    <w:name w:val="Hyperlink"/>
    <w:basedOn w:val="DefaultParagraphFont"/>
    <w:unhideWhenUsed/>
    <w:rsid w:val="00486513"/>
    <w:rPr>
      <w:color w:val="0563C1" w:themeColor="hyperlink"/>
      <w:u w:val="single"/>
    </w:rPr>
  </w:style>
  <w:style w:type="paragraph" w:styleId="BalloonText">
    <w:name w:val="Balloon Text"/>
    <w:basedOn w:val="Normal"/>
    <w:link w:val="BalloonTextChar"/>
    <w:rsid w:val="00F84F9E"/>
    <w:rPr>
      <w:rFonts w:ascii="Segoe UI" w:hAnsi="Segoe UI" w:cs="Segoe UI"/>
      <w:sz w:val="18"/>
      <w:szCs w:val="18"/>
    </w:rPr>
  </w:style>
  <w:style w:type="character" w:customStyle="1" w:styleId="BalloonTextChar">
    <w:name w:val="Balloon Text Char"/>
    <w:basedOn w:val="DefaultParagraphFont"/>
    <w:link w:val="BalloonText"/>
    <w:rsid w:val="00F84F9E"/>
    <w:rPr>
      <w:rFonts w:ascii="Segoe UI" w:hAnsi="Segoe UI" w:cs="Segoe UI"/>
      <w:sz w:val="18"/>
      <w:szCs w:val="18"/>
      <w:lang w:val="da-DK"/>
    </w:rPr>
  </w:style>
  <w:style w:type="character" w:styleId="CommentReference">
    <w:name w:val="annotation reference"/>
    <w:basedOn w:val="DefaultParagraphFont"/>
    <w:rsid w:val="009B24E4"/>
    <w:rPr>
      <w:sz w:val="16"/>
      <w:szCs w:val="16"/>
    </w:rPr>
  </w:style>
  <w:style w:type="paragraph" w:styleId="CommentText">
    <w:name w:val="annotation text"/>
    <w:basedOn w:val="Normal"/>
    <w:link w:val="CommentTextChar"/>
    <w:rsid w:val="009B24E4"/>
    <w:rPr>
      <w:sz w:val="20"/>
    </w:rPr>
  </w:style>
  <w:style w:type="character" w:customStyle="1" w:styleId="CommentTextChar">
    <w:name w:val="Comment Text Char"/>
    <w:basedOn w:val="DefaultParagraphFont"/>
    <w:link w:val="CommentText"/>
    <w:rsid w:val="009B24E4"/>
    <w:rPr>
      <w:lang w:val="da-DK"/>
    </w:rPr>
  </w:style>
  <w:style w:type="paragraph" w:styleId="CommentSubject">
    <w:name w:val="annotation subject"/>
    <w:basedOn w:val="CommentText"/>
    <w:next w:val="CommentText"/>
    <w:link w:val="CommentSubjectChar"/>
    <w:rsid w:val="009B24E4"/>
    <w:rPr>
      <w:b/>
      <w:bCs/>
    </w:rPr>
  </w:style>
  <w:style w:type="character" w:customStyle="1" w:styleId="CommentSubjectChar">
    <w:name w:val="Comment Subject Char"/>
    <w:basedOn w:val="CommentTextChar"/>
    <w:link w:val="CommentSubject"/>
    <w:rsid w:val="009B24E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575/oj" TargetMode="External"/><Relationship Id="rId2" Type="http://schemas.openxmlformats.org/officeDocument/2006/relationships/hyperlink" Target="http://data.europa.eu/eli/C/2024/400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6/1367/oj" TargetMode="External"/><Relationship Id="rId5" Type="http://schemas.openxmlformats.org/officeDocument/2006/relationships/hyperlink" Target="http://data.europa.eu/eli/reg/2001/1049/oj" TargetMode="External"/><Relationship Id="rId4" Type="http://schemas.openxmlformats.org/officeDocument/2006/relationships/hyperlink" Target="http://data.europa.eu/eli/dir/2013/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B4602-B262-43A1-944B-C019D68D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9895</Words>
  <Characters>61956</Characters>
  <Application>Microsoft Office Word</Application>
  <DocSecurity>0</DocSecurity>
  <Lines>516</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PESA Karina</cp:lastModifiedBy>
  <cp:revision>3</cp:revision>
  <cp:lastPrinted>2004-11-19T15:42:00Z</cp:lastPrinted>
  <dcterms:created xsi:type="dcterms:W3CDTF">2025-06-03T13:31:00Z</dcterms:created>
  <dcterms:modified xsi:type="dcterms:W3CDTF">2025-10-13T10:47:00Z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A10-0068/2025</vt:lpwstr>
  </property>
  <property fmtid="{D5CDD505-2E9C-101B-9397-08002B2CF9AE}" pid="4" name="&lt;Type&gt;">
    <vt:lpwstr>RR</vt:lpwstr>
  </property>
</Properties>
</file>