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63AEA" w14:paraId="73DAE9AA" w14:textId="77777777" w:rsidTr="0010095E">
        <w:trPr>
          <w:trHeight w:hRule="exact" w:val="1418"/>
        </w:trPr>
        <w:tc>
          <w:tcPr>
            <w:tcW w:w="6804" w:type="dxa"/>
            <w:shd w:val="clear" w:color="auto" w:fill="auto"/>
            <w:vAlign w:val="center"/>
          </w:tcPr>
          <w:p w14:paraId="357D8733" w14:textId="77777777" w:rsidR="00751A4A" w:rsidRPr="00B63AEA" w:rsidRDefault="001F597A" w:rsidP="0010095E">
            <w:pPr>
              <w:pStyle w:val="EPName"/>
            </w:pPr>
            <w:r w:rsidRPr="00B63AEA">
              <w:t>European Parliament</w:t>
            </w:r>
          </w:p>
          <w:p w14:paraId="2BB87630" w14:textId="77777777" w:rsidR="00751A4A" w:rsidRPr="00B63AEA" w:rsidRDefault="005F1B17" w:rsidP="005F1B17">
            <w:pPr>
              <w:pStyle w:val="EPTerm"/>
              <w:rPr>
                <w:rStyle w:val="HideTWBExt"/>
                <w:noProof w:val="0"/>
                <w:vanish w:val="0"/>
                <w:color w:val="auto"/>
              </w:rPr>
            </w:pPr>
            <w:r w:rsidRPr="00B63AEA">
              <w:t>2024</w:t>
            </w:r>
            <w:r w:rsidR="00817416" w:rsidRPr="00B63AEA">
              <w:t>-202</w:t>
            </w:r>
            <w:r w:rsidRPr="00B63AEA">
              <w:t>9</w:t>
            </w:r>
          </w:p>
        </w:tc>
        <w:tc>
          <w:tcPr>
            <w:tcW w:w="2268" w:type="dxa"/>
            <w:shd w:val="clear" w:color="auto" w:fill="auto"/>
          </w:tcPr>
          <w:p w14:paraId="5E9ACDED" w14:textId="77777777" w:rsidR="00751A4A" w:rsidRPr="00B63AEA" w:rsidRDefault="00187494" w:rsidP="0010095E">
            <w:pPr>
              <w:pStyle w:val="EPLogo"/>
            </w:pPr>
            <w:r w:rsidRPr="00B63AEA">
              <w:rPr>
                <w:noProof/>
              </w:rPr>
              <w:drawing>
                <wp:inline distT="0" distB="0" distL="0" distR="0" wp14:anchorId="56686131" wp14:editId="7D658A36">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0432687" w14:textId="77777777" w:rsidR="00D058B8" w:rsidRPr="00B63AEA" w:rsidRDefault="00D058B8" w:rsidP="004C5D52">
      <w:pPr>
        <w:pStyle w:val="LineTop"/>
      </w:pPr>
    </w:p>
    <w:p w14:paraId="1B29E7FB" w14:textId="77777777" w:rsidR="00680577" w:rsidRPr="00B63AEA" w:rsidRDefault="001F597A" w:rsidP="00680577">
      <w:pPr>
        <w:pStyle w:val="EPBodyTA1"/>
      </w:pPr>
      <w:r w:rsidRPr="00B63AEA">
        <w:t>TEXTS ADOPTED</w:t>
      </w:r>
    </w:p>
    <w:p w14:paraId="31B540FB" w14:textId="77777777" w:rsidR="00D058B8" w:rsidRPr="00B63AEA" w:rsidRDefault="00D058B8" w:rsidP="00D058B8">
      <w:pPr>
        <w:pStyle w:val="LineBottom"/>
      </w:pPr>
    </w:p>
    <w:p w14:paraId="118AAAE3" w14:textId="50F02804" w:rsidR="001F597A" w:rsidRPr="00B63AEA" w:rsidRDefault="001F597A" w:rsidP="001F597A">
      <w:pPr>
        <w:pStyle w:val="ATHeading1"/>
      </w:pPr>
      <w:bookmarkStart w:id="0" w:name="TANumber"/>
      <w:r w:rsidRPr="00B63AEA">
        <w:t>P10_TA(2025)</w:t>
      </w:r>
      <w:bookmarkEnd w:id="0"/>
      <w:r w:rsidR="008927FF" w:rsidRPr="00B63AEA">
        <w:t>00</w:t>
      </w:r>
      <w:r w:rsidR="008927FF">
        <w:t>76</w:t>
      </w:r>
    </w:p>
    <w:p w14:paraId="0FCA87CE" w14:textId="77777777" w:rsidR="001F597A" w:rsidRPr="00B63AEA" w:rsidRDefault="008D38BE" w:rsidP="001F597A">
      <w:pPr>
        <w:pStyle w:val="ATHeading2"/>
      </w:pPr>
      <w:bookmarkStart w:id="1" w:name="title"/>
      <w:r w:rsidRPr="00B63AEA">
        <w:t>Control of the financial activities of the European Investment Bank – annual report 2023</w:t>
      </w:r>
      <w:bookmarkEnd w:id="1"/>
    </w:p>
    <w:p w14:paraId="67C8AC4C" w14:textId="77777777" w:rsidR="001F597A" w:rsidRPr="00B63AEA" w:rsidRDefault="001F597A" w:rsidP="001F597A">
      <w:pPr>
        <w:rPr>
          <w:i/>
          <w:vanish/>
        </w:rPr>
      </w:pPr>
      <w:r w:rsidRPr="00B63AEA">
        <w:rPr>
          <w:i/>
        </w:rPr>
        <w:fldChar w:fldCharType="begin"/>
      </w:r>
      <w:r w:rsidRPr="00B63AEA">
        <w:rPr>
          <w:i/>
        </w:rPr>
        <w:instrText xml:space="preserve"> TC"(</w:instrText>
      </w:r>
      <w:bookmarkStart w:id="2" w:name="DocNumber"/>
      <w:r w:rsidRPr="00B63AEA">
        <w:rPr>
          <w:i/>
        </w:rPr>
        <w:instrText>A10-0068/2025</w:instrText>
      </w:r>
      <w:bookmarkEnd w:id="2"/>
      <w:r w:rsidRPr="00B63AEA">
        <w:rPr>
          <w:i/>
        </w:rPr>
        <w:instrText xml:space="preserve"> - Rapporteur: Ondřej Knotek)"\l3 \n&gt; \* MERGEFORMAT </w:instrText>
      </w:r>
      <w:r w:rsidRPr="00B63AEA">
        <w:rPr>
          <w:i/>
        </w:rPr>
        <w:fldChar w:fldCharType="end"/>
      </w:r>
    </w:p>
    <w:p w14:paraId="1886BDDF" w14:textId="77777777" w:rsidR="001F597A" w:rsidRPr="00B63AEA" w:rsidRDefault="001F597A" w:rsidP="001F597A">
      <w:pPr>
        <w:rPr>
          <w:vanish/>
        </w:rPr>
      </w:pPr>
      <w:bookmarkStart w:id="3" w:name="Commission"/>
      <w:r w:rsidRPr="00B63AEA">
        <w:rPr>
          <w:vanish/>
        </w:rPr>
        <w:t>Committee on Budgetary Control</w:t>
      </w:r>
      <w:bookmarkEnd w:id="3"/>
    </w:p>
    <w:p w14:paraId="042EDAD3" w14:textId="77777777" w:rsidR="001F597A" w:rsidRPr="00B63AEA" w:rsidRDefault="001F597A" w:rsidP="001F597A">
      <w:pPr>
        <w:rPr>
          <w:vanish/>
        </w:rPr>
      </w:pPr>
      <w:bookmarkStart w:id="4" w:name="PE"/>
      <w:r w:rsidRPr="00B63AEA">
        <w:rPr>
          <w:vanish/>
        </w:rPr>
        <w:t>PE769.944</w:t>
      </w:r>
      <w:bookmarkEnd w:id="4"/>
    </w:p>
    <w:p w14:paraId="148D76B8" w14:textId="54E4876A" w:rsidR="001F597A" w:rsidRPr="00B63AEA" w:rsidRDefault="001F597A" w:rsidP="001F597A">
      <w:pPr>
        <w:pStyle w:val="ATHeading3"/>
      </w:pPr>
      <w:bookmarkStart w:id="5" w:name="Sujet"/>
      <w:r w:rsidRPr="00B63AEA">
        <w:t xml:space="preserve">European Parliament resolution of </w:t>
      </w:r>
      <w:r w:rsidR="008D38BE" w:rsidRPr="00B63AEA">
        <w:t xml:space="preserve">6 May </w:t>
      </w:r>
      <w:r w:rsidRPr="00B63AEA">
        <w:t>2025 on the control of the financial activities of the European Investment Bank – annual report 2023</w:t>
      </w:r>
      <w:bookmarkEnd w:id="5"/>
      <w:r w:rsidRPr="00B63AEA">
        <w:t xml:space="preserve"> </w:t>
      </w:r>
      <w:bookmarkStart w:id="6" w:name="References"/>
      <w:r w:rsidRPr="00B63AEA">
        <w:t>(2024/2052(INI))</w:t>
      </w:r>
      <w:bookmarkEnd w:id="6"/>
    </w:p>
    <w:p w14:paraId="12102ED0" w14:textId="77777777" w:rsidR="008D6C36" w:rsidRPr="00B63AEA" w:rsidRDefault="008D6C36" w:rsidP="008D6C36">
      <w:pPr>
        <w:pStyle w:val="EPComma"/>
      </w:pPr>
      <w:r w:rsidRPr="00B63AEA">
        <w:rPr>
          <w:rStyle w:val="Italic"/>
        </w:rPr>
        <w:t>The European Parliament</w:t>
      </w:r>
      <w:r w:rsidRPr="00B63AEA">
        <w:t>,</w:t>
      </w:r>
    </w:p>
    <w:p w14:paraId="6DD72DB8" w14:textId="77777777" w:rsidR="00563D6A" w:rsidRPr="00B63AEA" w:rsidRDefault="008D6C36" w:rsidP="008D6C36">
      <w:pPr>
        <w:pStyle w:val="NormalHanging12a"/>
      </w:pPr>
      <w:r w:rsidRPr="00B63AEA">
        <w:t>–</w:t>
      </w:r>
      <w:r w:rsidRPr="00B63AEA">
        <w:tab/>
        <w:t>having regard to the European Investment Bank Group (‘EIB Group’) 2023 activity report of 1 February 2024 entitled ‘A Blueprint for Sustainable Living’, and to the EIB Group document of 2 February 2023 entitled ‘EIB Group Operational Plan 2023-2025’,</w:t>
      </w:r>
    </w:p>
    <w:p w14:paraId="11E09D5C" w14:textId="46F2DB63" w:rsidR="008D6C36" w:rsidRPr="00B63AEA" w:rsidRDefault="008D6C36" w:rsidP="008D6C36">
      <w:pPr>
        <w:pStyle w:val="NormalHanging12a"/>
      </w:pPr>
      <w:r w:rsidRPr="00B63AEA">
        <w:t>–</w:t>
      </w:r>
      <w:r w:rsidRPr="00B63AEA">
        <w:tab/>
        <w:t>having regard to the European Investment Bank (‘EIB’, ‘the Bank’) Investment Report 2023/2024 entitled ‘Transforming for competitiveness’, published on 7 February 2024,</w:t>
      </w:r>
    </w:p>
    <w:p w14:paraId="710183F2" w14:textId="77777777" w:rsidR="008D6C36" w:rsidRPr="00B63AEA" w:rsidRDefault="008D6C36" w:rsidP="008D6C36">
      <w:pPr>
        <w:pStyle w:val="NormalHanging12a"/>
      </w:pPr>
      <w:r w:rsidRPr="00B63AEA">
        <w:t>–</w:t>
      </w:r>
      <w:r w:rsidRPr="00B63AEA">
        <w:tab/>
        <w:t>having regard to the EIB document of 8 May 2023 entitled ‘Mid-term review of the EIB Energy Lending Policy’,</w:t>
      </w:r>
    </w:p>
    <w:p w14:paraId="622FDD96" w14:textId="77777777" w:rsidR="008D6C36" w:rsidRPr="00B63AEA" w:rsidRDefault="008D6C36" w:rsidP="008D6C36">
      <w:pPr>
        <w:pStyle w:val="NormalHanging12a"/>
      </w:pPr>
      <w:r w:rsidRPr="00B63AEA">
        <w:t>–</w:t>
      </w:r>
      <w:r w:rsidRPr="00B63AEA">
        <w:tab/>
        <w:t>having regard to the EIB Group report on the implementation of the EIB Group Transparency Policy in 2023, published on 1 July 2024,</w:t>
      </w:r>
    </w:p>
    <w:p w14:paraId="6154BB4D" w14:textId="77777777" w:rsidR="008D6C36" w:rsidRPr="00B63AEA" w:rsidRDefault="008D6C36" w:rsidP="008D6C36">
      <w:pPr>
        <w:pStyle w:val="NormalHanging12a"/>
      </w:pPr>
      <w:r w:rsidRPr="00B63AEA">
        <w:t>–</w:t>
      </w:r>
      <w:r w:rsidRPr="00B63AEA">
        <w:tab/>
        <w:t>having regard to the EIB Group document of 27 November 2023 entitled ‘The EIB Group PATH Framework – Version 1.2 of November 2023 – Supporting counterparties on their pathways to align with the Paris Agreement’,</w:t>
      </w:r>
    </w:p>
    <w:p w14:paraId="0AA263D3" w14:textId="77777777" w:rsidR="008D6C36" w:rsidRPr="00B63AEA" w:rsidRDefault="008D6C36" w:rsidP="008D6C36">
      <w:pPr>
        <w:pStyle w:val="NormalHanging12a"/>
      </w:pPr>
      <w:r w:rsidRPr="00B63AEA">
        <w:t>–</w:t>
      </w:r>
      <w:r w:rsidRPr="00B63AEA">
        <w:tab/>
        <w:t>having regard to the EIB Group and EIB documents of 21 June 2024 entitled ‘EIB Group 2024-2027 Strategic Roadmap’ and of 29 November 2023 entitled ‘EIB Global Strategic Roadmap’,</w:t>
      </w:r>
    </w:p>
    <w:p w14:paraId="12DC49E1" w14:textId="77777777" w:rsidR="008D6C36" w:rsidRPr="00B63AEA" w:rsidRDefault="008D6C36" w:rsidP="008D6C36">
      <w:pPr>
        <w:pStyle w:val="NormalHanging12a"/>
      </w:pPr>
      <w:r w:rsidRPr="00B63AEA">
        <w:t>–</w:t>
      </w:r>
      <w:r w:rsidRPr="00B63AEA">
        <w:tab/>
        <w:t>having regard to the EIB Group Sustainability Report 2023, published on 25 July 2024,</w:t>
      </w:r>
    </w:p>
    <w:p w14:paraId="280B075E" w14:textId="77777777" w:rsidR="008D6C36" w:rsidRPr="00B63AEA" w:rsidRDefault="008D6C36" w:rsidP="008D6C36">
      <w:pPr>
        <w:pStyle w:val="NormalHanging12a"/>
      </w:pPr>
      <w:r w:rsidRPr="00B63AEA">
        <w:t>–</w:t>
      </w:r>
      <w:r w:rsidRPr="00B63AEA">
        <w:tab/>
        <w:t>having regard to the EIB information note of 6 February 2023 entitled ‘The European Investment Bank’s approach to human rights’,</w:t>
      </w:r>
    </w:p>
    <w:p w14:paraId="4A2677B1" w14:textId="77777777" w:rsidR="008D6C36" w:rsidRPr="00B63AEA" w:rsidRDefault="008D6C36" w:rsidP="008D6C36">
      <w:pPr>
        <w:pStyle w:val="NormalHanging12a"/>
      </w:pPr>
      <w:r w:rsidRPr="00B63AEA">
        <w:t>–</w:t>
      </w:r>
      <w:r w:rsidRPr="00B63AEA">
        <w:tab/>
        <w:t>having regard to the EIB Group Complaints Mechanism Report 2023, published on 10 June 2024,</w:t>
      </w:r>
    </w:p>
    <w:p w14:paraId="40CA9346" w14:textId="77777777" w:rsidR="008D6C36" w:rsidRPr="00B63AEA" w:rsidRDefault="008D6C36" w:rsidP="008D6C36">
      <w:pPr>
        <w:pStyle w:val="NormalHanging12a"/>
      </w:pPr>
      <w:r w:rsidRPr="00B63AEA">
        <w:lastRenderedPageBreak/>
        <w:t>–</w:t>
      </w:r>
      <w:r w:rsidRPr="00B63AEA">
        <w:tab/>
        <w:t>having regard to the EIB Group document of 14 October 2024 entitled ‘Diversity, Equity and Inclusion at the EIB Group’,</w:t>
      </w:r>
    </w:p>
    <w:p w14:paraId="3680B355" w14:textId="77777777" w:rsidR="008D6C36" w:rsidRPr="00B63AEA" w:rsidRDefault="008D6C36" w:rsidP="008D6C36">
      <w:pPr>
        <w:pStyle w:val="NormalHanging12a"/>
      </w:pPr>
      <w:r w:rsidRPr="00B63AEA">
        <w:t>–</w:t>
      </w:r>
      <w:r w:rsidRPr="00B63AEA">
        <w:tab/>
        <w:t>having regard to the EIB publication of 23 September 2024 entitled ‘EIB Audit Committee Annual Reports for the year 2023’,</w:t>
      </w:r>
    </w:p>
    <w:p w14:paraId="20DFD2EC" w14:textId="77777777" w:rsidR="00207BE7" w:rsidRPr="00B63AEA" w:rsidRDefault="008D6C36" w:rsidP="008D6C36">
      <w:pPr>
        <w:pStyle w:val="NormalHanging12a"/>
      </w:pPr>
      <w:r w:rsidRPr="00B63AEA">
        <w:t>–</w:t>
      </w:r>
      <w:r w:rsidRPr="00B63AEA">
        <w:tab/>
        <w:t>having regard to the EIB Group report of 15 July 2024 entitled ‘EIB Group activities in EU cohesion regions 2023’,</w:t>
      </w:r>
    </w:p>
    <w:p w14:paraId="026C81A0" w14:textId="599AC0B5" w:rsidR="008D6C36" w:rsidRPr="00B63AEA" w:rsidRDefault="008D6C36" w:rsidP="008D6C36">
      <w:pPr>
        <w:pStyle w:val="NormalHanging12a"/>
      </w:pPr>
      <w:r w:rsidRPr="00B63AEA">
        <w:t>–</w:t>
      </w:r>
      <w:r w:rsidRPr="00B63AEA">
        <w:tab/>
        <w:t>having regard to the EIB report of 19 October 2023 entitled ‘EIB Investment Survey 2023 – European Union overview’,</w:t>
      </w:r>
    </w:p>
    <w:p w14:paraId="17B57E04" w14:textId="77777777" w:rsidR="008D6C36" w:rsidRPr="00B63AEA" w:rsidRDefault="008D6C36" w:rsidP="008D6C36">
      <w:pPr>
        <w:pStyle w:val="NormalHanging12a"/>
      </w:pPr>
      <w:r w:rsidRPr="00B63AEA" w:rsidDel="00100D12">
        <w:t xml:space="preserve"> </w:t>
      </w:r>
      <w:r w:rsidRPr="00B63AEA">
        <w:t>–</w:t>
      </w:r>
      <w:r w:rsidRPr="00B63AEA">
        <w:tab/>
        <w:t>having regard to the EIB Group report of 26 June 2024 entitled ‘EIB Group support for EU businesses: Evidence of impact in addressing market failures’,</w:t>
      </w:r>
    </w:p>
    <w:p w14:paraId="28B01D59" w14:textId="77777777" w:rsidR="008D6C36" w:rsidRPr="00B63AEA" w:rsidRDefault="008D6C36" w:rsidP="008D6C36">
      <w:pPr>
        <w:pStyle w:val="NormalHanging12a"/>
      </w:pPr>
      <w:r w:rsidRPr="00B63AEA">
        <w:t>–</w:t>
      </w:r>
      <w:r w:rsidRPr="00B63AEA">
        <w:tab/>
        <w:t>having regard to the joint communication from the Commission and the High Representative of the Union for Foreign Affairs and Security Policy of 5 March 2024 entitled ‘A new European Defence Industrial Strategy: Achieving EU readiness through a responsive and resilient European Defence Industry’ (JOIN(2024)0010),</w:t>
      </w:r>
    </w:p>
    <w:p w14:paraId="0762AB2A" w14:textId="77777777" w:rsidR="008D6C36" w:rsidRPr="00B63AEA" w:rsidRDefault="008D6C36" w:rsidP="008D6C36">
      <w:pPr>
        <w:pStyle w:val="NormalHanging12a"/>
      </w:pPr>
      <w:r w:rsidRPr="00B63AEA">
        <w:t>–</w:t>
      </w:r>
      <w:r w:rsidRPr="00B63AEA">
        <w:tab/>
        <w:t>having regard to European Court of Auditors Special Report 22/2024 entitled ‘Double funding from the EU budget’,</w:t>
      </w:r>
    </w:p>
    <w:p w14:paraId="6F4D16D6" w14:textId="77777777" w:rsidR="008D6C36" w:rsidRPr="00B63AEA" w:rsidRDefault="008D6C36" w:rsidP="008D6C36">
      <w:pPr>
        <w:pStyle w:val="NormalHanging12a"/>
      </w:pPr>
      <w:r w:rsidRPr="00B63AEA">
        <w:t>–</w:t>
      </w:r>
      <w:r w:rsidRPr="00B63AEA">
        <w:tab/>
        <w:t>having regard to the EIB Group report of 29 December 2023 entitled ‘European Investment Bank Group Risk Management Disclosure Report – June 2023’,</w:t>
      </w:r>
    </w:p>
    <w:p w14:paraId="7B7212DD" w14:textId="77777777" w:rsidR="008D6C36" w:rsidRPr="00B63AEA" w:rsidRDefault="008D6C36" w:rsidP="008D6C36">
      <w:pPr>
        <w:pStyle w:val="NormalHanging12a"/>
      </w:pPr>
      <w:r w:rsidRPr="00B63AEA">
        <w:t>–</w:t>
      </w:r>
      <w:r w:rsidRPr="00B63AEA">
        <w:tab/>
        <w:t>having regard to the joint communication of 19 March 2025 from the Commission and the High Representative of the Union for Foreign Affairs and Security Policy entitled ‘Joint White Paper for European Defence Readiness 2030’ (JOIN(2025)0120),</w:t>
      </w:r>
    </w:p>
    <w:p w14:paraId="624AA3B1" w14:textId="77777777" w:rsidR="008D6C36" w:rsidRPr="00B63AEA" w:rsidRDefault="008D6C36" w:rsidP="008D6C36">
      <w:pPr>
        <w:pStyle w:val="NormalHanging12a"/>
      </w:pPr>
      <w:r w:rsidRPr="00B63AEA">
        <w:t>–</w:t>
      </w:r>
      <w:r w:rsidRPr="00B63AEA">
        <w:tab/>
        <w:t>having regard to Rule 55 of its Rules of Procedure,</w:t>
      </w:r>
    </w:p>
    <w:p w14:paraId="64769D6F" w14:textId="77777777" w:rsidR="008D6C36" w:rsidRPr="00B63AEA" w:rsidRDefault="008D6C36" w:rsidP="008D6C36">
      <w:pPr>
        <w:pStyle w:val="NormalHanging12a"/>
      </w:pPr>
      <w:r w:rsidRPr="00B63AEA">
        <w:t>–</w:t>
      </w:r>
      <w:r w:rsidRPr="00B63AEA">
        <w:tab/>
        <w:t>having regard to the report of the Committee on Budgetary Control (A10-0068/2025),</w:t>
      </w:r>
    </w:p>
    <w:p w14:paraId="358286E3" w14:textId="77777777" w:rsidR="008D6C36" w:rsidRPr="00B63AEA" w:rsidRDefault="008D6C36" w:rsidP="008D6C36">
      <w:pPr>
        <w:pStyle w:val="NormalHanging12a"/>
      </w:pPr>
      <w:r w:rsidRPr="00B63AEA">
        <w:t>A.</w:t>
      </w:r>
      <w:r w:rsidRPr="00B63AEA">
        <w:tab/>
        <w:t>whereas the EIB Group includes the EIB and the European Investment Fund (EIF); whereas the EIB stands as the world’s largest multilateral development bank; whereas the EIB is treaty-bound to contribute to EU integration; whereas the EIB’s key priorities include providing funding for projects to foster European integration and social cohesion; whereas the EIF acts as a dedicated body for supporting the European Union’s policy objectives in the areas of entrepreneurship, job creation and economic cohesion;</w:t>
      </w:r>
    </w:p>
    <w:p w14:paraId="6B7D8AF4" w14:textId="77777777" w:rsidR="008D6C36" w:rsidRPr="00B63AEA" w:rsidRDefault="008D6C36" w:rsidP="008D6C36">
      <w:pPr>
        <w:pStyle w:val="NormalHanging12a"/>
      </w:pPr>
      <w:r w:rsidRPr="00B63AEA">
        <w:t>B.</w:t>
      </w:r>
      <w:r w:rsidRPr="00B63AEA">
        <w:tab/>
        <w:t>whereas, as a bank owned by the EU Member States, the EIB is governed by a Board of Governors, a Board of Directors and a Management Committee, and it maintains robust internal mechanisms for accountability, governance and audit; whereas the EIF is owned by the EIB (60 %), the EU (30 %) and financial institutions (10 %) from the Member States, the UK and Türkiye, and is managed by the General Meeting of EIF shareholders, the Board of Directors and the Chief Executive, with independent internal mechanisms for accountability, governance and audit, some of which are shared at the Group level;</w:t>
      </w:r>
    </w:p>
    <w:p w14:paraId="4A48A056" w14:textId="77777777" w:rsidR="008D6C36" w:rsidRPr="00B63AEA" w:rsidRDefault="008D6C36" w:rsidP="008D6C36">
      <w:pPr>
        <w:pStyle w:val="NormalHanging12a"/>
      </w:pPr>
      <w:r w:rsidRPr="00B63AEA">
        <w:lastRenderedPageBreak/>
        <w:t>C.</w:t>
      </w:r>
      <w:r w:rsidRPr="00B63AEA">
        <w:tab/>
        <w:t>whereas both the EIB and the EIF operate within a competitive market but are held to high standards of transparency and stakeholder engagement as EU bodies;</w:t>
      </w:r>
    </w:p>
    <w:p w14:paraId="5F3BDA15" w14:textId="77777777" w:rsidR="008D6C36" w:rsidRPr="00B63AEA" w:rsidRDefault="008D6C36" w:rsidP="008D6C36">
      <w:pPr>
        <w:pStyle w:val="NormalHanging12a"/>
      </w:pPr>
      <w:r w:rsidRPr="00B63AEA">
        <w:t>D.</w:t>
      </w:r>
      <w:r w:rsidRPr="00B63AEA">
        <w:tab/>
        <w:t>whereas the EIB Group promotes EU policies both within and outside the EU and collaborates closely with other EU and national institutions, aligning its financing with the EU’s political priorities; whereas the EIB Group outlined eight strategic priorities in its Strategic Roadmap for 2024-2027: climate action, digital transformation, defence, cohesion, agriculture, social infrastructure, external financing and promoting the Capital Markets Union;</w:t>
      </w:r>
    </w:p>
    <w:p w14:paraId="162A457A" w14:textId="77777777" w:rsidR="008D6C36" w:rsidRPr="00B63AEA" w:rsidRDefault="008D6C36" w:rsidP="008D6C36">
      <w:pPr>
        <w:pStyle w:val="NormalHanging12a"/>
      </w:pPr>
      <w:r w:rsidRPr="00B63AEA">
        <w:t>E.</w:t>
      </w:r>
      <w:r w:rsidRPr="00B63AEA">
        <w:tab/>
        <w:t>whereas the EIB is also tasked with securing resources through borrowing activities, which are crucial for implementing the EU’s policies;</w:t>
      </w:r>
    </w:p>
    <w:p w14:paraId="6EB817BC" w14:textId="77777777" w:rsidR="008D6C36" w:rsidRPr="00B63AEA" w:rsidRDefault="008D6C36" w:rsidP="008D6C36">
      <w:pPr>
        <w:pStyle w:val="NormalHanging12a"/>
      </w:pPr>
      <w:r w:rsidRPr="00B63AEA">
        <w:t>F.</w:t>
      </w:r>
      <w:r w:rsidRPr="00B63AEA">
        <w:tab/>
        <w:t>whereas the European Council’s strategic agenda for 2024-2029 envisages an enhanced role for the EIB Group as a driver of EU defence and security, and emphasises the need to boost EU competitiveness and improve citizens’ economic and social well-being through significant collective investment efforts, leveraging both public and private funding;</w:t>
      </w:r>
    </w:p>
    <w:p w14:paraId="27736CE7" w14:textId="77777777" w:rsidR="008D6C36" w:rsidRPr="00B63AEA" w:rsidRDefault="008D6C36" w:rsidP="008D6C36">
      <w:pPr>
        <w:pStyle w:val="NormalHanging12a"/>
      </w:pPr>
      <w:r w:rsidRPr="00B63AEA">
        <w:t>G.</w:t>
      </w:r>
      <w:r w:rsidRPr="00B63AEA">
        <w:tab/>
        <w:t>whereas the Draghi report on the future of European competitiveness</w:t>
      </w:r>
      <w:r w:rsidRPr="00B63AEA">
        <w:rPr>
          <w:rStyle w:val="FootnoteReference"/>
        </w:rPr>
        <w:footnoteReference w:id="1"/>
      </w:r>
      <w:r w:rsidRPr="00B63AEA">
        <w:t xml:space="preserve"> proposed numerous ways to expand the EIB’s role in financing EU policies and to enable the EIB to assume more risk;</w:t>
      </w:r>
    </w:p>
    <w:p w14:paraId="12259916" w14:textId="77777777" w:rsidR="008D6C36" w:rsidRPr="00B63AEA" w:rsidRDefault="008D6C36" w:rsidP="008D6C36">
      <w:pPr>
        <w:pStyle w:val="NormalHanging12a"/>
      </w:pPr>
      <w:r w:rsidRPr="00B63AEA">
        <w:t>H.</w:t>
      </w:r>
      <w:r w:rsidRPr="00B63AEA">
        <w:tab/>
        <w:t>whereas the EIB Group’s core mission is to bolster Europe’s potential for job creation and economic growth; whereas its investments should tackle inequalities by improving access to jobs, training opportunities, housing and education in order to address poverty and unemployment; whereas it is crucial to overcome barriers to financing for small and medium-sized enterprises (SMEs) and mid-caps; whereas public lending and guarantee schemes serve as vital countercyclical policy tools, especially during economic downturns, and help mitigate structural market failures;</w:t>
      </w:r>
    </w:p>
    <w:p w14:paraId="476E9930" w14:textId="77777777" w:rsidR="008D6C36" w:rsidRPr="00B63AEA" w:rsidRDefault="008D6C36" w:rsidP="008D6C36">
      <w:pPr>
        <w:pStyle w:val="NormalHanging12a"/>
      </w:pPr>
      <w:r w:rsidRPr="00B63AEA">
        <w:t>I.</w:t>
      </w:r>
      <w:r w:rsidRPr="00B63AEA">
        <w:tab/>
        <w:t>whereas the EIB is a cornerstone of the European financial architecture for development and the largest multilateral lender in the EU’s neighbouring regions, including the Eastern Neighbourhood countries, the Western Balkans, the Middle East, and North Africa; whereas the EIB is expected to help close the gap in productive investment between Europe and its main competitors by increasing investment in innovation, communication technology and intellectual property;</w:t>
      </w:r>
    </w:p>
    <w:p w14:paraId="78F7A91D" w14:textId="77777777" w:rsidR="008D6C36" w:rsidRPr="00B63AEA" w:rsidRDefault="008D6C36" w:rsidP="008D6C36">
      <w:pPr>
        <w:pStyle w:val="NormalHanging12a"/>
      </w:pPr>
      <w:r w:rsidRPr="00B63AEA">
        <w:t>J.</w:t>
      </w:r>
      <w:r w:rsidRPr="00B63AEA">
        <w:tab/>
        <w:t>whereas the success of the EU’s policy objectives and their effective implementation increasingly depend on the EIB Group; whereas the depth and quality of Parliament’s oversight of the EIB’s financial operations should therefore be in line with the intensity of EIB-Commission cooperation, which has become very significant;</w:t>
      </w:r>
    </w:p>
    <w:p w14:paraId="501FC634" w14:textId="77777777" w:rsidR="008D6C36" w:rsidRPr="00B63AEA" w:rsidRDefault="008D6C36" w:rsidP="008D6C36">
      <w:pPr>
        <w:pStyle w:val="NormalHanging12a"/>
      </w:pPr>
      <w:r w:rsidRPr="00B63AEA">
        <w:t>K.</w:t>
      </w:r>
      <w:r w:rsidRPr="00B63AEA">
        <w:tab/>
        <w:t>whereas the EIB’s business model requires the highest standards of integrity, accountability and transparency, and robust measures must be implemented and regularly updated to combat financial fraud, corruption, money laundering, terrorism, organised crime and both tax evasion and avoidance; whereas the EIB Group has a control framework aimed at preventing and mitigating sanctions risks;</w:t>
      </w:r>
    </w:p>
    <w:p w14:paraId="6E039EB7" w14:textId="77777777" w:rsidR="008D6C36" w:rsidRPr="00B63AEA" w:rsidRDefault="008D6C36" w:rsidP="008D6C36">
      <w:pPr>
        <w:pStyle w:val="NormalHanging12a"/>
      </w:pPr>
      <w:r w:rsidRPr="00B63AEA">
        <w:lastRenderedPageBreak/>
        <w:t>L.</w:t>
      </w:r>
      <w:r w:rsidRPr="00B63AEA">
        <w:tab/>
        <w:t>whereas the EIB Group adheres to the Basel Committee on Banking Supervision’s definition of compliance risk, with the aim of preventing the risk of legal or regulatory sanctions, material financial loss, or damage to reputation; whereas the Bank takes appropriate measures to mitigate such risks by ensuring strict compliance with legal and regulatory frameworks, both at EU and international level;</w:t>
      </w:r>
    </w:p>
    <w:p w14:paraId="1BECCCEA" w14:textId="77777777" w:rsidR="008D6C36" w:rsidRPr="00B63AEA" w:rsidRDefault="008D6C36" w:rsidP="008D6C36">
      <w:pPr>
        <w:pStyle w:val="Normal12a24b"/>
      </w:pPr>
      <w:r w:rsidRPr="00B63AEA">
        <w:rPr>
          <w:rStyle w:val="BoldItalic"/>
        </w:rPr>
        <w:t>Financial operations and performance</w:t>
      </w:r>
    </w:p>
    <w:p w14:paraId="667DFF5A" w14:textId="77777777" w:rsidR="008D6C36" w:rsidRPr="00B63AEA" w:rsidRDefault="008D6C36" w:rsidP="008D6C36">
      <w:pPr>
        <w:pStyle w:val="NormalHanging12a"/>
      </w:pPr>
      <w:r w:rsidRPr="00B63AEA">
        <w:t>1.</w:t>
      </w:r>
      <w:r w:rsidRPr="00B63AEA">
        <w:tab/>
        <w:t>Acknowledges that the EIB has operated effectively and efficiently in a landscape marked by significant global challenges, including geopolitical tensions, climate change impacts and other factors influencing the global economy; suggests exploring both the EIB’s effectiveness and efficiency through thoughtful analysis, particularly focusing on the impact on competitiveness and growth;</w:t>
      </w:r>
    </w:p>
    <w:p w14:paraId="0ABA1171" w14:textId="77777777" w:rsidR="008D6C36" w:rsidRPr="00B63AEA" w:rsidRDefault="008D6C36" w:rsidP="008D6C36">
      <w:pPr>
        <w:pStyle w:val="NormalHanging12a"/>
      </w:pPr>
      <w:r w:rsidRPr="00B63AEA">
        <w:t>2.</w:t>
      </w:r>
      <w:r w:rsidRPr="00B63AEA">
        <w:tab/>
        <w:t>Recognises that EIB financing is becoming increasingly crucial in the context of high interest rates and constrained public finances; expects the EIB, in the context of a challenging economic outlook and increased global competition, to address constraints to EU competitiveness, such as volatile energy prices, skills shortages in key sectors and insufficient investments in innovation and new technologies;</w:t>
      </w:r>
    </w:p>
    <w:p w14:paraId="1F3BC530" w14:textId="0DD9D13D" w:rsidR="008D6C36" w:rsidRPr="00B63AEA" w:rsidRDefault="008D6C36" w:rsidP="008D6C36">
      <w:pPr>
        <w:pStyle w:val="NormalHanging12a"/>
      </w:pPr>
      <w:r w:rsidRPr="00B63AEA">
        <w:t>3.</w:t>
      </w:r>
      <w:r w:rsidRPr="00B63AEA">
        <w:tab/>
        <w:t>Notes that the EIB Group achieved strong consolidated results amounting to EUR 2</w:t>
      </w:r>
      <w:r w:rsidR="008D38BE" w:rsidRPr="00B63AEA">
        <w:t>,</w:t>
      </w:r>
      <w:r w:rsidRPr="00B63AEA">
        <w:t>272 billion in 2023 under the International Financial Reporting Standards (IFRS), compared to EUR 2</w:t>
      </w:r>
      <w:r w:rsidR="008D38BE" w:rsidRPr="00B63AEA">
        <w:t>,</w:t>
      </w:r>
      <w:r w:rsidRPr="00B63AEA">
        <w:t>327 billion in 2022, reflecting a year-on-year decrease of 2</w:t>
      </w:r>
      <w:r w:rsidR="004B5FB3" w:rsidRPr="00B63AEA">
        <w:t>,</w:t>
      </w:r>
      <w:r w:rsidRPr="00B63AEA">
        <w:t>4 %; calls for a detailed analysis of the factors contributing to this decrease, especially since the period was marked by steady economic growth; observes that EIB reserves reached over EUR 56 billion in 2023, up from EUR 53</w:t>
      </w:r>
      <w:r w:rsidR="008D38BE" w:rsidRPr="00B63AEA">
        <w:t>,</w:t>
      </w:r>
      <w:r w:rsidRPr="00B63AEA">
        <w:t>9 billion in 2022 and EUR 36 billion in 2014;</w:t>
      </w:r>
    </w:p>
    <w:p w14:paraId="53089190" w14:textId="783CB7E5" w:rsidR="008D6C36" w:rsidRPr="00B63AEA" w:rsidRDefault="008D6C36" w:rsidP="008D6C36">
      <w:pPr>
        <w:pStyle w:val="NormalHanging12a"/>
      </w:pPr>
      <w:r w:rsidRPr="00B63AEA">
        <w:t>4.</w:t>
      </w:r>
      <w:r w:rsidRPr="00B63AEA">
        <w:tab/>
        <w:t>Notes that the EIB’s total liquidity ratio remained well within internal limits to the end of 2023 and that the EIB’s Common Equity Tier 1 (CET1) ratio stood at 33</w:t>
      </w:r>
      <w:r w:rsidR="008D38BE" w:rsidRPr="00B63AEA">
        <w:t>,</w:t>
      </w:r>
      <w:r w:rsidRPr="00B63AEA">
        <w:t>1 % in 2023, significantly higher than the average ratio of significant institutions supervised by the European Central Bank (ECB) at that time; emphasises that maintaining the EIB’s AAA rating with a ‘stable’ outlook is crucial for securing favourable market financing at preferential rates and should be preserved; underlines that the EIB’s high credit standing is key to its successful business model;</w:t>
      </w:r>
    </w:p>
    <w:p w14:paraId="0AC513F6" w14:textId="0DBCB0CB" w:rsidR="008D6C36" w:rsidRDefault="008D6C36" w:rsidP="008D6C36">
      <w:pPr>
        <w:pStyle w:val="NormalHanging12a"/>
      </w:pPr>
      <w:r w:rsidRPr="00B63AEA">
        <w:t>5.</w:t>
      </w:r>
      <w:r w:rsidRPr="00B63AEA">
        <w:tab/>
        <w:t>Calls on the EIB to maintain its strong capital position and consistently high profits, but notes that the Bank has potential to absorb potential fluctuations in returns without compromising shareholder capital or its credit rating, has the capacity to take on more risk in strategic investments and is well-equipped to invest more in higher-risk innovative projects where private capital remains hesitant;</w:t>
      </w:r>
    </w:p>
    <w:p w14:paraId="1AD71405" w14:textId="490FCB0D" w:rsidR="008927FF" w:rsidRPr="00B63AEA" w:rsidRDefault="00A07CF4" w:rsidP="008D6C36">
      <w:pPr>
        <w:pStyle w:val="NormalHanging12a"/>
      </w:pPr>
      <w:r>
        <w:t>6</w:t>
      </w:r>
      <w:r w:rsidR="008927FF" w:rsidRPr="008927FF">
        <w:t>.</w:t>
      </w:r>
      <w:r w:rsidR="008927FF" w:rsidRPr="008927FF">
        <w:tab/>
        <w:t>Calls on the EIB to improve its institutional transparency by publishing more detailed minutes of its Board of Directors’ meetings, including voting records and project-specific justifications, while respecting legitimate confidentiality where strictly necessary;</w:t>
      </w:r>
    </w:p>
    <w:p w14:paraId="459B8541" w14:textId="7DED9AFE" w:rsidR="008D6C36" w:rsidRPr="00B63AEA" w:rsidRDefault="00A07CF4" w:rsidP="008D6C36">
      <w:pPr>
        <w:pStyle w:val="NormalHanging12a"/>
      </w:pPr>
      <w:r>
        <w:t>7</w:t>
      </w:r>
      <w:r w:rsidR="008D6C36" w:rsidRPr="00B63AEA">
        <w:t>.</w:t>
      </w:r>
      <w:r w:rsidR="008D6C36" w:rsidRPr="00B63AEA">
        <w:tab/>
        <w:t>Highlights that the EIB’s total disbursements reached EUR 54</w:t>
      </w:r>
      <w:r w:rsidR="008D38BE" w:rsidRPr="00B63AEA">
        <w:t>,</w:t>
      </w:r>
      <w:r w:rsidR="008D6C36" w:rsidRPr="00B63AEA">
        <w:t>4 billion in 2023, with EUR 53</w:t>
      </w:r>
      <w:r w:rsidR="008D38BE" w:rsidRPr="00B63AEA">
        <w:t>,</w:t>
      </w:r>
      <w:r w:rsidR="008D6C36" w:rsidRPr="00B63AEA">
        <w:t>4 billion from its own resources, compared to EUR 54</w:t>
      </w:r>
      <w:r w:rsidR="008D38BE" w:rsidRPr="00B63AEA">
        <w:t>,</w:t>
      </w:r>
      <w:r w:rsidR="008D6C36" w:rsidRPr="00B63AEA">
        <w:t>3 billion (EUR 53</w:t>
      </w:r>
      <w:r w:rsidR="008D38BE" w:rsidRPr="00B63AEA">
        <w:t>,</w:t>
      </w:r>
      <w:r w:rsidR="008D6C36" w:rsidRPr="00B63AEA">
        <w:t>3 billion from its own resources) in 2022; observes that the EIF’s disbursements on private equity investments amounted to EUR 139</w:t>
      </w:r>
      <w:r w:rsidR="008D38BE" w:rsidRPr="00B63AEA">
        <w:t>,</w:t>
      </w:r>
      <w:r w:rsidR="008D6C36" w:rsidRPr="00B63AEA">
        <w:t xml:space="preserve">7 million in 2023, </w:t>
      </w:r>
      <w:r w:rsidR="008D6C36" w:rsidRPr="00B63AEA">
        <w:lastRenderedPageBreak/>
        <w:t>compared to EUR 113</w:t>
      </w:r>
      <w:r w:rsidR="008D38BE" w:rsidRPr="00B63AEA">
        <w:t>,</w:t>
      </w:r>
      <w:r w:rsidR="008D6C36" w:rsidRPr="00B63AEA">
        <w:t>7 million in 2022; notes that, according to an economic model developed jointly by the EIB’s Economics Department and the Commission’s Joint Research Centre, the EIB Group’s overall investment within the EU in 2023 is expected to create around 1 460 000 new jobs in the EU-27 by 2027 and boost the EU’s GDP by 1.03 percentage points; calls on the EIB Group to ensure a more balanced geographical distribution of investments to maximise their impact across all EU regions, promoting cohesive and inclusive growth throughout the Union, with particular attention to under-represented and less developed areas;</w:t>
      </w:r>
    </w:p>
    <w:p w14:paraId="7A53F3FD" w14:textId="1F600A58" w:rsidR="008D6C36" w:rsidRPr="00B63AEA" w:rsidRDefault="00A07CF4" w:rsidP="008D6C36">
      <w:pPr>
        <w:pStyle w:val="NormalHanging12a"/>
      </w:pPr>
      <w:r>
        <w:t>8</w:t>
      </w:r>
      <w:r w:rsidR="008D6C36" w:rsidRPr="00B63AEA">
        <w:t>.</w:t>
      </w:r>
      <w:r w:rsidR="008D6C36" w:rsidRPr="00B63AEA">
        <w:tab/>
        <w:t>Recalls that the EIB’s Statute mandates geographical balance among its staff and that the selection of staff members must be based on merit, while also considering fair representation of nationals from all Member States; encourages the Bank to continuously monitor geographical balance among its staff and to adjust the recruitment process accordingly, if needed;</w:t>
      </w:r>
    </w:p>
    <w:p w14:paraId="01C427E7" w14:textId="11D77D47" w:rsidR="008D6C36" w:rsidRDefault="00A07CF4" w:rsidP="008D6C36">
      <w:pPr>
        <w:pStyle w:val="NormalHanging12a"/>
      </w:pPr>
      <w:r>
        <w:t>9</w:t>
      </w:r>
      <w:r w:rsidR="008D6C36" w:rsidRPr="00B63AEA">
        <w:t>.</w:t>
      </w:r>
      <w:r w:rsidR="008D6C36" w:rsidRPr="00B63AEA">
        <w:tab/>
      </w:r>
      <w:r w:rsidR="008927FF">
        <w:t>Notes</w:t>
      </w:r>
      <w:r w:rsidR="008D6C36" w:rsidRPr="00B63AEA">
        <w:t xml:space="preserve"> the EIB </w:t>
      </w:r>
      <w:r w:rsidR="008927FF" w:rsidRPr="008927FF">
        <w:t>Group’s commitment to rigorously combating</w:t>
      </w:r>
      <w:r w:rsidR="008D6C36" w:rsidRPr="00B63AEA">
        <w:t xml:space="preserve"> tax fraud, tax evasion, tax avoidance, money laundering and terrorism financing;</w:t>
      </w:r>
      <w:r w:rsidR="008927FF">
        <w:t xml:space="preserve"> </w:t>
      </w:r>
      <w:r w:rsidR="008927FF" w:rsidRPr="008927FF">
        <w:t>calls for further strengthening of the transparency of final beneficiaries, monitoring mechanisms, and access to public information to ensure full accountability;</w:t>
      </w:r>
    </w:p>
    <w:p w14:paraId="796AC897" w14:textId="5A42EEA9" w:rsidR="008927FF" w:rsidRPr="00B63AEA" w:rsidRDefault="00A07CF4" w:rsidP="008D6C36">
      <w:pPr>
        <w:pStyle w:val="NormalHanging12a"/>
      </w:pPr>
      <w:r>
        <w:t>10</w:t>
      </w:r>
      <w:r w:rsidR="00984B2E">
        <w:t>.</w:t>
      </w:r>
      <w:r w:rsidR="008927FF" w:rsidRPr="008927FF">
        <w:tab/>
        <w:t xml:space="preserve">Stresses that the EIB, as an EU body, should fully align its transparency practices with the standards set </w:t>
      </w:r>
      <w:r w:rsidR="008927FF">
        <w:t>in Regulation (EC) No 1049/2001</w:t>
      </w:r>
      <w:r w:rsidR="008927FF">
        <w:rPr>
          <w:rStyle w:val="FootnoteReference"/>
        </w:rPr>
        <w:footnoteReference w:id="2"/>
      </w:r>
      <w:r w:rsidR="008927FF" w:rsidRPr="008927FF">
        <w:t xml:space="preserve"> on public access to documents; calls on the Bank to ensure proactive disclosure of documents relating to projects financed and decisions taken, with only limited and justified exceptions; reiterates the importance of real public access as a cornerstone of institutional accountability; </w:t>
      </w:r>
    </w:p>
    <w:p w14:paraId="5D3B671D" w14:textId="77777777" w:rsidR="008D6C36" w:rsidRPr="00B63AEA" w:rsidRDefault="008D6C36" w:rsidP="008D6C36">
      <w:pPr>
        <w:pStyle w:val="Normal12a24b"/>
      </w:pPr>
      <w:r w:rsidRPr="00B63AEA">
        <w:rPr>
          <w:rStyle w:val="BoldItalic"/>
        </w:rPr>
        <w:t>InvestEU, the simplification of the multiannual financial framework, and the Recovery and Resilience Facility</w:t>
      </w:r>
    </w:p>
    <w:p w14:paraId="4AEFA518" w14:textId="45ED4920" w:rsidR="008D6C36" w:rsidRPr="00B63AEA" w:rsidRDefault="00A07CF4" w:rsidP="008D6C36">
      <w:pPr>
        <w:pStyle w:val="NormalHanging12a"/>
      </w:pPr>
      <w:r>
        <w:t>11</w:t>
      </w:r>
      <w:r w:rsidR="008D6C36" w:rsidRPr="00B63AEA">
        <w:t>.</w:t>
      </w:r>
      <w:r w:rsidR="008D6C36" w:rsidRPr="00B63AEA">
        <w:tab/>
        <w:t>Welcomes the adoption, on 13 December 2023, of the EIB Group Operational Plan 2024-2026, which outlines the priorities and activities for implementing the EIB Group’s strategy over the next three years; calls for adjustments to new market conditions, including simplification and a reduction of bureaucracy to remove barriers to financing for SMEs, which must be significantly increased; acknowledges that increasing higher-risk activities and mandates is crucial for providing effective support to high value-added and innovative sectors;</w:t>
      </w:r>
    </w:p>
    <w:p w14:paraId="669D673A" w14:textId="3B1B3661" w:rsidR="008D6C36" w:rsidRDefault="00A07CF4" w:rsidP="008D6C36">
      <w:pPr>
        <w:pStyle w:val="NormalHanging12a"/>
      </w:pPr>
      <w:r w:rsidRPr="00B63AEA">
        <w:t>1</w:t>
      </w:r>
      <w:r>
        <w:t>2</w:t>
      </w:r>
      <w:r w:rsidR="008D6C36" w:rsidRPr="00B63AEA">
        <w:t>.</w:t>
      </w:r>
      <w:r w:rsidR="008D6C36" w:rsidRPr="00B63AEA">
        <w:tab/>
        <w:t>Recalls that the EIB Group has been allocated 75 % (EUR 19</w:t>
      </w:r>
      <w:r w:rsidR="008D38BE" w:rsidRPr="00B63AEA">
        <w:t>,</w:t>
      </w:r>
      <w:r w:rsidR="008D6C36" w:rsidRPr="00B63AEA">
        <w:t>6 billion) of the EU budgetary guarantee under the InvestEU Regulation</w:t>
      </w:r>
      <w:r w:rsidR="008D6C36" w:rsidRPr="00B63AEA">
        <w:rPr>
          <w:rStyle w:val="FootnoteReference"/>
        </w:rPr>
        <w:footnoteReference w:id="3"/>
      </w:r>
      <w:r w:rsidR="008D6C36" w:rsidRPr="00B63AEA">
        <w:t>; highlights that, in 2023 alone, the EIB approved 30 operations under InvestEU totalling EUR 9</w:t>
      </w:r>
      <w:r w:rsidR="008D38BE" w:rsidRPr="00B63AEA">
        <w:t>,</w:t>
      </w:r>
      <w:r w:rsidR="008D6C36" w:rsidRPr="00B63AEA">
        <w:t xml:space="preserve">1 billion; believes that in order to stay competitive, significant investments are needed, primarily from the private sector; believes that focusing on innovative projects, start-ups and scale-ups would enhance European competitiveness and growth; notes that this requires mobilising </w:t>
      </w:r>
      <w:r w:rsidR="008D6C36" w:rsidRPr="00B63AEA">
        <w:lastRenderedPageBreak/>
        <w:t>private investments; calls, therefore, on the EIB to play a more significant role in strategic de-risking through guarantees, thereby encouraging private capital investment;</w:t>
      </w:r>
    </w:p>
    <w:p w14:paraId="082B35D8" w14:textId="1E01F458" w:rsidR="008927FF" w:rsidRPr="00B63AEA" w:rsidRDefault="00A07CF4" w:rsidP="008D6C36">
      <w:pPr>
        <w:pStyle w:val="NormalHanging12a"/>
      </w:pPr>
      <w:r>
        <w:t>13</w:t>
      </w:r>
      <w:r w:rsidR="008927FF" w:rsidRPr="008927FF">
        <w:t>.</w:t>
      </w:r>
      <w:r w:rsidR="008927FF" w:rsidRPr="008927FF">
        <w:tab/>
        <w:t>Calls on the EIB Group to systematically disclose, where feasible and in compliance with data protection obligations, the final beneficiaries of its financing operations, particularly for projects supported under EU budgetary guarantees and mandates, to ensure public trust and oversight;</w:t>
      </w:r>
    </w:p>
    <w:p w14:paraId="3F8E1049" w14:textId="4C0783EC" w:rsidR="008D6C36" w:rsidRPr="00B63AEA" w:rsidRDefault="00A07CF4" w:rsidP="008D6C36">
      <w:pPr>
        <w:pStyle w:val="NormalHanging12a"/>
      </w:pPr>
      <w:r w:rsidRPr="00B63AEA">
        <w:t>1</w:t>
      </w:r>
      <w:r>
        <w:t>4</w:t>
      </w:r>
      <w:r w:rsidR="008D6C36" w:rsidRPr="00B63AEA">
        <w:t>.</w:t>
      </w:r>
      <w:r w:rsidR="008D6C36" w:rsidRPr="00B63AEA">
        <w:tab/>
        <w:t>Stresses that, within the current 2021-2027 multiannual financial framework, the EIB manages 87 mandates from the Commission, increasing to about 130 if those relating to shared management and assigned by local governments and the Member States are included, and notes that the EIB produces no fewer than 457 reports a year for these; points out that de-bureaucratisation and simplification are deemed necessary to enable better use of resources;</w:t>
      </w:r>
    </w:p>
    <w:p w14:paraId="48138FCB" w14:textId="575CD82A" w:rsidR="008D6C36" w:rsidRDefault="00A07CF4" w:rsidP="008D6C36">
      <w:pPr>
        <w:pStyle w:val="NormalHanging12a"/>
        <w:rPr>
          <w:szCs w:val="24"/>
        </w:rPr>
      </w:pPr>
      <w:r w:rsidRPr="00B63AEA">
        <w:rPr>
          <w:szCs w:val="24"/>
        </w:rPr>
        <w:t>1</w:t>
      </w:r>
      <w:r>
        <w:rPr>
          <w:szCs w:val="24"/>
        </w:rPr>
        <w:t>5</w:t>
      </w:r>
      <w:r w:rsidR="008D6C36" w:rsidRPr="00B63AEA">
        <w:rPr>
          <w:szCs w:val="24"/>
        </w:rPr>
        <w:t>.</w:t>
      </w:r>
      <w:r w:rsidR="008D6C36" w:rsidRPr="00B63AEA">
        <w:rPr>
          <w:szCs w:val="24"/>
        </w:rPr>
        <w:tab/>
        <w:t>Emphasises that the EIB is managing six Recovery and Resilience Facility (RRF) mandates in four Member States, signed in 2021 (Greece and Italy), 2022 (Romania) and 2024 (Spain), totalling EUR 8</w:t>
      </w:r>
      <w:r w:rsidR="008D38BE" w:rsidRPr="00B63AEA">
        <w:rPr>
          <w:szCs w:val="24"/>
        </w:rPr>
        <w:t>,</w:t>
      </w:r>
      <w:r w:rsidR="008D6C36" w:rsidRPr="00B63AEA">
        <w:rPr>
          <w:szCs w:val="24"/>
        </w:rPr>
        <w:t>7 billion; acknowledges that the adoption of ‘financing not linked to costs’ instruments, which have significantly expanded with the RRF, inherently raises the risk of errors and double funding; expresses its concern about the transparency, auditing and monitoring of the implementation of the RRF; calls on the EIB to cooperate with Member States to address government capacity constraints and the lack of technical skills so as to ensure that RRF resources are managed as effectively as possible, in alignment with national structures and complying with all RRF reporting requirements, especially in the implementation of investment projects and reforms; urges the Commission and the EIB, in its advisory role, to refrain from proposing new financing mechanisms based on the RRF model without taking corrective measures, including in the upcoming post-2027 multiannual financial framework; stresses that, while the EIB seeks simplification, it must not compromise the soundness of EU resource management or the ability to maintain oversight and accountability, as mandated by the Treaties;</w:t>
      </w:r>
    </w:p>
    <w:p w14:paraId="773A0A19" w14:textId="1FDD9E86" w:rsidR="008927FF" w:rsidRPr="00B63AEA" w:rsidRDefault="00A07CF4" w:rsidP="008D6C36">
      <w:pPr>
        <w:pStyle w:val="NormalHanging12a"/>
        <w:rPr>
          <w:szCs w:val="24"/>
        </w:rPr>
      </w:pPr>
      <w:r>
        <w:rPr>
          <w:szCs w:val="24"/>
        </w:rPr>
        <w:t>16</w:t>
      </w:r>
      <w:r w:rsidR="008927FF" w:rsidRPr="008927FF">
        <w:rPr>
          <w:szCs w:val="24"/>
        </w:rPr>
        <w:t>.</w:t>
      </w:r>
      <w:r w:rsidR="008927FF" w:rsidRPr="008927FF">
        <w:rPr>
          <w:szCs w:val="24"/>
        </w:rPr>
        <w:tab/>
        <w:t>Calls for an independent, comprehensive audit of all risk-sharing instruments managed by the EIB Group, including those linked to the RRF, to ensure the highest standards of transparency, accountability and avoidance of double funding risks;</w:t>
      </w:r>
    </w:p>
    <w:p w14:paraId="31803F54" w14:textId="77777777" w:rsidR="008D6C36" w:rsidRPr="00B63AEA" w:rsidRDefault="008D6C36" w:rsidP="008D6C36">
      <w:pPr>
        <w:pStyle w:val="Normal12a24b"/>
        <w:spacing w:before="0"/>
        <w:rPr>
          <w:szCs w:val="24"/>
        </w:rPr>
      </w:pPr>
      <w:r w:rsidRPr="00B63AEA">
        <w:rPr>
          <w:rStyle w:val="BoldItalic"/>
          <w:szCs w:val="24"/>
        </w:rPr>
        <w:t>Energy security</w:t>
      </w:r>
    </w:p>
    <w:p w14:paraId="200A5887" w14:textId="1417374D" w:rsidR="008D6C36" w:rsidRPr="00B63AEA" w:rsidRDefault="00A07CF4" w:rsidP="008D6C36">
      <w:pPr>
        <w:pStyle w:val="NormalHanging12a"/>
        <w:rPr>
          <w:szCs w:val="24"/>
        </w:rPr>
      </w:pPr>
      <w:r w:rsidRPr="00B63AEA">
        <w:rPr>
          <w:szCs w:val="24"/>
        </w:rPr>
        <w:t>1</w:t>
      </w:r>
      <w:r>
        <w:rPr>
          <w:szCs w:val="24"/>
        </w:rPr>
        <w:t>7</w:t>
      </w:r>
      <w:r w:rsidR="008D6C36" w:rsidRPr="00B63AEA">
        <w:rPr>
          <w:szCs w:val="24"/>
        </w:rPr>
        <w:t>.</w:t>
      </w:r>
      <w:r w:rsidR="008D6C36" w:rsidRPr="00B63AEA">
        <w:rPr>
          <w:szCs w:val="24"/>
        </w:rPr>
        <w:tab/>
        <w:t>Notes the EIB’s continued support for security of supply, which mainly takes the form of reinforcing electricity grids and cross-border infrastructure, of reducing energy demand through energy efficiency projects and of fostering low-carbon power generation; commends the fact that the EIB has supported new dimensions of energy security, such as demand response and energy storage, and has promoted the development of a sustainable supply of critical raw materials (CRM) needed for the energy transition; calls for an urgent analysis of the real impact of these projects implemented to date, especially of their impact on the availability and cost of energy and thus on the general competitiveness of European companies;</w:t>
      </w:r>
    </w:p>
    <w:p w14:paraId="47F2F2CF" w14:textId="59B1366D" w:rsidR="008D6C36" w:rsidRPr="00B63AEA" w:rsidRDefault="00A07CF4" w:rsidP="008D6C36">
      <w:pPr>
        <w:pStyle w:val="NormalHanging12a"/>
        <w:rPr>
          <w:szCs w:val="24"/>
        </w:rPr>
      </w:pPr>
      <w:r w:rsidRPr="00B63AEA">
        <w:rPr>
          <w:szCs w:val="24"/>
        </w:rPr>
        <w:t>1</w:t>
      </w:r>
      <w:r>
        <w:rPr>
          <w:szCs w:val="24"/>
        </w:rPr>
        <w:t>8</w:t>
      </w:r>
      <w:r w:rsidR="008D6C36" w:rsidRPr="00B63AEA">
        <w:rPr>
          <w:szCs w:val="24"/>
        </w:rPr>
        <w:t>.</w:t>
      </w:r>
      <w:r w:rsidR="008D6C36" w:rsidRPr="00B63AEA">
        <w:rPr>
          <w:szCs w:val="24"/>
        </w:rPr>
        <w:tab/>
        <w:t xml:space="preserve">Reiterates the need to address energy poverty and emphasises the need for a fair and inclusive energy transition; recalls that the energy crisis is exacerbating inflation, increasing food insecurity and straining household budgets; encourages the EIB to </w:t>
      </w:r>
      <w:r w:rsidR="008D6C36" w:rsidRPr="00B63AEA">
        <w:rPr>
          <w:szCs w:val="24"/>
        </w:rPr>
        <w:lastRenderedPageBreak/>
        <w:t>leverage the Just Transition Mechanism and the Modernisation Fund to support regions and populations most affected by the energy transition; stresses the importance of using the Just Transition Mechanism to support workers and regions affected by the phase out of fossil fuels, ensuring access to retraining and quality jobs; recognises that numerous sectors are grappling with challenges stemming from the combined effects of adaption to European Green Deal objectives and the repercussions of the energy crisis and inflation; stresses that accelerating the deployment of innovative low-carbon technologies requires bringing their costs to a level that is competitive with fossil fuels and adjusting to the ongoing reform of the green policies;</w:t>
      </w:r>
    </w:p>
    <w:p w14:paraId="4E59B8C7" w14:textId="7E81C8F0" w:rsidR="008D6C36" w:rsidRPr="00B63AEA" w:rsidRDefault="00A07CF4" w:rsidP="008D6C36">
      <w:pPr>
        <w:pStyle w:val="NormalHanging12a"/>
        <w:rPr>
          <w:szCs w:val="24"/>
        </w:rPr>
      </w:pPr>
      <w:r w:rsidRPr="00B63AEA">
        <w:rPr>
          <w:szCs w:val="24"/>
        </w:rPr>
        <w:t>1</w:t>
      </w:r>
      <w:r>
        <w:rPr>
          <w:szCs w:val="24"/>
        </w:rPr>
        <w:t>9</w:t>
      </w:r>
      <w:r w:rsidR="008D6C36" w:rsidRPr="00B63AEA">
        <w:rPr>
          <w:szCs w:val="24"/>
        </w:rPr>
        <w:t>.</w:t>
      </w:r>
      <w:r w:rsidR="008D6C36" w:rsidRPr="00B63AEA">
        <w:rPr>
          <w:szCs w:val="24"/>
        </w:rPr>
        <w:tab/>
        <w:t>Acknowledges that the REPowerEU plan is a crucial new element in the EU policy response to the energy crisis; notes that, in July 2023, the EIB Group increased the financing targets of the October 2022 commitment from EUR 30</w:t>
      </w:r>
      <w:r w:rsidR="008D38BE" w:rsidRPr="00B63AEA">
        <w:rPr>
          <w:szCs w:val="24"/>
        </w:rPr>
        <w:t>,</w:t>
      </w:r>
      <w:r w:rsidR="008D6C36" w:rsidRPr="00B63AEA">
        <w:rPr>
          <w:szCs w:val="24"/>
        </w:rPr>
        <w:t>0 billion until 2027 to EUR 45</w:t>
      </w:r>
      <w:r w:rsidR="008D38BE" w:rsidRPr="00B63AEA">
        <w:rPr>
          <w:szCs w:val="24"/>
        </w:rPr>
        <w:t>,</w:t>
      </w:r>
      <w:r w:rsidR="008D6C36" w:rsidRPr="00B63AEA">
        <w:rPr>
          <w:szCs w:val="24"/>
        </w:rPr>
        <w:t>0 billion (REPowerEU+), in order to scale up its efforts to support the EU’s energy security; calls for a clear overview of potential double funding of energy projects;</w:t>
      </w:r>
    </w:p>
    <w:p w14:paraId="6312925E" w14:textId="54069B1E" w:rsidR="008D6C36" w:rsidRPr="00B63AEA" w:rsidRDefault="00A07CF4" w:rsidP="008D6C36">
      <w:pPr>
        <w:pStyle w:val="NormalHanging12a"/>
        <w:rPr>
          <w:b/>
          <w:i/>
          <w:szCs w:val="24"/>
        </w:rPr>
      </w:pPr>
      <w:r>
        <w:rPr>
          <w:szCs w:val="24"/>
        </w:rPr>
        <w:t>20</w:t>
      </w:r>
      <w:r w:rsidR="008D6C36" w:rsidRPr="00B63AEA">
        <w:rPr>
          <w:szCs w:val="24"/>
        </w:rPr>
        <w:t>.</w:t>
      </w:r>
      <w:r w:rsidR="008D6C36" w:rsidRPr="00B63AEA">
        <w:rPr>
          <w:szCs w:val="24"/>
        </w:rPr>
        <w:tab/>
        <w:t>Underlines that in 2023, the EIB provided approximately EUR 21</w:t>
      </w:r>
      <w:r w:rsidR="008D38BE" w:rsidRPr="00B63AEA">
        <w:rPr>
          <w:szCs w:val="24"/>
        </w:rPr>
        <w:t>,</w:t>
      </w:r>
      <w:r w:rsidR="008D6C36" w:rsidRPr="00B63AEA">
        <w:rPr>
          <w:szCs w:val="24"/>
        </w:rPr>
        <w:t>4 billion in financing for energy-related projects, of which around EUR 19</w:t>
      </w:r>
      <w:r w:rsidR="008D38BE" w:rsidRPr="00B63AEA">
        <w:rPr>
          <w:szCs w:val="24"/>
        </w:rPr>
        <w:t>,</w:t>
      </w:r>
      <w:r w:rsidR="008D6C36" w:rsidRPr="00B63AEA">
        <w:rPr>
          <w:szCs w:val="24"/>
        </w:rPr>
        <w:t>8 billion in the EU and EUR 1</w:t>
      </w:r>
      <w:r w:rsidR="008D38BE" w:rsidRPr="00B63AEA">
        <w:rPr>
          <w:szCs w:val="24"/>
        </w:rPr>
        <w:t>,</w:t>
      </w:r>
      <w:r w:rsidR="008D6C36" w:rsidRPr="00B63AEA">
        <w:rPr>
          <w:szCs w:val="24"/>
        </w:rPr>
        <w:t>6 billion outside the EU; considers it necessary to increase not only the volume of financing for energy-related projects, but also the efficiency of the investments; underlines, in this regard, the importance of the EIB’s combined offer of competent technical assistance and innovative financial support, and encourages the Bank to expand the range of innovative financing products offered to economic operators, going beyond the standard market offer;</w:t>
      </w:r>
    </w:p>
    <w:p w14:paraId="5A860573" w14:textId="1C79B886" w:rsidR="008D6C36" w:rsidRPr="00B63AEA" w:rsidRDefault="00A07CF4" w:rsidP="008D6C36">
      <w:pPr>
        <w:pStyle w:val="NormalHanging12a"/>
        <w:rPr>
          <w:szCs w:val="24"/>
        </w:rPr>
      </w:pPr>
      <w:r>
        <w:rPr>
          <w:szCs w:val="24"/>
        </w:rPr>
        <w:t>21</w:t>
      </w:r>
      <w:r w:rsidR="008D6C36" w:rsidRPr="00B63AEA">
        <w:rPr>
          <w:szCs w:val="24"/>
        </w:rPr>
        <w:t>.</w:t>
      </w:r>
      <w:r w:rsidR="008D6C36" w:rsidRPr="00B63AEA">
        <w:rPr>
          <w:szCs w:val="24"/>
        </w:rPr>
        <w:tab/>
        <w:t>Believes that hydrogen and its derivatives, particularly when sourced from renewable energy, can significantly contribute to the EU’s decarbonisation goals and reduce dependence on fossil fuels; urges the EIB to take a leading role in mobilising private investments, which are essential for scaling up hydrogen production across the EU, while ensuring technological neutrality and supporting a diverse range of innovative solutions for decarbonisation, including further scientific research aimed at enhancing and stabilising the efficiency of hydrogen technology; encourages the Bank to consider the cost-effectiveness of such projects from the perspective of their total life cycle;</w:t>
      </w:r>
    </w:p>
    <w:p w14:paraId="628BFCCB" w14:textId="77777777" w:rsidR="008D6C36" w:rsidRPr="00B63AEA" w:rsidRDefault="008D6C36" w:rsidP="008D6C36">
      <w:pPr>
        <w:pStyle w:val="Normal12a24b"/>
        <w:spacing w:before="0"/>
        <w:rPr>
          <w:szCs w:val="24"/>
        </w:rPr>
      </w:pPr>
      <w:r w:rsidRPr="00B63AEA">
        <w:rPr>
          <w:rStyle w:val="BoldItalic"/>
          <w:szCs w:val="24"/>
        </w:rPr>
        <w:t>Defence and security policy</w:t>
      </w:r>
    </w:p>
    <w:p w14:paraId="2F6DE6CB" w14:textId="04A8B25E" w:rsidR="008D6C36" w:rsidRPr="00B63AEA" w:rsidRDefault="00A07CF4" w:rsidP="008D6C36">
      <w:pPr>
        <w:pStyle w:val="NormalHanging12a"/>
        <w:rPr>
          <w:szCs w:val="24"/>
        </w:rPr>
      </w:pPr>
      <w:r>
        <w:rPr>
          <w:szCs w:val="24"/>
        </w:rPr>
        <w:t>22</w:t>
      </w:r>
      <w:r w:rsidR="008D6C36" w:rsidRPr="00B63AEA">
        <w:rPr>
          <w:szCs w:val="24"/>
        </w:rPr>
        <w:t>.</w:t>
      </w:r>
      <w:r w:rsidR="008D6C36" w:rsidRPr="00B63AEA">
        <w:rPr>
          <w:szCs w:val="24"/>
        </w:rPr>
        <w:tab/>
        <w:t>Welcomes the significant role that the EIB Group plays in supporting the EU’s defence and security policy by providing funding and leveraging private investment to enhance the Union’s strategic autonomy and resilience; stresses the importance of the EIB’s investment capabilities, supporting initiatives that contribute to strengthening the EU’s defence industry, advancing cybersecurity infrastructure and promoting innovation in critical defence technologies;</w:t>
      </w:r>
    </w:p>
    <w:p w14:paraId="263BB491" w14:textId="56CF70C7" w:rsidR="008D6C36" w:rsidRPr="00B63AEA" w:rsidRDefault="00A07CF4" w:rsidP="008D6C36">
      <w:pPr>
        <w:pStyle w:val="NormalHanging12a"/>
        <w:rPr>
          <w:szCs w:val="24"/>
        </w:rPr>
      </w:pPr>
      <w:r>
        <w:rPr>
          <w:szCs w:val="24"/>
        </w:rPr>
        <w:t>23</w:t>
      </w:r>
      <w:r w:rsidR="008D6C36" w:rsidRPr="00B63AEA">
        <w:rPr>
          <w:szCs w:val="24"/>
        </w:rPr>
        <w:t>.</w:t>
      </w:r>
      <w:r w:rsidR="008D6C36" w:rsidRPr="00B63AEA">
        <w:rPr>
          <w:szCs w:val="24"/>
        </w:rPr>
        <w:tab/>
        <w:t xml:space="preserve">Appreciates that security and defence is set as one of the Bank’s core priorities in its Strategic Roadmap for 2024-2027; highlights that in May 2024, the EIB’s Board of Directors approved the EIB Group Security and Defence Industry Action Plan, which follows the EIB Group 2022 Strategic European Security Initiative aimed at supporting innovation in dual-use technology, in order to enhance support for the EU’s security and defence industry; notes, with satisfaction, that EIB Group support is provided to SMEs and innovative start-ups within the security and defence sector under the ‘dual-use’ </w:t>
      </w:r>
      <w:r w:rsidR="008D6C36" w:rsidRPr="00B63AEA">
        <w:rPr>
          <w:szCs w:val="24"/>
        </w:rPr>
        <w:lastRenderedPageBreak/>
        <w:t>principle, upholding the ‘credible civil use’ criterion, but waiving the revenue test; welcomes the decision of the EIB Board of Directors of 21 March 2025 to expand the Bank’s eligibilities for financing Europe’s security and defence industry and infrastructure, by ensuring that excluded activities are as limited as possible in scope;</w:t>
      </w:r>
    </w:p>
    <w:p w14:paraId="5B8AE8B4" w14:textId="6F2657B5" w:rsidR="008D6C36" w:rsidRPr="00B63AEA" w:rsidRDefault="00A07CF4" w:rsidP="008D6C36">
      <w:pPr>
        <w:pStyle w:val="NormalHanging12a"/>
        <w:rPr>
          <w:szCs w:val="24"/>
        </w:rPr>
      </w:pPr>
      <w:r w:rsidRPr="00B63AEA">
        <w:rPr>
          <w:szCs w:val="24"/>
        </w:rPr>
        <w:t>2</w:t>
      </w:r>
      <w:r>
        <w:rPr>
          <w:szCs w:val="24"/>
        </w:rPr>
        <w:t>4</w:t>
      </w:r>
      <w:r w:rsidR="008D6C36" w:rsidRPr="00B63AEA">
        <w:rPr>
          <w:szCs w:val="24"/>
        </w:rPr>
        <w:t>.</w:t>
      </w:r>
      <w:r w:rsidR="008D6C36" w:rsidRPr="00B63AEA">
        <w:rPr>
          <w:szCs w:val="24"/>
        </w:rPr>
        <w:tab/>
        <w:t>Welcomes the EIB’s targeted investments in both defence and civilian infrastructure and emphasises the need for strategic investment in technologies that serve both civilian and defence purposes, in line with the EU’s broader goals of promoting innovation and enhancing the Union’s security; calls on the EIB Group to conduct a review of the impact of the extension of its new dual-use goods policy;</w:t>
      </w:r>
    </w:p>
    <w:p w14:paraId="7B0E2CE9" w14:textId="2CFFBDA8" w:rsidR="008D6C36" w:rsidRPr="00B63AEA" w:rsidRDefault="00A07CF4" w:rsidP="008D6C36">
      <w:pPr>
        <w:pStyle w:val="NormalHanging12a"/>
        <w:rPr>
          <w:szCs w:val="24"/>
        </w:rPr>
      </w:pPr>
      <w:r w:rsidRPr="00B63AEA">
        <w:rPr>
          <w:szCs w:val="24"/>
        </w:rPr>
        <w:t>2</w:t>
      </w:r>
      <w:r>
        <w:rPr>
          <w:szCs w:val="24"/>
        </w:rPr>
        <w:t>5</w:t>
      </w:r>
      <w:r w:rsidR="008D6C36" w:rsidRPr="00B63AEA">
        <w:rPr>
          <w:szCs w:val="24"/>
        </w:rPr>
        <w:t>.</w:t>
      </w:r>
      <w:r w:rsidR="008D6C36" w:rsidRPr="00B63AEA">
        <w:rPr>
          <w:szCs w:val="24"/>
        </w:rPr>
        <w:tab/>
        <w:t>Stresses the importance of SMEs, start-ups and mid-caps in the security and defence industry and in developing a common European market for defence; believes that smaller actors play a crucial role in strengthening the Union’s capacity and autonomy to develop innovative defence products; encourages the EIB to further support cross-border research and development (R&amp;D) cooperation, particularly by paving the way for smaller actors to take part in the defence supply chains; stresses that greater EIB investment in the defence sector can encourage investment by commercial banks in the same area and considers it necessary to increase the flexibility of lending to SMEs in this regard;</w:t>
      </w:r>
    </w:p>
    <w:p w14:paraId="69DDD995" w14:textId="6A1B9618" w:rsidR="008D6C36" w:rsidRPr="00B63AEA" w:rsidRDefault="00A07CF4" w:rsidP="008D6C36">
      <w:pPr>
        <w:pStyle w:val="NormalHanging12a"/>
        <w:rPr>
          <w:szCs w:val="24"/>
        </w:rPr>
      </w:pPr>
      <w:r w:rsidRPr="00B63AEA">
        <w:rPr>
          <w:szCs w:val="24"/>
        </w:rPr>
        <w:t>2</w:t>
      </w:r>
      <w:r>
        <w:rPr>
          <w:szCs w:val="24"/>
        </w:rPr>
        <w:t>6</w:t>
      </w:r>
      <w:r w:rsidR="008D6C36" w:rsidRPr="00B63AEA">
        <w:rPr>
          <w:szCs w:val="24"/>
        </w:rPr>
        <w:t>.</w:t>
      </w:r>
      <w:r w:rsidR="008D6C36" w:rsidRPr="00B63AEA">
        <w:rPr>
          <w:szCs w:val="24"/>
        </w:rPr>
        <w:tab/>
        <w:t>Notes that the resources allocated to support the defence and security sector mainly come from the European Defence Fund (EDF) (EUR 8 billion), the EIB Strategic European Security Initiative (SESI) (EUR 8 billion) and the European Defence Industry Programme (EDIP) (EUR 1</w:t>
      </w:r>
      <w:r w:rsidR="008D38BE" w:rsidRPr="00B63AEA">
        <w:rPr>
          <w:szCs w:val="24"/>
        </w:rPr>
        <w:t>,</w:t>
      </w:r>
      <w:r w:rsidR="008D6C36" w:rsidRPr="00B63AEA">
        <w:rPr>
          <w:szCs w:val="24"/>
        </w:rPr>
        <w:t>5 billion); calls for a dedicated capital allocation on defence and the further adjustment of the scope of eligible investments in order to meet the ambitious role of contributing to Europe’s peace and security set by the White Paper on European Defence Readiness 2030 for the EIB Group; welcomes the integration of the EIB’s existing EUR 8 billion SESI into a cross-cutting and permanent public policy goal and the removal of a predefined ceiling for financing in this area; believes that these measures will allow the Bank to respond to the investment needs in security and defence, while safeguarding its operations and strong financial position; believes that the decision by the Board of Governors in June</w:t>
      </w:r>
      <w:r w:rsidR="008D6C36" w:rsidRPr="00B63AEA">
        <w:t> </w:t>
      </w:r>
      <w:r w:rsidR="008D6C36" w:rsidRPr="00B63AEA">
        <w:rPr>
          <w:szCs w:val="24"/>
        </w:rPr>
        <w:t>2024 to increase the gearing ratio of the Bank will enable increased investments in areas of strategic importance, including in security and defence;</w:t>
      </w:r>
    </w:p>
    <w:p w14:paraId="7EF11B8A" w14:textId="3F59FC2C" w:rsidR="008D6C36" w:rsidRPr="00B63AEA" w:rsidRDefault="00A07CF4" w:rsidP="008D6C36">
      <w:pPr>
        <w:pStyle w:val="NormalHanging12a"/>
        <w:rPr>
          <w:szCs w:val="24"/>
        </w:rPr>
      </w:pPr>
      <w:r w:rsidRPr="00B63AEA">
        <w:rPr>
          <w:szCs w:val="24"/>
        </w:rPr>
        <w:t>2</w:t>
      </w:r>
      <w:r>
        <w:rPr>
          <w:szCs w:val="24"/>
        </w:rPr>
        <w:t>7</w:t>
      </w:r>
      <w:r w:rsidR="008D6C36" w:rsidRPr="00B63AEA">
        <w:rPr>
          <w:szCs w:val="24"/>
        </w:rPr>
        <w:t>.</w:t>
      </w:r>
      <w:r w:rsidR="008D6C36" w:rsidRPr="00B63AEA">
        <w:rPr>
          <w:szCs w:val="24"/>
        </w:rPr>
        <w:tab/>
        <w:t>Underlines the added value of the innovative measures that the EIB has adopted to accelerate investments in security and defence, and of the ‘one-stop shop’ that acts as the single point of entry for clients and external stakeholders, to whom it offers expert assistance to streamline access and speed up deployment of financing available under the SESI; encourages the EIB to continue developing and implementing agreed upon measures that simplify client procedures and further accelerate investment processes, while ensuring that the AAA rating is preserved;</w:t>
      </w:r>
    </w:p>
    <w:p w14:paraId="02BA8B5A" w14:textId="7A2BFB93" w:rsidR="008D6C36" w:rsidRPr="00B63AEA" w:rsidRDefault="00A07CF4" w:rsidP="008D6C36">
      <w:pPr>
        <w:pStyle w:val="NormalHanging12a"/>
        <w:rPr>
          <w:szCs w:val="24"/>
        </w:rPr>
      </w:pPr>
      <w:r w:rsidRPr="00B63AEA">
        <w:rPr>
          <w:szCs w:val="24"/>
        </w:rPr>
        <w:t>2</w:t>
      </w:r>
      <w:r>
        <w:rPr>
          <w:szCs w:val="24"/>
        </w:rPr>
        <w:t>8</w:t>
      </w:r>
      <w:r w:rsidR="008D6C36" w:rsidRPr="00B63AEA">
        <w:rPr>
          <w:szCs w:val="24"/>
        </w:rPr>
        <w:t>.</w:t>
      </w:r>
      <w:r w:rsidR="008D6C36" w:rsidRPr="00B63AEA">
        <w:rPr>
          <w:szCs w:val="24"/>
        </w:rPr>
        <w:tab/>
        <w:t>Notes, with appreciation, that in June</w:t>
      </w:r>
      <w:r w:rsidR="008D6C36" w:rsidRPr="00B63AEA">
        <w:t> </w:t>
      </w:r>
      <w:r w:rsidR="008D6C36" w:rsidRPr="00B63AEA">
        <w:rPr>
          <w:szCs w:val="24"/>
        </w:rPr>
        <w:t>2023, the EIB approved an increase in SESI for security investments in the EU from EUR 6</w:t>
      </w:r>
      <w:r w:rsidR="00805BD4" w:rsidRPr="00B63AEA">
        <w:rPr>
          <w:szCs w:val="24"/>
        </w:rPr>
        <w:t>,</w:t>
      </w:r>
      <w:r w:rsidR="008D6C36" w:rsidRPr="00B63AEA">
        <w:rPr>
          <w:szCs w:val="24"/>
        </w:rPr>
        <w:t>0 billion to EUR 8</w:t>
      </w:r>
      <w:r w:rsidR="008D38BE" w:rsidRPr="00B63AEA">
        <w:rPr>
          <w:szCs w:val="24"/>
        </w:rPr>
        <w:t>,</w:t>
      </w:r>
      <w:r w:rsidR="008D6C36" w:rsidRPr="00B63AEA">
        <w:rPr>
          <w:szCs w:val="24"/>
        </w:rPr>
        <w:t>0 billion for the period from 2022 to 2027, also including the space and cybersecurity sectors; encourages the EIB to strengthen institutional partnerships with the EU Agency for the Space Programme and other potentially relevant partners, in accordance with EU competition rules;</w:t>
      </w:r>
    </w:p>
    <w:p w14:paraId="4980A5E1" w14:textId="045F1D35" w:rsidR="008D6C36" w:rsidRPr="00B63AEA" w:rsidRDefault="00A07CF4" w:rsidP="008D6C36">
      <w:pPr>
        <w:pStyle w:val="NormalHanging12a"/>
        <w:rPr>
          <w:szCs w:val="24"/>
        </w:rPr>
      </w:pPr>
      <w:r w:rsidRPr="00B63AEA">
        <w:rPr>
          <w:szCs w:val="24"/>
        </w:rPr>
        <w:lastRenderedPageBreak/>
        <w:t>2</w:t>
      </w:r>
      <w:r>
        <w:rPr>
          <w:szCs w:val="24"/>
        </w:rPr>
        <w:t>9</w:t>
      </w:r>
      <w:r w:rsidR="008D6C36" w:rsidRPr="00B63AEA">
        <w:rPr>
          <w:szCs w:val="24"/>
        </w:rPr>
        <w:t>.</w:t>
      </w:r>
      <w:r w:rsidR="008D6C36" w:rsidRPr="00B63AEA">
        <w:rPr>
          <w:szCs w:val="24"/>
        </w:rPr>
        <w:tab/>
        <w:t>Commends the EIB’s cooperation with all relevant stakeholders, including Member State governments, the European Defence Agency (EDA) and the NATO Innovation Fund; appreciates, in particular, the EIB Group’s cooperation with the EDA and welcomes the signing of an update to the memorandum of understanding between the two bodies on 3 October 2024, which will allow them to strengthen strategic partnerships and jointly identify financing needs to better support research, development and innovation (RDI) in the area of security and defence in the Union;</w:t>
      </w:r>
    </w:p>
    <w:p w14:paraId="67688CB1" w14:textId="4FF035D2" w:rsidR="008D6C36" w:rsidRPr="00B63AEA" w:rsidRDefault="00A07CF4" w:rsidP="008D6C36">
      <w:pPr>
        <w:pStyle w:val="NormalHanging12a"/>
        <w:rPr>
          <w:szCs w:val="24"/>
        </w:rPr>
      </w:pPr>
      <w:r>
        <w:rPr>
          <w:szCs w:val="24"/>
        </w:rPr>
        <w:t>30</w:t>
      </w:r>
      <w:r w:rsidR="008D6C36" w:rsidRPr="00B63AEA">
        <w:rPr>
          <w:szCs w:val="24"/>
        </w:rPr>
        <w:t>.</w:t>
      </w:r>
      <w:r w:rsidR="008D6C36" w:rsidRPr="00B63AEA">
        <w:rPr>
          <w:szCs w:val="24"/>
        </w:rPr>
        <w:tab/>
        <w:t>Invites the EIB to further strengthen such collaboration with key stakeholders with a view to increasing impact, synergies and complementarity with EU defence programmes, ensuring that its investments complement broader EU defence policy goals and contribute to achieving economies of scale in European defence capabilities; asks the EIB to enhance regional security and resilience, particularly in Eastern Europe and the Mediterranean through the creation of infrastructure that supports regional security and fosters greater cooperation between EU Member States on defence matters; stresses, furthermore, the importance of exploring cooperation with the NATO Innovation Fund in order to improve access to financing for technology start-ups, in parallel to the deployment of the EIF Defence Equity Facility;</w:t>
      </w:r>
    </w:p>
    <w:p w14:paraId="30EA5EFC" w14:textId="77777777" w:rsidR="008D6C36" w:rsidRPr="00B63AEA" w:rsidRDefault="008D6C36" w:rsidP="008D6C36">
      <w:pPr>
        <w:pStyle w:val="Normal12a24b"/>
        <w:spacing w:before="0"/>
        <w:rPr>
          <w:szCs w:val="24"/>
        </w:rPr>
      </w:pPr>
      <w:r w:rsidRPr="00B63AEA">
        <w:rPr>
          <w:rStyle w:val="BoldItalic"/>
          <w:szCs w:val="24"/>
        </w:rPr>
        <w:t>Social infrastructure and housing</w:t>
      </w:r>
    </w:p>
    <w:p w14:paraId="2A4AA69D" w14:textId="4D4DA2A3" w:rsidR="008D6C36" w:rsidRPr="00B63AEA" w:rsidRDefault="00A07CF4" w:rsidP="008D6C36">
      <w:pPr>
        <w:pStyle w:val="NormalHanging12a"/>
        <w:rPr>
          <w:szCs w:val="24"/>
        </w:rPr>
      </w:pPr>
      <w:r>
        <w:rPr>
          <w:szCs w:val="24"/>
        </w:rPr>
        <w:t>31</w:t>
      </w:r>
      <w:r w:rsidR="008D6C36" w:rsidRPr="00B63AEA">
        <w:rPr>
          <w:szCs w:val="24"/>
        </w:rPr>
        <w:t>.</w:t>
      </w:r>
      <w:r w:rsidR="008D6C36" w:rsidRPr="00B63AEA">
        <w:rPr>
          <w:szCs w:val="24"/>
        </w:rPr>
        <w:tab/>
        <w:t>Asks the EIB to increase risk-taking for projects providing essential services with long-term clear and measurable benefits; welcomes, in this vein, the EIB Group’s actions and measures in the area of housing and social infrastructure that contribute to affordable housing, social inclusion and regional development, while also supporting sustainability and innovation; calls on the EIB to prioritise its investments towards these goals in order to achieve better economic growth, social inclusion and regional cohesion, while also supporting the EU’s sustainability objectives; invites the Bank to focus on sustainable urban development and inclusive growth by ensuring that the EU’s housing and infrastructure needs are met for a stronger, more cohesive and prosperous Europe;</w:t>
      </w:r>
    </w:p>
    <w:p w14:paraId="0CE6B04D" w14:textId="36652FE4" w:rsidR="008D6C36" w:rsidRPr="00B63AEA" w:rsidRDefault="00A07CF4" w:rsidP="008D6C36">
      <w:pPr>
        <w:pStyle w:val="NormalHanging12a"/>
        <w:rPr>
          <w:szCs w:val="24"/>
        </w:rPr>
      </w:pPr>
      <w:r>
        <w:rPr>
          <w:szCs w:val="24"/>
        </w:rPr>
        <w:t>32</w:t>
      </w:r>
      <w:r w:rsidR="008D6C36" w:rsidRPr="00B63AEA">
        <w:rPr>
          <w:szCs w:val="24"/>
        </w:rPr>
        <w:t>.</w:t>
      </w:r>
      <w:r w:rsidR="008D6C36" w:rsidRPr="00B63AEA">
        <w:rPr>
          <w:szCs w:val="24"/>
        </w:rPr>
        <w:tab/>
        <w:t>Emphasises that housing purchase and rental costs have surged significantly in recent years, reducing the affordability of many metropolitan areas in the EU and limiting access to housing; stresses that the EIB must play a stronger role in addressing the housing crisis; welcomes the inclusion of support for social infrastructure in the EIB Group’s eight strategic priorities for 2024-2027 and agrees that investments in energy-efficient, sustainable and accessible housing, and education within easy reach are crucial for boosting productivity and fostering strong and resilient societies; encourages the EIB to prioritise investments in housing cooperatives, energy-efficient social housing and renovation projects targeting low-income households; believes that addressing the EU’s major housing investment gaps requires overcoming both financial and non-financial investment barriers and the large-scale mobilisation of resources and capacities;</w:t>
      </w:r>
    </w:p>
    <w:p w14:paraId="09063698" w14:textId="62EB0E26" w:rsidR="008D6C36" w:rsidRPr="00B63AEA" w:rsidRDefault="00A07CF4" w:rsidP="008D6C36">
      <w:pPr>
        <w:pStyle w:val="NormalHanging12a"/>
        <w:rPr>
          <w:szCs w:val="24"/>
        </w:rPr>
      </w:pPr>
      <w:r>
        <w:rPr>
          <w:szCs w:val="24"/>
        </w:rPr>
        <w:t>33</w:t>
      </w:r>
      <w:r w:rsidR="008D6C36" w:rsidRPr="00B63AEA">
        <w:rPr>
          <w:szCs w:val="24"/>
        </w:rPr>
        <w:t>.</w:t>
      </w:r>
      <w:r w:rsidR="008D6C36" w:rsidRPr="00B63AEA">
        <w:rPr>
          <w:szCs w:val="24"/>
        </w:rPr>
        <w:tab/>
        <w:t>Welcomes that the EIB, in collaboration with the Commission, has initiated a pan-European investment platform aimed at promoting affordable and sustainable housing, combining advisory services and financing, and encourages the participants to continue this initiative;</w:t>
      </w:r>
    </w:p>
    <w:p w14:paraId="4E6916AC" w14:textId="6E8ABD37" w:rsidR="008D6C36" w:rsidRPr="00B63AEA" w:rsidRDefault="00A07CF4" w:rsidP="008D6C36">
      <w:pPr>
        <w:pStyle w:val="NormalHanging12a"/>
        <w:rPr>
          <w:szCs w:val="24"/>
        </w:rPr>
      </w:pPr>
      <w:r w:rsidRPr="00B63AEA">
        <w:rPr>
          <w:szCs w:val="24"/>
        </w:rPr>
        <w:t>3</w:t>
      </w:r>
      <w:r>
        <w:rPr>
          <w:szCs w:val="24"/>
        </w:rPr>
        <w:t>4</w:t>
      </w:r>
      <w:r w:rsidR="008D6C36" w:rsidRPr="00B63AEA">
        <w:rPr>
          <w:szCs w:val="24"/>
        </w:rPr>
        <w:t>.</w:t>
      </w:r>
      <w:r w:rsidR="008D6C36" w:rsidRPr="00B63AEA">
        <w:rPr>
          <w:szCs w:val="24"/>
        </w:rPr>
        <w:tab/>
        <w:t xml:space="preserve">Welcomes the EIB’s commitment to easing the pressure on housing markets in Europe; stresses that housing purchase and rental prices have increased significantly in recent </w:t>
      </w:r>
      <w:r w:rsidR="008D6C36" w:rsidRPr="00B63AEA">
        <w:rPr>
          <w:szCs w:val="24"/>
        </w:rPr>
        <w:lastRenderedPageBreak/>
        <w:t>years, reducing the affordability of many metropolitan areas in the EU and compromising access to these; emphasises that EIB analysis shows that the EU needs about 1</w:t>
      </w:r>
      <w:r w:rsidR="008D38BE" w:rsidRPr="00B63AEA">
        <w:rPr>
          <w:szCs w:val="24"/>
        </w:rPr>
        <w:t>,</w:t>
      </w:r>
      <w:r w:rsidR="008D6C36" w:rsidRPr="00B63AEA">
        <w:rPr>
          <w:szCs w:val="24"/>
        </w:rPr>
        <w:t>5 million new housing units per year to cope with demand, and that about 75 % of the EU’s building stock needs to be renovated, representing an additional 5 million units per year; welcomes the fact that the EIB supports the reconstruction of existing housing and the construction of new social and affordable accommodation; encourages the EIB to mobilise more funding for affordable housing projects among the Member States;</w:t>
      </w:r>
    </w:p>
    <w:p w14:paraId="309799D4" w14:textId="01E35630" w:rsidR="008D6C36" w:rsidRPr="00B63AEA" w:rsidRDefault="00A07CF4" w:rsidP="008D6C36">
      <w:pPr>
        <w:pStyle w:val="NormalHanging12a"/>
        <w:rPr>
          <w:szCs w:val="24"/>
        </w:rPr>
      </w:pPr>
      <w:r w:rsidRPr="00B63AEA">
        <w:rPr>
          <w:szCs w:val="24"/>
        </w:rPr>
        <w:t>3</w:t>
      </w:r>
      <w:r>
        <w:rPr>
          <w:szCs w:val="24"/>
        </w:rPr>
        <w:t>5</w:t>
      </w:r>
      <w:r w:rsidR="008D6C36" w:rsidRPr="00B63AEA">
        <w:rPr>
          <w:szCs w:val="24"/>
        </w:rPr>
        <w:t>.</w:t>
      </w:r>
      <w:r w:rsidR="008D6C36" w:rsidRPr="00B63AEA">
        <w:rPr>
          <w:szCs w:val="24"/>
        </w:rPr>
        <w:tab/>
        <w:t>Calls for the strengthening of technical assistance and financial expertise in support of local and regional authorities, especially in areas with low investment capacity, in order to improve access to EIB funding; believes that cooperation with local authorities, local governments and civil society representatives should foster the development of social housing suitable for all, and especially for the most vulnerable; is aware that the effectiveness of the EIB’s action in the housing and social infrastructure sector also depends on the removal of policy and regulatory hurdles;</w:t>
      </w:r>
    </w:p>
    <w:p w14:paraId="42F52F95" w14:textId="096E14FB" w:rsidR="008D6C36" w:rsidRPr="00B63AEA" w:rsidRDefault="00A07CF4" w:rsidP="008D6C36">
      <w:pPr>
        <w:pStyle w:val="NormalHanging12a"/>
        <w:rPr>
          <w:szCs w:val="24"/>
        </w:rPr>
      </w:pPr>
      <w:r w:rsidRPr="00B63AEA">
        <w:rPr>
          <w:szCs w:val="24"/>
        </w:rPr>
        <w:t>3</w:t>
      </w:r>
      <w:r>
        <w:rPr>
          <w:szCs w:val="24"/>
        </w:rPr>
        <w:t>6</w:t>
      </w:r>
      <w:r w:rsidR="008D6C36" w:rsidRPr="00B63AEA">
        <w:rPr>
          <w:szCs w:val="24"/>
        </w:rPr>
        <w:t>.</w:t>
      </w:r>
      <w:r w:rsidR="008D6C36" w:rsidRPr="00B63AEA">
        <w:rPr>
          <w:szCs w:val="24"/>
        </w:rPr>
        <w:tab/>
        <w:t>Notes that, in 2023, the EIB signed EUR 8</w:t>
      </w:r>
      <w:r w:rsidR="008D38BE" w:rsidRPr="00B63AEA">
        <w:rPr>
          <w:szCs w:val="24"/>
        </w:rPr>
        <w:t>,</w:t>
      </w:r>
      <w:r w:rsidR="008D6C36" w:rsidRPr="00B63AEA">
        <w:rPr>
          <w:szCs w:val="24"/>
        </w:rPr>
        <w:t>3 billion in financial support for energy efficiency operations, of which 65 % was for energy efficiency in buildings; invites the EIB to prioritise long-term affordable and accessible solutions, and sustainable investments, such as energy-efficient renovations and the reuse of vacant buildings;</w:t>
      </w:r>
    </w:p>
    <w:p w14:paraId="532F519A" w14:textId="5F2794BC" w:rsidR="008D6C36" w:rsidRPr="00B63AEA" w:rsidRDefault="00A07CF4" w:rsidP="008D6C36">
      <w:pPr>
        <w:pStyle w:val="NormalHanging12a"/>
        <w:rPr>
          <w:szCs w:val="24"/>
        </w:rPr>
      </w:pPr>
      <w:r w:rsidRPr="00B63AEA">
        <w:rPr>
          <w:szCs w:val="24"/>
        </w:rPr>
        <w:t>3</w:t>
      </w:r>
      <w:r>
        <w:rPr>
          <w:szCs w:val="24"/>
        </w:rPr>
        <w:t>7</w:t>
      </w:r>
      <w:r w:rsidR="008D6C36" w:rsidRPr="00B63AEA">
        <w:rPr>
          <w:szCs w:val="24"/>
        </w:rPr>
        <w:t>.</w:t>
      </w:r>
      <w:r w:rsidR="008D6C36" w:rsidRPr="00B63AEA">
        <w:rPr>
          <w:szCs w:val="24"/>
        </w:rPr>
        <w:tab/>
        <w:t>Believes that the related investments should ensure sufficient durability before any change of destination or use is authorised;</w:t>
      </w:r>
    </w:p>
    <w:p w14:paraId="595A5F0E" w14:textId="0C81DFEF" w:rsidR="008D6C36" w:rsidRPr="00B63AEA" w:rsidRDefault="00A07CF4" w:rsidP="008D6C36">
      <w:pPr>
        <w:pStyle w:val="NormalHanging12a"/>
        <w:rPr>
          <w:szCs w:val="24"/>
        </w:rPr>
      </w:pPr>
      <w:r w:rsidRPr="00B63AEA">
        <w:rPr>
          <w:szCs w:val="24"/>
        </w:rPr>
        <w:t>3</w:t>
      </w:r>
      <w:r>
        <w:rPr>
          <w:szCs w:val="24"/>
        </w:rPr>
        <w:t>8</w:t>
      </w:r>
      <w:r w:rsidR="008D6C36" w:rsidRPr="00B63AEA">
        <w:rPr>
          <w:szCs w:val="24"/>
        </w:rPr>
        <w:t>.</w:t>
      </w:r>
      <w:r w:rsidR="008D6C36" w:rsidRPr="00B63AEA">
        <w:rPr>
          <w:szCs w:val="24"/>
        </w:rPr>
        <w:tab/>
        <w:t>Invites the EIB to build on its long-standing experience as an accelerator of European investments and to also deploy its potential in the education and training and healthcare sectors, including through advisory services; calls on the Bank to strengthen support for healthcare capacities, both within and outside the EU, thus  ensuring a stronger role for Europe in the world;</w:t>
      </w:r>
    </w:p>
    <w:p w14:paraId="7AFD7B51" w14:textId="77777777" w:rsidR="008D6C36" w:rsidRPr="00B63AEA" w:rsidRDefault="008D6C36" w:rsidP="008D6C36">
      <w:pPr>
        <w:pStyle w:val="Normal12a24b"/>
        <w:spacing w:before="0"/>
        <w:rPr>
          <w:rStyle w:val="BoldItalic"/>
          <w:szCs w:val="24"/>
        </w:rPr>
      </w:pPr>
      <w:r w:rsidRPr="00B63AEA">
        <w:rPr>
          <w:rStyle w:val="BoldItalic"/>
          <w:szCs w:val="24"/>
        </w:rPr>
        <w:t>Support for SMEs, mid-caps, start-ups, scale-ups and businesses in rural and remote areas, the Capital Markets Union and the role of the EIF</w:t>
      </w:r>
    </w:p>
    <w:p w14:paraId="6970CD75" w14:textId="6D7890BD" w:rsidR="008D6C36" w:rsidRPr="00B63AEA" w:rsidRDefault="00A07CF4" w:rsidP="008D6C36">
      <w:pPr>
        <w:pStyle w:val="NormalHanging12a"/>
        <w:rPr>
          <w:szCs w:val="24"/>
        </w:rPr>
      </w:pPr>
      <w:r w:rsidRPr="00B63AEA">
        <w:rPr>
          <w:szCs w:val="24"/>
        </w:rPr>
        <w:t>3</w:t>
      </w:r>
      <w:r>
        <w:rPr>
          <w:szCs w:val="24"/>
        </w:rPr>
        <w:t>9</w:t>
      </w:r>
      <w:r w:rsidR="008D6C36" w:rsidRPr="00B63AEA">
        <w:rPr>
          <w:szCs w:val="24"/>
        </w:rPr>
        <w:t>.</w:t>
      </w:r>
      <w:r w:rsidR="008D6C36" w:rsidRPr="00B63AEA">
        <w:rPr>
          <w:szCs w:val="24"/>
        </w:rPr>
        <w:tab/>
        <w:t>Highlights that SMEs, start-ups and scale-ups are vital for the EU’s economy; notes that these businesses encounter significant hurdles in accessing financing, markets and talent, which constrains their growth; asserts that business growth, dynamism and public investment are essential for fostering innovation, competitiveness and productivity; encourages the EIB Group to continue addressing these challenges, notably in the current geopolitical context, through customised financial programmes, risk-sharing mechanisms and targeted financial instruments, while ensuring the additionality of public resources for these purposes and avoiding the crowding out of private capital; notes that different instruments to support lending to businesses can be combined depending on the context, and that different EIB Group instruments target different market failures and firm types; stresses the need to provide technical assistance to SMEs before project approval, in order to improve access to EIB funding;</w:t>
      </w:r>
    </w:p>
    <w:p w14:paraId="2786E53C" w14:textId="45559659" w:rsidR="008D6C36" w:rsidRPr="00B63AEA" w:rsidRDefault="00A07CF4" w:rsidP="008D6C36">
      <w:pPr>
        <w:pStyle w:val="NormalHanging12a"/>
        <w:rPr>
          <w:szCs w:val="24"/>
        </w:rPr>
      </w:pPr>
      <w:r>
        <w:rPr>
          <w:szCs w:val="24"/>
        </w:rPr>
        <w:t>40</w:t>
      </w:r>
      <w:r w:rsidR="008D6C36" w:rsidRPr="00B63AEA">
        <w:rPr>
          <w:szCs w:val="24"/>
        </w:rPr>
        <w:t>.</w:t>
      </w:r>
      <w:r w:rsidR="008D6C36" w:rsidRPr="00B63AEA">
        <w:rPr>
          <w:szCs w:val="24"/>
        </w:rPr>
        <w:tab/>
        <w:t xml:space="preserve">Notes that the development of a well-functioning securitisation market can be a key first step towards establishing a strong Capital Markets Union (CMU); believes that the CMU will benefit consumers and SMEs by offering high-yield investment opportunities in the real economy and will eventually boost the venture capital market by improving </w:t>
      </w:r>
      <w:r w:rsidR="008D6C36" w:rsidRPr="00B63AEA">
        <w:rPr>
          <w:szCs w:val="24"/>
        </w:rPr>
        <w:lastRenderedPageBreak/>
        <w:t>access to diversified funding sources; believes that financing European scale-ups with European capital should be a priority, as exemplified by the European Tech Champions Initiative, which was launched in February 2023 to finance promising European tech companies and prevent the sale of businesses to foreign investors because of the lack of European investment; encourages the EIF to explore establishing the second generation of this initiative; observes that the European Tech Champions Initiative is complemented by the European Scale-up Initiative, which aims to provide crucial financing for Europe’s high-tech companies in their late-stage development; notes that these investments should be in line with policy actions at EU and national level; is aware of the comparative weaknesses of the European venture capital market in respect of other competitors’ markets, and that European start-ups and scale-ups are often obliged to relocate or search for foreign buyers or rely on sources of financing other than venture capital, hence less suited to high-growth;</w:t>
      </w:r>
    </w:p>
    <w:p w14:paraId="7D14FF91" w14:textId="7F75BF8D" w:rsidR="008D6C36" w:rsidRPr="00B63AEA" w:rsidRDefault="00A07CF4" w:rsidP="008D6C36">
      <w:pPr>
        <w:pStyle w:val="NormalHanging12a"/>
        <w:rPr>
          <w:szCs w:val="24"/>
        </w:rPr>
      </w:pPr>
      <w:r>
        <w:rPr>
          <w:szCs w:val="24"/>
        </w:rPr>
        <w:t>41</w:t>
      </w:r>
      <w:r w:rsidR="008D6C36" w:rsidRPr="00B63AEA">
        <w:rPr>
          <w:szCs w:val="24"/>
        </w:rPr>
        <w:t>.</w:t>
      </w:r>
      <w:r w:rsidR="008D6C36" w:rsidRPr="00B63AEA">
        <w:rPr>
          <w:szCs w:val="24"/>
        </w:rPr>
        <w:tab/>
        <w:t xml:space="preserve">Acknowledges the mission of the EIF to support access to financing for European micro, small and medium-sized enterprises; believes that the EIF should significantly step up its activities for the development of the European venture capital ecosystem, while maintaining a geographical balance; calls for the EIF’s activities to be strengthened, enabling increased investment in high-growth sectors, enhancing risk-sharing between public and private investors, and promoting innovation throughout Europe; </w:t>
      </w:r>
      <w:r w:rsidR="008D6C36" w:rsidRPr="00B63AEA">
        <w:rPr>
          <w:bCs/>
          <w:iCs/>
          <w:szCs w:val="24"/>
        </w:rPr>
        <w:t>considers it necessary to monitor the rate of increase in support for micro, small and medium-sized enterprises;</w:t>
      </w:r>
    </w:p>
    <w:p w14:paraId="299D5689" w14:textId="634281A7" w:rsidR="008D6C36" w:rsidRPr="00B63AEA" w:rsidRDefault="00A07CF4" w:rsidP="008D6C36">
      <w:pPr>
        <w:pStyle w:val="NormalHanging12a"/>
        <w:rPr>
          <w:szCs w:val="24"/>
        </w:rPr>
      </w:pPr>
      <w:r>
        <w:rPr>
          <w:szCs w:val="24"/>
        </w:rPr>
        <w:t>42</w:t>
      </w:r>
      <w:r w:rsidR="008D6C36" w:rsidRPr="00B63AEA">
        <w:rPr>
          <w:szCs w:val="24"/>
        </w:rPr>
        <w:t>.</w:t>
      </w:r>
      <w:r w:rsidR="008D6C36" w:rsidRPr="00B63AEA">
        <w:rPr>
          <w:szCs w:val="24"/>
        </w:rPr>
        <w:tab/>
        <w:t>Encourages the EIF to further develop its monitoring tools to better track the long-term performance of venture capital funds and SME financing operations, especially in terms of job creation, innovation diffusion and regional impact; stresses also the critical role of large European companies in Europe’s economic structure, particularly those operating in essential sectors such as energy, defence and infrastructure; calls for a balanced approach that ensures the EIB continues to support large European companies in securing investment capital for major projects and research and development initiatives, thereby enhancing Europe’s global competitiveness;</w:t>
      </w:r>
    </w:p>
    <w:p w14:paraId="140D9F29" w14:textId="0974C035" w:rsidR="008D6C36" w:rsidRPr="00B63AEA" w:rsidRDefault="00A07CF4" w:rsidP="008D6C36">
      <w:pPr>
        <w:pStyle w:val="NormalHanging12a"/>
        <w:rPr>
          <w:b/>
          <w:szCs w:val="24"/>
        </w:rPr>
      </w:pPr>
      <w:r>
        <w:rPr>
          <w:szCs w:val="24"/>
        </w:rPr>
        <w:t>43</w:t>
      </w:r>
      <w:r w:rsidR="008D6C36" w:rsidRPr="00B63AEA">
        <w:rPr>
          <w:szCs w:val="24"/>
        </w:rPr>
        <w:t>.</w:t>
      </w:r>
      <w:r w:rsidR="008D6C36" w:rsidRPr="00B63AEA">
        <w:rPr>
          <w:szCs w:val="24"/>
        </w:rPr>
        <w:tab/>
        <w:t>Praises the support provided by the EIB Group to about 400 000 SMEs and mid-caps in 2023 alone, with EUR 31</w:t>
      </w:r>
      <w:r w:rsidR="008D38BE" w:rsidRPr="00B63AEA">
        <w:rPr>
          <w:szCs w:val="24"/>
        </w:rPr>
        <w:t>,</w:t>
      </w:r>
      <w:r w:rsidR="008D6C36" w:rsidRPr="00B63AEA">
        <w:rPr>
          <w:szCs w:val="24"/>
        </w:rPr>
        <w:t>1 billion in financing, including loans and guarantees for businesses (of which EUR 14</w:t>
      </w:r>
      <w:r w:rsidR="008D38BE" w:rsidRPr="00B63AEA">
        <w:rPr>
          <w:szCs w:val="24"/>
        </w:rPr>
        <w:t>,</w:t>
      </w:r>
      <w:r w:rsidR="008D6C36" w:rsidRPr="00B63AEA">
        <w:rPr>
          <w:szCs w:val="24"/>
        </w:rPr>
        <w:t>9 billion was deployed by the EIF), resulting in the mobilisation of over EUR 134 billion, and notes that it teamed up with almost 300 partner institutions across Europe to this end; encourages the EIB to continue its role in improving access to financing for SMEs, which often face barriers to funding from traditional financial institutions, providing targeted financing to ensure sufficient resources to grow and thrive; welcomes and calls for the constant expansion of the number of partner institutions to reach a wide geographical and sectoral coverage;</w:t>
      </w:r>
    </w:p>
    <w:p w14:paraId="699FB61E" w14:textId="5EFE713E" w:rsidR="008D6C36" w:rsidRPr="00B63AEA" w:rsidRDefault="00A07CF4" w:rsidP="008D6C36">
      <w:pPr>
        <w:pStyle w:val="NormalHanging12a"/>
        <w:rPr>
          <w:szCs w:val="24"/>
        </w:rPr>
      </w:pPr>
      <w:r w:rsidRPr="00B63AEA">
        <w:rPr>
          <w:szCs w:val="24"/>
        </w:rPr>
        <w:t>4</w:t>
      </w:r>
      <w:r>
        <w:rPr>
          <w:szCs w:val="24"/>
        </w:rPr>
        <w:t>4</w:t>
      </w:r>
      <w:r w:rsidR="008D6C36" w:rsidRPr="00B63AEA">
        <w:rPr>
          <w:szCs w:val="24"/>
        </w:rPr>
        <w:t>.</w:t>
      </w:r>
      <w:r w:rsidR="008D6C36" w:rsidRPr="00B63AEA">
        <w:rPr>
          <w:szCs w:val="24"/>
        </w:rPr>
        <w:tab/>
        <w:t>Recalls that the deployment of the European Guarantee Fund ended in 2023 and that its disbursements to help SMEs to recover from the adverse impact of the pandemic reached approximately 200 000 SMEs across the EU; recalls the concerns expressed in previous resolutions about the transparency of the decision-making processes and information about final recipients;</w:t>
      </w:r>
    </w:p>
    <w:p w14:paraId="2F1A8F04" w14:textId="624B3602" w:rsidR="008D6C36" w:rsidRDefault="00A07CF4" w:rsidP="008D6C36">
      <w:pPr>
        <w:pStyle w:val="NormalHanging12a"/>
        <w:rPr>
          <w:szCs w:val="24"/>
        </w:rPr>
      </w:pPr>
      <w:r w:rsidRPr="00B63AEA">
        <w:rPr>
          <w:szCs w:val="24"/>
        </w:rPr>
        <w:t>4</w:t>
      </w:r>
      <w:r>
        <w:rPr>
          <w:szCs w:val="24"/>
        </w:rPr>
        <w:t>5</w:t>
      </w:r>
      <w:r w:rsidR="008D6C36" w:rsidRPr="00B63AEA">
        <w:rPr>
          <w:szCs w:val="24"/>
        </w:rPr>
        <w:t>.</w:t>
      </w:r>
      <w:r w:rsidR="008D6C36" w:rsidRPr="00B63AEA">
        <w:rPr>
          <w:szCs w:val="24"/>
        </w:rPr>
        <w:tab/>
        <w:t xml:space="preserve">Welcomes that EIF measures on anti-money-laundering, countering the financing of terrorism and tax avoidance encompass risk assessments for products and transactions, thorough due diligence on counterparties and screening the ownership structures and </w:t>
      </w:r>
      <w:r w:rsidR="008D6C36" w:rsidRPr="00B63AEA">
        <w:rPr>
          <w:szCs w:val="24"/>
        </w:rPr>
        <w:lastRenderedPageBreak/>
        <w:t>key individuals against sanctions and adverse media; welcomes the introduction of mandatory staff training and the conclusion of an agreement with the Financial Intelligence Unit of Luxembourg on the reporting of and follow-up on any suspicious transactions detected;</w:t>
      </w:r>
    </w:p>
    <w:p w14:paraId="74C267BB" w14:textId="7A63C670" w:rsidR="008927FF" w:rsidRPr="00B63AEA" w:rsidRDefault="00A07CF4" w:rsidP="008D6C36">
      <w:pPr>
        <w:pStyle w:val="NormalHanging12a"/>
        <w:rPr>
          <w:szCs w:val="24"/>
        </w:rPr>
      </w:pPr>
      <w:r>
        <w:rPr>
          <w:szCs w:val="24"/>
        </w:rPr>
        <w:t>46</w:t>
      </w:r>
      <w:r w:rsidR="008927FF" w:rsidRPr="008927FF">
        <w:rPr>
          <w:szCs w:val="24"/>
        </w:rPr>
        <w:t>.</w:t>
      </w:r>
      <w:r w:rsidR="008927FF" w:rsidRPr="008927FF">
        <w:rPr>
          <w:szCs w:val="24"/>
        </w:rPr>
        <w:tab/>
        <w:t>Calls on the EIB Group to establish a Group-wide comprehensive and binding whistleblower protection policy in line with Directive (EU) 2019/1937</w:t>
      </w:r>
      <w:r w:rsidR="008927FF">
        <w:rPr>
          <w:rStyle w:val="FootnoteReference"/>
          <w:szCs w:val="24"/>
        </w:rPr>
        <w:footnoteReference w:id="4"/>
      </w:r>
      <w:r w:rsidR="008927FF" w:rsidRPr="008927FF">
        <w:rPr>
          <w:szCs w:val="24"/>
        </w:rPr>
        <w:t>, ensuring secure reporting channels, protection against retaliation, and full follow-up mechanisms;</w:t>
      </w:r>
    </w:p>
    <w:p w14:paraId="28ED586F" w14:textId="77777777" w:rsidR="008D6C36" w:rsidRPr="00B63AEA" w:rsidRDefault="008D6C36" w:rsidP="008D6C36">
      <w:pPr>
        <w:pStyle w:val="Normal12a24b"/>
        <w:spacing w:before="0"/>
        <w:rPr>
          <w:szCs w:val="24"/>
        </w:rPr>
      </w:pPr>
      <w:r w:rsidRPr="00B63AEA">
        <w:rPr>
          <w:rStyle w:val="BoldItalic"/>
          <w:szCs w:val="24"/>
        </w:rPr>
        <w:t>Key policy areas of cohesion, climate action and environmental sustainability, and digitalisation</w:t>
      </w:r>
    </w:p>
    <w:p w14:paraId="346654D8" w14:textId="60C09D1D" w:rsidR="008D6C36" w:rsidRPr="00B63AEA" w:rsidRDefault="00A07CF4" w:rsidP="008D6C36">
      <w:pPr>
        <w:pStyle w:val="NormalHanging12a"/>
        <w:rPr>
          <w:szCs w:val="24"/>
        </w:rPr>
      </w:pPr>
      <w:r>
        <w:rPr>
          <w:szCs w:val="24"/>
        </w:rPr>
        <w:t>47</w:t>
      </w:r>
      <w:r w:rsidR="008D6C36" w:rsidRPr="00B63AEA">
        <w:rPr>
          <w:szCs w:val="24"/>
        </w:rPr>
        <w:t>.</w:t>
      </w:r>
      <w:r w:rsidR="008D6C36" w:rsidRPr="00B63AEA">
        <w:rPr>
          <w:szCs w:val="24"/>
        </w:rPr>
        <w:tab/>
        <w:t>Appreciates that in its 2021-2027 Cohesion Orientation, the EIB committed to dedicating at least 40 % of its total financing in the EU between 2022 and 2024 to projects in cohesion regions; notes that, in 2023, such financing amounted to EUR 29</w:t>
      </w:r>
      <w:r w:rsidR="008D38BE" w:rsidRPr="00B63AEA">
        <w:rPr>
          <w:szCs w:val="24"/>
        </w:rPr>
        <w:t>,</w:t>
      </w:r>
      <w:r w:rsidR="008D6C36" w:rsidRPr="00B63AEA">
        <w:rPr>
          <w:szCs w:val="24"/>
        </w:rPr>
        <w:t>8 billion, equivalent to 45 % of the Bank’s total signatures in the EU; underlines that the share of EIB financing allocated to less developed regions increased from 24 % in 2022 to 26 % in 2023, totalling EUR 17</w:t>
      </w:r>
      <w:r w:rsidR="008D38BE" w:rsidRPr="00B63AEA">
        <w:rPr>
          <w:szCs w:val="24"/>
        </w:rPr>
        <w:t>,</w:t>
      </w:r>
      <w:r w:rsidR="008D6C36" w:rsidRPr="00B63AEA">
        <w:rPr>
          <w:szCs w:val="24"/>
        </w:rPr>
        <w:t>2 billion, well above the 21 % target set in the EIB Cohesion Orientation for 2023; reiterates the call for the EIB to continue monitoring, analysing and addressing the shortcomings that prevent certain regions or countries from fully benefiting from the EIB’s financial support and assistance;</w:t>
      </w:r>
    </w:p>
    <w:p w14:paraId="54D1B6FD" w14:textId="58584710" w:rsidR="008D6C36" w:rsidRPr="00B63AEA" w:rsidRDefault="00A07CF4" w:rsidP="008D6C36">
      <w:pPr>
        <w:pStyle w:val="NormalHanging12a"/>
        <w:rPr>
          <w:szCs w:val="24"/>
        </w:rPr>
      </w:pPr>
      <w:r w:rsidRPr="00B63AEA">
        <w:rPr>
          <w:szCs w:val="24"/>
        </w:rPr>
        <w:t>4</w:t>
      </w:r>
      <w:r>
        <w:rPr>
          <w:szCs w:val="24"/>
        </w:rPr>
        <w:t>8</w:t>
      </w:r>
      <w:r w:rsidR="008D6C36" w:rsidRPr="00B63AEA">
        <w:rPr>
          <w:szCs w:val="24"/>
        </w:rPr>
        <w:t>.</w:t>
      </w:r>
      <w:r w:rsidR="008D6C36" w:rsidRPr="00B63AEA">
        <w:rPr>
          <w:szCs w:val="24"/>
        </w:rPr>
        <w:tab/>
        <w:t>Acknowledges the role played by the EIF in contributing to economic and social cohesion in the Union through a wide range of financial instruments; notes that EIF commitments to credit guarantees, venture capital and private equity investments for cohesion regions in 2023 stood at EUR 6</w:t>
      </w:r>
      <w:r w:rsidR="008D38BE" w:rsidRPr="00B63AEA">
        <w:rPr>
          <w:szCs w:val="24"/>
        </w:rPr>
        <w:t>,</w:t>
      </w:r>
      <w:r w:rsidR="008D6C36" w:rsidRPr="00B63AEA">
        <w:rPr>
          <w:szCs w:val="24"/>
        </w:rPr>
        <w:t>8 billion, representing 48 % of total EIF commitments in the EU; notes that in 2023, the EIF was especially active in Central and Eastern Europe;</w:t>
      </w:r>
    </w:p>
    <w:p w14:paraId="0C65DD8F" w14:textId="4DAB0F5F" w:rsidR="008D6C36" w:rsidRPr="00B63AEA" w:rsidRDefault="00A07CF4" w:rsidP="008D6C36">
      <w:pPr>
        <w:pStyle w:val="NormalHanging12a"/>
      </w:pPr>
      <w:r w:rsidRPr="00B63AEA">
        <w:rPr>
          <w:szCs w:val="24"/>
        </w:rPr>
        <w:t>4</w:t>
      </w:r>
      <w:r>
        <w:rPr>
          <w:szCs w:val="24"/>
        </w:rPr>
        <w:t>9</w:t>
      </w:r>
      <w:r w:rsidR="008D6C36" w:rsidRPr="00B63AEA">
        <w:rPr>
          <w:szCs w:val="24"/>
        </w:rPr>
        <w:t>.</w:t>
      </w:r>
      <w:r w:rsidR="008D6C36" w:rsidRPr="00B63AEA">
        <w:rPr>
          <w:szCs w:val="24"/>
        </w:rPr>
        <w:tab/>
        <w:t>Notes that the EIB Environmental and Social Sustainability Framework includes revised environmental and social policy and standards promoting an integrated approach to impact and risk assessment and management;</w:t>
      </w:r>
    </w:p>
    <w:p w14:paraId="3AF15BAA" w14:textId="36799231" w:rsidR="008D6C36" w:rsidRPr="00B63AEA" w:rsidRDefault="00A07CF4" w:rsidP="008D6C36">
      <w:pPr>
        <w:pStyle w:val="NormalHanging12a"/>
        <w:rPr>
          <w:szCs w:val="24"/>
        </w:rPr>
      </w:pPr>
      <w:r>
        <w:rPr>
          <w:szCs w:val="24"/>
        </w:rPr>
        <w:t>50</w:t>
      </w:r>
      <w:r w:rsidR="008D6C36" w:rsidRPr="00B63AEA">
        <w:rPr>
          <w:szCs w:val="24"/>
        </w:rPr>
        <w:t>.</w:t>
      </w:r>
      <w:r w:rsidR="008D6C36" w:rsidRPr="00B63AEA">
        <w:rPr>
          <w:szCs w:val="24"/>
        </w:rPr>
        <w:tab/>
        <w:t>Acknowledges that over the past 15 years, EIB Advisory has supported over 1 000 projects in cohesion regions; calls on the Bank to actively promote financing opportunities in less developed and transition regions, including by boosting the presence of advisory services in EIB local offices; considers it necessary to also take into account the geographical distribution of EIB support for increasing social cohesion;</w:t>
      </w:r>
    </w:p>
    <w:p w14:paraId="585662BF" w14:textId="70EA441B" w:rsidR="008D6C36" w:rsidRPr="00B63AEA" w:rsidRDefault="00A07CF4" w:rsidP="008D6C36">
      <w:pPr>
        <w:pStyle w:val="NormalHanging12a"/>
        <w:rPr>
          <w:szCs w:val="24"/>
        </w:rPr>
      </w:pPr>
      <w:r>
        <w:rPr>
          <w:szCs w:val="24"/>
        </w:rPr>
        <w:t>51</w:t>
      </w:r>
      <w:r w:rsidR="008D6C36" w:rsidRPr="00B63AEA">
        <w:rPr>
          <w:szCs w:val="24"/>
        </w:rPr>
        <w:t>.</w:t>
      </w:r>
      <w:r w:rsidR="008D6C36" w:rsidRPr="00B63AEA">
        <w:rPr>
          <w:szCs w:val="24"/>
        </w:rPr>
        <w:tab/>
        <w:t xml:space="preserve">Highlights the EIB’s initiatives in cohesion regions to support the healthcare sector, including the HERA Invest programme, a EUR 100 million guarantee established with the Commission to support research and development in addressing pressing cross-border health threats; encourages the EIB to promote targeted investments in key systemic enablers such as healthcare, education, social housing, digital connectivity and local financing for cities and regions, ensuring a better geographical balance, either through direct lending or financial instruments, and to leverage synergies between EU </w:t>
      </w:r>
      <w:r w:rsidR="008D6C36" w:rsidRPr="00B63AEA">
        <w:rPr>
          <w:szCs w:val="24"/>
        </w:rPr>
        <w:lastRenderedPageBreak/>
        <w:t>grants and EIB loans to enhance cross-border rail connectivity, which is crucial for better integration within the EU single market;</w:t>
      </w:r>
    </w:p>
    <w:p w14:paraId="05171900" w14:textId="6643A5A2" w:rsidR="008D6C36" w:rsidRPr="00B63AEA" w:rsidRDefault="00A07CF4" w:rsidP="008D6C36">
      <w:pPr>
        <w:pStyle w:val="NormalHanging12a"/>
        <w:rPr>
          <w:szCs w:val="24"/>
        </w:rPr>
      </w:pPr>
      <w:r>
        <w:rPr>
          <w:szCs w:val="24"/>
        </w:rPr>
        <w:t>52</w:t>
      </w:r>
      <w:r w:rsidR="008D6C36" w:rsidRPr="00B63AEA">
        <w:rPr>
          <w:szCs w:val="24"/>
        </w:rPr>
        <w:t>.</w:t>
      </w:r>
      <w:r w:rsidR="008D6C36" w:rsidRPr="00B63AEA">
        <w:rPr>
          <w:szCs w:val="24"/>
        </w:rPr>
        <w:tab/>
        <w:t>Acknowledges the EIB’s strategic orientation since 2019 to be the EU Climate Bank; emphasises that in 2023 alone, the EIB signed EUR 41</w:t>
      </w:r>
      <w:r w:rsidR="008D38BE" w:rsidRPr="00B63AEA">
        <w:rPr>
          <w:szCs w:val="24"/>
        </w:rPr>
        <w:t>,</w:t>
      </w:r>
      <w:r w:rsidR="008D6C36" w:rsidRPr="00B63AEA">
        <w:rPr>
          <w:szCs w:val="24"/>
        </w:rPr>
        <w:t>8 billion in financing for climate action and EUR 25</w:t>
      </w:r>
      <w:r w:rsidR="008D38BE" w:rsidRPr="00B63AEA">
        <w:rPr>
          <w:szCs w:val="24"/>
        </w:rPr>
        <w:t>,</w:t>
      </w:r>
      <w:r w:rsidR="008D6C36" w:rsidRPr="00B63AEA">
        <w:rPr>
          <w:szCs w:val="24"/>
        </w:rPr>
        <w:t>1 billion for environmental sustainability (EUR 35</w:t>
      </w:r>
      <w:r w:rsidR="008D38BE" w:rsidRPr="00B63AEA">
        <w:rPr>
          <w:szCs w:val="24"/>
        </w:rPr>
        <w:t>,</w:t>
      </w:r>
      <w:r w:rsidR="008D6C36" w:rsidRPr="00B63AEA">
        <w:rPr>
          <w:szCs w:val="24"/>
        </w:rPr>
        <w:t>1 billion and EUR 15</w:t>
      </w:r>
      <w:r w:rsidR="008D38BE" w:rsidRPr="00B63AEA">
        <w:rPr>
          <w:szCs w:val="24"/>
        </w:rPr>
        <w:t>,</w:t>
      </w:r>
      <w:r w:rsidR="008D6C36" w:rsidRPr="00B63AEA">
        <w:rPr>
          <w:szCs w:val="24"/>
        </w:rPr>
        <w:t>9 billion respectively in 2022); notes that EIB financing for climate change adaptation totalled EUR 2</w:t>
      </w:r>
      <w:r w:rsidR="00DC78B8" w:rsidRPr="00B63AEA">
        <w:rPr>
          <w:szCs w:val="24"/>
        </w:rPr>
        <w:t>,</w:t>
      </w:r>
      <w:r w:rsidR="008D6C36" w:rsidRPr="00B63AEA">
        <w:rPr>
          <w:szCs w:val="24"/>
        </w:rPr>
        <w:t>7 billion in 2023, corresponding to 6</w:t>
      </w:r>
      <w:r w:rsidR="00DC78B8" w:rsidRPr="00B63AEA">
        <w:rPr>
          <w:szCs w:val="24"/>
        </w:rPr>
        <w:t>,</w:t>
      </w:r>
      <w:r w:rsidR="008D6C36" w:rsidRPr="00B63AEA">
        <w:rPr>
          <w:szCs w:val="24"/>
        </w:rPr>
        <w:t>4 % of its total climate action (compared to EUR 1</w:t>
      </w:r>
      <w:r w:rsidR="00DC78B8" w:rsidRPr="00B63AEA">
        <w:rPr>
          <w:szCs w:val="24"/>
        </w:rPr>
        <w:t>,</w:t>
      </w:r>
      <w:r w:rsidR="008D6C36" w:rsidRPr="00B63AEA">
        <w:rPr>
          <w:szCs w:val="24"/>
        </w:rPr>
        <w:t>9 billion, or 5</w:t>
      </w:r>
      <w:r w:rsidR="00DC78B8" w:rsidRPr="00B63AEA">
        <w:rPr>
          <w:szCs w:val="24"/>
        </w:rPr>
        <w:t>,</w:t>
      </w:r>
      <w:r w:rsidR="008D6C36" w:rsidRPr="00B63AEA">
        <w:rPr>
          <w:szCs w:val="24"/>
        </w:rPr>
        <w:t>4 %, in 2022); welcomes that climate action and environmental sustainability financing, as a whole, accounted for 60 % of EIB financing in 2023; calls for maintaining technological neutrality in its investment strategy in climate and sustainable financing;</w:t>
      </w:r>
    </w:p>
    <w:p w14:paraId="6226BFC8" w14:textId="4C36325C" w:rsidR="008D6C36" w:rsidRPr="00B63AEA" w:rsidRDefault="00A07CF4" w:rsidP="008D6C36">
      <w:pPr>
        <w:pStyle w:val="NormalHanging12a"/>
        <w:rPr>
          <w:szCs w:val="24"/>
        </w:rPr>
      </w:pPr>
      <w:r>
        <w:rPr>
          <w:szCs w:val="24"/>
        </w:rPr>
        <w:t>53</w:t>
      </w:r>
      <w:r w:rsidR="008D6C36" w:rsidRPr="00B63AEA">
        <w:rPr>
          <w:szCs w:val="24"/>
        </w:rPr>
        <w:t>.</w:t>
      </w:r>
      <w:r w:rsidR="008D6C36" w:rsidRPr="00B63AEA">
        <w:rPr>
          <w:szCs w:val="24"/>
        </w:rPr>
        <w:tab/>
        <w:t>Recalls that the EIB Energy Lending Policy (ELP), adopted in 2019, established a ‘phase out support to energy projects reliant on unabated fossil fuels’ and introduced a transition period during which the Bank could continue to approve projects already under appraisal, but the Board of Directors did not approve any such project after the end of 2021; remarks that, in 2022, the EIB Group introduced a temporary and exceptional extension of the exemptions to the Paris Alignment for Counterparties Framework (so-called PATH) in support of REPowerEU, to cover projects with high innovative content and renewable energy projects and electric vehicle charging infrastructure in the EU; observes that, in 2023, the EIB Group decided to apply the same temporary and exceptional extension also for projects in the spirit of REPowerEU outside the EU; notes that such temporary and exceptional extensions are expected to run until 2027, subject to a Climate Bank roadmap review expected in 2025; recalls its previous resolution</w:t>
      </w:r>
      <w:r w:rsidR="008D6C36" w:rsidRPr="00B63AEA">
        <w:rPr>
          <w:rStyle w:val="FootnoteReference"/>
          <w:szCs w:val="24"/>
        </w:rPr>
        <w:footnoteReference w:id="5"/>
      </w:r>
      <w:r w:rsidR="008D6C36" w:rsidRPr="00B63AEA">
        <w:rPr>
          <w:szCs w:val="24"/>
        </w:rPr>
        <w:t xml:space="preserve"> and maintains that PATH offers the appropriate framework for supporting counterparties on their pathways to align with the Paris Agreement objectives; emphasises that the EIB is expected to intensify its engagement with all of its clients to foster the development of their decarbonisation plans;</w:t>
      </w:r>
    </w:p>
    <w:p w14:paraId="039850FF" w14:textId="5636CC96" w:rsidR="008D6C36" w:rsidRPr="00B63AEA" w:rsidRDefault="00A07CF4" w:rsidP="008D6C36">
      <w:pPr>
        <w:pStyle w:val="NormalHanging12a"/>
        <w:rPr>
          <w:szCs w:val="24"/>
        </w:rPr>
      </w:pPr>
      <w:r>
        <w:rPr>
          <w:szCs w:val="24"/>
        </w:rPr>
        <w:t>54</w:t>
      </w:r>
      <w:r w:rsidR="008D6C36" w:rsidRPr="00B63AEA">
        <w:rPr>
          <w:szCs w:val="24"/>
        </w:rPr>
        <w:t>.</w:t>
      </w:r>
      <w:r w:rsidR="008D6C36" w:rsidRPr="00B63AEA">
        <w:rPr>
          <w:szCs w:val="24"/>
        </w:rPr>
        <w:tab/>
        <w:t>Notes the EIB Group Climate Bank Roadmap mid-term review, approved in 2023, which includes a simplified Paris Alignment framework for microenterprises, the revision of the PATH framework’s disclosure requirements for financial intermediaries and a temporary extension of the list of countries in which the EIB can act as a sole financier of climate adaptation projects due to their particular vulnerability to climate change;</w:t>
      </w:r>
    </w:p>
    <w:p w14:paraId="05680B5A" w14:textId="0F53762E" w:rsidR="008D6C36" w:rsidRPr="00B63AEA" w:rsidRDefault="00A07CF4" w:rsidP="008D6C36">
      <w:pPr>
        <w:pStyle w:val="NormalHanging12a"/>
        <w:rPr>
          <w:szCs w:val="24"/>
        </w:rPr>
      </w:pPr>
      <w:r>
        <w:rPr>
          <w:szCs w:val="24"/>
        </w:rPr>
        <w:t>55</w:t>
      </w:r>
      <w:r w:rsidR="008D6C36" w:rsidRPr="00B63AEA">
        <w:rPr>
          <w:szCs w:val="24"/>
        </w:rPr>
        <w:t>.</w:t>
      </w:r>
      <w:r w:rsidR="008D6C36" w:rsidRPr="00B63AEA">
        <w:rPr>
          <w:szCs w:val="24"/>
        </w:rPr>
        <w:tab/>
        <w:t>Welcomes the EIB Group’s inclusion of agriculture and bioeconomy among its key priorities, but notes that agriculture, fisheries and forestry received only 1</w:t>
      </w:r>
      <w:r w:rsidR="00DC78B8" w:rsidRPr="00B63AEA">
        <w:rPr>
          <w:szCs w:val="24"/>
        </w:rPr>
        <w:t>,</w:t>
      </w:r>
      <w:r w:rsidR="008D6C36" w:rsidRPr="00B63AEA">
        <w:rPr>
          <w:szCs w:val="24"/>
        </w:rPr>
        <w:t>1 % of the EIB’s lending stock in 2023; considers it important for the EIB to programme significant amounts for financing the agricultural sector and through simplified procedures;</w:t>
      </w:r>
    </w:p>
    <w:p w14:paraId="03881E77" w14:textId="0FE97477" w:rsidR="008D6C36" w:rsidRPr="00B63AEA" w:rsidRDefault="00A07CF4" w:rsidP="008D6C36">
      <w:pPr>
        <w:pStyle w:val="NormalHanging12a"/>
        <w:rPr>
          <w:szCs w:val="24"/>
        </w:rPr>
      </w:pPr>
      <w:r>
        <w:rPr>
          <w:szCs w:val="24"/>
        </w:rPr>
        <w:t>56</w:t>
      </w:r>
      <w:r w:rsidR="008D6C36" w:rsidRPr="00B63AEA">
        <w:rPr>
          <w:szCs w:val="24"/>
        </w:rPr>
        <w:t>.</w:t>
      </w:r>
      <w:r w:rsidR="008D6C36" w:rsidRPr="00B63AEA">
        <w:rPr>
          <w:szCs w:val="24"/>
        </w:rPr>
        <w:tab/>
        <w:t xml:space="preserve">Underlines that agriculture is a key driver of growth and development in rural areas; acknowledges the increasing challenges faced by the agricultural sector and the need for EU farmers to adapt to the European Green Deal objectives, cope with the energy crisis and manage rising inflation; calls on the EIB Group to enhance support and foster </w:t>
      </w:r>
      <w:r w:rsidR="008D6C36" w:rsidRPr="00B63AEA">
        <w:rPr>
          <w:szCs w:val="24"/>
        </w:rPr>
        <w:lastRenderedPageBreak/>
        <w:t>innovation for this vital sector, which plays a significant role in ensuring food security, leveraging the EU’s One Health approach by integrating human, animal, plant and environmental health to create sustainable, resilient and productive agri-food systems; highlights the financial challenges faced by farmers, particularly young and small operators, noting that farmers and the enterprises in this sector experience lower success rates when applying for financing;</w:t>
      </w:r>
    </w:p>
    <w:p w14:paraId="18057980" w14:textId="0A25C416" w:rsidR="008D6C36" w:rsidRPr="00B63AEA" w:rsidRDefault="00A07CF4" w:rsidP="008D6C36">
      <w:pPr>
        <w:pStyle w:val="NormalHanging12a"/>
        <w:rPr>
          <w:szCs w:val="24"/>
        </w:rPr>
      </w:pPr>
      <w:r w:rsidRPr="00B63AEA">
        <w:rPr>
          <w:szCs w:val="24"/>
        </w:rPr>
        <w:t>5</w:t>
      </w:r>
      <w:r>
        <w:rPr>
          <w:szCs w:val="24"/>
        </w:rPr>
        <w:t>7</w:t>
      </w:r>
      <w:r w:rsidR="008D6C36" w:rsidRPr="00B63AEA">
        <w:rPr>
          <w:szCs w:val="24"/>
        </w:rPr>
        <w:t>.</w:t>
      </w:r>
      <w:r w:rsidR="008D6C36" w:rsidRPr="00B63AEA">
        <w:rPr>
          <w:szCs w:val="24"/>
        </w:rPr>
        <w:tab/>
        <w:t>Stresses that EIB support should have a just transition approach in order to achieve sustainable agriculture that protects the environment, human health and animal welfare, while improving farmers’ livelihoods, in particular for small and medium-sized farms; maintains that supporting rural areas is essential for promoting balanced and inclusive development, generational renewal and equal access to financial opportunities for women and men; reiterates its call on the EIB Group to increase its involvement in the agricultural sector by improving access to funding;</w:t>
      </w:r>
    </w:p>
    <w:p w14:paraId="2512D4CE" w14:textId="65E04513" w:rsidR="008D6C36" w:rsidRPr="00B63AEA" w:rsidRDefault="00A07CF4" w:rsidP="008D6C36">
      <w:pPr>
        <w:pStyle w:val="NormalHanging12a"/>
        <w:rPr>
          <w:szCs w:val="24"/>
        </w:rPr>
      </w:pPr>
      <w:r w:rsidRPr="00B63AEA">
        <w:rPr>
          <w:szCs w:val="24"/>
        </w:rPr>
        <w:t>5</w:t>
      </w:r>
      <w:r>
        <w:rPr>
          <w:szCs w:val="24"/>
        </w:rPr>
        <w:t>8</w:t>
      </w:r>
      <w:r w:rsidR="008D6C36" w:rsidRPr="00B63AEA">
        <w:rPr>
          <w:szCs w:val="24"/>
        </w:rPr>
        <w:t>.</w:t>
      </w:r>
      <w:r w:rsidR="008D6C36" w:rsidRPr="00B63AEA">
        <w:rPr>
          <w:szCs w:val="24"/>
        </w:rPr>
        <w:tab/>
        <w:t>Appreciates that the EIB Group is one of the key supporters of digitalisation in the EU, particularly in financing digital infrastructure and supporting innovative digital start-ups; encourages the EIB to enhance its support for digital networks strengthening the EU’s technological autonomy and innovation in key technologies;</w:t>
      </w:r>
    </w:p>
    <w:p w14:paraId="5E7AAA3E" w14:textId="67C6D5DF" w:rsidR="008D6C36" w:rsidRPr="00B63AEA" w:rsidRDefault="00A07CF4" w:rsidP="008D6C36">
      <w:pPr>
        <w:pStyle w:val="NormalHanging12a"/>
        <w:rPr>
          <w:szCs w:val="24"/>
        </w:rPr>
      </w:pPr>
      <w:r w:rsidRPr="00B63AEA">
        <w:rPr>
          <w:szCs w:val="24"/>
        </w:rPr>
        <w:t>5</w:t>
      </w:r>
      <w:r>
        <w:rPr>
          <w:szCs w:val="24"/>
        </w:rPr>
        <w:t>9</w:t>
      </w:r>
      <w:r w:rsidR="008D6C36" w:rsidRPr="00B63AEA">
        <w:rPr>
          <w:szCs w:val="24"/>
        </w:rPr>
        <w:t>.</w:t>
      </w:r>
      <w:r w:rsidR="008D6C36" w:rsidRPr="00B63AEA">
        <w:rPr>
          <w:szCs w:val="24"/>
        </w:rPr>
        <w:tab/>
        <w:t>Believes that reducing digital inequality and preventing social exclusion requires significant public investment in telecommunications infrastructure, particularly in rural areas; encourages the EIB to support European citizens in acquiring adequate digital literacy to fully participate in society, with a special focus on the elderly and those with disabilities;</w:t>
      </w:r>
    </w:p>
    <w:p w14:paraId="22E1EA56" w14:textId="5207C266" w:rsidR="008D6C36" w:rsidRPr="00B63AEA" w:rsidRDefault="00A07CF4" w:rsidP="008D6C36">
      <w:pPr>
        <w:pStyle w:val="NormalHanging12a"/>
        <w:rPr>
          <w:szCs w:val="24"/>
        </w:rPr>
      </w:pPr>
      <w:r>
        <w:rPr>
          <w:szCs w:val="24"/>
        </w:rPr>
        <w:t>60</w:t>
      </w:r>
      <w:r w:rsidR="008D6C36" w:rsidRPr="00B63AEA">
        <w:rPr>
          <w:szCs w:val="24"/>
        </w:rPr>
        <w:t>.</w:t>
      </w:r>
      <w:r w:rsidR="008D6C36" w:rsidRPr="00B63AEA">
        <w:rPr>
          <w:szCs w:val="24"/>
        </w:rPr>
        <w:tab/>
        <w:t>Recognises the critical role of the cybersecurity sector in protecting businesses and governments from advanced digital threats and foreign influence; welcomes the increase in security investments from EUR 6 billion to EUR 8 billion, financed through the SESI to address security challenges, including those in the New Space industry;</w:t>
      </w:r>
    </w:p>
    <w:p w14:paraId="4FE7A89A" w14:textId="0EB99C99" w:rsidR="008D6C36" w:rsidRPr="00B63AEA" w:rsidRDefault="00A07CF4" w:rsidP="008D6C36">
      <w:pPr>
        <w:pStyle w:val="NormalHanging12a"/>
        <w:rPr>
          <w:szCs w:val="24"/>
        </w:rPr>
      </w:pPr>
      <w:r>
        <w:rPr>
          <w:szCs w:val="24"/>
        </w:rPr>
        <w:t>61</w:t>
      </w:r>
      <w:r w:rsidR="008D6C36" w:rsidRPr="00B63AEA">
        <w:rPr>
          <w:szCs w:val="24"/>
        </w:rPr>
        <w:t>.</w:t>
      </w:r>
      <w:r w:rsidR="008D6C36" w:rsidRPr="00B63AEA">
        <w:rPr>
          <w:szCs w:val="24"/>
        </w:rPr>
        <w:tab/>
        <w:t>Welcomes the EIB’s focus on gender equality and women’s economic empowerment, resulting in a total of EUR 5</w:t>
      </w:r>
      <w:r w:rsidR="00DC78B8" w:rsidRPr="00B63AEA">
        <w:rPr>
          <w:szCs w:val="24"/>
        </w:rPr>
        <w:t>,</w:t>
      </w:r>
      <w:r w:rsidR="008D6C36" w:rsidRPr="00B63AEA">
        <w:rPr>
          <w:szCs w:val="24"/>
        </w:rPr>
        <w:t>8 billion in investment in this field in 2023 (compared to EUR 5</w:t>
      </w:r>
      <w:r w:rsidR="00DC78B8" w:rsidRPr="00B63AEA">
        <w:rPr>
          <w:szCs w:val="24"/>
        </w:rPr>
        <w:t>,</w:t>
      </w:r>
      <w:r w:rsidR="008D6C36" w:rsidRPr="00B63AEA">
        <w:rPr>
          <w:szCs w:val="24"/>
        </w:rPr>
        <w:t>1 billion in 2022); believes that the EIB could further increase microfinance loans to women-led businesses, which still face discrimination in access to financing;</w:t>
      </w:r>
    </w:p>
    <w:p w14:paraId="053C011A" w14:textId="01B94F62" w:rsidR="008D6C36" w:rsidRPr="00B63AEA" w:rsidRDefault="00A07CF4" w:rsidP="008D6C36">
      <w:pPr>
        <w:pStyle w:val="NormalHanging12a"/>
        <w:rPr>
          <w:szCs w:val="24"/>
        </w:rPr>
      </w:pPr>
      <w:r>
        <w:rPr>
          <w:szCs w:val="24"/>
        </w:rPr>
        <w:t>62</w:t>
      </w:r>
      <w:r w:rsidR="008D6C36" w:rsidRPr="00B63AEA">
        <w:rPr>
          <w:szCs w:val="24"/>
        </w:rPr>
        <w:t>.</w:t>
      </w:r>
      <w:r w:rsidR="008D6C36" w:rsidRPr="00B63AEA">
        <w:rPr>
          <w:szCs w:val="24"/>
        </w:rPr>
        <w:tab/>
        <w:t>Highlights that the security of supply of critical raw materials is crucial for both the green and digital transitions, as well as for the defence sector and the EU industrial base in general; calls on the EIB to increase investments in the CRM sector to help diversify the supply of both primary and secondary raw materials and to develop circular economy solutions, in particular R&amp;D for alternative materials, such as bio-based materials; welcomes, in this regard, the adoption on 21 March 2025 of a new CRM strategic initiative, with an expected EUR 2 billion in financing for CRM investment in 2025, a new CRM Task Force and a dedicated one-stop shop to build and manage a pipeline of CRM operations and advisory activities and increased technical expertise and partnerships;</w:t>
      </w:r>
    </w:p>
    <w:p w14:paraId="6A02FE29" w14:textId="77777777" w:rsidR="008D6C36" w:rsidRPr="00B63AEA" w:rsidRDefault="008D6C36" w:rsidP="008D6C36">
      <w:pPr>
        <w:pStyle w:val="Normal12a24b"/>
        <w:spacing w:before="0"/>
        <w:rPr>
          <w:szCs w:val="24"/>
        </w:rPr>
      </w:pPr>
      <w:r w:rsidRPr="00B63AEA">
        <w:rPr>
          <w:rStyle w:val="BoldItalic"/>
          <w:szCs w:val="24"/>
        </w:rPr>
        <w:t xml:space="preserve">The EIB’s activities outside the EU </w:t>
      </w:r>
    </w:p>
    <w:p w14:paraId="0FDD622F" w14:textId="3D27261D" w:rsidR="008D6C36" w:rsidRPr="00B63AEA" w:rsidRDefault="00A07CF4" w:rsidP="008D6C36">
      <w:pPr>
        <w:pStyle w:val="NormalHanging12a"/>
        <w:rPr>
          <w:b/>
        </w:rPr>
      </w:pPr>
      <w:r>
        <w:t>63</w:t>
      </w:r>
      <w:r w:rsidR="008D6C36" w:rsidRPr="00B63AEA">
        <w:t>.</w:t>
      </w:r>
      <w:r w:rsidR="008D6C36" w:rsidRPr="00B63AEA">
        <w:tab/>
        <w:t>Underlines that in EIB Global’s second year of existence, it provided financing amounting to EUR 8</w:t>
      </w:r>
      <w:r w:rsidR="00DC78B8" w:rsidRPr="00B63AEA">
        <w:t>,</w:t>
      </w:r>
      <w:r w:rsidR="008D6C36" w:rsidRPr="00B63AEA">
        <w:t>4 billion (compared to EUR 9</w:t>
      </w:r>
      <w:r w:rsidR="00DC78B8" w:rsidRPr="00B63AEA">
        <w:t>,</w:t>
      </w:r>
      <w:r w:rsidR="008D6C36" w:rsidRPr="00B63AEA">
        <w:t xml:space="preserve">1 billion in 2022); notes that, as EIB </w:t>
      </w:r>
      <w:r w:rsidR="008D6C36" w:rsidRPr="00B63AEA">
        <w:lastRenderedPageBreak/>
        <w:t xml:space="preserve">Global financing is </w:t>
      </w:r>
      <w:r w:rsidR="008D6C36" w:rsidRPr="00B63AEA">
        <w:rPr>
          <w:szCs w:val="24"/>
        </w:rPr>
        <w:t>limited</w:t>
      </w:r>
      <w:r w:rsidR="008D6C36" w:rsidRPr="00B63AEA">
        <w:t xml:space="preserve"> to 50 % of the total cost of a project, investment co-financing with development finance institutions and multilateral development banks is recurring; calls on the EIB and the Commission to invest in internal audit and independent control functions to guarantee the integrity and soundness of all operations;</w:t>
      </w:r>
    </w:p>
    <w:p w14:paraId="3B0C5F25" w14:textId="21EDF344" w:rsidR="008D6C36" w:rsidRPr="00B63AEA" w:rsidRDefault="00A07CF4" w:rsidP="008D6C36">
      <w:pPr>
        <w:pStyle w:val="NormalHanging12a"/>
      </w:pPr>
      <w:r>
        <w:t>64</w:t>
      </w:r>
      <w:r w:rsidR="008D6C36" w:rsidRPr="00B63AEA">
        <w:t>.</w:t>
      </w:r>
      <w:r w:rsidR="008D6C36" w:rsidRPr="00B63AEA">
        <w:tab/>
        <w:t>Recalls that EIB Global is among the key implementing actors of the European Global Gateway and, as such, is expected to apply the highest standards of transparency and accountability;</w:t>
      </w:r>
    </w:p>
    <w:p w14:paraId="64AADF83" w14:textId="409A422F" w:rsidR="008D6C36" w:rsidRPr="00B63AEA" w:rsidRDefault="00A07CF4" w:rsidP="008D6C36">
      <w:pPr>
        <w:pStyle w:val="NormalHanging12a"/>
      </w:pPr>
      <w:r>
        <w:t>65</w:t>
      </w:r>
      <w:r w:rsidR="008D6C36" w:rsidRPr="00B63AEA">
        <w:t>.</w:t>
      </w:r>
      <w:r w:rsidR="008D6C36" w:rsidRPr="00B63AEA">
        <w:tab/>
        <w:t xml:space="preserve">Notes the adoption by the EIB Board of Directors of the EIB Global Strategic Roadmap and its </w:t>
      </w:r>
      <w:r w:rsidR="008D6C36" w:rsidRPr="00B63AEA">
        <w:rPr>
          <w:szCs w:val="24"/>
        </w:rPr>
        <w:t>commitment</w:t>
      </w:r>
      <w:r w:rsidR="008D6C36" w:rsidRPr="00B63AEA">
        <w:t xml:space="preserve"> to respect and promote human rights and the rule of law in the projects it supports;</w:t>
      </w:r>
    </w:p>
    <w:p w14:paraId="0A4D92F6" w14:textId="78E9CDAD" w:rsidR="008D6C36" w:rsidRPr="00B63AEA" w:rsidRDefault="00A07CF4" w:rsidP="008D6C36">
      <w:pPr>
        <w:pStyle w:val="NormalHanging12a"/>
        <w:rPr>
          <w:bCs/>
          <w:iCs/>
          <w:szCs w:val="24"/>
        </w:rPr>
      </w:pPr>
      <w:r w:rsidRPr="00B63AEA">
        <w:rPr>
          <w:szCs w:val="24"/>
        </w:rPr>
        <w:t>6</w:t>
      </w:r>
      <w:r>
        <w:rPr>
          <w:szCs w:val="24"/>
        </w:rPr>
        <w:t>6</w:t>
      </w:r>
      <w:r w:rsidR="008D6C36" w:rsidRPr="00B63AEA">
        <w:rPr>
          <w:szCs w:val="24"/>
        </w:rPr>
        <w:t>.</w:t>
      </w:r>
      <w:r w:rsidR="008D6C36" w:rsidRPr="00B63AEA">
        <w:rPr>
          <w:szCs w:val="24"/>
        </w:rPr>
        <w:tab/>
        <w:t>Highlights the importance of ensuring that the EIB Group’s interventions in Ukraine are guided by the priorities for the country’s reconstruction agreed with the EU, and are consistent with the methods and frameworks laid out in the Ukraine Plan and with the provisions of the EU Treaties; notes that the EIB is further enhancing its efforts to address fraud and corruption in relation to the EIB Group projects implemented in Ukraine; calls for the continued application of appropriate conditionality on the financial assistance provided to Ukraine, with a focus on ensuring effective oversight mechanisms, such as access to information and premises, and the monitoring of visits,</w:t>
      </w:r>
      <w:r w:rsidR="008D6C36" w:rsidRPr="00B63AEA">
        <w:rPr>
          <w:bCs/>
          <w:iCs/>
          <w:szCs w:val="24"/>
        </w:rPr>
        <w:t xml:space="preserve"> and calls for conditionality to be extended to all non-EU countries for which it provides financing;</w:t>
      </w:r>
    </w:p>
    <w:p w14:paraId="5D0BB032" w14:textId="3C84666D" w:rsidR="008D6C36" w:rsidRPr="00B63AEA" w:rsidRDefault="00A07CF4" w:rsidP="008D6C36">
      <w:pPr>
        <w:pStyle w:val="NormalHanging12a"/>
      </w:pPr>
      <w:r w:rsidRPr="00B63AEA">
        <w:t>6</w:t>
      </w:r>
      <w:r>
        <w:t>7</w:t>
      </w:r>
      <w:r w:rsidR="008D6C36" w:rsidRPr="00B63AEA">
        <w:t>.</w:t>
      </w:r>
      <w:r w:rsidR="008D6C36" w:rsidRPr="00B63AEA">
        <w:tab/>
        <w:t xml:space="preserve">Urges the strengthening of the administrative and audit capacity of Ukrainian authorities responsible for implementing, monitoring, controlling and supervising funded actions, in particular </w:t>
      </w:r>
      <w:r w:rsidR="008D6C36" w:rsidRPr="00B63AEA">
        <w:rPr>
          <w:szCs w:val="24"/>
        </w:rPr>
        <w:t>for</w:t>
      </w:r>
      <w:r w:rsidR="008D6C36" w:rsidRPr="00B63AEA">
        <w:t xml:space="preserve"> the prevention of fraud, corruption, conflicts of interest and irregularities; reiterates that the EIB should have clear and unrestricted oversight at all times;</w:t>
      </w:r>
    </w:p>
    <w:p w14:paraId="24735D49" w14:textId="3E5A31C0" w:rsidR="008D6C36" w:rsidRPr="00B63AEA" w:rsidRDefault="00A07CF4" w:rsidP="008D6C36">
      <w:pPr>
        <w:pStyle w:val="NormalHanging12a"/>
        <w:rPr>
          <w:szCs w:val="24"/>
        </w:rPr>
      </w:pPr>
      <w:r w:rsidRPr="00B63AEA">
        <w:rPr>
          <w:szCs w:val="24"/>
        </w:rPr>
        <w:t>6</w:t>
      </w:r>
      <w:r>
        <w:rPr>
          <w:szCs w:val="24"/>
        </w:rPr>
        <w:t>8</w:t>
      </w:r>
      <w:r w:rsidR="008D6C36" w:rsidRPr="00B63AEA">
        <w:rPr>
          <w:szCs w:val="24"/>
        </w:rPr>
        <w:t>.</w:t>
      </w:r>
      <w:r w:rsidR="008D6C36" w:rsidRPr="00B63AEA">
        <w:rPr>
          <w:szCs w:val="24"/>
        </w:rPr>
        <w:tab/>
        <w:t>Believes that a greater role for the EIB will bring added value for both the reconstruction of Ukraine and the enlargement process and for prospective partnerships under the EU’s Global Gateway agenda and neighbourhood policy and in support of the Sustainable Development Goals; encourages the Commission to maximise cooperation with the EIB to leverage the EU’s strategic autonomy, particularly on energy and raw materials;</w:t>
      </w:r>
    </w:p>
    <w:p w14:paraId="78CE7B4E" w14:textId="25335789" w:rsidR="008D6C36" w:rsidRPr="00B63AEA" w:rsidRDefault="00A07CF4" w:rsidP="008D6C36">
      <w:pPr>
        <w:pStyle w:val="NormalHanging12a"/>
      </w:pPr>
      <w:r w:rsidRPr="00B63AEA">
        <w:t>6</w:t>
      </w:r>
      <w:r>
        <w:t>9</w:t>
      </w:r>
      <w:r w:rsidR="008D6C36" w:rsidRPr="00B63AEA">
        <w:t>.</w:t>
      </w:r>
      <w:r w:rsidR="008D6C36" w:rsidRPr="00B63AEA">
        <w:tab/>
        <w:t xml:space="preserve">Welcomes the adoption, in 2024, of the Ukraine Facility, which follows the EIB’s EU </w:t>
      </w:r>
      <w:r w:rsidR="008D6C36" w:rsidRPr="00B63AEA">
        <w:rPr>
          <w:szCs w:val="24"/>
        </w:rPr>
        <w:t>for</w:t>
      </w:r>
      <w:r w:rsidR="008D6C36" w:rsidRPr="00B63AEA">
        <w:t xml:space="preserve"> Ukraine (EU4U) initiative and establishes a support mechanism based on EU budget resources; encourages the Member States to ensure that solid support continues to be provided to the country, in line with its needs;</w:t>
      </w:r>
    </w:p>
    <w:p w14:paraId="245D4B9C" w14:textId="3DB1F2DE" w:rsidR="008D6C36" w:rsidRPr="00B63AEA" w:rsidRDefault="00A07CF4" w:rsidP="008D6C36">
      <w:pPr>
        <w:pStyle w:val="NormalHanging12a"/>
        <w:rPr>
          <w:rFonts w:eastAsiaTheme="minorEastAsia"/>
          <w:b/>
          <w:szCs w:val="24"/>
          <w:lang w:eastAsia="en-GB"/>
        </w:rPr>
      </w:pPr>
      <w:r>
        <w:rPr>
          <w:rFonts w:eastAsiaTheme="minorEastAsia"/>
          <w:szCs w:val="24"/>
          <w:lang w:eastAsia="en-GB"/>
        </w:rPr>
        <w:t>70</w:t>
      </w:r>
      <w:r w:rsidR="008D6C36" w:rsidRPr="00B63AEA">
        <w:rPr>
          <w:rFonts w:eastAsiaTheme="minorEastAsia"/>
          <w:szCs w:val="24"/>
          <w:lang w:eastAsia="en-GB"/>
        </w:rPr>
        <w:t>.</w:t>
      </w:r>
      <w:r w:rsidR="008D6C36" w:rsidRPr="00B63AEA">
        <w:rPr>
          <w:rFonts w:eastAsiaTheme="minorEastAsia"/>
          <w:szCs w:val="24"/>
          <w:lang w:eastAsia="en-GB"/>
        </w:rPr>
        <w:tab/>
        <w:t>Stresses that, in order to support Ukraine, the EIB has built up a loan portfolio of over EUR 7 billion since the beginning of the conflict with Russia in 2014; underlines that, as of 31 December 2023, the EIB’s exposure (disbursed and not yet disbursed) amounted to EUR 5</w:t>
      </w:r>
      <w:r w:rsidR="00DC78B8" w:rsidRPr="00B63AEA">
        <w:rPr>
          <w:rFonts w:eastAsiaTheme="minorEastAsia"/>
          <w:szCs w:val="24"/>
          <w:lang w:eastAsia="en-GB"/>
        </w:rPr>
        <w:t>,</w:t>
      </w:r>
      <w:r w:rsidR="008D6C36" w:rsidRPr="00B63AEA">
        <w:rPr>
          <w:rFonts w:eastAsiaTheme="minorEastAsia"/>
          <w:szCs w:val="24"/>
          <w:lang w:eastAsia="en-GB"/>
        </w:rPr>
        <w:t xml:space="preserve">750 billion, </w:t>
      </w:r>
      <w:r w:rsidR="008D6C36" w:rsidRPr="00B63AEA">
        <w:rPr>
          <w:szCs w:val="24"/>
        </w:rPr>
        <w:t>predominantly</w:t>
      </w:r>
      <w:r w:rsidR="008D6C36" w:rsidRPr="00B63AEA">
        <w:rPr>
          <w:rFonts w:eastAsiaTheme="minorEastAsia"/>
          <w:szCs w:val="24"/>
          <w:lang w:eastAsia="en-GB"/>
        </w:rPr>
        <w:t xml:space="preserve"> covered by EU guarantees under the External Lending Mandate; notes that, in addition, the Bank also granted financial guarantees on exposures to counterparties located in Ukraine, fully covered by EU Comprehensive Guarantees, for a signed amount of EUR 388</w:t>
      </w:r>
      <w:r w:rsidR="00DC78B8" w:rsidRPr="00B63AEA">
        <w:rPr>
          <w:rFonts w:eastAsiaTheme="minorEastAsia"/>
          <w:szCs w:val="24"/>
          <w:lang w:eastAsia="en-GB"/>
        </w:rPr>
        <w:t>,</w:t>
      </w:r>
      <w:r w:rsidR="008D6C36" w:rsidRPr="00B63AEA">
        <w:rPr>
          <w:rFonts w:eastAsiaTheme="minorEastAsia"/>
          <w:szCs w:val="24"/>
          <w:lang w:eastAsia="en-GB"/>
        </w:rPr>
        <w:t>7 million at the end of 2023 (compared to EUR 478</w:t>
      </w:r>
      <w:r w:rsidR="00DC78B8" w:rsidRPr="00B63AEA">
        <w:rPr>
          <w:rFonts w:eastAsiaTheme="minorEastAsia"/>
          <w:szCs w:val="24"/>
          <w:lang w:eastAsia="en-GB"/>
        </w:rPr>
        <w:t>,</w:t>
      </w:r>
      <w:r w:rsidR="008D6C36" w:rsidRPr="00B63AEA">
        <w:rPr>
          <w:rFonts w:eastAsiaTheme="minorEastAsia"/>
          <w:szCs w:val="24"/>
          <w:lang w:eastAsia="en-GB"/>
        </w:rPr>
        <w:t>8 million at the end of 2022);</w:t>
      </w:r>
    </w:p>
    <w:p w14:paraId="2A2A6548" w14:textId="6EBF0F27" w:rsidR="008D6C36" w:rsidRPr="00B63AEA" w:rsidRDefault="00A07CF4" w:rsidP="008D6C36">
      <w:pPr>
        <w:pStyle w:val="NormalHanging12a"/>
        <w:rPr>
          <w:rFonts w:eastAsiaTheme="minorEastAsia"/>
          <w:szCs w:val="24"/>
          <w:lang w:eastAsia="en-GB"/>
        </w:rPr>
      </w:pPr>
      <w:r>
        <w:rPr>
          <w:rFonts w:eastAsiaTheme="minorEastAsia"/>
          <w:szCs w:val="24"/>
          <w:lang w:eastAsia="en-GB"/>
        </w:rPr>
        <w:lastRenderedPageBreak/>
        <w:t>71</w:t>
      </w:r>
      <w:r w:rsidR="008D6C36" w:rsidRPr="00B63AEA">
        <w:rPr>
          <w:rFonts w:eastAsiaTheme="minorEastAsia"/>
          <w:szCs w:val="24"/>
          <w:lang w:eastAsia="en-GB"/>
        </w:rPr>
        <w:t>.</w:t>
      </w:r>
      <w:r w:rsidR="008D6C36" w:rsidRPr="00B63AEA">
        <w:rPr>
          <w:rFonts w:eastAsiaTheme="minorEastAsia"/>
          <w:szCs w:val="24"/>
          <w:lang w:eastAsia="en-GB"/>
        </w:rPr>
        <w:tab/>
        <w:t xml:space="preserve">Notes the growing financial engagement of the EIB in Ukraine; calls on the Bank to provide </w:t>
      </w:r>
      <w:r w:rsidR="008D6C36" w:rsidRPr="00B63AEA">
        <w:rPr>
          <w:szCs w:val="24"/>
        </w:rPr>
        <w:t>regular</w:t>
      </w:r>
      <w:r w:rsidR="008D6C36" w:rsidRPr="00B63AEA">
        <w:rPr>
          <w:rFonts w:eastAsiaTheme="minorEastAsia"/>
          <w:szCs w:val="24"/>
          <w:lang w:eastAsia="en-GB"/>
        </w:rPr>
        <w:t>, detailed updates to the budgetary authority and relevant audit bodies regarding the disbursement and implementation of funds covered by EU guarantees;</w:t>
      </w:r>
    </w:p>
    <w:p w14:paraId="377C4B2E" w14:textId="32B54993" w:rsidR="008D6C36" w:rsidRPr="00B63AEA" w:rsidRDefault="00A07CF4" w:rsidP="008D6C36">
      <w:pPr>
        <w:pStyle w:val="NormalHanging12a"/>
        <w:rPr>
          <w:rFonts w:eastAsiaTheme="minorEastAsia"/>
          <w:szCs w:val="24"/>
          <w:lang w:eastAsia="en-GB"/>
        </w:rPr>
      </w:pPr>
      <w:r>
        <w:rPr>
          <w:rFonts w:eastAsiaTheme="minorEastAsia"/>
          <w:szCs w:val="24"/>
          <w:lang w:eastAsia="en-GB"/>
        </w:rPr>
        <w:t>72</w:t>
      </w:r>
      <w:r w:rsidR="008D6C36" w:rsidRPr="00B63AEA">
        <w:rPr>
          <w:rFonts w:eastAsiaTheme="minorEastAsia"/>
          <w:szCs w:val="24"/>
          <w:lang w:eastAsia="en-GB"/>
        </w:rPr>
        <w:t>.</w:t>
      </w:r>
      <w:r w:rsidR="008D6C36" w:rsidRPr="00B63AEA">
        <w:rPr>
          <w:rFonts w:eastAsiaTheme="minorEastAsia"/>
          <w:szCs w:val="24"/>
          <w:lang w:eastAsia="en-GB"/>
        </w:rPr>
        <w:tab/>
        <w:t xml:space="preserve">Underlines the disproportionate impact of the Russian war of aggression against Ukraine on eastern EU regions bordering Russia and Belarus; draws attention to the costs borne by these regions and Member States as a result of their shared border with hostile </w:t>
      </w:r>
      <w:r w:rsidR="008D6C36" w:rsidRPr="00B63AEA">
        <w:rPr>
          <w:szCs w:val="24"/>
        </w:rPr>
        <w:t>neighbouring</w:t>
      </w:r>
      <w:r w:rsidR="008D6C36" w:rsidRPr="00B63AEA">
        <w:rPr>
          <w:rFonts w:eastAsiaTheme="minorEastAsia"/>
          <w:szCs w:val="24"/>
          <w:lang w:eastAsia="en-GB"/>
        </w:rPr>
        <w:t xml:space="preserve"> countries, notably their need to increasingly redirect public funds towards security, defence and preparedness, while dealing with severely reduced resources due to a disruption in economic activities, cross-border trade and other exchanges, and in cohesion programmes; calls on the EIB to take this into account in its financing decisions;</w:t>
      </w:r>
    </w:p>
    <w:p w14:paraId="365CFD40" w14:textId="6FD4505C" w:rsidR="008D6C36" w:rsidRPr="00B63AEA" w:rsidRDefault="00A07CF4" w:rsidP="008D6C36">
      <w:pPr>
        <w:pStyle w:val="NormalHanging12a"/>
        <w:rPr>
          <w:b/>
        </w:rPr>
      </w:pPr>
      <w:r>
        <w:t>73</w:t>
      </w:r>
      <w:r w:rsidR="008D6C36" w:rsidRPr="00B63AEA">
        <w:t>.</w:t>
      </w:r>
      <w:r w:rsidR="008D6C36" w:rsidRPr="00B63AEA">
        <w:tab/>
        <w:t xml:space="preserve">Welcomes the significant investments made in Moldova to support economic resilience, </w:t>
      </w:r>
      <w:r w:rsidR="008D6C36" w:rsidRPr="00B63AEA">
        <w:rPr>
          <w:szCs w:val="24"/>
        </w:rPr>
        <w:t>improving</w:t>
      </w:r>
      <w:r w:rsidR="008D6C36" w:rsidRPr="00B63AEA">
        <w:t xml:space="preserve"> energy security, enhancing infrastructure and aiding the country’s progress towards EU integration; acknowledges that in the Western Balkans, EIB Global invested EUR 1</w:t>
      </w:r>
      <w:r w:rsidR="00DC78B8" w:rsidRPr="00B63AEA">
        <w:t>,</w:t>
      </w:r>
      <w:r w:rsidR="008D6C36" w:rsidRPr="00B63AEA">
        <w:t>2 billion in 2023, plus an additional EUR 700 million to enhance road safety and improve railway networks; welcomes the adoption of the Reform and Growth Facility for the Western Balkans in 2024 and the Reform and Growth Facility for Moldova approved by the European Parliament;</w:t>
      </w:r>
    </w:p>
    <w:p w14:paraId="286C5C6A" w14:textId="3F1BCFF5" w:rsidR="008D6C36" w:rsidRPr="00B63AEA" w:rsidRDefault="00A07CF4" w:rsidP="008D6C36">
      <w:pPr>
        <w:pStyle w:val="NormalHanging12a"/>
      </w:pPr>
      <w:r>
        <w:t>74</w:t>
      </w:r>
      <w:r w:rsidR="008D6C36" w:rsidRPr="00B63AEA">
        <w:t>.</w:t>
      </w:r>
      <w:r w:rsidR="008D6C36" w:rsidRPr="00B63AEA">
        <w:tab/>
        <w:t>Recognises the role played by the EIB in supporting the Western Balkans on their path to Union membership, in line with the EU’s enlargement policy; observes that EIB Global invested EUR 1</w:t>
      </w:r>
      <w:r w:rsidR="00DC78B8" w:rsidRPr="00B63AEA">
        <w:t>,</w:t>
      </w:r>
      <w:r w:rsidR="008D6C36" w:rsidRPr="00B63AEA">
        <w:t xml:space="preserve">2 billion </w:t>
      </w:r>
      <w:r w:rsidR="008D6C36" w:rsidRPr="00B63AEA">
        <w:rPr>
          <w:szCs w:val="24"/>
        </w:rPr>
        <w:t>in</w:t>
      </w:r>
      <w:r w:rsidR="008D6C36" w:rsidRPr="00B63AEA">
        <w:t xml:space="preserve"> the Western Balkans in 2023, mobilising a total of over EUR 6 billion in investments; notes that the majority of the financing was allocated to sustainable connectivity, followed by credit lines for SMEs, infrastructure projects in the healthcare, education and skills sectors, and water supply and sanitation;</w:t>
      </w:r>
    </w:p>
    <w:p w14:paraId="60221204" w14:textId="2905D1A2" w:rsidR="008D6C36" w:rsidRPr="00B63AEA" w:rsidRDefault="00A07CF4" w:rsidP="008D6C36">
      <w:pPr>
        <w:pStyle w:val="NormalHanging12a"/>
      </w:pPr>
      <w:r w:rsidRPr="00B63AEA">
        <w:t>7</w:t>
      </w:r>
      <w:r>
        <w:t>5</w:t>
      </w:r>
      <w:r w:rsidR="008D6C36" w:rsidRPr="00B63AEA">
        <w:t>.</w:t>
      </w:r>
      <w:r w:rsidR="008D6C36" w:rsidRPr="00B63AEA">
        <w:tab/>
        <w:t xml:space="preserve">Asks the EIB to collaborate with other bilateral and multilateral institutions to develop and apply common </w:t>
      </w:r>
      <w:r w:rsidR="008D6C36" w:rsidRPr="00B63AEA">
        <w:rPr>
          <w:szCs w:val="24"/>
        </w:rPr>
        <w:t>methodologies</w:t>
      </w:r>
      <w:r w:rsidR="008D6C36" w:rsidRPr="00B63AEA">
        <w:t xml:space="preserve"> for development impact analysis, with a view to ensuring added value and long-term, positive impacts;</w:t>
      </w:r>
    </w:p>
    <w:p w14:paraId="161A168C" w14:textId="77777777" w:rsidR="008D6C36" w:rsidRPr="00B63AEA" w:rsidRDefault="008D6C36" w:rsidP="008D6C36">
      <w:pPr>
        <w:pStyle w:val="Normal12a24b"/>
        <w:spacing w:before="0"/>
        <w:rPr>
          <w:szCs w:val="24"/>
        </w:rPr>
      </w:pPr>
      <w:r w:rsidRPr="00B63AEA">
        <w:rPr>
          <w:rStyle w:val="BoldItalic"/>
          <w:szCs w:val="24"/>
        </w:rPr>
        <w:t>EIB accountability architecture</w:t>
      </w:r>
    </w:p>
    <w:p w14:paraId="01DFAC57" w14:textId="5F47EF58" w:rsidR="008D6C36" w:rsidRPr="00B63AEA" w:rsidRDefault="00A07CF4" w:rsidP="008D6C36">
      <w:pPr>
        <w:pStyle w:val="NormalHanging12a"/>
        <w:rPr>
          <w:szCs w:val="24"/>
        </w:rPr>
      </w:pPr>
      <w:r w:rsidRPr="00B63AEA">
        <w:rPr>
          <w:szCs w:val="24"/>
        </w:rPr>
        <w:t>7</w:t>
      </w:r>
      <w:r>
        <w:rPr>
          <w:szCs w:val="24"/>
        </w:rPr>
        <w:t>6</w:t>
      </w:r>
      <w:r w:rsidR="008D6C36" w:rsidRPr="00B63AEA">
        <w:rPr>
          <w:szCs w:val="24"/>
        </w:rPr>
        <w:t>.</w:t>
      </w:r>
      <w:r w:rsidR="008D6C36" w:rsidRPr="00B63AEA">
        <w:rPr>
          <w:szCs w:val="24"/>
        </w:rPr>
        <w:tab/>
        <w:t>Recalls that internal oversight at the EIB is headed by the Inspectorate General (IG), which comprises three accountability-related divisions – operations evaluation, the complaints mechanism and fraud investigation – that hold complementary roles, contributing to the consistent handling of allegations and complaints;</w:t>
      </w:r>
    </w:p>
    <w:p w14:paraId="7CE330E9" w14:textId="65B5E559" w:rsidR="008D6C36" w:rsidRPr="00B63AEA" w:rsidRDefault="00A07CF4" w:rsidP="008D6C36">
      <w:pPr>
        <w:pStyle w:val="NormalHanging12a"/>
        <w:rPr>
          <w:szCs w:val="24"/>
        </w:rPr>
      </w:pPr>
      <w:r w:rsidRPr="00B63AEA">
        <w:rPr>
          <w:szCs w:val="24"/>
        </w:rPr>
        <w:t>7</w:t>
      </w:r>
      <w:r>
        <w:rPr>
          <w:szCs w:val="24"/>
        </w:rPr>
        <w:t>7</w:t>
      </w:r>
      <w:r w:rsidR="008D6C36" w:rsidRPr="00B63AEA">
        <w:rPr>
          <w:szCs w:val="24"/>
        </w:rPr>
        <w:t>.</w:t>
      </w:r>
      <w:r w:rsidR="008D6C36" w:rsidRPr="00B63AEA">
        <w:rPr>
          <w:szCs w:val="24"/>
        </w:rPr>
        <w:tab/>
        <w:t>Observes that the EIB Complaints Mechanism (EIB-CM) handled a total of 104 cases in 2023 (97 in 2022); notes that 60 new complaints were received in 2023 (54 in 2022), of which 44 were considered admissible and 29 were related to EIB-financed projects, of which 27 were located outside Europe;</w:t>
      </w:r>
    </w:p>
    <w:p w14:paraId="32D85A67" w14:textId="0E2C7422" w:rsidR="008D6C36" w:rsidRPr="00B63AEA" w:rsidRDefault="00A07CF4" w:rsidP="008D6C36">
      <w:pPr>
        <w:pStyle w:val="NormalHanging12a"/>
        <w:rPr>
          <w:szCs w:val="24"/>
        </w:rPr>
      </w:pPr>
      <w:r w:rsidRPr="00B63AEA">
        <w:rPr>
          <w:szCs w:val="24"/>
        </w:rPr>
        <w:t>7</w:t>
      </w:r>
      <w:r>
        <w:rPr>
          <w:szCs w:val="24"/>
        </w:rPr>
        <w:t>8</w:t>
      </w:r>
      <w:r w:rsidR="008D6C36" w:rsidRPr="00B63AEA">
        <w:rPr>
          <w:szCs w:val="24"/>
        </w:rPr>
        <w:t>.</w:t>
      </w:r>
      <w:r w:rsidR="008D6C36" w:rsidRPr="00B63AEA">
        <w:rPr>
          <w:szCs w:val="24"/>
        </w:rPr>
        <w:tab/>
        <w:t>Notes that the EIB Procurement Complaints Committee is the independent EIB committee handling complaints about project procurement procedures relating to EIB-financed projects outside the EU;</w:t>
      </w:r>
    </w:p>
    <w:p w14:paraId="3110E049" w14:textId="5A6FE5EF" w:rsidR="008D6C36" w:rsidRPr="00B63AEA" w:rsidRDefault="00A07CF4" w:rsidP="008D6C36">
      <w:pPr>
        <w:pStyle w:val="NormalHanging12a"/>
        <w:rPr>
          <w:szCs w:val="24"/>
        </w:rPr>
      </w:pPr>
      <w:r w:rsidRPr="00B63AEA">
        <w:rPr>
          <w:szCs w:val="24"/>
        </w:rPr>
        <w:t>7</w:t>
      </w:r>
      <w:r>
        <w:rPr>
          <w:szCs w:val="24"/>
        </w:rPr>
        <w:t>9</w:t>
      </w:r>
      <w:r w:rsidR="008D6C36" w:rsidRPr="00B63AEA">
        <w:rPr>
          <w:szCs w:val="24"/>
        </w:rPr>
        <w:t>.</w:t>
      </w:r>
      <w:r w:rsidR="008D6C36" w:rsidRPr="00B63AEA">
        <w:rPr>
          <w:szCs w:val="24"/>
        </w:rPr>
        <w:tab/>
        <w:t xml:space="preserve">Welcomes the efforts of the Investigative Division (IG/IN) to cooperate and coordinate efforts with the other components of the EU’s anti-fraud architecture, in particular the European Anti-Fraud </w:t>
      </w:r>
      <w:r w:rsidR="008D6C36" w:rsidRPr="00B63AEA">
        <w:rPr>
          <w:rFonts w:eastAsiaTheme="minorEastAsia"/>
          <w:szCs w:val="24"/>
          <w:lang w:eastAsia="en-GB"/>
        </w:rPr>
        <w:t>Office (OLAF)</w:t>
      </w:r>
      <w:r w:rsidR="008D6C36" w:rsidRPr="00B63AEA">
        <w:rPr>
          <w:szCs w:val="24"/>
        </w:rPr>
        <w:t xml:space="preserve"> and the European Public Prosecutor’s Office </w:t>
      </w:r>
      <w:r w:rsidR="008D6C36" w:rsidRPr="00B63AEA">
        <w:rPr>
          <w:szCs w:val="24"/>
        </w:rPr>
        <w:lastRenderedPageBreak/>
        <w:t>(EPPO), which received 37</w:t>
      </w:r>
      <w:r w:rsidR="008D6C36" w:rsidRPr="00B63AEA">
        <w:t> </w:t>
      </w:r>
      <w:r w:rsidR="008D6C36" w:rsidRPr="00B63AEA">
        <w:rPr>
          <w:szCs w:val="24"/>
        </w:rPr>
        <w:t>% of the referrals made for investigations in 2023 (27 cases out of 74); encourages the IG/IN to strengthen its cooperation with all components of the EU’s anti-fraud architecture;</w:t>
      </w:r>
    </w:p>
    <w:p w14:paraId="6F791334" w14:textId="11D4FAC3" w:rsidR="008D6C36" w:rsidRPr="00B63AEA" w:rsidRDefault="00A07CF4" w:rsidP="008D6C36">
      <w:pPr>
        <w:pStyle w:val="NormalHanging12a"/>
        <w:rPr>
          <w:b/>
          <w:szCs w:val="24"/>
        </w:rPr>
      </w:pPr>
      <w:r>
        <w:rPr>
          <w:szCs w:val="24"/>
        </w:rPr>
        <w:t>80</w:t>
      </w:r>
      <w:r w:rsidR="008D6C36" w:rsidRPr="00B63AEA">
        <w:rPr>
          <w:szCs w:val="24"/>
        </w:rPr>
        <w:t>.</w:t>
      </w:r>
      <w:r w:rsidR="008D6C36" w:rsidRPr="00B63AEA">
        <w:rPr>
          <w:szCs w:val="24"/>
        </w:rPr>
        <w:tab/>
        <w:t xml:space="preserve">Notes that the IG/IN carries out proactive fraud detection activities using the Fraud and Integrity Risk Scoring Tool and the Corruption Risk In Procurement robot and that, in 2023, 24 reviews </w:t>
      </w:r>
      <w:r w:rsidR="008D6C36" w:rsidRPr="00B63AEA">
        <w:rPr>
          <w:rFonts w:eastAsiaTheme="minorEastAsia"/>
          <w:szCs w:val="24"/>
          <w:lang w:eastAsia="en-GB"/>
        </w:rPr>
        <w:t>identified</w:t>
      </w:r>
      <w:r w:rsidR="008D6C36" w:rsidRPr="00B63AEA">
        <w:rPr>
          <w:szCs w:val="24"/>
        </w:rPr>
        <w:t xml:space="preserve"> targets for three full and in-depth proactive integrity </w:t>
      </w:r>
      <w:r w:rsidR="008D6C36" w:rsidRPr="00B63AEA">
        <w:t>reviews; invites the Bank to assess how these digital tools could be further enhanced to support transparency and financial accountability;</w:t>
      </w:r>
    </w:p>
    <w:p w14:paraId="12E2A50F" w14:textId="32A4C4C3" w:rsidR="008D6C36" w:rsidRPr="00B63AEA" w:rsidRDefault="00A07CF4" w:rsidP="008D6C36">
      <w:pPr>
        <w:pStyle w:val="NormalHanging12a"/>
        <w:rPr>
          <w:szCs w:val="24"/>
        </w:rPr>
      </w:pPr>
      <w:r>
        <w:rPr>
          <w:szCs w:val="24"/>
        </w:rPr>
        <w:t>81</w:t>
      </w:r>
      <w:r w:rsidR="008D6C36" w:rsidRPr="00B63AEA">
        <w:rPr>
          <w:szCs w:val="24"/>
        </w:rPr>
        <w:t>.</w:t>
      </w:r>
      <w:r w:rsidR="008D6C36" w:rsidRPr="00B63AEA">
        <w:rPr>
          <w:szCs w:val="24"/>
        </w:rPr>
        <w:tab/>
        <w:t xml:space="preserve">Regrets the fact that, despite repeated calls by Parliament, the IG/IN annual report does not provide adequate information about the financial magnitude of the cases it handles, the funds or mandates affected, the kinds of projects concerned, the mitigating measures adopted, the role of the EIB services and of the intermediaries or partners in the cases, or even the Member States concerned; invites the representatives of the IG/IN to increase the level of engagement, interactions and transparency with Parliament, especially regarding the control of the financial activities; reiterates its call to the IG/IN to go </w:t>
      </w:r>
      <w:r w:rsidR="008D6C36" w:rsidRPr="00B63AEA">
        <w:rPr>
          <w:rFonts w:eastAsiaTheme="minorEastAsia"/>
          <w:szCs w:val="24"/>
          <w:lang w:eastAsia="en-GB"/>
        </w:rPr>
        <w:t>beyond</w:t>
      </w:r>
      <w:r w:rsidR="008D6C36" w:rsidRPr="00B63AEA">
        <w:rPr>
          <w:szCs w:val="24"/>
        </w:rPr>
        <w:t xml:space="preserve"> providing a mere narrative description of a few case studies, and to periodically report valuable insights into the extent to which financial interests are safeguarded; suggests that the IG/IN adopt a reporting model similar to those used by other investigative bodies, such as EPPO and OLAF, where a proper balance between transparency and duty of confidentiality or of professional secrecy is pursued;</w:t>
      </w:r>
    </w:p>
    <w:p w14:paraId="1BE2EAF9" w14:textId="761D2FF9" w:rsidR="008D6C36" w:rsidRPr="00B63AEA" w:rsidRDefault="00A07CF4" w:rsidP="008D6C36">
      <w:pPr>
        <w:pStyle w:val="NormalHanging12a"/>
        <w:rPr>
          <w:szCs w:val="24"/>
        </w:rPr>
      </w:pPr>
      <w:r>
        <w:rPr>
          <w:szCs w:val="24"/>
        </w:rPr>
        <w:t>82</w:t>
      </w:r>
      <w:r w:rsidR="008D6C36" w:rsidRPr="00B63AEA">
        <w:rPr>
          <w:szCs w:val="24"/>
        </w:rPr>
        <w:t>.</w:t>
      </w:r>
      <w:r w:rsidR="008D6C36" w:rsidRPr="00B63AEA">
        <w:rPr>
          <w:szCs w:val="24"/>
        </w:rPr>
        <w:tab/>
        <w:t>Is aware that the EIB Exclusion Policy provides for an autonomous exclusion process that is not fully equivalent to the Commission’s Early Detection and Exclusion System in terms of decision-making standards, results and remedies; reiterates its call on the EIB Group and the Commission to cooperate in identifying the potential gaps and proposing remedies, including an expedited procedure to enforce EIB exclusion decisions via the Early Detection and Exclusion System; observes that in 2023, exclusion proceedings based on IG/IN findings excluded five companies from participating in any EIB-financed activity for a period of five years;</w:t>
      </w:r>
    </w:p>
    <w:p w14:paraId="6B5D009C" w14:textId="58C65A11" w:rsidR="008D6C36" w:rsidRPr="00B63AEA" w:rsidRDefault="00A07CF4" w:rsidP="008D6C36">
      <w:pPr>
        <w:pStyle w:val="NormalHanging12a"/>
        <w:rPr>
          <w:szCs w:val="24"/>
        </w:rPr>
      </w:pPr>
      <w:r>
        <w:rPr>
          <w:szCs w:val="24"/>
        </w:rPr>
        <w:t>83</w:t>
      </w:r>
      <w:r w:rsidR="008D6C36" w:rsidRPr="00B63AEA">
        <w:rPr>
          <w:szCs w:val="24"/>
        </w:rPr>
        <w:t>.</w:t>
      </w:r>
      <w:r w:rsidR="008D6C36" w:rsidRPr="00B63AEA">
        <w:rPr>
          <w:szCs w:val="24"/>
        </w:rPr>
        <w:tab/>
        <w:t xml:space="preserve">Welcomes the approval, in 2023, of the EIB Group’s Internal Control Framework Policy; acknowledges the results of the group alignment process between the EIB and the EIF insofar as they </w:t>
      </w:r>
      <w:r w:rsidR="008D6C36" w:rsidRPr="00B63AEA">
        <w:rPr>
          <w:rFonts w:eastAsiaTheme="minorEastAsia"/>
          <w:szCs w:val="24"/>
          <w:lang w:eastAsia="en-GB"/>
        </w:rPr>
        <w:t>reflect</w:t>
      </w:r>
      <w:r w:rsidR="008D6C36" w:rsidRPr="00B63AEA">
        <w:rPr>
          <w:szCs w:val="24"/>
        </w:rPr>
        <w:t xml:space="preserve"> the different business models and governance structures of the two entities; refers, in particular, to the Audit Committee’s remarks that both internal audit and the internal control framework should evolve to become group functions;</w:t>
      </w:r>
    </w:p>
    <w:p w14:paraId="69ED5CAD" w14:textId="4C7A2CB2" w:rsidR="008D6C36" w:rsidRPr="00B63AEA" w:rsidRDefault="00A07CF4" w:rsidP="008D6C36">
      <w:pPr>
        <w:pStyle w:val="NormalHanging12a"/>
        <w:rPr>
          <w:szCs w:val="24"/>
        </w:rPr>
      </w:pPr>
      <w:r>
        <w:rPr>
          <w:szCs w:val="24"/>
        </w:rPr>
        <w:t>84</w:t>
      </w:r>
      <w:r w:rsidR="008D6C36" w:rsidRPr="00B63AEA">
        <w:rPr>
          <w:szCs w:val="24"/>
        </w:rPr>
        <w:t>.</w:t>
      </w:r>
      <w:r w:rsidR="008D6C36" w:rsidRPr="00B63AEA">
        <w:rPr>
          <w:szCs w:val="24"/>
        </w:rPr>
        <w:tab/>
        <w:t>Notes that the EIB’s independent external auditor is the third line of defence; points out that the regular rotation of auditors and assignments allows fresh perspectives, and therefore observes that the EIB external auditor should be rotated periodically, yet its mandate was extended until 2027 and it has been the auditor of the EIB Group since 2009;</w:t>
      </w:r>
    </w:p>
    <w:p w14:paraId="52094A5D" w14:textId="06117F6F" w:rsidR="008D6C36" w:rsidRPr="00B63AEA" w:rsidRDefault="00A07CF4" w:rsidP="008D6C36">
      <w:pPr>
        <w:pStyle w:val="NormalHanging12a"/>
        <w:rPr>
          <w:szCs w:val="24"/>
        </w:rPr>
      </w:pPr>
      <w:r w:rsidRPr="00B63AEA">
        <w:rPr>
          <w:szCs w:val="24"/>
        </w:rPr>
        <w:t>8</w:t>
      </w:r>
      <w:r>
        <w:rPr>
          <w:szCs w:val="24"/>
        </w:rPr>
        <w:t>5</w:t>
      </w:r>
      <w:r w:rsidR="008D6C36" w:rsidRPr="00B63AEA">
        <w:rPr>
          <w:szCs w:val="24"/>
        </w:rPr>
        <w:t>.</w:t>
      </w:r>
      <w:r w:rsidR="008D6C36" w:rsidRPr="00B63AEA">
        <w:rPr>
          <w:szCs w:val="24"/>
        </w:rPr>
        <w:tab/>
        <w:t>Appreciates that the EIB Group Risk Management Framework and EIB Group’s semi-annual Risk Management Disclosure Reports are effective and are aligned with the requirements and technical standards of the European Banking Authority;</w:t>
      </w:r>
    </w:p>
    <w:p w14:paraId="4976B2BE" w14:textId="685285D6" w:rsidR="008D6C36" w:rsidRPr="00B63AEA" w:rsidRDefault="00A07CF4" w:rsidP="008D6C36">
      <w:pPr>
        <w:pStyle w:val="NormalHanging12a"/>
        <w:rPr>
          <w:szCs w:val="24"/>
        </w:rPr>
      </w:pPr>
      <w:r w:rsidRPr="00B63AEA">
        <w:rPr>
          <w:szCs w:val="24"/>
        </w:rPr>
        <w:t>8</w:t>
      </w:r>
      <w:r>
        <w:rPr>
          <w:szCs w:val="24"/>
        </w:rPr>
        <w:t>6</w:t>
      </w:r>
      <w:r w:rsidR="008D6C36" w:rsidRPr="00B63AEA">
        <w:rPr>
          <w:szCs w:val="24"/>
        </w:rPr>
        <w:t>.</w:t>
      </w:r>
      <w:r w:rsidR="008D6C36" w:rsidRPr="00B63AEA">
        <w:rPr>
          <w:szCs w:val="24"/>
        </w:rPr>
        <w:tab/>
        <w:t xml:space="preserve">Stresses that, in 2023, despite difficult market conditions, the EIB’s portfolio continued to exhibit very low levels of non-performing exposures (NPEs); takes the view that even </w:t>
      </w:r>
      <w:r w:rsidR="008D6C36" w:rsidRPr="00B63AEA">
        <w:rPr>
          <w:szCs w:val="24"/>
        </w:rPr>
        <w:lastRenderedPageBreak/>
        <w:t>if a significant portion of the Bank’s loan portfolio benefits from credit enhancements or from EU Member State guarantees, the high quality of the EIB’s portfolio results from the diligent implementation of very effective EIB lending policies;</w:t>
      </w:r>
    </w:p>
    <w:p w14:paraId="69B3FE82" w14:textId="40E54BA4" w:rsidR="008D6C36" w:rsidRPr="00B63AEA" w:rsidRDefault="00A07CF4" w:rsidP="008D6C36">
      <w:pPr>
        <w:pStyle w:val="NormalHanging12a"/>
        <w:rPr>
          <w:szCs w:val="24"/>
        </w:rPr>
      </w:pPr>
      <w:r w:rsidRPr="00B63AEA">
        <w:rPr>
          <w:szCs w:val="24"/>
        </w:rPr>
        <w:t>8</w:t>
      </w:r>
      <w:r>
        <w:rPr>
          <w:szCs w:val="24"/>
        </w:rPr>
        <w:t>7</w:t>
      </w:r>
      <w:r w:rsidR="008D6C36" w:rsidRPr="00B63AEA">
        <w:rPr>
          <w:szCs w:val="24"/>
        </w:rPr>
        <w:t>.</w:t>
      </w:r>
      <w:r w:rsidR="008D6C36" w:rsidRPr="00B63AEA">
        <w:rPr>
          <w:szCs w:val="24"/>
        </w:rPr>
        <w:tab/>
        <w:t>Highlights that the EIB does not fall within the scope of application of the EU’s legislation applicable to credit institutions, in particular the Capital Requirements Regulation</w:t>
      </w:r>
      <w:r w:rsidR="008D6C36" w:rsidRPr="00B63AEA">
        <w:rPr>
          <w:rStyle w:val="FootnoteReference"/>
          <w:szCs w:val="24"/>
        </w:rPr>
        <w:footnoteReference w:id="6"/>
      </w:r>
      <w:r w:rsidR="008D6C36" w:rsidRPr="00B63AEA">
        <w:rPr>
          <w:szCs w:val="24"/>
        </w:rPr>
        <w:t xml:space="preserve"> and Directive</w:t>
      </w:r>
      <w:r w:rsidR="008D6C36" w:rsidRPr="00B63AEA">
        <w:rPr>
          <w:rStyle w:val="FootnoteReference"/>
          <w:szCs w:val="24"/>
        </w:rPr>
        <w:footnoteReference w:id="7"/>
      </w:r>
      <w:r w:rsidR="008D6C36" w:rsidRPr="00B63AEA">
        <w:rPr>
          <w:szCs w:val="24"/>
        </w:rPr>
        <w:t xml:space="preserve"> (CRR, CRD), thus the Bank is entitled to determine its capital and liquidity requirements in a manner that is adequate and appropriate to its activities, its mission and the market conditions; points out that the EIB Group is committed to conform to the best banking and market practices and can determine their applicability in line with the </w:t>
      </w:r>
      <w:r w:rsidR="008D6C36" w:rsidRPr="00B63AEA">
        <w:rPr>
          <w:rFonts w:eastAsiaTheme="minorEastAsia"/>
          <w:szCs w:val="24"/>
          <w:lang w:eastAsia="en-GB"/>
        </w:rPr>
        <w:t>proportionality</w:t>
      </w:r>
      <w:r w:rsidR="008D6C36" w:rsidRPr="00B63AEA">
        <w:rPr>
          <w:szCs w:val="24"/>
        </w:rPr>
        <w:t xml:space="preserve"> principle; stresses that the implementation of these norms should not create unwarranted burden; welcomes the fact that the EIB Group voluntarily performed the Review and Evaluation Process; points out that this should be in line with the EIB’s governance structure and mission;</w:t>
      </w:r>
    </w:p>
    <w:p w14:paraId="3937B91D" w14:textId="3793B7CF" w:rsidR="008D6C36" w:rsidRPr="00B63AEA" w:rsidRDefault="00A07CF4" w:rsidP="008D6C36">
      <w:pPr>
        <w:pStyle w:val="NormalHanging12a"/>
        <w:rPr>
          <w:szCs w:val="24"/>
        </w:rPr>
      </w:pPr>
      <w:r w:rsidRPr="00B63AEA">
        <w:rPr>
          <w:szCs w:val="24"/>
        </w:rPr>
        <w:t>8</w:t>
      </w:r>
      <w:r>
        <w:rPr>
          <w:szCs w:val="24"/>
        </w:rPr>
        <w:t>8</w:t>
      </w:r>
      <w:r w:rsidR="008D6C36" w:rsidRPr="00B63AEA">
        <w:rPr>
          <w:szCs w:val="24"/>
        </w:rPr>
        <w:t>.</w:t>
      </w:r>
      <w:r w:rsidR="008D6C36" w:rsidRPr="00B63AEA">
        <w:rPr>
          <w:szCs w:val="24"/>
        </w:rPr>
        <w:tab/>
        <w:t>Understands that, in line with the EU’s evolving needs, the EU institutions approved, in 2024, the change in statute proposed by the EIB Board of Governors by amending the statutory limit on its gearing ratio</w:t>
      </w:r>
      <w:r w:rsidR="008D6C36" w:rsidRPr="00B63AEA">
        <w:rPr>
          <w:rStyle w:val="FootnoteReference"/>
          <w:szCs w:val="24"/>
        </w:rPr>
        <w:footnoteReference w:id="8"/>
      </w:r>
      <w:r w:rsidR="008D6C36" w:rsidRPr="00B63AEA">
        <w:rPr>
          <w:szCs w:val="24"/>
        </w:rPr>
        <w:t xml:space="preserve"> and raising it from 250 % to 290 %, to enable the EIB to invest more without increasing its equity base;</w:t>
      </w:r>
    </w:p>
    <w:p w14:paraId="29C558FD" w14:textId="38FF42E3" w:rsidR="008D6C36" w:rsidRPr="00B63AEA" w:rsidRDefault="00A07CF4" w:rsidP="008D6C36">
      <w:pPr>
        <w:pStyle w:val="NormalHanging12a"/>
        <w:rPr>
          <w:szCs w:val="24"/>
        </w:rPr>
      </w:pPr>
      <w:r w:rsidRPr="00B63AEA">
        <w:rPr>
          <w:szCs w:val="24"/>
        </w:rPr>
        <w:t>8</w:t>
      </w:r>
      <w:r>
        <w:rPr>
          <w:szCs w:val="24"/>
        </w:rPr>
        <w:t>9</w:t>
      </w:r>
      <w:r w:rsidR="008D6C36" w:rsidRPr="00B63AEA">
        <w:rPr>
          <w:szCs w:val="24"/>
        </w:rPr>
        <w:t>.</w:t>
      </w:r>
      <w:r w:rsidR="008D6C36" w:rsidRPr="00B63AEA">
        <w:rPr>
          <w:szCs w:val="24"/>
        </w:rPr>
        <w:tab/>
        <w:t xml:space="preserve">Notes that the amended gearing ratio paves the way for increased risk-taking; acknowledges that investments in renewable energy, sustainable infrastructure and innovative technologies are crucial for the EU’s competitiveness, but often carry greater risk </w:t>
      </w:r>
      <w:r w:rsidR="008D6C36" w:rsidRPr="00B63AEA">
        <w:rPr>
          <w:rFonts w:eastAsiaTheme="minorEastAsia"/>
          <w:szCs w:val="24"/>
          <w:lang w:eastAsia="en-GB"/>
        </w:rPr>
        <w:t>because</w:t>
      </w:r>
      <w:r w:rsidR="008D6C36" w:rsidRPr="00B63AEA">
        <w:rPr>
          <w:szCs w:val="24"/>
        </w:rPr>
        <w:t xml:space="preserve"> of the uncertainty of returns; points out that increased risk-taking may increase the volatility of the EIB’s returns, but observes that the EIB maintains capital buffers that would support expanded risk activities;</w:t>
      </w:r>
    </w:p>
    <w:p w14:paraId="12F3B861" w14:textId="33B5CB44" w:rsidR="008D6C36" w:rsidRPr="00B63AEA" w:rsidRDefault="00A07CF4" w:rsidP="008D6C36">
      <w:pPr>
        <w:pStyle w:val="NormalHanging12a"/>
        <w:rPr>
          <w:szCs w:val="24"/>
        </w:rPr>
      </w:pPr>
      <w:r>
        <w:rPr>
          <w:szCs w:val="24"/>
        </w:rPr>
        <w:t>90</w:t>
      </w:r>
      <w:r w:rsidR="008D6C36" w:rsidRPr="00B63AEA">
        <w:rPr>
          <w:szCs w:val="24"/>
        </w:rPr>
        <w:t>.</w:t>
      </w:r>
      <w:r w:rsidR="008D6C36" w:rsidRPr="00B63AEA">
        <w:rPr>
          <w:szCs w:val="24"/>
        </w:rPr>
        <w:tab/>
        <w:t xml:space="preserve">Is alarmed by the situation of Northvolt AB, a battery manufacturer considered pivotal in the green transition; stresses that Northvolt has benefited from a substantial EIB lending package </w:t>
      </w:r>
      <w:r w:rsidR="008D6C36" w:rsidRPr="00B63AEA">
        <w:rPr>
          <w:rFonts w:eastAsiaTheme="minorEastAsia"/>
          <w:szCs w:val="24"/>
          <w:lang w:eastAsia="en-GB"/>
        </w:rPr>
        <w:t>of</w:t>
      </w:r>
      <w:r w:rsidR="008D6C36" w:rsidRPr="00B63AEA">
        <w:rPr>
          <w:szCs w:val="24"/>
        </w:rPr>
        <w:t xml:space="preserve"> slightly over EUR 942</w:t>
      </w:r>
      <w:r w:rsidR="00DC78B8" w:rsidRPr="00B63AEA">
        <w:rPr>
          <w:szCs w:val="24"/>
        </w:rPr>
        <w:t>,</w:t>
      </w:r>
      <w:r w:rsidR="008D6C36" w:rsidRPr="00B63AEA">
        <w:rPr>
          <w:szCs w:val="24"/>
        </w:rPr>
        <w:t>6</w:t>
      </w:r>
      <w:r w:rsidR="008D6C36" w:rsidRPr="00B63AEA">
        <w:t> </w:t>
      </w:r>
      <w:r w:rsidR="008D6C36" w:rsidRPr="00B63AEA">
        <w:rPr>
          <w:szCs w:val="24"/>
        </w:rPr>
        <w:t>million as part of the debt financing to expand a gigafactory site; notes that Northvolt filed for bankruptcy in March 2025; calls on the EIB to provide details about the evaluation and decision-making process to fund Northvolt AB and the causes that led to the failure of the project;</w:t>
      </w:r>
    </w:p>
    <w:p w14:paraId="2AF52C3E" w14:textId="24A2FF25" w:rsidR="008D6C36" w:rsidRPr="00B63AEA" w:rsidRDefault="00A07CF4" w:rsidP="008D6C36">
      <w:pPr>
        <w:pStyle w:val="NormalHanging12a"/>
        <w:rPr>
          <w:szCs w:val="24"/>
        </w:rPr>
      </w:pPr>
      <w:r>
        <w:rPr>
          <w:szCs w:val="24"/>
        </w:rPr>
        <w:t>91</w:t>
      </w:r>
      <w:r w:rsidR="008D6C36" w:rsidRPr="00B63AEA">
        <w:rPr>
          <w:szCs w:val="24"/>
        </w:rPr>
        <w:t>.</w:t>
      </w:r>
      <w:r w:rsidR="008D6C36" w:rsidRPr="00B63AEA">
        <w:rPr>
          <w:szCs w:val="24"/>
        </w:rPr>
        <w:tab/>
        <w:t xml:space="preserve">Stresses that the expansion of the gigafactory site was expected to increase the annual output capacity for </w:t>
      </w:r>
      <w:r w:rsidR="008D6C36" w:rsidRPr="00B63AEA">
        <w:rPr>
          <w:rFonts w:eastAsiaTheme="minorEastAsia"/>
          <w:szCs w:val="24"/>
          <w:lang w:eastAsia="en-GB"/>
        </w:rPr>
        <w:t>battery</w:t>
      </w:r>
      <w:r w:rsidR="008D6C36" w:rsidRPr="00B63AEA">
        <w:rPr>
          <w:szCs w:val="24"/>
        </w:rPr>
        <w:t xml:space="preserve"> production and was of strategic importance for global competitiveness and was consistent with the EU’s strategies in the sector;</w:t>
      </w:r>
    </w:p>
    <w:p w14:paraId="1AAF198C" w14:textId="1C22E1D8" w:rsidR="008D6C36" w:rsidRPr="00B63AEA" w:rsidRDefault="00A07CF4" w:rsidP="008D6C36">
      <w:pPr>
        <w:pStyle w:val="NormalHanging12a"/>
        <w:rPr>
          <w:szCs w:val="24"/>
        </w:rPr>
      </w:pPr>
      <w:r>
        <w:rPr>
          <w:szCs w:val="24"/>
        </w:rPr>
        <w:t>92</w:t>
      </w:r>
      <w:r w:rsidR="008D6C36" w:rsidRPr="00B63AEA">
        <w:rPr>
          <w:szCs w:val="24"/>
        </w:rPr>
        <w:t>.</w:t>
      </w:r>
      <w:r w:rsidR="008D6C36" w:rsidRPr="00B63AEA">
        <w:rPr>
          <w:szCs w:val="24"/>
        </w:rPr>
        <w:tab/>
        <w:t xml:space="preserve">Calls on the Commission and the EIB Board of Directors to launch an in-depth internal review without undue delay to verify the financial damage, the reasons for and the </w:t>
      </w:r>
      <w:r w:rsidR="008D6C36" w:rsidRPr="00B63AEA">
        <w:rPr>
          <w:rFonts w:eastAsiaTheme="minorEastAsia"/>
          <w:szCs w:val="24"/>
          <w:lang w:eastAsia="en-GB"/>
        </w:rPr>
        <w:t>background</w:t>
      </w:r>
      <w:r w:rsidR="008D6C36" w:rsidRPr="00B63AEA">
        <w:rPr>
          <w:szCs w:val="24"/>
        </w:rPr>
        <w:t xml:space="preserve"> to the failure of this flagship project and to learn from this experience in </w:t>
      </w:r>
      <w:r w:rsidR="008D6C36" w:rsidRPr="00B63AEA">
        <w:rPr>
          <w:szCs w:val="24"/>
        </w:rPr>
        <w:lastRenderedPageBreak/>
        <w:t>order to prevent the recurrence of a similar situation or enable the early detection thereof;</w:t>
      </w:r>
    </w:p>
    <w:p w14:paraId="4A73CD3A" w14:textId="013EE62D" w:rsidR="008D6C36" w:rsidRPr="00B63AEA" w:rsidRDefault="00A07CF4" w:rsidP="008D6C36">
      <w:pPr>
        <w:pStyle w:val="NormalHanging12a"/>
        <w:rPr>
          <w:szCs w:val="24"/>
        </w:rPr>
      </w:pPr>
      <w:r>
        <w:rPr>
          <w:szCs w:val="24"/>
        </w:rPr>
        <w:t>93</w:t>
      </w:r>
      <w:r w:rsidR="008D6C36" w:rsidRPr="00B63AEA">
        <w:rPr>
          <w:szCs w:val="24"/>
        </w:rPr>
        <w:t>.</w:t>
      </w:r>
      <w:r w:rsidR="008D6C36" w:rsidRPr="00B63AEA">
        <w:rPr>
          <w:szCs w:val="24"/>
        </w:rPr>
        <w:tab/>
        <w:t xml:space="preserve">Maintains that the greatest added value of EU support lies in fostering higher-risk investments in innovative projects, scaling up EU strategic goals and enabling long-term transition projects that cannot get funding from the private sector; believes that to effectively pursue its targets in innovation and competitiveness, the InvestEU programme should focus on financing higher-risk and more scale-up investment and that the EIB Group should take on more and larger high-risk projects, which should involve primarily and preferentially European investors, combining a more risk-absorption-oriented </w:t>
      </w:r>
      <w:r w:rsidR="008D6C36" w:rsidRPr="00B63AEA">
        <w:rPr>
          <w:rFonts w:eastAsiaTheme="minorEastAsia"/>
          <w:szCs w:val="24"/>
          <w:lang w:eastAsia="en-GB"/>
        </w:rPr>
        <w:t>deployment</w:t>
      </w:r>
      <w:r w:rsidR="008D6C36" w:rsidRPr="00B63AEA">
        <w:rPr>
          <w:szCs w:val="24"/>
        </w:rPr>
        <w:t xml:space="preserve"> of InvestEU resources with an equivalent orientation in the use of the EIB Group’s own financial resources; urges the EIB to introduce stricter conditions to prevent EU public financing from being used to subsidise companies relocating production outside Europe, ensuring that all EIB-funded projects contribute to long-term European industrial resilience;</w:t>
      </w:r>
    </w:p>
    <w:p w14:paraId="5794FAD8" w14:textId="6511037E" w:rsidR="008D6C36" w:rsidRPr="00B63AEA" w:rsidRDefault="00A07CF4" w:rsidP="008D6C36">
      <w:pPr>
        <w:pStyle w:val="NormalHanging12a"/>
        <w:rPr>
          <w:szCs w:val="24"/>
        </w:rPr>
      </w:pPr>
      <w:r>
        <w:rPr>
          <w:szCs w:val="24"/>
        </w:rPr>
        <w:t>94</w:t>
      </w:r>
      <w:r w:rsidR="008D6C36" w:rsidRPr="00B63AEA">
        <w:rPr>
          <w:szCs w:val="24"/>
        </w:rPr>
        <w:t>.</w:t>
      </w:r>
      <w:r w:rsidR="008D6C36" w:rsidRPr="00B63AEA">
        <w:rPr>
          <w:szCs w:val="24"/>
        </w:rPr>
        <w:tab/>
        <w:t>Is aware that members of the EIB’s Management Committee are often civil servants in their countries of origin before beginning their terms at the EIB, which typically last for two to six years, and that they are therefore entitled to pursue professional development opportunities subject to certain conditions during the cooling-off period (which has been extended to a period of 24 months after the end of their term at the EIB); notes that Management Committee members are asked to inform the Ethics and Compliance Committee and seek approval as soon as possible for any negotiations regarding prospective employment;</w:t>
      </w:r>
    </w:p>
    <w:p w14:paraId="096802F8" w14:textId="58BFECFD" w:rsidR="008D6C36" w:rsidRPr="00B63AEA" w:rsidRDefault="00A07CF4" w:rsidP="008D6C36">
      <w:pPr>
        <w:pStyle w:val="NormalHanging12a"/>
        <w:rPr>
          <w:szCs w:val="24"/>
        </w:rPr>
      </w:pPr>
      <w:r w:rsidRPr="00B63AEA">
        <w:rPr>
          <w:szCs w:val="24"/>
        </w:rPr>
        <w:t>9</w:t>
      </w:r>
      <w:r>
        <w:rPr>
          <w:szCs w:val="24"/>
        </w:rPr>
        <w:t>5</w:t>
      </w:r>
      <w:r w:rsidR="008D6C36" w:rsidRPr="00B63AEA">
        <w:rPr>
          <w:szCs w:val="24"/>
        </w:rPr>
        <w:t>.</w:t>
      </w:r>
      <w:r w:rsidR="008D6C36" w:rsidRPr="00B63AEA">
        <w:rPr>
          <w:szCs w:val="24"/>
        </w:rPr>
        <w:tab/>
        <w:t>Strongly echoes Parliament’s repeated calls to strengthen the mechanism to prevent conflicts of interest within the EIB and to improve the handling of such cases, and to better define the terms under which EIB vice-presidents can participate in decisions about operations in their countries of origin, and insists that these matters be addressed in a future revision of the Management Committee code of conduct;</w:t>
      </w:r>
    </w:p>
    <w:p w14:paraId="7646970B" w14:textId="55F380A6" w:rsidR="008D6C36" w:rsidRPr="00B63AEA" w:rsidRDefault="00A07CF4" w:rsidP="008D6C36">
      <w:pPr>
        <w:pStyle w:val="NormalHanging12a"/>
        <w:rPr>
          <w:szCs w:val="24"/>
        </w:rPr>
      </w:pPr>
      <w:r w:rsidRPr="00B63AEA">
        <w:rPr>
          <w:szCs w:val="24"/>
        </w:rPr>
        <w:t>9</w:t>
      </w:r>
      <w:r>
        <w:rPr>
          <w:szCs w:val="24"/>
        </w:rPr>
        <w:t>6</w:t>
      </w:r>
      <w:r w:rsidR="008D6C36" w:rsidRPr="00B63AEA">
        <w:rPr>
          <w:szCs w:val="24"/>
        </w:rPr>
        <w:t>.</w:t>
      </w:r>
      <w:r w:rsidR="008D6C36" w:rsidRPr="00B63AEA">
        <w:rPr>
          <w:szCs w:val="24"/>
        </w:rPr>
        <w:tab/>
        <w:t>Highlights that on 31 October 2023, the European Ombudsman ruled in Case 611/2022/KR that a former vice-president had participated in approving financing agreements between the EIB and a national promotional bank</w:t>
      </w:r>
      <w:r w:rsidR="008D6C36" w:rsidRPr="00B63AEA">
        <w:rPr>
          <w:vertAlign w:val="superscript"/>
        </w:rPr>
        <w:footnoteReference w:id="9"/>
      </w:r>
      <w:r w:rsidR="008D6C36" w:rsidRPr="00B63AEA">
        <w:rPr>
          <w:szCs w:val="24"/>
        </w:rPr>
        <w:t xml:space="preserve"> in his country of origin just weeks before becoming the Chief Executive Officer of that national promotional bank, despite the EIB’s Chief Compliance Officer advising against such actions during the appointment process; </w:t>
      </w:r>
      <w:r w:rsidR="008D6C36" w:rsidRPr="00B63AEA">
        <w:rPr>
          <w:rFonts w:eastAsiaTheme="minorEastAsia"/>
          <w:szCs w:val="24"/>
          <w:lang w:eastAsia="en-GB"/>
        </w:rPr>
        <w:t>understands</w:t>
      </w:r>
      <w:r w:rsidR="008D6C36" w:rsidRPr="00B63AEA">
        <w:rPr>
          <w:szCs w:val="24"/>
        </w:rPr>
        <w:t xml:space="preserve"> that this case predates the entry into force of the current Management Committee code of conduct, which now includes specific provisions regarding the prospective employment of its members; notes that, in the future review of the rules applicable to its Ethics and Compliance Committee, the EIB has committed to consider the European Ombudsman recommendation to make public the Committee’s decisions;</w:t>
      </w:r>
    </w:p>
    <w:p w14:paraId="0D1D6E9F" w14:textId="799B38DE" w:rsidR="008D6C36" w:rsidRPr="00B63AEA" w:rsidRDefault="00A07CF4" w:rsidP="008D6C36">
      <w:pPr>
        <w:pStyle w:val="NormalHanging12a"/>
        <w:rPr>
          <w:szCs w:val="24"/>
        </w:rPr>
      </w:pPr>
      <w:r w:rsidRPr="00B63AEA">
        <w:rPr>
          <w:szCs w:val="24"/>
        </w:rPr>
        <w:t>9</w:t>
      </w:r>
      <w:r>
        <w:rPr>
          <w:szCs w:val="24"/>
        </w:rPr>
        <w:t>7</w:t>
      </w:r>
      <w:r w:rsidR="008D6C36" w:rsidRPr="00B63AEA">
        <w:rPr>
          <w:szCs w:val="24"/>
        </w:rPr>
        <w:t>.</w:t>
      </w:r>
      <w:r w:rsidR="008D6C36" w:rsidRPr="00B63AEA">
        <w:rPr>
          <w:szCs w:val="24"/>
        </w:rPr>
        <w:tab/>
        <w:t xml:space="preserve">Observes that mitigating measures, such as ring-fencing and cooling-off periods, are the most common precautionary clauses to be used when handling a revolving-doors case and understands that such measures are implemented and are complied with by the </w:t>
      </w:r>
      <w:r w:rsidR="008D6C36" w:rsidRPr="00B63AEA">
        <w:rPr>
          <w:szCs w:val="24"/>
        </w:rPr>
        <w:lastRenderedPageBreak/>
        <w:t>members of the Management Committee, including those recently reported on in the media;</w:t>
      </w:r>
    </w:p>
    <w:p w14:paraId="3D297359" w14:textId="52E19150" w:rsidR="008D6C36" w:rsidRPr="00B63AEA" w:rsidRDefault="00A07CF4" w:rsidP="008D6C36">
      <w:pPr>
        <w:pStyle w:val="NormalHanging12a"/>
        <w:rPr>
          <w:szCs w:val="24"/>
        </w:rPr>
      </w:pPr>
      <w:r w:rsidRPr="00B63AEA">
        <w:rPr>
          <w:szCs w:val="24"/>
        </w:rPr>
        <w:t>9</w:t>
      </w:r>
      <w:r>
        <w:rPr>
          <w:szCs w:val="24"/>
        </w:rPr>
        <w:t>8</w:t>
      </w:r>
      <w:r w:rsidR="008D6C36" w:rsidRPr="00B63AEA">
        <w:rPr>
          <w:szCs w:val="24"/>
        </w:rPr>
        <w:t>.</w:t>
      </w:r>
      <w:r w:rsidR="008D6C36" w:rsidRPr="00B63AEA">
        <w:rPr>
          <w:szCs w:val="24"/>
        </w:rPr>
        <w:tab/>
        <w:t>Shares the view of the European Ombudsman that the role of the EIB Ethics and Compliance Committee should be strengthened when it comes to overseeing the intended new jobs of Management Committee members and that it should be able to impose and enforce risk-mitigating measures; understands that the role of the Ethics and Compliance Committee has become more prominent in recent years and that internal discussions are ongoing on how to enhance its efficiency;</w:t>
      </w:r>
    </w:p>
    <w:p w14:paraId="7A3AEFE6" w14:textId="32907CDC" w:rsidR="008D6C36" w:rsidRPr="00B63AEA" w:rsidRDefault="00A07CF4" w:rsidP="008D6C36">
      <w:pPr>
        <w:pStyle w:val="NormalHanging12a"/>
        <w:rPr>
          <w:szCs w:val="24"/>
        </w:rPr>
      </w:pPr>
      <w:r w:rsidRPr="00B63AEA">
        <w:rPr>
          <w:szCs w:val="24"/>
        </w:rPr>
        <w:t>9</w:t>
      </w:r>
      <w:r>
        <w:rPr>
          <w:szCs w:val="24"/>
        </w:rPr>
        <w:t>9</w:t>
      </w:r>
      <w:r w:rsidR="008D6C36" w:rsidRPr="00B63AEA">
        <w:rPr>
          <w:szCs w:val="24"/>
        </w:rPr>
        <w:t>.</w:t>
      </w:r>
      <w:r w:rsidR="008D6C36" w:rsidRPr="00B63AEA">
        <w:rPr>
          <w:szCs w:val="24"/>
        </w:rPr>
        <w:tab/>
        <w:t xml:space="preserve">Invites the Bank to boost the participation of European companies in procurement processes launched for </w:t>
      </w:r>
      <w:r w:rsidR="008D6C36" w:rsidRPr="00B63AEA">
        <w:rPr>
          <w:rFonts w:eastAsiaTheme="minorEastAsia"/>
          <w:szCs w:val="24"/>
          <w:lang w:eastAsia="en-GB"/>
        </w:rPr>
        <w:t>projects</w:t>
      </w:r>
      <w:r w:rsidR="008D6C36" w:rsidRPr="00B63AEA">
        <w:rPr>
          <w:szCs w:val="24"/>
        </w:rPr>
        <w:t xml:space="preserve"> financed by the EIB; encourages the Bank to advise borrowers to prioritise eligibility for European companies in order to strengthen European competitiveness;</w:t>
      </w:r>
    </w:p>
    <w:p w14:paraId="42125133" w14:textId="6C12D2BE" w:rsidR="008D6C36" w:rsidRPr="00B63AEA" w:rsidRDefault="00A07CF4" w:rsidP="008D6C36">
      <w:pPr>
        <w:pStyle w:val="NormalHanging12a"/>
        <w:rPr>
          <w:szCs w:val="24"/>
        </w:rPr>
      </w:pPr>
      <w:r>
        <w:rPr>
          <w:szCs w:val="24"/>
        </w:rPr>
        <w:t>100</w:t>
      </w:r>
      <w:r w:rsidR="008D6C36" w:rsidRPr="00B63AEA">
        <w:rPr>
          <w:szCs w:val="24"/>
        </w:rPr>
        <w:t>.</w:t>
      </w:r>
      <w:r w:rsidR="008D6C36" w:rsidRPr="00B63AEA">
        <w:rPr>
          <w:szCs w:val="24"/>
        </w:rPr>
        <w:tab/>
        <w:t xml:space="preserve">Reiterates its call on the EIB to ensure proper geographical representation, including at middle and senior </w:t>
      </w:r>
      <w:r w:rsidR="008D6C36" w:rsidRPr="00B63AEA">
        <w:rPr>
          <w:rFonts w:eastAsiaTheme="minorEastAsia"/>
          <w:szCs w:val="24"/>
          <w:lang w:eastAsia="en-GB"/>
        </w:rPr>
        <w:t>management</w:t>
      </w:r>
      <w:r w:rsidR="008D6C36" w:rsidRPr="00B63AEA">
        <w:rPr>
          <w:szCs w:val="24"/>
        </w:rPr>
        <w:t xml:space="preserve"> levels, and calls on it to publish an annual breakdown of the gender and nationality for middle and senior management positions;</w:t>
      </w:r>
    </w:p>
    <w:p w14:paraId="53C1FB1A" w14:textId="77777777" w:rsidR="008D6C36" w:rsidRPr="00B63AEA" w:rsidRDefault="008D6C36" w:rsidP="008D6C36">
      <w:pPr>
        <w:pStyle w:val="Normal12a24b"/>
        <w:spacing w:before="0"/>
        <w:rPr>
          <w:szCs w:val="24"/>
        </w:rPr>
      </w:pPr>
      <w:r w:rsidRPr="00B63AEA">
        <w:rPr>
          <w:rStyle w:val="BoldItalic"/>
          <w:szCs w:val="24"/>
        </w:rPr>
        <w:t>Scrutiny, transparency and oversight</w:t>
      </w:r>
    </w:p>
    <w:p w14:paraId="53CAEBA9" w14:textId="292BC686" w:rsidR="008D6C36" w:rsidRPr="00B63AEA" w:rsidRDefault="00A07CF4" w:rsidP="008D6C36">
      <w:pPr>
        <w:pStyle w:val="NormalHanging12a"/>
        <w:rPr>
          <w:szCs w:val="24"/>
        </w:rPr>
      </w:pPr>
      <w:r>
        <w:rPr>
          <w:szCs w:val="24"/>
        </w:rPr>
        <w:t>101</w:t>
      </w:r>
      <w:r w:rsidR="008D6C36" w:rsidRPr="00B63AEA">
        <w:rPr>
          <w:szCs w:val="24"/>
        </w:rPr>
        <w:t>.</w:t>
      </w:r>
      <w:r w:rsidR="008D6C36" w:rsidRPr="00B63AEA">
        <w:rPr>
          <w:szCs w:val="24"/>
        </w:rPr>
        <w:tab/>
        <w:t xml:space="preserve"> Strongly regrets the fact that the European Court of Auditors (ECA) still lacks full access to all data relating to EIB operations; acknowledges that not all the activities of the EIB are directly financed by the EU and, therefore, not all activities are automatically accessible to the ECA; insists that the ECA should have access to the necessary information to comprehensively and exhaustively assess all EIB operations involving EU funds, including those conducted through financial intermediaries, designed to implement EU policies; calls on the ECA to fully scrutinise, to the best of its abilities, all operations involving the EU budget to any degree;</w:t>
      </w:r>
    </w:p>
    <w:p w14:paraId="2ABF9CB8" w14:textId="0F6BD421" w:rsidR="008D6C36" w:rsidRPr="00B63AEA" w:rsidRDefault="00A07CF4" w:rsidP="008D6C36">
      <w:pPr>
        <w:pStyle w:val="NormalHanging12a"/>
        <w:rPr>
          <w:szCs w:val="24"/>
        </w:rPr>
      </w:pPr>
      <w:r>
        <w:rPr>
          <w:szCs w:val="24"/>
        </w:rPr>
        <w:t>102</w:t>
      </w:r>
      <w:r w:rsidR="008D6C36" w:rsidRPr="00B63AEA">
        <w:rPr>
          <w:szCs w:val="24"/>
        </w:rPr>
        <w:t>.</w:t>
      </w:r>
      <w:r w:rsidR="008D6C36" w:rsidRPr="00B63AEA">
        <w:rPr>
          <w:szCs w:val="24"/>
        </w:rPr>
        <w:tab/>
        <w:t>Observes that the main relevant audit tasks are entrusted to the EIB Audit Committee, which is a fully independent body; believes that the participation of qualified external representatives in specific Audit Committee tasks could enhance the objectivity of the Audit Committee’s analyses;</w:t>
      </w:r>
    </w:p>
    <w:p w14:paraId="13EC0F05" w14:textId="36B5BA79" w:rsidR="008D6C36" w:rsidRPr="00B63AEA" w:rsidRDefault="00A07CF4" w:rsidP="008D6C36">
      <w:pPr>
        <w:pStyle w:val="NormalHanging12a"/>
        <w:rPr>
          <w:szCs w:val="24"/>
        </w:rPr>
      </w:pPr>
      <w:r>
        <w:rPr>
          <w:szCs w:val="24"/>
        </w:rPr>
        <w:t>103</w:t>
      </w:r>
      <w:r w:rsidR="008D6C36" w:rsidRPr="00B63AEA">
        <w:rPr>
          <w:szCs w:val="24"/>
        </w:rPr>
        <w:t>.</w:t>
      </w:r>
      <w:r w:rsidR="008D6C36" w:rsidRPr="00B63AEA">
        <w:rPr>
          <w:szCs w:val="24"/>
        </w:rPr>
        <w:tab/>
        <w:t>Notes that the EIB’s Transparency Policy strikes a compromise between the principle of openness and the need to safeguard sensitive information; observes that the policy indicates what information should be published proactively and when – stipulating, for instance, that project summaries should be published at least three weeks before the project’s financing is considered for approval by the EIB Board of Directors – and sets out the relevant derogations; calls for these summaries to provide meaningful information to stakeholders;</w:t>
      </w:r>
    </w:p>
    <w:p w14:paraId="6208F3ED" w14:textId="74BF8E8B" w:rsidR="008D6C36" w:rsidRPr="00B63AEA" w:rsidRDefault="00A07CF4" w:rsidP="008D6C36">
      <w:pPr>
        <w:pStyle w:val="NormalHanging12a"/>
        <w:rPr>
          <w:szCs w:val="24"/>
        </w:rPr>
      </w:pPr>
      <w:r>
        <w:rPr>
          <w:szCs w:val="24"/>
        </w:rPr>
        <w:t>104</w:t>
      </w:r>
      <w:r w:rsidR="008D6C36" w:rsidRPr="00B63AEA">
        <w:rPr>
          <w:szCs w:val="24"/>
        </w:rPr>
        <w:t>.</w:t>
      </w:r>
      <w:r w:rsidR="008D6C36" w:rsidRPr="00B63AEA">
        <w:rPr>
          <w:szCs w:val="24"/>
        </w:rPr>
        <w:tab/>
        <w:t>Notes that in 2023, 449 projects were approved by the EIB Board of Directors and that almost all (94 %) of the project summaries were published, in the majority (57 %) of cases before approval; observes that all EIB operations conducted through financial intermediaries are published on the EIB’s website and that the EIB provides details on request;</w:t>
      </w:r>
    </w:p>
    <w:p w14:paraId="0C82C562" w14:textId="73CC5B7C" w:rsidR="008D6C36" w:rsidRPr="00B63AEA" w:rsidRDefault="00A07CF4" w:rsidP="008D6C36">
      <w:pPr>
        <w:pStyle w:val="NormalHanging12a"/>
        <w:rPr>
          <w:szCs w:val="24"/>
        </w:rPr>
      </w:pPr>
      <w:r w:rsidRPr="00B63AEA">
        <w:rPr>
          <w:szCs w:val="24"/>
        </w:rPr>
        <w:t>10</w:t>
      </w:r>
      <w:r>
        <w:rPr>
          <w:szCs w:val="24"/>
        </w:rPr>
        <w:t>5</w:t>
      </w:r>
      <w:r w:rsidR="008D6C36" w:rsidRPr="00B63AEA">
        <w:rPr>
          <w:szCs w:val="24"/>
        </w:rPr>
        <w:t>.</w:t>
      </w:r>
      <w:r w:rsidR="008D6C36" w:rsidRPr="00B63AEA">
        <w:rPr>
          <w:szCs w:val="24"/>
        </w:rPr>
        <w:tab/>
        <w:t xml:space="preserve">Recalls that all EIB documents are accessible to the public in line with the presumption in favour of disclosure; emphasises that all applicants should be informed in advance </w:t>
      </w:r>
      <w:r w:rsidR="008D6C36" w:rsidRPr="00B63AEA">
        <w:rPr>
          <w:szCs w:val="24"/>
        </w:rPr>
        <w:lastRenderedPageBreak/>
        <w:t>about public access to documents, and any refusals should be based solely on specified exceptions; stresses that the EIB should consider publishing, in a timely manner, information regarding the rationale and context for projects and the explanation of their alignment with and contribution to EU policy goals; calls on the EIB to systematically publish audit results of its largest financial operations, ensuring independent scrutiny of its risk management and impact assessments; expects the EIB to limit non-disclosure to the applicable exceptions listed in Regulation (EC) No 1049/2001</w:t>
      </w:r>
      <w:r w:rsidR="008D6C36" w:rsidRPr="00B63AEA">
        <w:rPr>
          <w:rStyle w:val="FootnoteReference"/>
          <w:szCs w:val="24"/>
        </w:rPr>
        <w:footnoteReference w:id="10"/>
      </w:r>
      <w:r w:rsidR="008D6C36" w:rsidRPr="00B63AEA">
        <w:rPr>
          <w:szCs w:val="24"/>
        </w:rPr>
        <w:t xml:space="preserve"> and Regulation (EC) No 1367/2006</w:t>
      </w:r>
      <w:r w:rsidR="008D6C36" w:rsidRPr="00B63AEA">
        <w:rPr>
          <w:rStyle w:val="FootnoteReference"/>
          <w:szCs w:val="24"/>
        </w:rPr>
        <w:footnoteReference w:id="11"/>
      </w:r>
      <w:r w:rsidR="008D6C36" w:rsidRPr="00B63AEA">
        <w:rPr>
          <w:szCs w:val="24"/>
        </w:rPr>
        <w:t>; calls for the full implementation of the Ombudsman’s recommendations issued following its inquiries into EIB disclosure policy and related requests for access to documents;</w:t>
      </w:r>
    </w:p>
    <w:p w14:paraId="0FDB04DD" w14:textId="01DEA0F5" w:rsidR="008D6C36" w:rsidRPr="00B63AEA" w:rsidRDefault="00A07CF4" w:rsidP="008D6C36">
      <w:pPr>
        <w:pStyle w:val="NormalHanging12a"/>
      </w:pPr>
      <w:r w:rsidRPr="00B63AEA">
        <w:rPr>
          <w:szCs w:val="24"/>
        </w:rPr>
        <w:t>10</w:t>
      </w:r>
      <w:r>
        <w:rPr>
          <w:szCs w:val="24"/>
        </w:rPr>
        <w:t>6</w:t>
      </w:r>
      <w:r w:rsidR="008D6C36" w:rsidRPr="00B63AEA">
        <w:rPr>
          <w:szCs w:val="24"/>
        </w:rPr>
        <w:t>.</w:t>
      </w:r>
      <w:r w:rsidR="008D6C36" w:rsidRPr="00B63AEA">
        <w:rPr>
          <w:szCs w:val="24"/>
        </w:rPr>
        <w:tab/>
        <w:t>Recalls that all recipients of EU funding have a general obligation to acknowledge its origin and ensure the visibility of any EU funding received; calls on the EIB Group to ensure that final recipients comply with the visibility criteria of the EU’s financial support;</w:t>
      </w:r>
    </w:p>
    <w:p w14:paraId="605657F8" w14:textId="54D182B0" w:rsidR="008D6C36" w:rsidRPr="00B63AEA" w:rsidRDefault="00A07CF4" w:rsidP="008D6C36">
      <w:pPr>
        <w:pStyle w:val="NormalHanging12a"/>
        <w:rPr>
          <w:szCs w:val="24"/>
        </w:rPr>
      </w:pPr>
      <w:r w:rsidRPr="00B63AEA">
        <w:rPr>
          <w:szCs w:val="24"/>
        </w:rPr>
        <w:t>10</w:t>
      </w:r>
      <w:r>
        <w:rPr>
          <w:szCs w:val="24"/>
        </w:rPr>
        <w:t>7</w:t>
      </w:r>
      <w:r w:rsidR="008D6C36" w:rsidRPr="00B63AEA">
        <w:rPr>
          <w:szCs w:val="24"/>
        </w:rPr>
        <w:t>.</w:t>
      </w:r>
      <w:r w:rsidR="008D6C36" w:rsidRPr="00B63AEA">
        <w:rPr>
          <w:szCs w:val="24"/>
        </w:rPr>
        <w:tab/>
        <w:t>Highlights that the Bank is working to reduce the time needed to bring a product from conception to market availability (time to market) by fully digitising its project cycles; calls for the Bank to intensify its efforts in the digitalisation of its operations;</w:t>
      </w:r>
    </w:p>
    <w:p w14:paraId="6B799C15" w14:textId="54CAA315" w:rsidR="008D6C36" w:rsidRPr="00B63AEA" w:rsidRDefault="00A07CF4" w:rsidP="008D6C36">
      <w:pPr>
        <w:pStyle w:val="NormalHanging12a"/>
        <w:rPr>
          <w:szCs w:val="24"/>
        </w:rPr>
      </w:pPr>
      <w:r w:rsidRPr="00B63AEA">
        <w:rPr>
          <w:szCs w:val="24"/>
        </w:rPr>
        <w:t>10</w:t>
      </w:r>
      <w:r>
        <w:rPr>
          <w:szCs w:val="24"/>
        </w:rPr>
        <w:t>8</w:t>
      </w:r>
      <w:r w:rsidR="00984B2E">
        <w:rPr>
          <w:szCs w:val="24"/>
        </w:rPr>
        <w:t>.</w:t>
      </w:r>
      <w:bookmarkStart w:id="7" w:name="_GoBack"/>
      <w:bookmarkEnd w:id="7"/>
      <w:r w:rsidR="008D6C36" w:rsidRPr="00B63AEA">
        <w:rPr>
          <w:szCs w:val="24"/>
        </w:rPr>
        <w:tab/>
        <w:t>Reiterates its call on the EIB to strengthen and fully implement its policy on tax fraud, evasion and avoidance, including by refraining from funding beneficiaries or financial intermediaries which have been found to be, or are at high risk of being, involved in such practices;</w:t>
      </w:r>
    </w:p>
    <w:p w14:paraId="3365CD69" w14:textId="0DC128D3" w:rsidR="008D6C36" w:rsidRPr="00B63AEA" w:rsidRDefault="00A07CF4" w:rsidP="008D6C36">
      <w:pPr>
        <w:pStyle w:val="NormalHanging12a"/>
        <w:rPr>
          <w:szCs w:val="24"/>
        </w:rPr>
      </w:pPr>
      <w:r w:rsidRPr="00B63AEA">
        <w:rPr>
          <w:szCs w:val="24"/>
        </w:rPr>
        <w:t>10</w:t>
      </w:r>
      <w:r>
        <w:rPr>
          <w:szCs w:val="24"/>
        </w:rPr>
        <w:t>9</w:t>
      </w:r>
      <w:r w:rsidR="008D6C36" w:rsidRPr="00B63AEA">
        <w:rPr>
          <w:szCs w:val="24"/>
        </w:rPr>
        <w:t>.</w:t>
      </w:r>
      <w:r w:rsidR="008D6C36" w:rsidRPr="00B63AEA">
        <w:rPr>
          <w:szCs w:val="24"/>
        </w:rPr>
        <w:tab/>
        <w:t>Reiterates that more structured dialogue between Parliament and the EIB would be enhanced by the adoption of a memorandum of cooperation; praises, in this connection, the EIB’s unprecedented cooperation with Parliament for the preparation of this resolution, noting that it is a tangible expression of openness and transparency;</w:t>
      </w:r>
    </w:p>
    <w:p w14:paraId="638611AE" w14:textId="77777777" w:rsidR="008D6C36" w:rsidRPr="00B63AEA" w:rsidRDefault="008D6C36" w:rsidP="008D6C36">
      <w:pPr>
        <w:pStyle w:val="Normal12a24b"/>
        <w:spacing w:before="0"/>
        <w:rPr>
          <w:szCs w:val="24"/>
        </w:rPr>
      </w:pPr>
      <w:r w:rsidRPr="00B63AEA">
        <w:rPr>
          <w:rStyle w:val="BoldItalic"/>
          <w:szCs w:val="24"/>
        </w:rPr>
        <w:t>Follow-up on Parliament’s recommendations</w:t>
      </w:r>
    </w:p>
    <w:p w14:paraId="29612691" w14:textId="4647EB36" w:rsidR="008D6C36" w:rsidRPr="00B63AEA" w:rsidRDefault="00A07CF4" w:rsidP="008D6C36">
      <w:pPr>
        <w:pStyle w:val="NormalHanging12a"/>
        <w:rPr>
          <w:szCs w:val="24"/>
        </w:rPr>
      </w:pPr>
      <w:r w:rsidRPr="00B63AEA">
        <w:rPr>
          <w:szCs w:val="24"/>
        </w:rPr>
        <w:t>1</w:t>
      </w:r>
      <w:r>
        <w:rPr>
          <w:szCs w:val="24"/>
        </w:rPr>
        <w:t>10</w:t>
      </w:r>
      <w:r w:rsidR="008D6C36" w:rsidRPr="00B63AEA">
        <w:rPr>
          <w:szCs w:val="24"/>
        </w:rPr>
        <w:t>.</w:t>
      </w:r>
      <w:r w:rsidR="008D6C36" w:rsidRPr="00B63AEA">
        <w:rPr>
          <w:szCs w:val="24"/>
        </w:rPr>
        <w:tab/>
        <w:t>Urges the EIB to continue reporting on the status of previous recommendations issued by Parliament, particularly regarding the outcomes achieved and the impact of the actions taken to implement its priorities and the EU’s policies, especially as regards:</w:t>
      </w:r>
    </w:p>
    <w:p w14:paraId="0F1140CD" w14:textId="2F752881" w:rsidR="008D6C36" w:rsidRPr="00B63AEA" w:rsidRDefault="008D6C36" w:rsidP="00B63AEA">
      <w:pPr>
        <w:pStyle w:val="NormalHanging12a"/>
        <w:tabs>
          <w:tab w:val="left" w:pos="1134"/>
        </w:tabs>
        <w:ind w:left="1134"/>
        <w:rPr>
          <w:szCs w:val="24"/>
        </w:rPr>
      </w:pPr>
      <w:r w:rsidRPr="00B63AEA">
        <w:rPr>
          <w:szCs w:val="24"/>
        </w:rPr>
        <w:t>(a)</w:t>
      </w:r>
      <w:r w:rsidR="00DC78B8" w:rsidRPr="00B63AEA">
        <w:rPr>
          <w:szCs w:val="24"/>
        </w:rPr>
        <w:tab/>
      </w:r>
      <w:r w:rsidRPr="00B63AEA">
        <w:rPr>
          <w:szCs w:val="24"/>
        </w:rPr>
        <w:t>impact (economic, environmental and social) of its investment strategy and results achieved in contributing to the balanced and steady development of the internal market in the interests of the Union;</w:t>
      </w:r>
    </w:p>
    <w:p w14:paraId="23EFADD3" w14:textId="3C9FA518" w:rsidR="008D6C36" w:rsidRPr="00B63AEA" w:rsidRDefault="008D6C36" w:rsidP="00B63AEA">
      <w:pPr>
        <w:pStyle w:val="NormalHanging12a"/>
        <w:tabs>
          <w:tab w:val="left" w:pos="1134"/>
        </w:tabs>
        <w:ind w:left="1134"/>
        <w:rPr>
          <w:szCs w:val="24"/>
        </w:rPr>
      </w:pPr>
      <w:r w:rsidRPr="00B63AEA">
        <w:rPr>
          <w:szCs w:val="24"/>
        </w:rPr>
        <w:lastRenderedPageBreak/>
        <w:t>(b)</w:t>
      </w:r>
      <w:r w:rsidR="00DC78B8" w:rsidRPr="00B63AEA">
        <w:rPr>
          <w:szCs w:val="24"/>
        </w:rPr>
        <w:tab/>
      </w:r>
      <w:r w:rsidRPr="00B63AEA">
        <w:rPr>
          <w:szCs w:val="24"/>
        </w:rPr>
        <w:t>actions adopted to enhance the prevention and countering of conflicts of interest, fraud, corruption and other potential forms of misconduct;</w:t>
      </w:r>
    </w:p>
    <w:p w14:paraId="3CEC37B7" w14:textId="538D6774" w:rsidR="008D6C36" w:rsidRPr="00B63AEA" w:rsidRDefault="008D6C36" w:rsidP="00B63AEA">
      <w:pPr>
        <w:pStyle w:val="NormalHanging12a"/>
        <w:tabs>
          <w:tab w:val="left" w:pos="1134"/>
        </w:tabs>
        <w:ind w:left="1134"/>
        <w:rPr>
          <w:szCs w:val="24"/>
        </w:rPr>
      </w:pPr>
      <w:r w:rsidRPr="00B63AEA">
        <w:rPr>
          <w:szCs w:val="24"/>
        </w:rPr>
        <w:t>(c)</w:t>
      </w:r>
      <w:r w:rsidR="00DC78B8" w:rsidRPr="00B63AEA">
        <w:rPr>
          <w:szCs w:val="24"/>
        </w:rPr>
        <w:tab/>
      </w:r>
      <w:r w:rsidRPr="00B63AEA">
        <w:rPr>
          <w:szCs w:val="24"/>
        </w:rPr>
        <w:t>new measures to strengthen transparency;</w:t>
      </w:r>
    </w:p>
    <w:p w14:paraId="4D224CEF" w14:textId="72C6AFE5" w:rsidR="008D6C36" w:rsidRPr="00B63AEA" w:rsidRDefault="008D6C36" w:rsidP="00B63AEA">
      <w:pPr>
        <w:pStyle w:val="NormalHanging12a"/>
        <w:tabs>
          <w:tab w:val="left" w:pos="1134"/>
        </w:tabs>
        <w:ind w:left="1134"/>
        <w:rPr>
          <w:szCs w:val="24"/>
        </w:rPr>
      </w:pPr>
      <w:r w:rsidRPr="00B63AEA">
        <w:rPr>
          <w:szCs w:val="24"/>
        </w:rPr>
        <w:t>(d)</w:t>
      </w:r>
      <w:r w:rsidR="00DC78B8" w:rsidRPr="00B63AEA">
        <w:rPr>
          <w:szCs w:val="24"/>
        </w:rPr>
        <w:tab/>
      </w:r>
      <w:r w:rsidRPr="00B63AEA">
        <w:rPr>
          <w:szCs w:val="24"/>
        </w:rPr>
        <w:t>measures to strengthen support for SMEs and eligible economic operators during the implementation of EU policies;</w:t>
      </w:r>
    </w:p>
    <w:p w14:paraId="37EE446B" w14:textId="4B56CD77" w:rsidR="008D6C36" w:rsidRPr="00B63AEA" w:rsidRDefault="008D6C36" w:rsidP="00B63AEA">
      <w:pPr>
        <w:pStyle w:val="NormalHanging12a"/>
        <w:tabs>
          <w:tab w:val="left" w:pos="1134"/>
        </w:tabs>
        <w:ind w:left="1134"/>
        <w:rPr>
          <w:szCs w:val="24"/>
        </w:rPr>
      </w:pPr>
      <w:r w:rsidRPr="00B63AEA">
        <w:rPr>
          <w:szCs w:val="24"/>
        </w:rPr>
        <w:t>(e)</w:t>
      </w:r>
      <w:r w:rsidR="00DC78B8" w:rsidRPr="00B63AEA">
        <w:rPr>
          <w:szCs w:val="24"/>
        </w:rPr>
        <w:tab/>
      </w:r>
      <w:r w:rsidRPr="00B63AEA">
        <w:rPr>
          <w:szCs w:val="24"/>
        </w:rPr>
        <w:t>follow-up on the calls and requests adopted via the present resolution;</w:t>
      </w:r>
    </w:p>
    <w:p w14:paraId="4AC37D4F" w14:textId="77777777" w:rsidR="008D6C36" w:rsidRPr="00B63AEA" w:rsidRDefault="008D6C36" w:rsidP="008D6C36">
      <w:pPr>
        <w:pStyle w:val="NormalCenter12a"/>
        <w:rPr>
          <w:szCs w:val="24"/>
        </w:rPr>
      </w:pPr>
      <w:r w:rsidRPr="00B63AEA">
        <w:rPr>
          <w:szCs w:val="24"/>
        </w:rPr>
        <w:t>°</w:t>
      </w:r>
    </w:p>
    <w:p w14:paraId="48AB21A1" w14:textId="77777777" w:rsidR="008D6C36" w:rsidRPr="00B63AEA" w:rsidRDefault="008D6C36" w:rsidP="008D6C36">
      <w:pPr>
        <w:pStyle w:val="NormalCenter12a"/>
        <w:rPr>
          <w:szCs w:val="24"/>
        </w:rPr>
      </w:pPr>
      <w:r w:rsidRPr="00B63AEA">
        <w:rPr>
          <w:szCs w:val="24"/>
        </w:rPr>
        <w:t>°</w:t>
      </w:r>
      <w:r w:rsidRPr="00B63AEA">
        <w:rPr>
          <w:szCs w:val="24"/>
        </w:rPr>
        <w:tab/>
        <w:t>°</w:t>
      </w:r>
    </w:p>
    <w:p w14:paraId="683606D6" w14:textId="5017582C" w:rsidR="00541D03" w:rsidRPr="00541D03" w:rsidRDefault="00A07CF4" w:rsidP="00541D03">
      <w:pPr>
        <w:pStyle w:val="NormalHanging12a"/>
        <w:ind w:left="560" w:hanging="560"/>
      </w:pPr>
      <w:r w:rsidRPr="00B63AEA">
        <w:t>1</w:t>
      </w:r>
      <w:r>
        <w:t>11</w:t>
      </w:r>
      <w:r w:rsidR="008D6C36" w:rsidRPr="00B63AEA">
        <w:t>.</w:t>
      </w:r>
      <w:r w:rsidR="008D6C36" w:rsidRPr="00B63AEA">
        <w:tab/>
        <w:t>Instructs its President to forward this resolution to the Council and the Commission, and asks that the Council and the EIB Board of Directors hold a debate on Parliament’s positions presented herein.</w:t>
      </w:r>
    </w:p>
    <w:p w14:paraId="7BB1286A" w14:textId="77777777" w:rsidR="00E365E1" w:rsidRPr="00541D03" w:rsidRDefault="00E365E1" w:rsidP="001F597A"/>
    <w:sectPr w:rsidR="00E365E1" w:rsidRPr="00541D03" w:rsidSect="00541D03">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293E37" w14:textId="77777777" w:rsidR="001F597A" w:rsidRPr="00541D03" w:rsidRDefault="001F597A">
      <w:r w:rsidRPr="00541D03">
        <w:separator/>
      </w:r>
    </w:p>
  </w:endnote>
  <w:endnote w:type="continuationSeparator" w:id="0">
    <w:p w14:paraId="01569645" w14:textId="77777777" w:rsidR="001F597A" w:rsidRPr="00541D03" w:rsidRDefault="001F597A">
      <w:r w:rsidRPr="00541D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C2150E" w14:textId="77777777" w:rsidR="00064002" w:rsidRPr="00541D03"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5F88ED" w14:textId="77777777" w:rsidR="00064002" w:rsidRPr="00541D03"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266235" w14:textId="77777777" w:rsidR="00064002" w:rsidRPr="00541D03"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EA0A50" w14:textId="77777777" w:rsidR="001F597A" w:rsidRPr="00541D03" w:rsidRDefault="001F597A">
      <w:r w:rsidRPr="00541D03">
        <w:separator/>
      </w:r>
    </w:p>
  </w:footnote>
  <w:footnote w:type="continuationSeparator" w:id="0">
    <w:p w14:paraId="5776D19F" w14:textId="77777777" w:rsidR="001F597A" w:rsidRPr="00541D03" w:rsidRDefault="001F597A">
      <w:r w:rsidRPr="00541D03">
        <w:continuationSeparator/>
      </w:r>
    </w:p>
  </w:footnote>
  <w:footnote w:id="1">
    <w:p w14:paraId="3DEE637B" w14:textId="77777777" w:rsidR="008D6C36" w:rsidRPr="00541D03" w:rsidRDefault="008D6C36" w:rsidP="00541D03">
      <w:pPr>
        <w:pStyle w:val="FootnoteText"/>
        <w:ind w:left="567" w:hanging="567"/>
        <w:rPr>
          <w:sz w:val="24"/>
          <w:lang w:val="en-GB"/>
        </w:rPr>
      </w:pPr>
      <w:r w:rsidRPr="00541D03">
        <w:rPr>
          <w:rStyle w:val="FootnoteReference"/>
          <w:sz w:val="24"/>
          <w:lang w:val="en-GB"/>
        </w:rPr>
        <w:footnoteRef/>
      </w:r>
      <w:r w:rsidR="00541D03" w:rsidRPr="00541D03">
        <w:rPr>
          <w:sz w:val="24"/>
          <w:lang w:val="en-GB"/>
        </w:rPr>
        <w:t xml:space="preserve"> </w:t>
      </w:r>
      <w:r w:rsidR="00541D03" w:rsidRPr="00541D03">
        <w:rPr>
          <w:sz w:val="24"/>
          <w:lang w:val="en-GB"/>
        </w:rPr>
        <w:tab/>
      </w:r>
      <w:r w:rsidRPr="00541D03">
        <w:rPr>
          <w:sz w:val="24"/>
          <w:lang w:val="en-GB"/>
        </w:rPr>
        <w:t xml:space="preserve">Draghi, M., </w:t>
      </w:r>
      <w:r w:rsidRPr="00541D03">
        <w:rPr>
          <w:rStyle w:val="Italic"/>
          <w:sz w:val="24"/>
          <w:lang w:val="en-GB"/>
        </w:rPr>
        <w:t>The future of European competitiveness</w:t>
      </w:r>
      <w:r w:rsidRPr="00541D03">
        <w:rPr>
          <w:sz w:val="24"/>
          <w:lang w:val="en-GB"/>
        </w:rPr>
        <w:t>, September 2024.</w:t>
      </w:r>
    </w:p>
  </w:footnote>
  <w:footnote w:id="2">
    <w:p w14:paraId="22EF6BAF" w14:textId="2A9E7CDB" w:rsidR="008927FF" w:rsidRPr="00A2139A" w:rsidRDefault="008927FF" w:rsidP="00A2139A">
      <w:pPr>
        <w:pStyle w:val="FootnoteText"/>
        <w:ind w:left="567" w:hanging="567"/>
        <w:rPr>
          <w:sz w:val="24"/>
          <w:szCs w:val="24"/>
          <w:lang w:val="en-GB"/>
        </w:rPr>
      </w:pPr>
      <w:r w:rsidRPr="00A2139A">
        <w:rPr>
          <w:rStyle w:val="FootnoteReference"/>
          <w:sz w:val="24"/>
          <w:szCs w:val="24"/>
        </w:rPr>
        <w:footnoteRef/>
      </w:r>
      <w:r w:rsidRPr="00A2139A">
        <w:rPr>
          <w:sz w:val="24"/>
          <w:szCs w:val="24"/>
          <w:lang w:val="en-GB"/>
        </w:rPr>
        <w:t xml:space="preserve"> </w:t>
      </w:r>
      <w:r w:rsidRPr="00A2139A">
        <w:rPr>
          <w:sz w:val="24"/>
          <w:szCs w:val="24"/>
          <w:lang w:val="en-GB"/>
        </w:rPr>
        <w:tab/>
        <w:t xml:space="preserve">Regulation (EC) No 1049/2001 of the European Parliament and of the Council of 30 May 2001 regarding public access to European Parliament, Council and Commission documents </w:t>
      </w:r>
      <w:r w:rsidR="00A07CF4">
        <w:rPr>
          <w:sz w:val="24"/>
          <w:szCs w:val="24"/>
          <w:lang w:val="en-GB"/>
        </w:rPr>
        <w:t>(</w:t>
      </w:r>
      <w:r w:rsidRPr="00A2139A">
        <w:rPr>
          <w:sz w:val="24"/>
          <w:szCs w:val="24"/>
          <w:lang w:val="en-GB"/>
        </w:rPr>
        <w:t xml:space="preserve">OJ L 145, 31.5.2001, p. 43, ELI: </w:t>
      </w:r>
      <w:hyperlink r:id="rId1" w:history="1">
        <w:r w:rsidRPr="00A2139A">
          <w:rPr>
            <w:rStyle w:val="Hyperlink"/>
            <w:sz w:val="24"/>
            <w:szCs w:val="24"/>
            <w:lang w:val="en-GB"/>
          </w:rPr>
          <w:t>http://data.europa.eu/eli/reg/2001/1049/oj</w:t>
        </w:r>
      </w:hyperlink>
      <w:r w:rsidR="00A07CF4">
        <w:rPr>
          <w:sz w:val="24"/>
          <w:szCs w:val="24"/>
          <w:lang w:val="en-GB"/>
        </w:rPr>
        <w:t>)</w:t>
      </w:r>
      <w:r w:rsidRPr="00A2139A">
        <w:rPr>
          <w:sz w:val="24"/>
          <w:szCs w:val="24"/>
          <w:lang w:val="en-GB"/>
        </w:rPr>
        <w:t>.</w:t>
      </w:r>
    </w:p>
  </w:footnote>
  <w:footnote w:id="3">
    <w:p w14:paraId="7D6B32B5" w14:textId="5C153003" w:rsidR="008D6C36" w:rsidRPr="00541D03" w:rsidRDefault="008D6C36" w:rsidP="00541D03">
      <w:pPr>
        <w:pStyle w:val="FootnoteText"/>
        <w:ind w:left="567" w:hanging="567"/>
        <w:rPr>
          <w:sz w:val="24"/>
          <w:lang w:val="en-GB"/>
        </w:rPr>
      </w:pPr>
      <w:r w:rsidRPr="00541D03">
        <w:rPr>
          <w:rStyle w:val="FootnoteReference"/>
          <w:sz w:val="24"/>
          <w:lang w:val="en-GB"/>
        </w:rPr>
        <w:footnoteRef/>
      </w:r>
      <w:r w:rsidR="00541D03" w:rsidRPr="00541D03">
        <w:rPr>
          <w:sz w:val="24"/>
          <w:lang w:val="en-GB"/>
        </w:rPr>
        <w:t xml:space="preserve"> </w:t>
      </w:r>
      <w:r w:rsidR="00541D03" w:rsidRPr="00541D03">
        <w:rPr>
          <w:sz w:val="24"/>
          <w:lang w:val="en-GB"/>
        </w:rPr>
        <w:tab/>
      </w:r>
      <w:r w:rsidRPr="00541D03">
        <w:rPr>
          <w:sz w:val="24"/>
          <w:lang w:val="en-GB"/>
        </w:rPr>
        <w:t xml:space="preserve">Regulation (EU) 2021/523 of the European Parliament and of the Council of 24 March 2021 establishing the InvestEU Programme and amending Regulation (EU) 2015/1017 </w:t>
      </w:r>
      <w:r w:rsidR="008D38BE">
        <w:rPr>
          <w:sz w:val="24"/>
          <w:lang w:val="en-GB"/>
        </w:rPr>
        <w:t>(</w:t>
      </w:r>
      <w:r w:rsidRPr="00541D03">
        <w:rPr>
          <w:sz w:val="24"/>
          <w:lang w:val="en-GB"/>
        </w:rPr>
        <w:t>OJ L 107, 26.3.2021, p. 30, ELI: </w:t>
      </w:r>
      <w:hyperlink r:id="rId2" w:history="1">
        <w:r w:rsidRPr="00541D03">
          <w:rPr>
            <w:rStyle w:val="Hyperlink"/>
            <w:sz w:val="24"/>
            <w:lang w:val="en-GB"/>
          </w:rPr>
          <w:t>http://data.europa.eu/eli/reg/2021/523/oj</w:t>
        </w:r>
      </w:hyperlink>
      <w:r w:rsidR="008D38BE">
        <w:rPr>
          <w:rStyle w:val="Hyperlink"/>
          <w:sz w:val="24"/>
          <w:lang w:val="en-GB"/>
        </w:rPr>
        <w:t>)</w:t>
      </w:r>
      <w:r w:rsidRPr="00541D03">
        <w:rPr>
          <w:sz w:val="24"/>
          <w:lang w:val="en-GB"/>
        </w:rPr>
        <w:t>.</w:t>
      </w:r>
    </w:p>
  </w:footnote>
  <w:footnote w:id="4">
    <w:p w14:paraId="46222A5A" w14:textId="1D28B47A" w:rsidR="008927FF" w:rsidRPr="00A2139A" w:rsidRDefault="008927FF" w:rsidP="00A2139A">
      <w:pPr>
        <w:pStyle w:val="FootnoteText"/>
        <w:ind w:left="567" w:hanging="567"/>
        <w:rPr>
          <w:sz w:val="24"/>
          <w:szCs w:val="24"/>
          <w:lang w:val="en-GB"/>
        </w:rPr>
      </w:pPr>
      <w:r w:rsidRPr="00A2139A">
        <w:rPr>
          <w:rStyle w:val="FootnoteReference"/>
          <w:sz w:val="24"/>
          <w:szCs w:val="24"/>
        </w:rPr>
        <w:footnoteRef/>
      </w:r>
      <w:r w:rsidRPr="00A2139A">
        <w:rPr>
          <w:sz w:val="24"/>
          <w:szCs w:val="24"/>
          <w:lang w:val="en-GB"/>
        </w:rPr>
        <w:t xml:space="preserve"> </w:t>
      </w:r>
      <w:r w:rsidRPr="00A2139A">
        <w:rPr>
          <w:sz w:val="24"/>
          <w:szCs w:val="24"/>
          <w:lang w:val="en-GB"/>
        </w:rPr>
        <w:tab/>
        <w:t xml:space="preserve">Directive (EU) 2019/1937 of the European Parliament and of the Council of 23 October 2019 on the protection of persons who report breaches of Union law </w:t>
      </w:r>
      <w:r>
        <w:rPr>
          <w:sz w:val="24"/>
          <w:szCs w:val="24"/>
          <w:lang w:val="en-GB"/>
        </w:rPr>
        <w:t>(</w:t>
      </w:r>
      <w:r w:rsidRPr="00A2139A">
        <w:rPr>
          <w:sz w:val="24"/>
          <w:szCs w:val="24"/>
          <w:lang w:val="en-GB"/>
        </w:rPr>
        <w:t xml:space="preserve">OJ L 305, 26.11.2019, p. 17, ELI: </w:t>
      </w:r>
      <w:hyperlink r:id="rId3" w:history="1">
        <w:r w:rsidRPr="00A2139A">
          <w:rPr>
            <w:rStyle w:val="Hyperlink"/>
            <w:sz w:val="24"/>
            <w:szCs w:val="24"/>
            <w:lang w:val="en-GB"/>
          </w:rPr>
          <w:t>http://data.europa.eu/eli/dir/2019/1937/oj</w:t>
        </w:r>
      </w:hyperlink>
      <w:r>
        <w:rPr>
          <w:sz w:val="24"/>
          <w:szCs w:val="24"/>
          <w:lang w:val="en-GB"/>
        </w:rPr>
        <w:t>)</w:t>
      </w:r>
      <w:r w:rsidRPr="00A2139A">
        <w:rPr>
          <w:sz w:val="24"/>
          <w:szCs w:val="24"/>
          <w:lang w:val="en-GB"/>
        </w:rPr>
        <w:t>.</w:t>
      </w:r>
    </w:p>
  </w:footnote>
  <w:footnote w:id="5">
    <w:p w14:paraId="14853F78" w14:textId="33DFBE81" w:rsidR="008D6C36" w:rsidRPr="00541D03" w:rsidRDefault="008D6C36" w:rsidP="00541D03">
      <w:pPr>
        <w:pStyle w:val="FootnoteText"/>
        <w:ind w:left="567" w:hanging="567"/>
        <w:rPr>
          <w:sz w:val="24"/>
          <w:lang w:val="en-GB"/>
        </w:rPr>
      </w:pPr>
      <w:r w:rsidRPr="00541D03">
        <w:rPr>
          <w:rStyle w:val="FootnoteReference"/>
          <w:sz w:val="24"/>
          <w:lang w:val="en-GB"/>
        </w:rPr>
        <w:footnoteRef/>
      </w:r>
      <w:r w:rsidR="00541D03" w:rsidRPr="00541D03">
        <w:rPr>
          <w:sz w:val="24"/>
          <w:lang w:val="en-GB"/>
        </w:rPr>
        <w:t xml:space="preserve"> </w:t>
      </w:r>
      <w:r w:rsidR="00541D03" w:rsidRPr="00541D03">
        <w:rPr>
          <w:sz w:val="24"/>
          <w:lang w:val="en-GB"/>
        </w:rPr>
        <w:tab/>
      </w:r>
      <w:r w:rsidRPr="00541D03">
        <w:rPr>
          <w:sz w:val="24"/>
          <w:lang w:val="en-GB"/>
        </w:rPr>
        <w:t xml:space="preserve">European Parliament resolution of 12 July 2023 on the control of the financial activities of the European Investment Bank – annual report 2022 (2023/2046(INI)) </w:t>
      </w:r>
      <w:r w:rsidR="00DC78B8">
        <w:rPr>
          <w:sz w:val="24"/>
          <w:lang w:val="en-GB"/>
        </w:rPr>
        <w:t>(</w:t>
      </w:r>
      <w:r w:rsidRPr="00541D03">
        <w:rPr>
          <w:sz w:val="24"/>
          <w:lang w:val="en-GB"/>
        </w:rPr>
        <w:t xml:space="preserve">OJ C, C/2024/4007, 17.7.2024, ELI: </w:t>
      </w:r>
      <w:hyperlink r:id="rId4" w:history="1">
        <w:r w:rsidRPr="00541D03">
          <w:rPr>
            <w:rStyle w:val="Hyperlink"/>
            <w:sz w:val="24"/>
            <w:lang w:val="en-GB"/>
          </w:rPr>
          <w:t>http://data.europa.eu/eli/C/2024/4007/oj</w:t>
        </w:r>
      </w:hyperlink>
      <w:r w:rsidR="00DC78B8">
        <w:rPr>
          <w:rStyle w:val="Hyperlink"/>
          <w:sz w:val="24"/>
          <w:lang w:val="en-GB"/>
        </w:rPr>
        <w:t>)</w:t>
      </w:r>
      <w:r w:rsidRPr="00541D03">
        <w:rPr>
          <w:sz w:val="24"/>
          <w:lang w:val="en-GB"/>
        </w:rPr>
        <w:t>.</w:t>
      </w:r>
    </w:p>
  </w:footnote>
  <w:footnote w:id="6">
    <w:p w14:paraId="56E09FDB" w14:textId="299C256B" w:rsidR="008D6C36" w:rsidRPr="00541D03" w:rsidRDefault="008D6C36" w:rsidP="00541D03">
      <w:pPr>
        <w:pStyle w:val="FootnoteText"/>
        <w:ind w:left="567" w:hanging="567"/>
        <w:rPr>
          <w:sz w:val="24"/>
          <w:lang w:val="en-GB"/>
        </w:rPr>
      </w:pPr>
      <w:r w:rsidRPr="00541D03">
        <w:rPr>
          <w:rStyle w:val="FootnoteReference"/>
          <w:sz w:val="24"/>
          <w:lang w:val="en-GB"/>
        </w:rPr>
        <w:footnoteRef/>
      </w:r>
      <w:r w:rsidR="00541D03" w:rsidRPr="00541D03">
        <w:rPr>
          <w:sz w:val="24"/>
          <w:lang w:val="en-GB"/>
        </w:rPr>
        <w:t xml:space="preserve"> </w:t>
      </w:r>
      <w:r w:rsidR="00541D03" w:rsidRPr="00541D03">
        <w:rPr>
          <w:sz w:val="24"/>
          <w:lang w:val="en-GB"/>
        </w:rPr>
        <w:tab/>
      </w:r>
      <w:r w:rsidRPr="00541D03">
        <w:rPr>
          <w:sz w:val="24"/>
          <w:lang w:val="en-GB"/>
        </w:rPr>
        <w:t xml:space="preserve">Regulation (EU) No 575/2013 of the European Parliament and of the Council of 26 June 2013 on prudential requirements for credit institutions and investment firms and amending Regulation (EU) No 648/2012 </w:t>
      </w:r>
      <w:r w:rsidR="00DC78B8">
        <w:rPr>
          <w:sz w:val="24"/>
          <w:lang w:val="en-GB"/>
        </w:rPr>
        <w:t>(</w:t>
      </w:r>
      <w:r w:rsidRPr="00541D03">
        <w:rPr>
          <w:sz w:val="24"/>
          <w:lang w:val="en-GB"/>
        </w:rPr>
        <w:t xml:space="preserve">OJ L 176, 27.6.2013, p. 1, ELI: </w:t>
      </w:r>
      <w:hyperlink r:id="rId5" w:history="1">
        <w:r w:rsidRPr="00541D03">
          <w:rPr>
            <w:rStyle w:val="Hyperlink"/>
            <w:sz w:val="24"/>
            <w:lang w:val="en-GB"/>
          </w:rPr>
          <w:t>http://data.europa.eu/eli/reg/2013/575/oj</w:t>
        </w:r>
      </w:hyperlink>
      <w:r w:rsidR="00DC78B8">
        <w:rPr>
          <w:rStyle w:val="Hyperlink"/>
          <w:sz w:val="24"/>
          <w:lang w:val="en-GB"/>
        </w:rPr>
        <w:t>)</w:t>
      </w:r>
      <w:r w:rsidRPr="00541D03">
        <w:rPr>
          <w:sz w:val="24"/>
          <w:lang w:val="en-GB"/>
        </w:rPr>
        <w:t>.</w:t>
      </w:r>
    </w:p>
  </w:footnote>
  <w:footnote w:id="7">
    <w:p w14:paraId="0261766B" w14:textId="66544971" w:rsidR="008D6C36" w:rsidRPr="00541D03" w:rsidRDefault="008D6C36" w:rsidP="00541D03">
      <w:pPr>
        <w:pStyle w:val="FootnoteText"/>
        <w:ind w:left="567" w:hanging="567"/>
        <w:rPr>
          <w:sz w:val="24"/>
          <w:lang w:val="en-GB"/>
        </w:rPr>
      </w:pPr>
      <w:r w:rsidRPr="00541D03">
        <w:rPr>
          <w:rStyle w:val="FootnoteReference"/>
          <w:sz w:val="24"/>
          <w:lang w:val="en-GB"/>
        </w:rPr>
        <w:footnoteRef/>
      </w:r>
      <w:r w:rsidR="00541D03" w:rsidRPr="00541D03">
        <w:rPr>
          <w:sz w:val="24"/>
          <w:lang w:val="en-GB"/>
        </w:rPr>
        <w:t xml:space="preserve"> </w:t>
      </w:r>
      <w:r w:rsidR="00541D03" w:rsidRPr="00541D03">
        <w:rPr>
          <w:sz w:val="24"/>
          <w:lang w:val="en-GB"/>
        </w:rPr>
        <w:tab/>
      </w:r>
      <w:r w:rsidRPr="00541D03">
        <w:rPr>
          <w:sz w:val="24"/>
          <w:lang w:val="en-GB"/>
        </w:rPr>
        <w:t xml:space="preserve">Directive 2013/36/EU of the European Parliament and of the Council of 26 June 2013 on access to the activity of credit institutions and the prudential supervision of credit institutions and investment firms, amending Directive 2002/87/EC and repealing Directives 2006/48/EC and 2006/49/EC </w:t>
      </w:r>
      <w:r w:rsidR="00DC78B8">
        <w:rPr>
          <w:sz w:val="24"/>
          <w:lang w:val="en-GB"/>
        </w:rPr>
        <w:t>(</w:t>
      </w:r>
      <w:r w:rsidRPr="00541D03">
        <w:rPr>
          <w:sz w:val="24"/>
          <w:lang w:val="en-GB"/>
        </w:rPr>
        <w:t>OJ L 176, 27.6.2013, p. 338, ELI: </w:t>
      </w:r>
      <w:hyperlink r:id="rId6" w:history="1">
        <w:r w:rsidRPr="00541D03">
          <w:rPr>
            <w:rStyle w:val="Hyperlink"/>
            <w:sz w:val="24"/>
            <w:lang w:val="en-GB"/>
          </w:rPr>
          <w:t>http://data.europa.eu/eli/dir/2013/36/oj</w:t>
        </w:r>
      </w:hyperlink>
      <w:r w:rsidR="00DC78B8">
        <w:rPr>
          <w:rStyle w:val="Hyperlink"/>
          <w:sz w:val="24"/>
          <w:lang w:val="en-GB"/>
        </w:rPr>
        <w:t>)</w:t>
      </w:r>
      <w:r w:rsidRPr="00541D03">
        <w:rPr>
          <w:sz w:val="24"/>
          <w:lang w:val="en-GB"/>
        </w:rPr>
        <w:t>.</w:t>
      </w:r>
    </w:p>
  </w:footnote>
  <w:footnote w:id="8">
    <w:p w14:paraId="7008A2E3" w14:textId="77777777" w:rsidR="008D6C36" w:rsidRPr="00541D03" w:rsidRDefault="008D6C36" w:rsidP="00541D03">
      <w:pPr>
        <w:pStyle w:val="FootnoteText"/>
        <w:ind w:left="567" w:hanging="567"/>
        <w:rPr>
          <w:sz w:val="24"/>
          <w:lang w:val="en-GB"/>
        </w:rPr>
      </w:pPr>
      <w:r w:rsidRPr="00541D03">
        <w:rPr>
          <w:rStyle w:val="FootnoteReference"/>
          <w:sz w:val="24"/>
          <w:lang w:val="en-GB"/>
        </w:rPr>
        <w:footnoteRef/>
      </w:r>
      <w:r w:rsidR="00541D03" w:rsidRPr="00541D03">
        <w:rPr>
          <w:sz w:val="24"/>
          <w:lang w:val="en-GB"/>
        </w:rPr>
        <w:t xml:space="preserve"> </w:t>
      </w:r>
      <w:r w:rsidR="00541D03" w:rsidRPr="00541D03">
        <w:rPr>
          <w:sz w:val="24"/>
          <w:lang w:val="en-GB"/>
        </w:rPr>
        <w:tab/>
      </w:r>
      <w:r w:rsidRPr="00541D03">
        <w:rPr>
          <w:sz w:val="24"/>
          <w:lang w:val="en-GB"/>
        </w:rPr>
        <w:t>The gearing ratio is how much the EIB can lend out in relation to its own resources.</w:t>
      </w:r>
    </w:p>
  </w:footnote>
  <w:footnote w:id="9">
    <w:p w14:paraId="165DCB44" w14:textId="77777777" w:rsidR="008D6C36" w:rsidRPr="00541D03" w:rsidRDefault="008D6C36" w:rsidP="00541D03">
      <w:pPr>
        <w:pStyle w:val="FootnoteText"/>
        <w:ind w:left="567" w:hanging="567"/>
        <w:rPr>
          <w:sz w:val="24"/>
          <w:lang w:val="en-GB"/>
        </w:rPr>
      </w:pPr>
      <w:r w:rsidRPr="00541D03">
        <w:rPr>
          <w:rStyle w:val="FootnoteReference"/>
          <w:sz w:val="24"/>
          <w:lang w:val="en-GB"/>
        </w:rPr>
        <w:footnoteRef/>
      </w:r>
      <w:r w:rsidR="00541D03" w:rsidRPr="00541D03">
        <w:rPr>
          <w:sz w:val="24"/>
          <w:lang w:val="en-GB"/>
        </w:rPr>
        <w:t xml:space="preserve"> </w:t>
      </w:r>
      <w:r w:rsidR="00541D03" w:rsidRPr="00541D03">
        <w:rPr>
          <w:sz w:val="24"/>
          <w:lang w:val="en-GB"/>
        </w:rPr>
        <w:tab/>
      </w:r>
      <w:r w:rsidRPr="00541D03">
        <w:rPr>
          <w:sz w:val="24"/>
          <w:lang w:val="en-GB"/>
        </w:rPr>
        <w:t>National promotional banks are financial intermediaries between the EIB and small-scale projects that benefit from EIB investments.</w:t>
      </w:r>
    </w:p>
  </w:footnote>
  <w:footnote w:id="10">
    <w:p w14:paraId="274BB05E" w14:textId="4A927082" w:rsidR="008D6C36" w:rsidRPr="00541D03" w:rsidRDefault="008D6C36" w:rsidP="00541D03">
      <w:pPr>
        <w:pStyle w:val="FootnoteText"/>
        <w:ind w:left="567" w:hanging="567"/>
        <w:rPr>
          <w:sz w:val="24"/>
          <w:lang w:val="en-GB"/>
        </w:rPr>
      </w:pPr>
      <w:r w:rsidRPr="00541D03">
        <w:rPr>
          <w:rStyle w:val="FootnoteReference"/>
          <w:sz w:val="24"/>
          <w:lang w:val="en-GB"/>
        </w:rPr>
        <w:footnoteRef/>
      </w:r>
      <w:r w:rsidR="00541D03" w:rsidRPr="00541D03">
        <w:rPr>
          <w:sz w:val="24"/>
          <w:lang w:val="en-GB"/>
        </w:rPr>
        <w:t xml:space="preserve"> </w:t>
      </w:r>
      <w:r w:rsidR="00541D03" w:rsidRPr="00541D03">
        <w:rPr>
          <w:sz w:val="24"/>
          <w:lang w:val="en-GB"/>
        </w:rPr>
        <w:tab/>
      </w:r>
      <w:r w:rsidRPr="00541D03">
        <w:rPr>
          <w:sz w:val="24"/>
          <w:lang w:val="en-GB"/>
        </w:rPr>
        <w:t xml:space="preserve">Regulation (EC) No 1049/2001 of the European Parliament and of the Council of 30 May 2001 regarding public access to European Parliament, Council and Commission documents </w:t>
      </w:r>
      <w:r w:rsidR="00DC78B8">
        <w:rPr>
          <w:sz w:val="24"/>
          <w:lang w:val="en-GB"/>
        </w:rPr>
        <w:t>(</w:t>
      </w:r>
      <w:r w:rsidRPr="00541D03">
        <w:rPr>
          <w:sz w:val="24"/>
          <w:lang w:val="en-GB"/>
        </w:rPr>
        <w:t xml:space="preserve">OJ L 145, 31.5.2001, p. 43, ELI: </w:t>
      </w:r>
      <w:hyperlink r:id="rId7" w:history="1">
        <w:r w:rsidRPr="00541D03">
          <w:rPr>
            <w:rStyle w:val="Hyperlink"/>
            <w:sz w:val="24"/>
            <w:lang w:val="en-GB"/>
          </w:rPr>
          <w:t>http://data.europa.eu/eli/reg/2001/1049/oj</w:t>
        </w:r>
      </w:hyperlink>
      <w:r w:rsidR="00DC78B8">
        <w:rPr>
          <w:rStyle w:val="Hyperlink"/>
          <w:sz w:val="24"/>
          <w:lang w:val="en-GB"/>
        </w:rPr>
        <w:t>)</w:t>
      </w:r>
      <w:r w:rsidRPr="00541D03">
        <w:rPr>
          <w:sz w:val="24"/>
          <w:lang w:val="en-GB"/>
        </w:rPr>
        <w:t>.</w:t>
      </w:r>
    </w:p>
  </w:footnote>
  <w:footnote w:id="11">
    <w:p w14:paraId="1DB9D6A0" w14:textId="6EF2F9C0" w:rsidR="008D6C36" w:rsidRPr="00541D03" w:rsidRDefault="008D6C36" w:rsidP="00541D03">
      <w:pPr>
        <w:pStyle w:val="FootnoteText"/>
        <w:ind w:left="567" w:hanging="567"/>
        <w:rPr>
          <w:sz w:val="24"/>
          <w:lang w:val="en-GB"/>
        </w:rPr>
      </w:pPr>
      <w:r w:rsidRPr="00541D03">
        <w:rPr>
          <w:rStyle w:val="FootnoteReference"/>
          <w:sz w:val="24"/>
          <w:lang w:val="en-GB"/>
        </w:rPr>
        <w:footnoteRef/>
      </w:r>
      <w:r w:rsidR="00541D03" w:rsidRPr="00541D03">
        <w:rPr>
          <w:sz w:val="24"/>
          <w:lang w:val="en-GB"/>
        </w:rPr>
        <w:t xml:space="preserve"> </w:t>
      </w:r>
      <w:r w:rsidR="00541D03" w:rsidRPr="00541D03">
        <w:rPr>
          <w:sz w:val="24"/>
          <w:lang w:val="en-GB"/>
        </w:rPr>
        <w:tab/>
      </w:r>
      <w:r w:rsidRPr="00541D03">
        <w:rPr>
          <w:sz w:val="24"/>
          <w:lang w:val="en-GB"/>
        </w:rPr>
        <w:t xml:space="preserve">Regulation (EC) No 1367/2006 of the European Parliament and of the Council of 6 September 2006 on the application of the provisions of the Aarhus Convention on Access to Information, Public Participation in Decision-making and Access to Justice in Environmental Matters to Community institutions and bodies </w:t>
      </w:r>
      <w:r w:rsidR="00DC78B8">
        <w:rPr>
          <w:sz w:val="24"/>
          <w:lang w:val="en-GB"/>
        </w:rPr>
        <w:t>(</w:t>
      </w:r>
      <w:r w:rsidRPr="00541D03">
        <w:rPr>
          <w:sz w:val="24"/>
          <w:lang w:val="en-GB"/>
        </w:rPr>
        <w:t xml:space="preserve">OJ L 264, 25.9.2006, p. 13, ELI: </w:t>
      </w:r>
      <w:hyperlink r:id="rId8" w:history="1">
        <w:r w:rsidRPr="00541D03">
          <w:rPr>
            <w:rStyle w:val="Hyperlink"/>
            <w:sz w:val="24"/>
            <w:lang w:val="en-GB"/>
          </w:rPr>
          <w:t>http://data.europa.eu/eli/reg/2006/1367/oj</w:t>
        </w:r>
      </w:hyperlink>
      <w:r w:rsidR="00DC78B8">
        <w:rPr>
          <w:rStyle w:val="Hyperlink"/>
          <w:sz w:val="24"/>
          <w:lang w:val="en-GB"/>
        </w:rPr>
        <w:t>)</w:t>
      </w:r>
      <w:r w:rsidRPr="00541D03">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84D959" w14:textId="77777777" w:rsidR="00064002" w:rsidRPr="00541D03"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347AEA" w14:textId="77777777" w:rsidR="00064002" w:rsidRPr="00541D03"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8D42C" w14:textId="77777777" w:rsidR="00064002" w:rsidRPr="00541D03"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2" w15:restartNumberingAfterBreak="0">
    <w:nsid w:val="3F654581"/>
    <w:multiLevelType w:val="hybridMultilevel"/>
    <w:tmpl w:val="F16C6036"/>
    <w:lvl w:ilvl="0" w:tplc="CD12E438">
      <w:start w:val="1"/>
      <w:numFmt w:val="bullet"/>
      <w:pStyle w:val="Normal12aBullet1"/>
      <w:lvlText w:val=""/>
      <w:lvlJc w:val="left"/>
      <w:pPr>
        <w:ind w:left="720" w:hanging="360"/>
      </w:pPr>
      <w:rPr>
        <w:rFonts w:ascii="Symbol" w:hAnsi="Symbol" w:hint="default"/>
      </w:rPr>
    </w:lvl>
    <w:lvl w:ilvl="1" w:tplc="DBAE1B0A" w:tentative="1">
      <w:start w:val="1"/>
      <w:numFmt w:val="bullet"/>
      <w:lvlText w:val="o"/>
      <w:lvlJc w:val="left"/>
      <w:pPr>
        <w:ind w:left="1440" w:hanging="360"/>
      </w:pPr>
      <w:rPr>
        <w:rFonts w:ascii="Courier New" w:hAnsi="Courier New" w:cs="Courier New" w:hint="default"/>
      </w:rPr>
    </w:lvl>
    <w:lvl w:ilvl="2" w:tplc="C78A7312" w:tentative="1">
      <w:start w:val="1"/>
      <w:numFmt w:val="bullet"/>
      <w:lvlText w:val=""/>
      <w:lvlJc w:val="left"/>
      <w:pPr>
        <w:ind w:left="2160" w:hanging="360"/>
      </w:pPr>
      <w:rPr>
        <w:rFonts w:ascii="Wingdings" w:hAnsi="Wingdings" w:hint="default"/>
      </w:rPr>
    </w:lvl>
    <w:lvl w:ilvl="3" w:tplc="04186AC4" w:tentative="1">
      <w:start w:val="1"/>
      <w:numFmt w:val="bullet"/>
      <w:lvlText w:val=""/>
      <w:lvlJc w:val="left"/>
      <w:pPr>
        <w:ind w:left="2880" w:hanging="360"/>
      </w:pPr>
      <w:rPr>
        <w:rFonts w:ascii="Symbol" w:hAnsi="Symbol" w:hint="default"/>
      </w:rPr>
    </w:lvl>
    <w:lvl w:ilvl="4" w:tplc="3A322178" w:tentative="1">
      <w:start w:val="1"/>
      <w:numFmt w:val="bullet"/>
      <w:lvlText w:val="o"/>
      <w:lvlJc w:val="left"/>
      <w:pPr>
        <w:ind w:left="3600" w:hanging="360"/>
      </w:pPr>
      <w:rPr>
        <w:rFonts w:ascii="Courier New" w:hAnsi="Courier New" w:cs="Courier New" w:hint="default"/>
      </w:rPr>
    </w:lvl>
    <w:lvl w:ilvl="5" w:tplc="705CDECE" w:tentative="1">
      <w:start w:val="1"/>
      <w:numFmt w:val="bullet"/>
      <w:lvlText w:val=""/>
      <w:lvlJc w:val="left"/>
      <w:pPr>
        <w:ind w:left="4320" w:hanging="360"/>
      </w:pPr>
      <w:rPr>
        <w:rFonts w:ascii="Wingdings" w:hAnsi="Wingdings" w:hint="default"/>
      </w:rPr>
    </w:lvl>
    <w:lvl w:ilvl="6" w:tplc="028E7360" w:tentative="1">
      <w:start w:val="1"/>
      <w:numFmt w:val="bullet"/>
      <w:lvlText w:val=""/>
      <w:lvlJc w:val="left"/>
      <w:pPr>
        <w:ind w:left="5040" w:hanging="360"/>
      </w:pPr>
      <w:rPr>
        <w:rFonts w:ascii="Symbol" w:hAnsi="Symbol" w:hint="default"/>
      </w:rPr>
    </w:lvl>
    <w:lvl w:ilvl="7" w:tplc="BBC6196C" w:tentative="1">
      <w:start w:val="1"/>
      <w:numFmt w:val="bullet"/>
      <w:lvlText w:val="o"/>
      <w:lvlJc w:val="left"/>
      <w:pPr>
        <w:ind w:left="5760" w:hanging="360"/>
      </w:pPr>
      <w:rPr>
        <w:rFonts w:ascii="Courier New" w:hAnsi="Courier New" w:cs="Courier New" w:hint="default"/>
      </w:rPr>
    </w:lvl>
    <w:lvl w:ilvl="8" w:tplc="8A624566" w:tentative="1">
      <w:start w:val="1"/>
      <w:numFmt w:val="bullet"/>
      <w:lvlText w:val=""/>
      <w:lvlJc w:val="left"/>
      <w:pPr>
        <w:ind w:left="6480" w:hanging="360"/>
      </w:pPr>
      <w:rPr>
        <w:rFonts w:ascii="Wingdings" w:hAnsi="Wingdings" w:hint="default"/>
      </w:rPr>
    </w:lvl>
  </w:abstractNum>
  <w:abstractNum w:abstractNumId="13" w15:restartNumberingAfterBreak="0">
    <w:nsid w:val="6D6C09CF"/>
    <w:multiLevelType w:val="hybridMultilevel"/>
    <w:tmpl w:val="0DAA9F68"/>
    <w:lvl w:ilvl="0" w:tplc="B2AAA088">
      <w:start w:val="1"/>
      <w:numFmt w:val="bullet"/>
      <w:pStyle w:val="Normal12aBullet2"/>
      <w:lvlText w:val="o"/>
      <w:lvlJc w:val="left"/>
      <w:pPr>
        <w:ind w:left="1080" w:hanging="360"/>
      </w:pPr>
      <w:rPr>
        <w:rFonts w:ascii="Courier New" w:hAnsi="Courier New" w:cs="Courier New" w:hint="default"/>
      </w:rPr>
    </w:lvl>
    <w:lvl w:ilvl="1" w:tplc="FCFAA7E2" w:tentative="1">
      <w:start w:val="1"/>
      <w:numFmt w:val="bullet"/>
      <w:lvlText w:val="o"/>
      <w:lvlJc w:val="left"/>
      <w:pPr>
        <w:ind w:left="1800" w:hanging="360"/>
      </w:pPr>
      <w:rPr>
        <w:rFonts w:ascii="Courier New" w:hAnsi="Courier New" w:cs="Courier New" w:hint="default"/>
      </w:rPr>
    </w:lvl>
    <w:lvl w:ilvl="2" w:tplc="076CFDEA" w:tentative="1">
      <w:start w:val="1"/>
      <w:numFmt w:val="bullet"/>
      <w:lvlText w:val=""/>
      <w:lvlJc w:val="left"/>
      <w:pPr>
        <w:ind w:left="2520" w:hanging="360"/>
      </w:pPr>
      <w:rPr>
        <w:rFonts w:ascii="Wingdings" w:hAnsi="Wingdings" w:hint="default"/>
      </w:rPr>
    </w:lvl>
    <w:lvl w:ilvl="3" w:tplc="8CAC4220" w:tentative="1">
      <w:start w:val="1"/>
      <w:numFmt w:val="bullet"/>
      <w:lvlText w:val=""/>
      <w:lvlJc w:val="left"/>
      <w:pPr>
        <w:ind w:left="3240" w:hanging="360"/>
      </w:pPr>
      <w:rPr>
        <w:rFonts w:ascii="Symbol" w:hAnsi="Symbol" w:hint="default"/>
      </w:rPr>
    </w:lvl>
    <w:lvl w:ilvl="4" w:tplc="1A24437C" w:tentative="1">
      <w:start w:val="1"/>
      <w:numFmt w:val="bullet"/>
      <w:lvlText w:val="o"/>
      <w:lvlJc w:val="left"/>
      <w:pPr>
        <w:ind w:left="3960" w:hanging="360"/>
      </w:pPr>
      <w:rPr>
        <w:rFonts w:ascii="Courier New" w:hAnsi="Courier New" w:cs="Courier New" w:hint="default"/>
      </w:rPr>
    </w:lvl>
    <w:lvl w:ilvl="5" w:tplc="6C4AB34A" w:tentative="1">
      <w:start w:val="1"/>
      <w:numFmt w:val="bullet"/>
      <w:lvlText w:val=""/>
      <w:lvlJc w:val="left"/>
      <w:pPr>
        <w:ind w:left="4680" w:hanging="360"/>
      </w:pPr>
      <w:rPr>
        <w:rFonts w:ascii="Wingdings" w:hAnsi="Wingdings" w:hint="default"/>
      </w:rPr>
    </w:lvl>
    <w:lvl w:ilvl="6" w:tplc="CE0073EC" w:tentative="1">
      <w:start w:val="1"/>
      <w:numFmt w:val="bullet"/>
      <w:lvlText w:val=""/>
      <w:lvlJc w:val="left"/>
      <w:pPr>
        <w:ind w:left="5400" w:hanging="360"/>
      </w:pPr>
      <w:rPr>
        <w:rFonts w:ascii="Symbol" w:hAnsi="Symbol" w:hint="default"/>
      </w:rPr>
    </w:lvl>
    <w:lvl w:ilvl="7" w:tplc="ABF45B98" w:tentative="1">
      <w:start w:val="1"/>
      <w:numFmt w:val="bullet"/>
      <w:lvlText w:val="o"/>
      <w:lvlJc w:val="left"/>
      <w:pPr>
        <w:ind w:left="6120" w:hanging="360"/>
      </w:pPr>
      <w:rPr>
        <w:rFonts w:ascii="Courier New" w:hAnsi="Courier New" w:cs="Courier New" w:hint="default"/>
      </w:rPr>
    </w:lvl>
    <w:lvl w:ilvl="8" w:tplc="5EF6A222" w:tentative="1">
      <w:start w:val="1"/>
      <w:numFmt w:val="bullet"/>
      <w:lvlText w:val=""/>
      <w:lvlJc w:val="left"/>
      <w:pPr>
        <w:ind w:left="6840" w:hanging="360"/>
      </w:pPr>
      <w:rPr>
        <w:rFonts w:ascii="Wingdings" w:hAnsi="Wingdings" w:hint="default"/>
      </w:r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 w:numId="45">
    <w:abstractNumId w:val="12"/>
  </w:num>
  <w:num w:numId="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68/2025"/>
    <w:docVar w:name="dvlangue" w:val="EN"/>
    <w:docVar w:name="dvnumam" w:val="0"/>
    <w:docVar w:name="dvpe" w:val="769.944"/>
    <w:docVar w:name="dvrapporteur" w:val="Rapporteur: "/>
    <w:docVar w:name="dvtitre" w:val="European Parliament legislative resolution of xx Xxxx 2025 on the control of the financial activities of the European Investment Bank – annual report 2023(2024/2052(INI))"/>
  </w:docVars>
  <w:rsids>
    <w:rsidRoot w:val="001F597A"/>
    <w:rsid w:val="00002272"/>
    <w:rsid w:val="00064002"/>
    <w:rsid w:val="000677B9"/>
    <w:rsid w:val="000831BA"/>
    <w:rsid w:val="000A42CC"/>
    <w:rsid w:val="000E7DD9"/>
    <w:rsid w:val="0010095E"/>
    <w:rsid w:val="00107111"/>
    <w:rsid w:val="00125B37"/>
    <w:rsid w:val="00187494"/>
    <w:rsid w:val="001F32AE"/>
    <w:rsid w:val="001F597A"/>
    <w:rsid w:val="00207BE7"/>
    <w:rsid w:val="002767FF"/>
    <w:rsid w:val="002B18FE"/>
    <w:rsid w:val="002B5493"/>
    <w:rsid w:val="00343214"/>
    <w:rsid w:val="00361C00"/>
    <w:rsid w:val="00395FA1"/>
    <w:rsid w:val="003E15D4"/>
    <w:rsid w:val="00411CCE"/>
    <w:rsid w:val="0041666E"/>
    <w:rsid w:val="00421060"/>
    <w:rsid w:val="00471C19"/>
    <w:rsid w:val="004867E3"/>
    <w:rsid w:val="00494A28"/>
    <w:rsid w:val="004B5FB3"/>
    <w:rsid w:val="004C0004"/>
    <w:rsid w:val="004C5D52"/>
    <w:rsid w:val="0050519A"/>
    <w:rsid w:val="005072A1"/>
    <w:rsid w:val="00514517"/>
    <w:rsid w:val="00541D03"/>
    <w:rsid w:val="00545827"/>
    <w:rsid w:val="00560270"/>
    <w:rsid w:val="00563D6A"/>
    <w:rsid w:val="005C2568"/>
    <w:rsid w:val="005F1B17"/>
    <w:rsid w:val="006037C0"/>
    <w:rsid w:val="006631B6"/>
    <w:rsid w:val="00680577"/>
    <w:rsid w:val="006F2F8E"/>
    <w:rsid w:val="006F74FA"/>
    <w:rsid w:val="00731ADD"/>
    <w:rsid w:val="00734777"/>
    <w:rsid w:val="00747932"/>
    <w:rsid w:val="00751A4A"/>
    <w:rsid w:val="00756632"/>
    <w:rsid w:val="00762C74"/>
    <w:rsid w:val="00786EC0"/>
    <w:rsid w:val="007D1690"/>
    <w:rsid w:val="007E22AD"/>
    <w:rsid w:val="00805BD4"/>
    <w:rsid w:val="00817416"/>
    <w:rsid w:val="00842779"/>
    <w:rsid w:val="00865F67"/>
    <w:rsid w:val="00881A7B"/>
    <w:rsid w:val="008840E5"/>
    <w:rsid w:val="00887B3E"/>
    <w:rsid w:val="008927FF"/>
    <w:rsid w:val="008C2AC6"/>
    <w:rsid w:val="008D38BE"/>
    <w:rsid w:val="008D6C36"/>
    <w:rsid w:val="00930C23"/>
    <w:rsid w:val="0093193B"/>
    <w:rsid w:val="00947A02"/>
    <w:rsid w:val="009509D8"/>
    <w:rsid w:val="00950B64"/>
    <w:rsid w:val="00981893"/>
    <w:rsid w:val="00984B2E"/>
    <w:rsid w:val="00A07CF4"/>
    <w:rsid w:val="00A1687D"/>
    <w:rsid w:val="00A2139A"/>
    <w:rsid w:val="00A43E52"/>
    <w:rsid w:val="00A4678D"/>
    <w:rsid w:val="00A778C7"/>
    <w:rsid w:val="00AB441E"/>
    <w:rsid w:val="00AB6293"/>
    <w:rsid w:val="00AE0928"/>
    <w:rsid w:val="00AF3B82"/>
    <w:rsid w:val="00B12E95"/>
    <w:rsid w:val="00B22876"/>
    <w:rsid w:val="00B558F0"/>
    <w:rsid w:val="00B63AEA"/>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DC78B8"/>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101A31"/>
  <w15:chartTrackingRefBased/>
  <w15:docId w15:val="{93DE5BFA-BE22-48D2-BCE1-AF0C51873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rsid w:val="00395FA1"/>
    <w:pPr>
      <w:keepNext/>
      <w:keepLines/>
      <w:widowControl/>
    </w:pPr>
    <w:rPr>
      <w:b/>
      <w:noProof/>
      <w:lang w:val="fr-FR" w:eastAsia="fr-FR"/>
    </w:rPr>
  </w:style>
  <w:style w:type="paragraph" w:styleId="TOC3">
    <w:name w:val="toc 3"/>
    <w:basedOn w:val="Normal"/>
    <w:next w:val="Normal"/>
    <w:autoRedefine/>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8D6C36"/>
    <w:rPr>
      <w:b/>
      <w:kern w:val="28"/>
      <w:sz w:val="28"/>
      <w:lang w:val="fr-FR" w:eastAsia="fr-FR"/>
    </w:rPr>
  </w:style>
  <w:style w:type="character" w:customStyle="1" w:styleId="Heading2Char">
    <w:name w:val="Heading 2 Char"/>
    <w:basedOn w:val="DefaultParagraphFont"/>
    <w:link w:val="Heading2"/>
    <w:semiHidden/>
    <w:rsid w:val="008D6C36"/>
    <w:rPr>
      <w:sz w:val="24"/>
      <w:lang w:val="fr-FR" w:eastAsia="fr-FR"/>
    </w:rPr>
  </w:style>
  <w:style w:type="character" w:customStyle="1" w:styleId="Heading3Char">
    <w:name w:val="Heading 3 Char"/>
    <w:basedOn w:val="DefaultParagraphFont"/>
    <w:link w:val="Heading3"/>
    <w:semiHidden/>
    <w:rsid w:val="008D6C36"/>
    <w:rPr>
      <w:rFonts w:ascii="Arial" w:hAnsi="Arial"/>
      <w:sz w:val="24"/>
      <w:lang w:val="fr-FR" w:eastAsia="fr-FR"/>
    </w:rPr>
  </w:style>
  <w:style w:type="character" w:customStyle="1" w:styleId="Heading4Char">
    <w:name w:val="Heading 4 Char"/>
    <w:basedOn w:val="DefaultParagraphFont"/>
    <w:link w:val="Heading4"/>
    <w:semiHidden/>
    <w:rsid w:val="008D6C36"/>
    <w:rPr>
      <w:sz w:val="24"/>
      <w:lang w:val="en-US" w:eastAsia="fr-FR"/>
    </w:rPr>
  </w:style>
  <w:style w:type="character" w:customStyle="1" w:styleId="Heading5Char">
    <w:name w:val="Heading 5 Char"/>
    <w:basedOn w:val="DefaultParagraphFont"/>
    <w:link w:val="Heading5"/>
    <w:semiHidden/>
    <w:rsid w:val="008D6C36"/>
    <w:rPr>
      <w:sz w:val="24"/>
      <w:lang w:val="en-US" w:eastAsia="fr-FR"/>
    </w:rPr>
  </w:style>
  <w:style w:type="character" w:customStyle="1" w:styleId="Heading6Char">
    <w:name w:val="Heading 6 Char"/>
    <w:basedOn w:val="DefaultParagraphFont"/>
    <w:link w:val="Heading6"/>
    <w:semiHidden/>
    <w:rsid w:val="008D6C36"/>
    <w:rPr>
      <w:i/>
      <w:sz w:val="22"/>
    </w:rPr>
  </w:style>
  <w:style w:type="character" w:customStyle="1" w:styleId="Heading7Char">
    <w:name w:val="Heading 7 Char"/>
    <w:basedOn w:val="DefaultParagraphFont"/>
    <w:link w:val="Heading7"/>
    <w:semiHidden/>
    <w:rsid w:val="008D6C36"/>
    <w:rPr>
      <w:rFonts w:ascii="Arial" w:hAnsi="Arial"/>
      <w:sz w:val="24"/>
    </w:rPr>
  </w:style>
  <w:style w:type="character" w:customStyle="1" w:styleId="Heading8Char">
    <w:name w:val="Heading 8 Char"/>
    <w:basedOn w:val="DefaultParagraphFont"/>
    <w:link w:val="Heading8"/>
    <w:semiHidden/>
    <w:rsid w:val="008D6C36"/>
    <w:rPr>
      <w:rFonts w:ascii="Arial" w:hAnsi="Arial"/>
      <w:i/>
      <w:sz w:val="24"/>
    </w:rPr>
  </w:style>
  <w:style w:type="character" w:customStyle="1" w:styleId="Heading9Char">
    <w:name w:val="Heading 9 Char"/>
    <w:basedOn w:val="DefaultParagraphFont"/>
    <w:link w:val="Heading9"/>
    <w:semiHidden/>
    <w:rsid w:val="008D6C36"/>
    <w:rPr>
      <w:rFonts w:ascii="Arial" w:hAnsi="Arial"/>
      <w:b/>
      <w:i/>
      <w:sz w:val="18"/>
    </w:rPr>
  </w:style>
  <w:style w:type="paragraph" w:styleId="TOCHeading">
    <w:name w:val="TOC Heading"/>
    <w:basedOn w:val="Normal"/>
    <w:next w:val="Normal"/>
    <w:unhideWhenUsed/>
    <w:qFormat/>
    <w:rsid w:val="008D6C36"/>
    <w:pPr>
      <w:widowControl/>
      <w:spacing w:after="240"/>
    </w:pPr>
  </w:style>
  <w:style w:type="paragraph" w:customStyle="1" w:styleId="EPComma">
    <w:name w:val="EPComma"/>
    <w:basedOn w:val="Normal"/>
    <w:rsid w:val="008D6C36"/>
    <w:pPr>
      <w:spacing w:before="480" w:after="240"/>
    </w:pPr>
    <w:rPr>
      <w:snapToGrid w:val="0"/>
      <w:lang w:eastAsia="en-US"/>
    </w:rPr>
  </w:style>
  <w:style w:type="paragraph" w:customStyle="1" w:styleId="CoverNormal">
    <w:name w:val="CoverNormal"/>
    <w:basedOn w:val="Normal"/>
    <w:rsid w:val="008D6C36"/>
    <w:pPr>
      <w:ind w:left="1418"/>
    </w:pPr>
    <w:rPr>
      <w:snapToGrid w:val="0"/>
      <w:lang w:eastAsia="en-US"/>
    </w:rPr>
  </w:style>
  <w:style w:type="paragraph" w:customStyle="1" w:styleId="TOCRight">
    <w:name w:val="TOC Right"/>
    <w:basedOn w:val="Normal"/>
    <w:rsid w:val="008D6C36"/>
    <w:pPr>
      <w:spacing w:after="240"/>
      <w:jc w:val="right"/>
    </w:pPr>
    <w:rPr>
      <w:snapToGrid w:val="0"/>
      <w:lang w:eastAsia="en-US"/>
    </w:rPr>
  </w:style>
  <w:style w:type="paragraph" w:customStyle="1" w:styleId="CoverDateRefPart">
    <w:name w:val="CoverDateRefPart"/>
    <w:basedOn w:val="Normal"/>
    <w:rsid w:val="008D6C36"/>
    <w:pPr>
      <w:spacing w:after="1200"/>
    </w:pPr>
    <w:rPr>
      <w:snapToGrid w:val="0"/>
      <w:lang w:eastAsia="en-US"/>
    </w:rPr>
  </w:style>
  <w:style w:type="paragraph" w:customStyle="1" w:styleId="EPFooter2">
    <w:name w:val="EPFooter2"/>
    <w:basedOn w:val="Normal"/>
    <w:next w:val="Normal"/>
    <w:rsid w:val="008D6C36"/>
    <w:pPr>
      <w:widowControl/>
      <w:tabs>
        <w:tab w:val="center" w:pos="4535"/>
        <w:tab w:val="right" w:pos="9921"/>
      </w:tabs>
      <w:ind w:left="-850" w:right="-850"/>
    </w:pPr>
    <w:rPr>
      <w:rFonts w:ascii="Arial" w:hAnsi="Arial" w:cs="Arial"/>
      <w:b/>
      <w:snapToGrid w:val="0"/>
      <w:sz w:val="48"/>
      <w:lang w:eastAsia="en-US"/>
    </w:rPr>
  </w:style>
  <w:style w:type="paragraph" w:customStyle="1" w:styleId="NormalBold">
    <w:name w:val="NormalBold"/>
    <w:basedOn w:val="Normal"/>
    <w:rsid w:val="008D6C36"/>
    <w:rPr>
      <w:b/>
      <w:snapToGrid w:val="0"/>
      <w:lang w:eastAsia="en-US"/>
    </w:rPr>
  </w:style>
  <w:style w:type="paragraph" w:customStyle="1" w:styleId="CoverReference">
    <w:name w:val="CoverReference"/>
    <w:basedOn w:val="Normal"/>
    <w:rsid w:val="008D6C36"/>
    <w:pPr>
      <w:spacing w:before="1080"/>
      <w:jc w:val="right"/>
    </w:pPr>
    <w:rPr>
      <w:rFonts w:ascii="Arial" w:hAnsi="Arial" w:cs="Arial"/>
      <w:b/>
      <w:snapToGrid w:val="0"/>
      <w:lang w:eastAsia="en-US"/>
    </w:rPr>
  </w:style>
  <w:style w:type="paragraph" w:customStyle="1" w:styleId="CoverNormal24a">
    <w:name w:val="CoverNormal24a"/>
    <w:basedOn w:val="Normal"/>
    <w:rsid w:val="008D6C36"/>
    <w:pPr>
      <w:spacing w:after="480"/>
      <w:ind w:left="1417"/>
    </w:pPr>
    <w:rPr>
      <w:snapToGrid w:val="0"/>
      <w:lang w:eastAsia="en-US"/>
    </w:rPr>
  </w:style>
  <w:style w:type="paragraph" w:customStyle="1" w:styleId="TOCPage">
    <w:name w:val="TOC Page"/>
    <w:basedOn w:val="Normal"/>
    <w:next w:val="TOC1"/>
    <w:rsid w:val="008D6C36"/>
    <w:pPr>
      <w:keepNext/>
      <w:spacing w:after="240"/>
      <w:jc w:val="right"/>
    </w:pPr>
    <w:rPr>
      <w:rFonts w:ascii="Arial" w:hAnsi="Arial"/>
      <w:b/>
      <w:snapToGrid w:val="0"/>
      <w:lang w:eastAsia="en-US"/>
    </w:rPr>
  </w:style>
  <w:style w:type="paragraph" w:customStyle="1" w:styleId="CoverDocType24a">
    <w:name w:val="CoverDocType24a"/>
    <w:basedOn w:val="Normal"/>
    <w:rsid w:val="008D6C36"/>
    <w:pPr>
      <w:spacing w:after="480"/>
      <w:ind w:left="1418"/>
    </w:pPr>
    <w:rPr>
      <w:rFonts w:ascii="Arial" w:hAnsi="Arial"/>
      <w:b/>
      <w:snapToGrid w:val="0"/>
      <w:sz w:val="48"/>
      <w:lang w:eastAsia="en-US"/>
    </w:rPr>
  </w:style>
  <w:style w:type="paragraph" w:customStyle="1" w:styleId="NormalHanging12a">
    <w:name w:val="NormalHanging12a"/>
    <w:basedOn w:val="Normal"/>
    <w:link w:val="NormalHanging12aChar"/>
    <w:rsid w:val="008D6C36"/>
    <w:pPr>
      <w:widowControl/>
      <w:spacing w:after="240"/>
      <w:ind w:left="567" w:hanging="567"/>
    </w:pPr>
    <w:rPr>
      <w:snapToGrid w:val="0"/>
      <w:lang w:eastAsia="en-US"/>
    </w:rPr>
  </w:style>
  <w:style w:type="paragraph" w:styleId="TOC4">
    <w:name w:val="toc 4"/>
    <w:basedOn w:val="Normal"/>
    <w:next w:val="Normal"/>
    <w:autoRedefine/>
    <w:rsid w:val="008D6C36"/>
    <w:pPr>
      <w:ind w:left="720"/>
    </w:pPr>
    <w:rPr>
      <w:snapToGrid w:val="0"/>
      <w:lang w:eastAsia="en-US"/>
    </w:rPr>
  </w:style>
  <w:style w:type="paragraph" w:customStyle="1" w:styleId="PageHeading">
    <w:name w:val="PageHeading"/>
    <w:basedOn w:val="Normal"/>
    <w:rsid w:val="008D6C36"/>
    <w:pPr>
      <w:keepNext/>
      <w:spacing w:after="480"/>
      <w:jc w:val="center"/>
    </w:pPr>
    <w:rPr>
      <w:rFonts w:ascii="Arial" w:hAnsi="Arial" w:cs="Arial"/>
      <w:b/>
      <w:snapToGrid w:val="0"/>
      <w:lang w:eastAsia="en-US"/>
    </w:rPr>
  </w:style>
  <w:style w:type="paragraph" w:styleId="TOC5">
    <w:name w:val="toc 5"/>
    <w:basedOn w:val="Normal"/>
    <w:next w:val="Normal"/>
    <w:autoRedefine/>
    <w:rsid w:val="008D6C36"/>
    <w:pPr>
      <w:ind w:left="960"/>
    </w:pPr>
    <w:rPr>
      <w:snapToGrid w:val="0"/>
      <w:lang w:eastAsia="en-US"/>
    </w:rPr>
  </w:style>
  <w:style w:type="paragraph" w:styleId="TOC6">
    <w:name w:val="toc 6"/>
    <w:basedOn w:val="Normal"/>
    <w:next w:val="Normal"/>
    <w:autoRedefine/>
    <w:rsid w:val="008D6C36"/>
    <w:pPr>
      <w:ind w:left="1200"/>
    </w:pPr>
    <w:rPr>
      <w:snapToGrid w:val="0"/>
      <w:lang w:eastAsia="en-US"/>
    </w:rPr>
  </w:style>
  <w:style w:type="paragraph" w:styleId="TOC7">
    <w:name w:val="toc 7"/>
    <w:basedOn w:val="Normal"/>
    <w:next w:val="Normal"/>
    <w:autoRedefine/>
    <w:rsid w:val="008D6C36"/>
    <w:pPr>
      <w:ind w:left="1440"/>
    </w:pPr>
    <w:rPr>
      <w:snapToGrid w:val="0"/>
      <w:lang w:eastAsia="en-US"/>
    </w:rPr>
  </w:style>
  <w:style w:type="paragraph" w:styleId="TOC8">
    <w:name w:val="toc 8"/>
    <w:basedOn w:val="Normal"/>
    <w:next w:val="Normal"/>
    <w:autoRedefine/>
    <w:rsid w:val="008D6C36"/>
    <w:pPr>
      <w:ind w:left="1680"/>
    </w:pPr>
    <w:rPr>
      <w:snapToGrid w:val="0"/>
      <w:lang w:eastAsia="en-US"/>
    </w:rPr>
  </w:style>
  <w:style w:type="paragraph" w:styleId="TOC9">
    <w:name w:val="toc 9"/>
    <w:basedOn w:val="Normal"/>
    <w:next w:val="Normal"/>
    <w:autoRedefine/>
    <w:rsid w:val="008D6C36"/>
    <w:pPr>
      <w:ind w:left="1920"/>
    </w:pPr>
    <w:rPr>
      <w:snapToGrid w:val="0"/>
      <w:lang w:eastAsia="en-US"/>
    </w:rPr>
  </w:style>
  <w:style w:type="paragraph" w:customStyle="1" w:styleId="TOCSubHeading">
    <w:name w:val="TOC SubHeading"/>
    <w:basedOn w:val="Normal"/>
    <w:rsid w:val="008D6C36"/>
    <w:pPr>
      <w:spacing w:before="480" w:after="240"/>
    </w:pPr>
    <w:rPr>
      <w:b/>
      <w:snapToGrid w:val="0"/>
      <w:lang w:eastAsia="en-US"/>
    </w:rPr>
  </w:style>
  <w:style w:type="paragraph" w:customStyle="1" w:styleId="TOCTabLeader">
    <w:name w:val="TOC TabLeader"/>
    <w:basedOn w:val="Normal"/>
    <w:rsid w:val="008D6C36"/>
    <w:pPr>
      <w:tabs>
        <w:tab w:val="left" w:leader="dot" w:pos="5954"/>
      </w:tabs>
      <w:spacing w:after="240"/>
    </w:pPr>
    <w:rPr>
      <w:snapToGrid w:val="0"/>
      <w:lang w:eastAsia="en-US"/>
    </w:rPr>
  </w:style>
  <w:style w:type="paragraph" w:customStyle="1" w:styleId="CoverNormalHanging">
    <w:name w:val="CoverNormalHanging"/>
    <w:basedOn w:val="Normal"/>
    <w:rsid w:val="008D6C36"/>
    <w:pPr>
      <w:ind w:left="3686" w:hanging="2268"/>
    </w:pPr>
    <w:rPr>
      <w:snapToGrid w:val="0"/>
      <w:lang w:eastAsia="en-US"/>
    </w:rPr>
  </w:style>
  <w:style w:type="paragraph" w:customStyle="1" w:styleId="EPBody">
    <w:name w:val="EPBody"/>
    <w:basedOn w:val="Normal"/>
    <w:rsid w:val="008D6C36"/>
    <w:pPr>
      <w:jc w:val="center"/>
    </w:pPr>
    <w:rPr>
      <w:rFonts w:ascii="Arial" w:hAnsi="Arial" w:cs="Arial"/>
      <w:i/>
      <w:sz w:val="22"/>
      <w:szCs w:val="22"/>
    </w:rPr>
  </w:style>
  <w:style w:type="paragraph" w:customStyle="1" w:styleId="CoverRefPart">
    <w:name w:val="CoverRefPart"/>
    <w:basedOn w:val="Normal"/>
    <w:rsid w:val="008D6C36"/>
    <w:pPr>
      <w:jc w:val="right"/>
    </w:pPr>
    <w:rPr>
      <w:rFonts w:ascii="Arial" w:hAnsi="Arial"/>
      <w:snapToGrid w:val="0"/>
      <w:lang w:eastAsia="en-US"/>
    </w:rPr>
  </w:style>
  <w:style w:type="paragraph" w:customStyle="1" w:styleId="Subheading">
    <w:name w:val="Subheading"/>
    <w:basedOn w:val="Normal"/>
    <w:rsid w:val="008D6C36"/>
    <w:pPr>
      <w:spacing w:before="480" w:after="240"/>
    </w:pPr>
    <w:rPr>
      <w:b/>
      <w:bCs/>
      <w:i/>
      <w:iCs/>
      <w:snapToGrid w:val="0"/>
      <w:lang w:eastAsia="en-US"/>
    </w:rPr>
  </w:style>
  <w:style w:type="paragraph" w:customStyle="1" w:styleId="EPFooter">
    <w:name w:val="EPFooter"/>
    <w:basedOn w:val="Normal"/>
    <w:rsid w:val="008D6C36"/>
    <w:pPr>
      <w:tabs>
        <w:tab w:val="center" w:pos="4535"/>
        <w:tab w:val="right" w:pos="9071"/>
      </w:tabs>
      <w:spacing w:before="240" w:after="240"/>
    </w:pPr>
    <w:rPr>
      <w:snapToGrid w:val="0"/>
      <w:color w:val="010000"/>
      <w:sz w:val="22"/>
      <w:lang w:eastAsia="en-US"/>
    </w:rPr>
  </w:style>
  <w:style w:type="paragraph" w:styleId="Header">
    <w:name w:val="header"/>
    <w:basedOn w:val="Normal"/>
    <w:link w:val="HeaderChar"/>
    <w:rsid w:val="008D6C36"/>
    <w:pPr>
      <w:tabs>
        <w:tab w:val="center" w:pos="4513"/>
        <w:tab w:val="right" w:pos="9026"/>
      </w:tabs>
    </w:pPr>
    <w:rPr>
      <w:snapToGrid w:val="0"/>
      <w:lang w:eastAsia="en-US"/>
    </w:rPr>
  </w:style>
  <w:style w:type="character" w:customStyle="1" w:styleId="HeaderChar">
    <w:name w:val="Header Char"/>
    <w:basedOn w:val="DefaultParagraphFont"/>
    <w:link w:val="Header"/>
    <w:rsid w:val="008D6C36"/>
    <w:rPr>
      <w:snapToGrid w:val="0"/>
      <w:sz w:val="24"/>
      <w:lang w:eastAsia="en-US"/>
    </w:rPr>
  </w:style>
  <w:style w:type="paragraph" w:customStyle="1" w:styleId="AmColumnHeading">
    <w:name w:val="AmColumnHeading"/>
    <w:basedOn w:val="Normal"/>
    <w:rsid w:val="008D6C36"/>
    <w:pPr>
      <w:spacing w:after="240"/>
      <w:jc w:val="center"/>
    </w:pPr>
    <w:rPr>
      <w:i/>
    </w:rPr>
  </w:style>
  <w:style w:type="paragraph" w:customStyle="1" w:styleId="AmCrossRef">
    <w:name w:val="AmCrossRef"/>
    <w:basedOn w:val="Normal"/>
    <w:rsid w:val="008D6C36"/>
    <w:pPr>
      <w:spacing w:before="240" w:after="240"/>
      <w:jc w:val="center"/>
    </w:pPr>
    <w:rPr>
      <w:i/>
    </w:rPr>
  </w:style>
  <w:style w:type="paragraph" w:customStyle="1" w:styleId="AmJustText">
    <w:name w:val="AmJustText"/>
    <w:basedOn w:val="Normal"/>
    <w:rsid w:val="008D6C36"/>
    <w:pPr>
      <w:spacing w:after="240"/>
    </w:pPr>
    <w:rPr>
      <w:i/>
    </w:rPr>
  </w:style>
  <w:style w:type="paragraph" w:customStyle="1" w:styleId="AmJustTitle">
    <w:name w:val="AmJustTitle"/>
    <w:basedOn w:val="Normal"/>
    <w:next w:val="AmJustText"/>
    <w:rsid w:val="008D6C36"/>
    <w:pPr>
      <w:keepNext/>
      <w:spacing w:before="240" w:after="240"/>
      <w:jc w:val="center"/>
    </w:pPr>
    <w:rPr>
      <w:i/>
    </w:rPr>
  </w:style>
  <w:style w:type="paragraph" w:customStyle="1" w:styleId="AmNumberTabs">
    <w:name w:val="AmNumberTabs"/>
    <w:basedOn w:val="Normal"/>
    <w:rsid w:val="008D6C36"/>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OrLang">
    <w:name w:val="AmOrLang"/>
    <w:basedOn w:val="Normal"/>
    <w:rsid w:val="008D6C36"/>
    <w:pPr>
      <w:spacing w:before="240" w:after="240"/>
      <w:jc w:val="right"/>
    </w:pPr>
  </w:style>
  <w:style w:type="paragraph" w:customStyle="1" w:styleId="AnnexWPDate">
    <w:name w:val="AnnexWPDate"/>
    <w:basedOn w:val="Normal"/>
    <w:rsid w:val="008D6C36"/>
    <w:pPr>
      <w:spacing w:before="240" w:after="480"/>
      <w:jc w:val="right"/>
    </w:pPr>
  </w:style>
  <w:style w:type="paragraph" w:customStyle="1" w:styleId="AnnexWPDocType">
    <w:name w:val="AnnexWPDocType"/>
    <w:basedOn w:val="Normal"/>
    <w:rsid w:val="008D6C36"/>
    <w:pPr>
      <w:spacing w:after="240"/>
      <w:jc w:val="center"/>
    </w:pPr>
    <w:rPr>
      <w:b/>
    </w:rPr>
  </w:style>
  <w:style w:type="paragraph" w:customStyle="1" w:styleId="AnnexWPLogo">
    <w:name w:val="AnnexWPLogo"/>
    <w:basedOn w:val="Normal"/>
    <w:rsid w:val="008D6C36"/>
    <w:pPr>
      <w:spacing w:before="120" w:after="120"/>
    </w:pPr>
  </w:style>
  <w:style w:type="paragraph" w:customStyle="1" w:styleId="AnnexWPSmall">
    <w:name w:val="AnnexWPSmall"/>
    <w:basedOn w:val="Normal"/>
    <w:rsid w:val="008D6C36"/>
    <w:rPr>
      <w:smallCaps/>
      <w:sz w:val="20"/>
    </w:rPr>
  </w:style>
  <w:style w:type="paragraph" w:customStyle="1" w:styleId="AnnexWPTabs">
    <w:name w:val="AnnexWPTabs"/>
    <w:basedOn w:val="Normal"/>
    <w:rsid w:val="008D6C36"/>
    <w:pPr>
      <w:tabs>
        <w:tab w:val="right" w:pos="3686"/>
        <w:tab w:val="left" w:pos="3827"/>
      </w:tabs>
    </w:pPr>
    <w:rPr>
      <w:b/>
    </w:rPr>
  </w:style>
  <w:style w:type="paragraph" w:customStyle="1" w:styleId="AnnexWPTitle">
    <w:name w:val="AnnexWPTitle"/>
    <w:basedOn w:val="Normal"/>
    <w:rsid w:val="008D6C36"/>
    <w:pPr>
      <w:spacing w:before="480"/>
    </w:pPr>
    <w:rPr>
      <w:b/>
    </w:rPr>
  </w:style>
  <w:style w:type="paragraph" w:customStyle="1" w:styleId="AmHeadingConsam">
    <w:name w:val="AmHeadingConsam"/>
    <w:basedOn w:val="Normal"/>
    <w:next w:val="Normal"/>
    <w:rsid w:val="008D6C36"/>
    <w:pPr>
      <w:spacing w:before="720" w:after="240"/>
      <w:jc w:val="center"/>
    </w:pPr>
  </w:style>
  <w:style w:type="paragraph" w:customStyle="1" w:styleId="CoverNormal12a">
    <w:name w:val="CoverNormal12a"/>
    <w:basedOn w:val="Normal"/>
    <w:rsid w:val="008D6C36"/>
    <w:pPr>
      <w:spacing w:after="240"/>
      <w:ind w:left="1418"/>
    </w:pPr>
  </w:style>
  <w:style w:type="paragraph" w:customStyle="1" w:styleId="Confidential">
    <w:name w:val="Confidential"/>
    <w:basedOn w:val="Normal"/>
    <w:rsid w:val="008D6C36"/>
    <w:pPr>
      <w:spacing w:before="120" w:after="120"/>
      <w:jc w:val="center"/>
    </w:pPr>
    <w:rPr>
      <w:rFonts w:ascii="Arial" w:hAnsi="Arial"/>
      <w:caps/>
    </w:rPr>
  </w:style>
  <w:style w:type="paragraph" w:customStyle="1" w:styleId="CoverReferenceIMM">
    <w:name w:val="CoverReferenceIMM"/>
    <w:basedOn w:val="Normal"/>
    <w:rsid w:val="008D6C36"/>
    <w:pPr>
      <w:spacing w:before="360"/>
      <w:jc w:val="right"/>
    </w:pPr>
    <w:rPr>
      <w:rFonts w:ascii="Arial" w:hAnsi="Arial"/>
      <w:b/>
    </w:rPr>
  </w:style>
  <w:style w:type="paragraph" w:customStyle="1" w:styleId="CoverDate">
    <w:name w:val="CoverDate"/>
    <w:basedOn w:val="Normal"/>
    <w:rsid w:val="008D6C36"/>
    <w:pPr>
      <w:spacing w:before="240" w:after="1200"/>
    </w:pPr>
  </w:style>
  <w:style w:type="paragraph" w:customStyle="1" w:styleId="CoverDocType">
    <w:name w:val="CoverDocType"/>
    <w:basedOn w:val="Normal"/>
    <w:rsid w:val="008D6C36"/>
    <w:pPr>
      <w:ind w:left="1418"/>
    </w:pPr>
    <w:rPr>
      <w:rFonts w:ascii="Arial" w:hAnsi="Arial"/>
      <w:b/>
      <w:sz w:val="48"/>
    </w:rPr>
  </w:style>
  <w:style w:type="paragraph" w:customStyle="1" w:styleId="NormalBold12a">
    <w:name w:val="NormalBold12a"/>
    <w:basedOn w:val="Normal"/>
    <w:rsid w:val="008D6C36"/>
    <w:pPr>
      <w:spacing w:after="240"/>
    </w:pPr>
    <w:rPr>
      <w:b/>
    </w:rPr>
  </w:style>
  <w:style w:type="paragraph" w:customStyle="1" w:styleId="NormalCenter12a">
    <w:name w:val="NormalCenter12a"/>
    <w:basedOn w:val="Normal"/>
    <w:rsid w:val="008D6C36"/>
    <w:pPr>
      <w:spacing w:after="240"/>
      <w:jc w:val="center"/>
    </w:pPr>
  </w:style>
  <w:style w:type="paragraph" w:customStyle="1" w:styleId="Normal6a">
    <w:name w:val="Normal6a"/>
    <w:basedOn w:val="Normal"/>
    <w:rsid w:val="008D6C36"/>
    <w:pPr>
      <w:spacing w:after="120"/>
    </w:pPr>
  </w:style>
  <w:style w:type="paragraph" w:customStyle="1" w:styleId="NormalBold12b">
    <w:name w:val="NormalBold12b"/>
    <w:basedOn w:val="Normal"/>
    <w:rsid w:val="008D6C36"/>
    <w:pPr>
      <w:spacing w:before="240"/>
    </w:pPr>
    <w:rPr>
      <w:b/>
    </w:rPr>
  </w:style>
  <w:style w:type="paragraph" w:customStyle="1" w:styleId="Arial14CentreBold">
    <w:name w:val="Arial14CentreBold"/>
    <w:basedOn w:val="Normal"/>
    <w:qFormat/>
    <w:rsid w:val="008D6C36"/>
    <w:pPr>
      <w:jc w:val="center"/>
    </w:pPr>
    <w:rPr>
      <w:rFonts w:ascii="Arial" w:hAnsi="Arial" w:cs="Arial"/>
      <w:b/>
      <w:sz w:val="28"/>
      <w:szCs w:val="28"/>
    </w:rPr>
  </w:style>
  <w:style w:type="character" w:customStyle="1" w:styleId="Bold">
    <w:name w:val="Bold"/>
    <w:uiPriority w:val="1"/>
    <w:rsid w:val="008D6C36"/>
    <w:rPr>
      <w:b/>
    </w:rPr>
  </w:style>
  <w:style w:type="character" w:customStyle="1" w:styleId="BoldItalic">
    <w:name w:val="BoldItalic"/>
    <w:uiPriority w:val="1"/>
    <w:rsid w:val="008D6C36"/>
    <w:rPr>
      <w:b/>
      <w:i/>
      <w:u w:val="none"/>
    </w:rPr>
  </w:style>
  <w:style w:type="character" w:customStyle="1" w:styleId="BoldItalicUnderline">
    <w:name w:val="BoldItalicUnderline"/>
    <w:uiPriority w:val="1"/>
    <w:rsid w:val="008D6C36"/>
    <w:rPr>
      <w:b/>
      <w:i/>
      <w:u w:val="single"/>
    </w:rPr>
  </w:style>
  <w:style w:type="character" w:customStyle="1" w:styleId="BoldUnderline">
    <w:name w:val="BoldUnderline"/>
    <w:uiPriority w:val="1"/>
    <w:rsid w:val="008D6C36"/>
    <w:rPr>
      <w:b/>
      <w:u w:val="single"/>
    </w:rPr>
  </w:style>
  <w:style w:type="paragraph" w:customStyle="1" w:styleId="CoverNormalLeft">
    <w:name w:val="CoverNormalLeft"/>
    <w:basedOn w:val="CoverNormal"/>
    <w:qFormat/>
    <w:rsid w:val="008D6C36"/>
    <w:pPr>
      <w:ind w:left="0"/>
    </w:pPr>
    <w:rPr>
      <w:snapToGrid/>
      <w:lang w:eastAsia="en-GB"/>
    </w:rPr>
  </w:style>
  <w:style w:type="paragraph" w:customStyle="1" w:styleId="EPFooter2Landscape">
    <w:name w:val="EPFooter2Landscape"/>
    <w:qFormat/>
    <w:rsid w:val="008D6C36"/>
    <w:pPr>
      <w:tabs>
        <w:tab w:val="center" w:pos="4536"/>
        <w:tab w:val="center" w:pos="9923"/>
        <w:tab w:val="right" w:pos="15026"/>
      </w:tabs>
    </w:pPr>
    <w:rPr>
      <w:rFonts w:ascii="Arial" w:hAnsi="Arial" w:cs="Arial"/>
      <w:b/>
      <w:sz w:val="48"/>
      <w:szCs w:val="22"/>
    </w:rPr>
  </w:style>
  <w:style w:type="character" w:customStyle="1" w:styleId="EPFooter2Motto">
    <w:name w:val="EPFooter2Motto"/>
    <w:uiPriority w:val="1"/>
    <w:qFormat/>
    <w:rsid w:val="008D6C36"/>
    <w:rPr>
      <w:rFonts w:ascii="Arial" w:hAnsi="Arial"/>
      <w:b/>
      <w:i/>
      <w:color w:val="C0C0C0"/>
      <w:sz w:val="22"/>
    </w:rPr>
  </w:style>
  <w:style w:type="paragraph" w:customStyle="1" w:styleId="EPFooterLandscape">
    <w:name w:val="EPFooterLandscape"/>
    <w:qFormat/>
    <w:rsid w:val="008D6C36"/>
    <w:pPr>
      <w:tabs>
        <w:tab w:val="center" w:pos="6804"/>
        <w:tab w:val="right" w:pos="15026"/>
      </w:tabs>
    </w:pPr>
    <w:rPr>
      <w:sz w:val="22"/>
    </w:rPr>
  </w:style>
  <w:style w:type="character" w:customStyle="1" w:styleId="Italic">
    <w:name w:val="Italic"/>
    <w:uiPriority w:val="1"/>
    <w:rsid w:val="008D6C36"/>
    <w:rPr>
      <w:i/>
    </w:rPr>
  </w:style>
  <w:style w:type="character" w:customStyle="1" w:styleId="ItalicUnderline">
    <w:name w:val="ItalicUnderline"/>
    <w:uiPriority w:val="1"/>
    <w:rsid w:val="008D6C36"/>
    <w:rPr>
      <w:i/>
      <w:u w:val="single"/>
    </w:rPr>
  </w:style>
  <w:style w:type="paragraph" w:customStyle="1" w:styleId="LegendSign">
    <w:name w:val="LegendSign"/>
    <w:basedOn w:val="Normal"/>
    <w:qFormat/>
    <w:rsid w:val="008D6C36"/>
    <w:pPr>
      <w:tabs>
        <w:tab w:val="right" w:pos="454"/>
        <w:tab w:val="left" w:pos="737"/>
      </w:tabs>
      <w:ind w:left="737" w:hanging="737"/>
    </w:pPr>
    <w:rPr>
      <w:sz w:val="18"/>
    </w:rPr>
  </w:style>
  <w:style w:type="paragraph" w:customStyle="1" w:styleId="LegendStandard">
    <w:name w:val="LegendStandard"/>
    <w:basedOn w:val="LegendSign"/>
    <w:qFormat/>
    <w:rsid w:val="008D6C36"/>
    <w:pPr>
      <w:ind w:left="0" w:firstLine="0"/>
    </w:pPr>
  </w:style>
  <w:style w:type="paragraph" w:customStyle="1" w:styleId="LegendTitle">
    <w:name w:val="LegendTitle"/>
    <w:basedOn w:val="Normal"/>
    <w:qFormat/>
    <w:rsid w:val="008D6C36"/>
    <w:pPr>
      <w:spacing w:before="240" w:after="240"/>
    </w:pPr>
    <w:rPr>
      <w:b/>
      <w:i/>
    </w:rPr>
  </w:style>
  <w:style w:type="character" w:customStyle="1" w:styleId="HideTermComment">
    <w:name w:val="HideTermComment"/>
    <w:uiPriority w:val="1"/>
    <w:qFormat/>
    <w:rsid w:val="008D6C36"/>
    <w:rPr>
      <w:rFonts w:ascii="Arial" w:hAnsi="Arial"/>
      <w:vanish/>
      <w:color w:val="0066CC"/>
      <w:sz w:val="18"/>
    </w:rPr>
  </w:style>
  <w:style w:type="character" w:customStyle="1" w:styleId="HideTerminTermComment">
    <w:name w:val="HideTerminTermComment"/>
    <w:basedOn w:val="HideTermComment"/>
    <w:uiPriority w:val="1"/>
    <w:qFormat/>
    <w:rsid w:val="008D6C36"/>
    <w:rPr>
      <w:rFonts w:ascii="Arial" w:hAnsi="Arial"/>
      <w:vanish/>
      <w:color w:val="538135" w:themeColor="accent6" w:themeShade="BF"/>
      <w:sz w:val="18"/>
    </w:rPr>
  </w:style>
  <w:style w:type="paragraph" w:customStyle="1" w:styleId="Normal12a">
    <w:name w:val="Normal12a"/>
    <w:basedOn w:val="Normal"/>
    <w:rsid w:val="008D6C36"/>
    <w:pPr>
      <w:spacing w:after="240"/>
    </w:pPr>
  </w:style>
  <w:style w:type="paragraph" w:customStyle="1" w:styleId="Normal12b">
    <w:name w:val="Normal12b"/>
    <w:basedOn w:val="Normal"/>
    <w:qFormat/>
    <w:rsid w:val="008D6C36"/>
    <w:pPr>
      <w:spacing w:before="240"/>
    </w:pPr>
  </w:style>
  <w:style w:type="paragraph" w:customStyle="1" w:styleId="NormalBoldUnderline24b">
    <w:name w:val="NormalBoldUnderline24b"/>
    <w:basedOn w:val="Normal"/>
    <w:qFormat/>
    <w:rsid w:val="008D6C36"/>
    <w:pPr>
      <w:spacing w:before="480"/>
    </w:pPr>
    <w:rPr>
      <w:b/>
      <w:u w:val="single"/>
    </w:rPr>
  </w:style>
  <w:style w:type="paragraph" w:customStyle="1" w:styleId="NormalBoldUnderline24b12a">
    <w:name w:val="NormalBoldUnderline24b12a"/>
    <w:basedOn w:val="NormalBoldUnderline24b"/>
    <w:qFormat/>
    <w:rsid w:val="008D6C36"/>
    <w:pPr>
      <w:spacing w:after="240"/>
    </w:pPr>
  </w:style>
  <w:style w:type="paragraph" w:customStyle="1" w:styleId="Normal12aBullet1">
    <w:name w:val="Normal12aBullet1"/>
    <w:basedOn w:val="Normal"/>
    <w:qFormat/>
    <w:rsid w:val="008D6C36"/>
    <w:pPr>
      <w:widowControl/>
      <w:numPr>
        <w:numId w:val="45"/>
      </w:numPr>
    </w:pPr>
  </w:style>
  <w:style w:type="paragraph" w:customStyle="1" w:styleId="Normal12aBullet2">
    <w:name w:val="Normal12aBullet2"/>
    <w:basedOn w:val="Normal"/>
    <w:qFormat/>
    <w:rsid w:val="008D6C36"/>
    <w:pPr>
      <w:numPr>
        <w:numId w:val="46"/>
      </w:numPr>
    </w:pPr>
  </w:style>
  <w:style w:type="paragraph" w:customStyle="1" w:styleId="NormalHanging12a1">
    <w:name w:val="NormalHanging12a1"/>
    <w:basedOn w:val="Normal"/>
    <w:qFormat/>
    <w:rsid w:val="008D6C36"/>
    <w:pPr>
      <w:spacing w:after="240"/>
      <w:ind w:left="992" w:hanging="425"/>
    </w:pPr>
  </w:style>
  <w:style w:type="paragraph" w:customStyle="1" w:styleId="NormalHanging12a2">
    <w:name w:val="NormalHanging12a2"/>
    <w:basedOn w:val="NormalHanging12a1"/>
    <w:qFormat/>
    <w:rsid w:val="008D6C36"/>
    <w:pPr>
      <w:ind w:left="1417"/>
    </w:pPr>
  </w:style>
  <w:style w:type="paragraph" w:customStyle="1" w:styleId="NormalHanging12a3">
    <w:name w:val="NormalHanging12a3"/>
    <w:basedOn w:val="NormalHanging12a2"/>
    <w:qFormat/>
    <w:rsid w:val="008D6C36"/>
    <w:pPr>
      <w:ind w:left="1843"/>
    </w:pPr>
  </w:style>
  <w:style w:type="paragraph" w:customStyle="1" w:styleId="NormalHanging12a4">
    <w:name w:val="NormalHanging12a4"/>
    <w:basedOn w:val="NormalHanging12a3"/>
    <w:qFormat/>
    <w:rsid w:val="008D6C36"/>
    <w:pPr>
      <w:ind w:left="2268"/>
    </w:pPr>
  </w:style>
  <w:style w:type="paragraph" w:customStyle="1" w:styleId="NormalHanging12a5">
    <w:name w:val="NormalHanging12a5"/>
    <w:basedOn w:val="NormalHanging12a4"/>
    <w:qFormat/>
    <w:rsid w:val="008D6C36"/>
    <w:pPr>
      <w:ind w:left="2693"/>
    </w:pPr>
  </w:style>
  <w:style w:type="paragraph" w:customStyle="1" w:styleId="NormalHanging12a6">
    <w:name w:val="NormalHanging12a6"/>
    <w:basedOn w:val="NormalHanging12a5"/>
    <w:qFormat/>
    <w:rsid w:val="008D6C36"/>
    <w:pPr>
      <w:ind w:left="3118"/>
    </w:pPr>
  </w:style>
  <w:style w:type="paragraph" w:customStyle="1" w:styleId="NormalHanging12a7">
    <w:name w:val="NormalHanging12a7"/>
    <w:basedOn w:val="NormalHanging12a6"/>
    <w:qFormat/>
    <w:rsid w:val="008D6C36"/>
    <w:pPr>
      <w:ind w:left="3544"/>
    </w:pPr>
  </w:style>
  <w:style w:type="paragraph" w:customStyle="1" w:styleId="NormalHangingCenter">
    <w:name w:val="NormalHangingCenter"/>
    <w:basedOn w:val="Normal"/>
    <w:qFormat/>
    <w:rsid w:val="008D6C36"/>
    <w:pPr>
      <w:spacing w:after="240"/>
      <w:ind w:left="567" w:hanging="567"/>
      <w:jc w:val="center"/>
    </w:pPr>
  </w:style>
  <w:style w:type="paragraph" w:customStyle="1" w:styleId="NormalHangingJustified">
    <w:name w:val="NormalHangingJustified"/>
    <w:basedOn w:val="Normal"/>
    <w:qFormat/>
    <w:rsid w:val="008D6C36"/>
    <w:pPr>
      <w:spacing w:after="240"/>
      <w:ind w:left="714" w:hanging="357"/>
      <w:jc w:val="both"/>
    </w:pPr>
  </w:style>
  <w:style w:type="paragraph" w:customStyle="1" w:styleId="NormalUnderline24b12a">
    <w:name w:val="NormalUnderline24b12a"/>
    <w:basedOn w:val="EPComma"/>
    <w:qFormat/>
    <w:rsid w:val="008D6C36"/>
    <w:rPr>
      <w:snapToGrid/>
      <w:u w:val="single"/>
      <w:lang w:eastAsia="en-GB"/>
    </w:rPr>
  </w:style>
  <w:style w:type="paragraph" w:customStyle="1" w:styleId="Normal2">
    <w:name w:val="Normal2"/>
    <w:next w:val="Normal"/>
    <w:qFormat/>
    <w:rsid w:val="008D6C36"/>
    <w:pPr>
      <w:spacing w:line="120" w:lineRule="auto"/>
    </w:pPr>
    <w:rPr>
      <w:color w:val="000000"/>
      <w:sz w:val="4"/>
      <w:szCs w:val="24"/>
    </w:rPr>
  </w:style>
  <w:style w:type="character" w:customStyle="1" w:styleId="NormalBI">
    <w:name w:val="NormalBI"/>
    <w:basedOn w:val="DefaultParagraphFont"/>
    <w:uiPriority w:val="1"/>
    <w:qFormat/>
    <w:rsid w:val="008D6C36"/>
    <w:rPr>
      <w:rFonts w:ascii="Times New Roman" w:hAnsi="Times New Roman"/>
      <w:b/>
      <w:i/>
      <w:sz w:val="24"/>
    </w:rPr>
  </w:style>
  <w:style w:type="paragraph" w:customStyle="1" w:styleId="NormalBoldItalic6a">
    <w:name w:val="NormalBoldItalic6a"/>
    <w:basedOn w:val="Normal6a"/>
    <w:qFormat/>
    <w:rsid w:val="008D6C36"/>
    <w:rPr>
      <w:b/>
      <w:i/>
    </w:rPr>
  </w:style>
  <w:style w:type="paragraph" w:customStyle="1" w:styleId="NormalBoldItalicCenter6a">
    <w:name w:val="NormalBoldItalicCenter6a"/>
    <w:basedOn w:val="Normal6a"/>
    <w:qFormat/>
    <w:rsid w:val="008D6C36"/>
    <w:pPr>
      <w:jc w:val="center"/>
    </w:pPr>
    <w:rPr>
      <w:b/>
      <w:i/>
    </w:rPr>
  </w:style>
  <w:style w:type="paragraph" w:customStyle="1" w:styleId="NormalItalic6a">
    <w:name w:val="NormalItalic6a"/>
    <w:basedOn w:val="Normal6a"/>
    <w:qFormat/>
    <w:rsid w:val="008D6C36"/>
    <w:rPr>
      <w:i/>
    </w:rPr>
  </w:style>
  <w:style w:type="paragraph" w:customStyle="1" w:styleId="PageHeadingNotTOC">
    <w:name w:val="PageHeadingNotTOC"/>
    <w:basedOn w:val="PageHeading"/>
    <w:rsid w:val="008D6C36"/>
    <w:rPr>
      <w:rFonts w:cs="Times New Roman"/>
      <w:snapToGrid/>
      <w:lang w:eastAsia="en-GB"/>
    </w:rPr>
  </w:style>
  <w:style w:type="character" w:customStyle="1" w:styleId="Sub">
    <w:name w:val="Sub"/>
    <w:uiPriority w:val="1"/>
    <w:qFormat/>
    <w:rsid w:val="008D6C36"/>
    <w:rPr>
      <w:vertAlign w:val="subscript"/>
    </w:rPr>
  </w:style>
  <w:style w:type="character" w:customStyle="1" w:styleId="SubBold">
    <w:name w:val="SubBold"/>
    <w:uiPriority w:val="1"/>
    <w:qFormat/>
    <w:rsid w:val="008D6C36"/>
    <w:rPr>
      <w:b/>
      <w:vertAlign w:val="subscript"/>
    </w:rPr>
  </w:style>
  <w:style w:type="character" w:customStyle="1" w:styleId="SubBoldItalic">
    <w:name w:val="SubBoldItalic"/>
    <w:uiPriority w:val="1"/>
    <w:rsid w:val="008D6C36"/>
    <w:rPr>
      <w:b/>
      <w:i/>
      <w:vertAlign w:val="subscript"/>
    </w:rPr>
  </w:style>
  <w:style w:type="character" w:customStyle="1" w:styleId="SubItalic">
    <w:name w:val="SubItalic"/>
    <w:uiPriority w:val="1"/>
    <w:qFormat/>
    <w:rsid w:val="008D6C36"/>
    <w:rPr>
      <w:b/>
      <w:i/>
      <w:vertAlign w:val="subscript"/>
    </w:rPr>
  </w:style>
  <w:style w:type="character" w:customStyle="1" w:styleId="Sup">
    <w:name w:val="Sup"/>
    <w:uiPriority w:val="1"/>
    <w:rsid w:val="008D6C36"/>
    <w:rPr>
      <w:vertAlign w:val="superscript"/>
    </w:rPr>
  </w:style>
  <w:style w:type="character" w:customStyle="1" w:styleId="SupBoldItalic">
    <w:name w:val="SupBoldItalic"/>
    <w:uiPriority w:val="1"/>
    <w:qFormat/>
    <w:rsid w:val="008D6C36"/>
    <w:rPr>
      <w:b/>
      <w:i/>
      <w:vertAlign w:val="superscript"/>
    </w:rPr>
  </w:style>
  <w:style w:type="character" w:customStyle="1" w:styleId="Underline">
    <w:name w:val="Underline"/>
    <w:uiPriority w:val="1"/>
    <w:rsid w:val="008D6C36"/>
    <w:rPr>
      <w:u w:val="single"/>
    </w:rPr>
  </w:style>
  <w:style w:type="paragraph" w:customStyle="1" w:styleId="NormalBoldCenter">
    <w:name w:val="NormalBoldCenter"/>
    <w:basedOn w:val="Normal"/>
    <w:rsid w:val="008D6C36"/>
    <w:pPr>
      <w:jc w:val="center"/>
    </w:pPr>
    <w:rPr>
      <w:b/>
    </w:rPr>
  </w:style>
  <w:style w:type="paragraph" w:customStyle="1" w:styleId="ProcedureTable">
    <w:name w:val="ProcedureTable"/>
    <w:basedOn w:val="Normal"/>
    <w:rsid w:val="008D6C36"/>
    <w:rPr>
      <w:sz w:val="20"/>
    </w:rPr>
  </w:style>
  <w:style w:type="paragraph" w:customStyle="1" w:styleId="ProcedureTableBold">
    <w:name w:val="ProcedureTableBold"/>
    <w:basedOn w:val="Normal"/>
    <w:rsid w:val="008D6C36"/>
    <w:rPr>
      <w:b/>
      <w:sz w:val="20"/>
    </w:rPr>
  </w:style>
  <w:style w:type="paragraph" w:customStyle="1" w:styleId="NormalCenter">
    <w:name w:val="NormalCenter"/>
    <w:basedOn w:val="Normal"/>
    <w:rsid w:val="008D6C36"/>
    <w:pPr>
      <w:jc w:val="center"/>
    </w:pPr>
  </w:style>
  <w:style w:type="character" w:customStyle="1" w:styleId="SubBoldItalicUnderline">
    <w:name w:val="SubBoldItalicUnderline"/>
    <w:uiPriority w:val="1"/>
    <w:rsid w:val="008D6C36"/>
    <w:rPr>
      <w:b/>
      <w:i/>
      <w:u w:val="single"/>
      <w:vertAlign w:val="subscript"/>
    </w:rPr>
  </w:style>
  <w:style w:type="character" w:customStyle="1" w:styleId="SubBoldUnderline">
    <w:name w:val="SubBoldUnderline"/>
    <w:uiPriority w:val="1"/>
    <w:rsid w:val="008D6C36"/>
    <w:rPr>
      <w:b/>
      <w:u w:val="single"/>
      <w:vertAlign w:val="subscript"/>
    </w:rPr>
  </w:style>
  <w:style w:type="character" w:customStyle="1" w:styleId="SubItalicUnderline">
    <w:name w:val="SubItalicUnderline"/>
    <w:uiPriority w:val="1"/>
    <w:rsid w:val="008D6C36"/>
    <w:rPr>
      <w:i/>
      <w:u w:val="single"/>
      <w:vertAlign w:val="subscript"/>
    </w:rPr>
  </w:style>
  <w:style w:type="character" w:customStyle="1" w:styleId="SubUnderline">
    <w:name w:val="SubUnderline"/>
    <w:uiPriority w:val="1"/>
    <w:rsid w:val="008D6C36"/>
    <w:rPr>
      <w:u w:val="single"/>
      <w:vertAlign w:val="subscript"/>
    </w:rPr>
  </w:style>
  <w:style w:type="character" w:customStyle="1" w:styleId="SupBold">
    <w:name w:val="SupBold"/>
    <w:uiPriority w:val="1"/>
    <w:rsid w:val="008D6C36"/>
    <w:rPr>
      <w:b/>
      <w:vertAlign w:val="superscript"/>
    </w:rPr>
  </w:style>
  <w:style w:type="character" w:customStyle="1" w:styleId="SupBoldItalicUnderline">
    <w:name w:val="SupBoldItalicUnderline"/>
    <w:uiPriority w:val="1"/>
    <w:rsid w:val="008D6C36"/>
    <w:rPr>
      <w:b/>
      <w:i/>
      <w:u w:val="single"/>
      <w:vertAlign w:val="superscript"/>
    </w:rPr>
  </w:style>
  <w:style w:type="character" w:customStyle="1" w:styleId="SupBoldUnderline">
    <w:name w:val="SupBoldUnderline"/>
    <w:uiPriority w:val="1"/>
    <w:rsid w:val="008D6C36"/>
    <w:rPr>
      <w:b/>
      <w:u w:val="single"/>
      <w:vertAlign w:val="superscript"/>
    </w:rPr>
  </w:style>
  <w:style w:type="character" w:customStyle="1" w:styleId="SupItalic">
    <w:name w:val="SupItalic"/>
    <w:uiPriority w:val="1"/>
    <w:rsid w:val="008D6C36"/>
    <w:rPr>
      <w:i/>
      <w:vertAlign w:val="superscript"/>
    </w:rPr>
  </w:style>
  <w:style w:type="character" w:customStyle="1" w:styleId="SupItalicUnderline">
    <w:name w:val="SupItalicUnderline"/>
    <w:uiPriority w:val="1"/>
    <w:rsid w:val="008D6C36"/>
    <w:rPr>
      <w:i/>
      <w:u w:val="single"/>
      <w:vertAlign w:val="superscript"/>
    </w:rPr>
  </w:style>
  <w:style w:type="character" w:customStyle="1" w:styleId="SupUnderline">
    <w:name w:val="SupUnderline"/>
    <w:uiPriority w:val="1"/>
    <w:rsid w:val="008D6C36"/>
    <w:rPr>
      <w:u w:val="single"/>
      <w:vertAlign w:val="superscript"/>
    </w:rPr>
  </w:style>
  <w:style w:type="paragraph" w:customStyle="1" w:styleId="Normal24a">
    <w:name w:val="Normal24a"/>
    <w:basedOn w:val="Normal"/>
    <w:rsid w:val="008D6C36"/>
    <w:pPr>
      <w:spacing w:after="480"/>
    </w:pPr>
  </w:style>
  <w:style w:type="paragraph" w:customStyle="1" w:styleId="Normal12a24b">
    <w:name w:val="Normal12a24b"/>
    <w:basedOn w:val="Normal"/>
    <w:rsid w:val="008D6C36"/>
    <w:pPr>
      <w:spacing w:before="360" w:after="240"/>
    </w:pPr>
    <w:rPr>
      <w:snapToGrid w:val="0"/>
      <w:lang w:eastAsia="en-US"/>
    </w:rPr>
  </w:style>
  <w:style w:type="paragraph" w:customStyle="1" w:styleId="NormalTab">
    <w:name w:val="NormalTab"/>
    <w:basedOn w:val="Normal"/>
    <w:rsid w:val="008D6C36"/>
    <w:pPr>
      <w:tabs>
        <w:tab w:val="center" w:pos="284"/>
        <w:tab w:val="left" w:pos="425"/>
      </w:tabs>
    </w:pPr>
  </w:style>
  <w:style w:type="paragraph" w:customStyle="1" w:styleId="RollCallVotes">
    <w:name w:val="RollCallVotes"/>
    <w:basedOn w:val="Normal"/>
    <w:rsid w:val="008D6C36"/>
    <w:pPr>
      <w:spacing w:before="120" w:after="120"/>
      <w:jc w:val="center"/>
    </w:pPr>
    <w:rPr>
      <w:b/>
      <w:bCs/>
      <w:snapToGrid w:val="0"/>
      <w:sz w:val="16"/>
      <w:lang w:eastAsia="en-US"/>
    </w:rPr>
  </w:style>
  <w:style w:type="paragraph" w:customStyle="1" w:styleId="RollCallTabs">
    <w:name w:val="RollCallTabs"/>
    <w:basedOn w:val="Normal"/>
    <w:qFormat/>
    <w:rsid w:val="008D6C36"/>
    <w:pPr>
      <w:tabs>
        <w:tab w:val="center" w:pos="284"/>
        <w:tab w:val="left" w:pos="426"/>
      </w:tabs>
    </w:pPr>
    <w:rPr>
      <w:snapToGrid w:val="0"/>
      <w:lang w:eastAsia="en-US"/>
    </w:rPr>
  </w:style>
  <w:style w:type="paragraph" w:customStyle="1" w:styleId="RollCallSymbols14pt">
    <w:name w:val="RollCallSymbols14pt"/>
    <w:basedOn w:val="Normal"/>
    <w:rsid w:val="008D6C36"/>
    <w:pPr>
      <w:spacing w:before="120" w:after="120"/>
      <w:jc w:val="center"/>
    </w:pPr>
    <w:rPr>
      <w:rFonts w:ascii="Arial" w:hAnsi="Arial"/>
      <w:b/>
      <w:bCs/>
      <w:snapToGrid w:val="0"/>
      <w:sz w:val="28"/>
      <w:lang w:eastAsia="en-US"/>
    </w:rPr>
  </w:style>
  <w:style w:type="paragraph" w:customStyle="1" w:styleId="RollCallTable">
    <w:name w:val="RollCallTable"/>
    <w:basedOn w:val="Normal"/>
    <w:rsid w:val="008D6C36"/>
    <w:pPr>
      <w:spacing w:before="120" w:after="120"/>
    </w:pPr>
    <w:rPr>
      <w:snapToGrid w:val="0"/>
      <w:sz w:val="16"/>
      <w:lang w:eastAsia="en-US"/>
    </w:rPr>
  </w:style>
  <w:style w:type="paragraph" w:styleId="ListParagraph">
    <w:name w:val="List Paragraph"/>
    <w:basedOn w:val="Normal"/>
    <w:uiPriority w:val="34"/>
    <w:qFormat/>
    <w:rsid w:val="008D6C36"/>
    <w:pPr>
      <w:widowControl/>
      <w:ind w:left="720"/>
      <w:contextualSpacing/>
      <w:jc w:val="both"/>
    </w:pPr>
    <w:rPr>
      <w:rFonts w:eastAsiaTheme="minorHAnsi"/>
      <w:szCs w:val="24"/>
      <w:lang w:eastAsia="en-US"/>
    </w:rPr>
  </w:style>
  <w:style w:type="paragraph" w:styleId="NoSpacing">
    <w:name w:val="No Spacing"/>
    <w:uiPriority w:val="1"/>
    <w:qFormat/>
    <w:rsid w:val="008D6C36"/>
    <w:pPr>
      <w:jc w:val="both"/>
    </w:pPr>
    <w:rPr>
      <w:rFonts w:eastAsiaTheme="minorHAnsi"/>
      <w:sz w:val="24"/>
      <w:szCs w:val="24"/>
      <w:lang w:eastAsia="en-US"/>
    </w:rPr>
  </w:style>
  <w:style w:type="paragraph" w:styleId="NormalWeb">
    <w:name w:val="Normal (Web)"/>
    <w:basedOn w:val="Normal"/>
    <w:uiPriority w:val="99"/>
    <w:unhideWhenUsed/>
    <w:rsid w:val="008D6C36"/>
    <w:pPr>
      <w:widowControl/>
      <w:spacing w:before="100" w:beforeAutospacing="1" w:after="100" w:afterAutospacing="1"/>
    </w:pPr>
    <w:rPr>
      <w:rFonts w:eastAsiaTheme="minorEastAsia"/>
      <w:szCs w:val="24"/>
    </w:rPr>
  </w:style>
  <w:style w:type="character" w:customStyle="1" w:styleId="NormalHanging12aChar">
    <w:name w:val="NormalHanging12a Char"/>
    <w:basedOn w:val="DefaultParagraphFont"/>
    <w:link w:val="NormalHanging12a"/>
    <w:rsid w:val="008D6C36"/>
    <w:rPr>
      <w:snapToGrid w:val="0"/>
      <w:sz w:val="24"/>
      <w:lang w:eastAsia="en-US"/>
    </w:rPr>
  </w:style>
  <w:style w:type="paragraph" w:customStyle="1" w:styleId="Footprint12b">
    <w:name w:val="Footprint12b"/>
    <w:basedOn w:val="Normal"/>
    <w:rsid w:val="008D6C36"/>
    <w:pPr>
      <w:spacing w:before="240"/>
    </w:pPr>
    <w:rPr>
      <w:szCs w:val="24"/>
    </w:rPr>
  </w:style>
  <w:style w:type="paragraph" w:customStyle="1" w:styleId="NormalSingle">
    <w:name w:val="NormalSingle"/>
    <w:basedOn w:val="Normal"/>
    <w:qFormat/>
    <w:rsid w:val="008D6C36"/>
    <w:rPr>
      <w:szCs w:val="24"/>
    </w:rPr>
  </w:style>
  <w:style w:type="character" w:styleId="Hyperlink">
    <w:name w:val="Hyperlink"/>
    <w:basedOn w:val="DefaultParagraphFont"/>
    <w:unhideWhenUsed/>
    <w:rsid w:val="008D6C36"/>
    <w:rPr>
      <w:color w:val="0563C1" w:themeColor="hyperlink"/>
      <w:u w:val="single"/>
    </w:rPr>
  </w:style>
  <w:style w:type="paragraph" w:styleId="Footer">
    <w:name w:val="footer"/>
    <w:basedOn w:val="Normal"/>
    <w:link w:val="FooterChar"/>
    <w:unhideWhenUsed/>
    <w:rsid w:val="008D6C36"/>
    <w:pPr>
      <w:tabs>
        <w:tab w:val="center" w:pos="4513"/>
        <w:tab w:val="right" w:pos="9026"/>
      </w:tabs>
    </w:pPr>
    <w:rPr>
      <w:snapToGrid w:val="0"/>
      <w:lang w:eastAsia="en-US"/>
    </w:rPr>
  </w:style>
  <w:style w:type="character" w:customStyle="1" w:styleId="FooterChar">
    <w:name w:val="Footer Char"/>
    <w:basedOn w:val="DefaultParagraphFont"/>
    <w:link w:val="Footer"/>
    <w:rsid w:val="008D6C36"/>
    <w:rPr>
      <w:snapToGrid w:val="0"/>
      <w:sz w:val="24"/>
      <w:lang w:eastAsia="en-US"/>
    </w:rPr>
  </w:style>
  <w:style w:type="paragraph" w:styleId="BalloonText">
    <w:name w:val="Balloon Text"/>
    <w:basedOn w:val="Normal"/>
    <w:link w:val="BalloonTextChar"/>
    <w:unhideWhenUsed/>
    <w:rsid w:val="008D6C36"/>
    <w:rPr>
      <w:rFonts w:ascii="Segoe UI" w:hAnsi="Segoe UI" w:cs="Segoe UI"/>
      <w:snapToGrid w:val="0"/>
      <w:sz w:val="18"/>
      <w:szCs w:val="18"/>
      <w:lang w:eastAsia="en-US"/>
    </w:rPr>
  </w:style>
  <w:style w:type="character" w:customStyle="1" w:styleId="BalloonTextChar">
    <w:name w:val="Balloon Text Char"/>
    <w:basedOn w:val="DefaultParagraphFont"/>
    <w:link w:val="BalloonText"/>
    <w:rsid w:val="008D6C36"/>
    <w:rPr>
      <w:rFonts w:ascii="Segoe UI" w:hAnsi="Segoe UI" w:cs="Segoe UI"/>
      <w:snapToGrid w:val="0"/>
      <w:sz w:val="18"/>
      <w:szCs w:val="18"/>
      <w:lang w:eastAsia="en-US"/>
    </w:rPr>
  </w:style>
  <w:style w:type="character" w:styleId="CommentReference">
    <w:name w:val="annotation reference"/>
    <w:basedOn w:val="DefaultParagraphFont"/>
    <w:unhideWhenUsed/>
    <w:rsid w:val="008D6C36"/>
    <w:rPr>
      <w:sz w:val="16"/>
      <w:szCs w:val="16"/>
    </w:rPr>
  </w:style>
  <w:style w:type="paragraph" w:styleId="CommentText">
    <w:name w:val="annotation text"/>
    <w:basedOn w:val="Normal"/>
    <w:link w:val="CommentTextChar"/>
    <w:unhideWhenUsed/>
    <w:rsid w:val="008D6C36"/>
    <w:rPr>
      <w:snapToGrid w:val="0"/>
      <w:sz w:val="20"/>
      <w:lang w:eastAsia="en-US"/>
    </w:rPr>
  </w:style>
  <w:style w:type="character" w:customStyle="1" w:styleId="CommentTextChar">
    <w:name w:val="Comment Text Char"/>
    <w:basedOn w:val="DefaultParagraphFont"/>
    <w:link w:val="CommentText"/>
    <w:rsid w:val="008D6C36"/>
    <w:rPr>
      <w:snapToGrid w:val="0"/>
      <w:lang w:eastAsia="en-US"/>
    </w:rPr>
  </w:style>
  <w:style w:type="paragraph" w:styleId="CommentSubject">
    <w:name w:val="annotation subject"/>
    <w:basedOn w:val="CommentText"/>
    <w:next w:val="CommentText"/>
    <w:link w:val="CommentSubjectChar"/>
    <w:unhideWhenUsed/>
    <w:rsid w:val="008D6C36"/>
    <w:rPr>
      <w:b/>
      <w:bCs/>
    </w:rPr>
  </w:style>
  <w:style w:type="character" w:customStyle="1" w:styleId="CommentSubjectChar">
    <w:name w:val="Comment Subject Char"/>
    <w:basedOn w:val="CommentTextChar"/>
    <w:link w:val="CommentSubject"/>
    <w:rsid w:val="008D6C36"/>
    <w:rPr>
      <w:b/>
      <w:bCs/>
      <w:snapToGrid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reg/2006/1367/oj" TargetMode="External"/><Relationship Id="rId3" Type="http://schemas.openxmlformats.org/officeDocument/2006/relationships/hyperlink" Target="http://data.europa.eu/eli/dir/2019/1937/oj" TargetMode="External"/><Relationship Id="rId7" Type="http://schemas.openxmlformats.org/officeDocument/2006/relationships/hyperlink" Target="http://data.europa.eu/eli/reg/2001/1049/oj" TargetMode="External"/><Relationship Id="rId2" Type="http://schemas.openxmlformats.org/officeDocument/2006/relationships/hyperlink" Target="http://data.europa.eu/eli/reg/2021/523/oj" TargetMode="External"/><Relationship Id="rId1" Type="http://schemas.openxmlformats.org/officeDocument/2006/relationships/hyperlink" Target="http://data.europa.eu/eli/reg/2001/1049/oj" TargetMode="External"/><Relationship Id="rId6" Type="http://schemas.openxmlformats.org/officeDocument/2006/relationships/hyperlink" Target="http://data.europa.eu/eli/dir/2013/36/oj" TargetMode="External"/><Relationship Id="rId5" Type="http://schemas.openxmlformats.org/officeDocument/2006/relationships/hyperlink" Target="http://data.europa.eu/eli/reg/2013/575/oj" TargetMode="External"/><Relationship Id="rId4" Type="http://schemas.openxmlformats.org/officeDocument/2006/relationships/hyperlink" Target="http://data.europa.eu/eli/C/2024/4007/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5E74B3-1815-4BB8-98A3-741DF43A1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10062</Words>
  <Characters>57355</Characters>
  <Application>Microsoft Office Word</Application>
  <DocSecurity>0</DocSecurity>
  <Lines>477</Lines>
  <Paragraphs>134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67283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DAVIS Colleen Veronique</cp:lastModifiedBy>
  <cp:revision>2</cp:revision>
  <cp:lastPrinted>2004-11-19T15:42:00Z</cp:lastPrinted>
  <dcterms:created xsi:type="dcterms:W3CDTF">2025-06-11T08:00:00Z</dcterms:created>
  <dcterms:modified xsi:type="dcterms:W3CDTF">2025-06-11T08:00:00Z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A10-0068/2025</vt:lpwstr>
  </property>
  <property fmtid="{D5CDD505-2E9C-101B-9397-08002B2CF9AE}" pid="4" name="&lt;Type&gt;">
    <vt:lpwstr>RR</vt:lpwstr>
  </property>
</Properties>
</file>