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A71" w:rsidTr="0010095E">
        <w:trPr>
          <w:trHeight w:hRule="exact" w:val="1418"/>
        </w:trPr>
        <w:tc>
          <w:tcPr>
            <w:tcW w:w="6804" w:type="dxa"/>
            <w:shd w:val="clear" w:color="auto" w:fill="auto"/>
            <w:vAlign w:val="center"/>
          </w:tcPr>
          <w:p w:rsidR="00751A4A" w:rsidRPr="005C4A71" w:rsidRDefault="00F5470A" w:rsidP="0010095E">
            <w:pPr>
              <w:pStyle w:val="EPName"/>
            </w:pPr>
            <w:r w:rsidRPr="005C4A71">
              <w:t>Ευρωπαϊκό Κοινοβούλιο</w:t>
            </w:r>
          </w:p>
          <w:p w:rsidR="00751A4A" w:rsidRPr="005C4A71" w:rsidRDefault="005F1B17" w:rsidP="005F1B17">
            <w:pPr>
              <w:pStyle w:val="EPTerm"/>
              <w:rPr>
                <w:rStyle w:val="HideTWBExt"/>
                <w:noProof w:val="0"/>
                <w:vanish w:val="0"/>
                <w:color w:val="auto"/>
              </w:rPr>
            </w:pPr>
            <w:r w:rsidRPr="005C4A71">
              <w:t>2024</w:t>
            </w:r>
            <w:r w:rsidR="00817416" w:rsidRPr="005C4A71">
              <w:t>-202</w:t>
            </w:r>
            <w:r w:rsidRPr="005C4A71">
              <w:t>9</w:t>
            </w:r>
          </w:p>
        </w:tc>
        <w:tc>
          <w:tcPr>
            <w:tcW w:w="2268" w:type="dxa"/>
            <w:shd w:val="clear" w:color="auto" w:fill="auto"/>
          </w:tcPr>
          <w:p w:rsidR="00751A4A" w:rsidRPr="005C4A71" w:rsidRDefault="00187494" w:rsidP="0010095E">
            <w:pPr>
              <w:pStyle w:val="EPLogo"/>
            </w:pPr>
            <w:r w:rsidRPr="005C4A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4A71" w:rsidRDefault="00D058B8" w:rsidP="004C5D52">
      <w:pPr>
        <w:pStyle w:val="LineTop"/>
      </w:pPr>
    </w:p>
    <w:p w:rsidR="00680577" w:rsidRPr="005C4A71" w:rsidRDefault="00F5470A" w:rsidP="00680577">
      <w:pPr>
        <w:pStyle w:val="EPBodyTA1"/>
      </w:pPr>
      <w:r w:rsidRPr="005C4A71">
        <w:t>ΚΕΙΜΕΝΑ ΠΟΥ ΕΓΚΡΙΘΗΚΑΝ</w:t>
      </w:r>
    </w:p>
    <w:p w:rsidR="00D058B8" w:rsidRPr="005C4A71" w:rsidRDefault="00D058B8" w:rsidP="00D058B8">
      <w:pPr>
        <w:pStyle w:val="LineBottom"/>
      </w:pPr>
    </w:p>
    <w:p w:rsidR="00F5470A" w:rsidRPr="005C4A71" w:rsidRDefault="00F5470A" w:rsidP="00F5470A">
      <w:pPr>
        <w:pStyle w:val="ATHeading1"/>
      </w:pPr>
      <w:bookmarkStart w:id="0" w:name="TANumber"/>
      <w:r w:rsidRPr="005C4A71">
        <w:t>P10_TA(2025)00</w:t>
      </w:r>
      <w:r w:rsidR="00465296" w:rsidRPr="00E8367F">
        <w:t>77</w:t>
      </w:r>
      <w:bookmarkEnd w:id="0"/>
    </w:p>
    <w:p w:rsidR="00F5470A" w:rsidRPr="005C4A71" w:rsidRDefault="00F5470A" w:rsidP="00F5470A">
      <w:pPr>
        <w:pStyle w:val="ATHeading2"/>
      </w:pPr>
      <w:bookmarkStart w:id="1" w:name="title"/>
      <w:r w:rsidRPr="005C4A71">
        <w:t xml:space="preserve">Απαλλαγή 2023: Γενικός προϋπολογισμός της ΕΕ </w:t>
      </w:r>
      <w:r w:rsidR="007939AE">
        <w:t>–</w:t>
      </w:r>
      <w:r w:rsidRPr="005C4A71">
        <w:t xml:space="preserve"> Επιτροπή, εκτελεστικοί οργανισμοί και Ευρωπαϊκό Ταμείο Ανάπτυξης</w:t>
      </w:r>
      <w:bookmarkEnd w:id="1"/>
    </w:p>
    <w:p w:rsidR="00F5470A" w:rsidRPr="005C4A71" w:rsidRDefault="00F5470A" w:rsidP="00F5470A">
      <w:pPr>
        <w:rPr>
          <w:i/>
          <w:vanish/>
        </w:rPr>
      </w:pPr>
      <w:r w:rsidRPr="005C4A71">
        <w:rPr>
          <w:i/>
        </w:rPr>
        <w:fldChar w:fldCharType="begin"/>
      </w:r>
      <w:r w:rsidRPr="005C4A71">
        <w:rPr>
          <w:i/>
        </w:rPr>
        <w:instrText xml:space="preserve"> TC"(</w:instrText>
      </w:r>
      <w:bookmarkStart w:id="2" w:name="DocNumber"/>
      <w:r w:rsidRPr="005C4A71">
        <w:rPr>
          <w:i/>
        </w:rPr>
        <w:instrText>A10-0074/2025</w:instrText>
      </w:r>
      <w:bookmarkEnd w:id="2"/>
      <w:r w:rsidRPr="005C4A71">
        <w:rPr>
          <w:i/>
        </w:rPr>
        <w:instrText xml:space="preserve"> - Εισηγητής: Niclas Herbst)"\l3 \n&gt; \* MERGEFORMAT </w:instrText>
      </w:r>
      <w:r w:rsidRPr="005C4A71">
        <w:rPr>
          <w:i/>
        </w:rPr>
        <w:fldChar w:fldCharType="end"/>
      </w:r>
    </w:p>
    <w:p w:rsidR="00F5470A" w:rsidRPr="005C4A71" w:rsidRDefault="00F5470A" w:rsidP="00F5470A">
      <w:pPr>
        <w:rPr>
          <w:vanish/>
        </w:rPr>
      </w:pPr>
      <w:bookmarkStart w:id="3" w:name="Commission"/>
      <w:r w:rsidRPr="005C4A71">
        <w:rPr>
          <w:vanish/>
        </w:rPr>
        <w:t>Επιτροπή Ελέγχου του Προϋπολογισμού</w:t>
      </w:r>
      <w:bookmarkEnd w:id="3"/>
    </w:p>
    <w:p w:rsidR="00F5470A" w:rsidRPr="005C4A71" w:rsidRDefault="00F5470A" w:rsidP="00F5470A">
      <w:pPr>
        <w:rPr>
          <w:vanish/>
        </w:rPr>
      </w:pPr>
      <w:bookmarkStart w:id="4" w:name="PE"/>
      <w:r w:rsidRPr="005C4A71">
        <w:rPr>
          <w:vanish/>
        </w:rPr>
        <w:t>PE764.988</w:t>
      </w:r>
      <w:bookmarkEnd w:id="4"/>
    </w:p>
    <w:p w:rsidR="00F5470A" w:rsidRPr="005C4A71" w:rsidRDefault="00F11F64" w:rsidP="00F5470A">
      <w:pPr>
        <w:pStyle w:val="ATHeading3"/>
      </w:pPr>
      <w:bookmarkStart w:id="5" w:name="Sujet"/>
      <w:r>
        <w:t xml:space="preserve">1. </w:t>
      </w:r>
      <w:r w:rsidR="00F5470A" w:rsidRPr="005C4A71">
        <w:t xml:space="preserve">Απόφαση του Ευρωπαϊκού Κοινοβουλίου </w:t>
      </w:r>
      <w:r w:rsidR="00365BCC">
        <w:t xml:space="preserve">της 7ης Μαΐου 2025 </w:t>
      </w:r>
      <w:r w:rsidR="00F5470A" w:rsidRPr="005C4A71">
        <w:t>σχετικά με την απαλλαγή όσον αφορά την εκτέλεση του γενικού προϋπολογισμού της Ευρωπαϊκής Ένωσης για το οικονομικό έτος 2023, τμήμα III – Επιτρ</w:t>
      </w:r>
      <w:bookmarkStart w:id="6" w:name="_GoBack"/>
      <w:bookmarkEnd w:id="6"/>
      <w:r w:rsidR="00F5470A" w:rsidRPr="005C4A71">
        <w:t>οπή, εκτελεστικοί οργανισμοί και ένατο, δέκατο και ενδέκατο Ευρωπαϊκό Ταμείο Ανάπτυξης</w:t>
      </w:r>
      <w:bookmarkEnd w:id="5"/>
      <w:r w:rsidR="00F5470A" w:rsidRPr="005C4A71">
        <w:t xml:space="preserve"> </w:t>
      </w:r>
      <w:bookmarkStart w:id="7" w:name="References"/>
      <w:r w:rsidR="00F5470A" w:rsidRPr="005C4A71">
        <w:t>(2024/2019(DEC))</w:t>
      </w:r>
      <w:bookmarkEnd w:id="7"/>
    </w:p>
    <w:p w:rsidR="00F70384" w:rsidRPr="005C4A71" w:rsidRDefault="00F70384" w:rsidP="00F70384">
      <w:pPr>
        <w:pStyle w:val="EPComma"/>
      </w:pPr>
      <w:bookmarkStart w:id="8" w:name="TextBodyBegin"/>
      <w:bookmarkEnd w:id="8"/>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1"/>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2"/>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του 2023 της Επιτροπής για τη διαχείριση και τις επιδόσεις του προϋπολογισμού της ΕΕ (COM(2024)401),</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5C4A71">
        <w:rPr>
          <w:rStyle w:val="FootnoteReference"/>
        </w:rPr>
        <w:footnoteReference w:id="3"/>
      </w:r>
      <w:r w:rsidRPr="005C4A71">
        <w:t>, και τις ειδικές εκθέσεις του Ελεγκτικού Συνεδρίου,</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4"/>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w:t>
      </w:r>
      <w:r w:rsidRPr="005C4A71">
        <w:lastRenderedPageBreak/>
        <w:t>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της Επιτροπής όσον αφορά την εκτέλεση του προϋπολογισμού για το οικονομικό έτος 2023 (05754/2025 – C10</w:t>
      </w:r>
      <w:r w:rsidRPr="005C4A71">
        <w:noBreakHyphen/>
        <w:t>0013/2025),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5"/>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6"/>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στην Επιτροπή όσον αφορά την εκτέλεση του γενικού προϋπολογισμού της Ευρωπαϊκής Ένωσης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lastRenderedPageBreak/>
        <w:t>3.</w:t>
      </w:r>
      <w:r w:rsidRPr="005C4A71">
        <w:tab/>
        <w:t xml:space="preserve">αναθέτει στην Πρόεδρό του να διαβιβάσει την παρούσα απόφαση, καθώς και το ψήφισμα που αποτελεί αναπόσπαστο μέρος της, στο Συμβούλιο, στην Επιτροπή και στο Ελεγκτικό Συνέδριο, καθώς και στα εθνικά κοινοβούλια και στα εθνικά και περιφερειακά όργανα ελέγχου των κρατών μελών,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pStyle w:val="PageHeading"/>
        <w:sectPr w:rsidR="00F70384" w:rsidRPr="005C4A71" w:rsidSect="005C4A7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0384" w:rsidRPr="005C4A71" w:rsidRDefault="00565814" w:rsidP="00740869">
      <w:pPr>
        <w:pStyle w:val="ATHeading3"/>
      </w:pPr>
      <w:bookmarkStart w:id="9" w:name="_Toc196825081"/>
      <w:bookmarkStart w:id="10" w:name="_Toc107908457"/>
      <w:bookmarkStart w:id="11" w:name="_Toc107913004"/>
      <w:bookmarkStart w:id="12" w:name="_Toc107915329"/>
      <w:bookmarkStart w:id="13" w:name="_Toc107915333"/>
      <w:bookmarkStart w:id="14" w:name="_Toc107915473"/>
      <w:r>
        <w:lastRenderedPageBreak/>
        <w:t xml:space="preserve">2.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Ευρωπαϊκού Εκτελεστικού Οργανισμού για το Κλίμα, τις Υποδομές και το Περιβάλλον για το οικονομικό έτος 2023</w:t>
      </w:r>
      <w:bookmarkEnd w:id="9"/>
      <w:r w:rsidR="00740869" w:rsidRPr="00740869">
        <w:t xml:space="preserve"> </w:t>
      </w:r>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Ευρωπαϊκού Εκτελεστικού Οργανισμού για το Κλίμα, τις Υποδομές και το Περιβάλλον, για το οικονομικό έτος 2023</w:t>
      </w:r>
      <w:r w:rsidRPr="005C4A71">
        <w:rPr>
          <w:rStyle w:val="FootnoteReference"/>
        </w:rPr>
        <w:footnoteReference w:id="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1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1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12"/>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1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1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1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1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 διευθύντρια του Ευρωπαϊκού Εκτελεστικού Οργανισμού για το Κλίμα, τις Υποδομές και το Περιβάλλον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στη διευθύντρια του Ευρωπαϊκού Εκτελεστικού Οργανισμού για το Κλίμα, τις Υποδομές και το Περιβάλλον,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pStyle w:val="PageHeading"/>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15" w:name="_Toc196825083"/>
      <w:r>
        <w:t xml:space="preserve">3.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Ευρωπαϊκού Εκτελεστικού Οργανισμού Εκπαίδευσης και Πολιτισμού για το οικονομικό έτος 2023</w:t>
      </w:r>
      <w:r>
        <w:t xml:space="preserve"> (2024/2019(DEC))</w:t>
      </w:r>
      <w:bookmarkEnd w:id="15"/>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1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w:t>
      </w:r>
      <w:r w:rsidRPr="005C4A71">
        <w:noBreakHyphen/>
        <w:t>0067/2024)</w:t>
      </w:r>
      <w:r w:rsidRPr="005C4A71">
        <w:rPr>
          <w:rStyle w:val="FootnoteReference"/>
        </w:rPr>
        <w:footnoteReference w:id="1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Ευρωπαϊκού Εκτελεστικού Οργανισμού Εκπαίδευσης και Πολιτισμού για το οικονομικό έτος 2023</w:t>
      </w:r>
      <w:r w:rsidRPr="005C4A71">
        <w:rPr>
          <w:rStyle w:val="FootnoteReference"/>
        </w:rPr>
        <w:footnoteReference w:id="1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2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2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22"/>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2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2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2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2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στην ασκούσα χρέη διευθύντριας του Ευρωπαϊκού Εκτελεστικού Οργανισμού Εκπαίδευσης και Πολιτισμού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στη διευθύντρια του Ευρωπαϊκού Εκτελεστικού Οργανισμού Εκπαίδευσης και Πολιτισμού,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pStyle w:val="PageHeading"/>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16" w:name="_Toc196825085"/>
      <w:r>
        <w:t xml:space="preserve">4.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Εκτελεστικού Οργανισμού για το Ευρωπαϊκό Συμβούλιο Καινοτομίας και τις ΜΜΕ για το οικονομικό έτος 2023</w:t>
      </w:r>
      <w:r>
        <w:t xml:space="preserve"> </w:t>
      </w:r>
      <w:bookmarkEnd w:id="16"/>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2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2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Εκτελεστικού Οργανισμού για το Ευρωπαϊκό Συμβούλιο Καινοτομίας και τις ΜΜΕ για το οικονομικό έτος 2023</w:t>
      </w:r>
      <w:r w:rsidRPr="005C4A71">
        <w:rPr>
          <w:rStyle w:val="FootnoteReference"/>
        </w:rPr>
        <w:footnoteReference w:id="2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3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3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32"/>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3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3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3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3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στον</w:t>
      </w:r>
      <w:r w:rsidR="00DB55E9">
        <w:t xml:space="preserve"> ασκούντα χρέη</w:t>
      </w:r>
      <w:r w:rsidRPr="005C4A71">
        <w:t xml:space="preserve"> διευθυντή του Εκτελεστικού Οργανισμού για το Ευρωπαϊκό Συμβούλιο Καινοτομίας και τις ΜΜΕ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στον </w:t>
      </w:r>
      <w:r w:rsidR="00DB55E9">
        <w:t xml:space="preserve">ασκούντα χρέη </w:t>
      </w:r>
      <w:r w:rsidRPr="005C4A71">
        <w:t xml:space="preserve">διευθυντή του Εκτελεστικού Οργανισμού για το Ευρωπαϊκό Συμβούλιο Καινοτομίας και τις ΜΜΕ,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17" w:name="_Toc196825087"/>
      <w:r>
        <w:t xml:space="preserve">5.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Εκτελεστικού Οργανισμού του Ευρωπαϊκού Συμβουλίου Έρευνας για το οικονομικό έτος 2023</w:t>
      </w:r>
      <w:bookmarkEnd w:id="17"/>
      <w:r w:rsidR="00740869" w:rsidRPr="00740869">
        <w:t xml:space="preserve"> </w:t>
      </w:r>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3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3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Εκτελεστικού Οργανισμού του Ευρωπαϊκού Συμβουλίου Έρευνας για το οικονομικό έτος 2023</w:t>
      </w:r>
      <w:r w:rsidRPr="005C4A71">
        <w:rPr>
          <w:rStyle w:val="FootnoteReference"/>
        </w:rPr>
        <w:footnoteReference w:id="3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4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4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42"/>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4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4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4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4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 διευθύντρια του Εκτελεστικού Οργανισμού του Ευρωπαϊκού Συμβουλίου Έρευνας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στη διευθύντρια του Εκτελεστικού Οργανισμού του Ευρωπαϊκού Συμβουλίου Έρευνας,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pStyle w:val="PageHeading"/>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18" w:name="_Toc196825089"/>
      <w:r>
        <w:t xml:space="preserve">6.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Ευρωπαϊκού Εκτελεστικού Οργανισμού για την Υγεία και τον Ψηφιακό τομέα για το οικονομικό έτος 2023</w:t>
      </w:r>
      <w:r>
        <w:t xml:space="preserve"> </w:t>
      </w:r>
      <w:bookmarkEnd w:id="18"/>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4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4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Ευρωπαϊκού Εκτελεστικού Οργανισμού για την Υγεία και τον Ψηφιακό τομέα για το οικονομικό έτος 2023</w:t>
      </w:r>
      <w:r w:rsidRPr="005C4A71">
        <w:rPr>
          <w:rStyle w:val="FootnoteReference"/>
        </w:rPr>
        <w:footnoteReference w:id="4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5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5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52"/>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5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5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5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5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 διευθύντρια του Ευρωπαϊκού Εκτελεστικού Οργανισμού για την Υγεία και τον Ψηφιακό Τομέα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στη διευθύντρια του Ευρωπαϊκού Εκτελεστικού Οργανισμού για την Υγεία και τον Ψηφιακό τομέα,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pStyle w:val="PageHeading"/>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19" w:name="_Toc196825091"/>
      <w:bookmarkStart w:id="20" w:name="_Toc225761845"/>
      <w:bookmarkStart w:id="21" w:name="_Toc225842295"/>
      <w:r>
        <w:t xml:space="preserve">7.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Ευρωπαϊκού Εκτελεστικού Οργανισμού Έρευνας για το οικονομικό έτος 2023</w:t>
      </w:r>
      <w:r>
        <w:t xml:space="preserve"> </w:t>
      </w:r>
      <w:bookmarkEnd w:id="19"/>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57"/>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58"/>
      </w:r>
      <w:r w:rsidRPr="005C4A71">
        <w:t>,</w:t>
      </w:r>
    </w:p>
    <w:p w:rsidR="00F70384" w:rsidRPr="005C4A71" w:rsidRDefault="00F70384" w:rsidP="00F70384">
      <w:pPr>
        <w:pStyle w:val="NormalHanging12a"/>
      </w:pPr>
      <w:r w:rsidRPr="005C4A71">
        <w:t>–</w:t>
      </w:r>
      <w:r w:rsidRPr="005C4A71">
        <w:tab/>
        <w:t>έχοντας υπόψη τους οριστικούς ετήσιους λογαριασμούς του Ευρωπαϊκού Εκτελεστικού Οργανισμού Έρευνας για το οικονομικό έτος 2023</w:t>
      </w:r>
      <w:r w:rsidRPr="005C4A71">
        <w:rPr>
          <w:rStyle w:val="FootnoteReference"/>
        </w:rPr>
        <w:footnoteReference w:id="59"/>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5C4A71">
        <w:rPr>
          <w:rStyle w:val="FootnoteReference"/>
        </w:rPr>
        <w:footnoteReference w:id="60"/>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61"/>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Visa"/>
        <w:tabs>
          <w:tab w:val="clear" w:pos="357"/>
        </w:tabs>
        <w:spacing w:after="120"/>
        <w:ind w:left="567" w:hanging="567"/>
      </w:pPr>
      <w:r w:rsidRPr="005C4A71">
        <w:rPr>
          <w:snapToGrid/>
        </w:rPr>
        <w:t>–</w:t>
      </w:r>
      <w:r w:rsidRPr="005C4A71">
        <w:rPr>
          <w:snapToGrid/>
        </w:rPr>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62"/>
      </w:r>
      <w:r w:rsidRPr="005C4A71">
        <w:rPr>
          <w:snapToGrid/>
        </w:rPr>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63"/>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64"/>
      </w:r>
      <w:r w:rsidRPr="005C4A71">
        <w:t>, και ιδίως το άρθρο 14 παράγραφος 3,</w:t>
      </w:r>
    </w:p>
    <w:p w:rsidR="00F70384" w:rsidRPr="005C4A71" w:rsidRDefault="00F70384" w:rsidP="00F70384">
      <w:pPr>
        <w:pStyle w:val="NormalHanging12a"/>
      </w:pPr>
      <w:r w:rsidRPr="005C4A71">
        <w:t>–</w:t>
      </w:r>
      <w:r w:rsidRPr="005C4A71">
        <w:tab/>
        <w:t>έχοντας υπόψη τον κανονισμό (ΕΚ) αριθ. 1653/2004 της Επιτροπής, της 21ης 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65"/>
      </w:r>
      <w:r w:rsidRPr="005C4A71">
        <w:t>, και ιδίως το άρθρο 66 πρώτη και δεύτερη παράγραφος,</w:t>
      </w:r>
    </w:p>
    <w:p w:rsidR="00F70384" w:rsidRPr="005C4A71" w:rsidRDefault="00F70384" w:rsidP="00F70384">
      <w:pPr>
        <w:pStyle w:val="NormalHanging12a"/>
      </w:pPr>
      <w:r w:rsidRPr="005C4A71">
        <w:t>–</w:t>
      </w:r>
      <w:r w:rsidRPr="005C4A71">
        <w:tab/>
        <w:t>έχοντας υπόψη την εκτελεστική απόφαση (ΕΕ) 2021/173 της Επιτροπής, της 12ης 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5C4A71">
        <w:rPr>
          <w:rStyle w:val="FootnoteReference"/>
        </w:rPr>
        <w:footnoteReference w:id="66"/>
      </w:r>
      <w:r w:rsidRPr="005C4A71">
        <w:t>,</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στον διευθυντή του Ευρωπαϊκού Εκτελεστικού Οργανισμού Έρευνας όσον αφορά την εκτέλεση του προϋπολογισμού του Εκτελεστικού Οργανισμού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2023, τμήμα III – Επιτροπή και το ψήφισμα που αποτελεί αναπόσπαστο μέρος των αποφάσεων αυτών, στον διευθυντή του Ευρωπαϊκού Εκτελεστικού Οργανισμού Έρευνας, στο Συμβούλιο, στην Επιτροπή και στο Ελεγκτικό Συνέδριο,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 w:rsidR="00F70384" w:rsidRPr="005C4A71" w:rsidRDefault="00F70384" w:rsidP="00F70384">
      <w:pPr>
        <w:widowControl/>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rPr>
          <w:b w:val="0"/>
        </w:rPr>
      </w:pPr>
      <w:bookmarkStart w:id="22" w:name="_Toc196825093"/>
      <w:r>
        <w:t xml:space="preserve">8. Απόφαση του Ευρωπαϊκού Κοινοβουλίου </w:t>
      </w:r>
      <w:r w:rsidR="00365BCC">
        <w:t xml:space="preserve">της 7ης Μαΐου 2025 </w:t>
      </w:r>
      <w:r w:rsidR="00DB55E9" w:rsidRPr="000C1214">
        <w:t>σχετικά με την απαλλαγή όσον αφορά την εκτέλεση του προϋπολογισμού του ένατου, δέκατου και ενδέκατου Ευρωπαϊκού Ταμείου Ανάπτυξης για το οικονομικό έτος 2023</w:t>
      </w:r>
      <w:r>
        <w:t xml:space="preserve"> </w:t>
      </w:r>
      <w:bookmarkEnd w:id="22"/>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2023 (COM(2024)0273 – C10-0081/2024)</w:t>
      </w:r>
      <w:r w:rsidRPr="005C4A71">
        <w:rPr>
          <w:rStyle w:val="FootnoteReference"/>
        </w:rPr>
        <w:footnoteReference w:id="67"/>
      </w:r>
      <w:r w:rsidRPr="005C4A71">
        <w:t>,</w:t>
      </w:r>
    </w:p>
    <w:p w:rsidR="00F70384" w:rsidRPr="005C4A71" w:rsidRDefault="00F70384" w:rsidP="00F70384">
      <w:pPr>
        <w:pStyle w:val="NormalHanging12a"/>
      </w:pPr>
      <w:r w:rsidRPr="005C4A71">
        <w:t>–</w:t>
      </w:r>
      <w:r w:rsidRPr="005C4A71">
        <w:tab/>
        <w:t>έχοντας υπόψη τις δημοσιονομικές πληροφορίες σχετικά με τα Ευρωπαϊκά Ταμεία Ανάπτυξης (COM(2024)0273),</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2023, που συνοδεύεται από τις απαντήσεις της Επιτροπής</w:t>
      </w:r>
      <w:r w:rsidRPr="005C4A71">
        <w:rPr>
          <w:rStyle w:val="FootnoteReference"/>
        </w:rPr>
        <w:footnoteReference w:id="68"/>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69"/>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τις συστάσεις του Συμβουλίου, της 17ης Φεβρουαρίου 2025, σχετικά με τη χορήγηση απαλλαγής στην Επιτροπή όσον αφορά την εκτέλεση των πράξεων των Ευρωπαϊκών Ταμείων Ανάπτυξης για το οικονομικό έτος 2023 (05489/2025 – C10</w:t>
      </w:r>
      <w:r w:rsidRPr="005C4A71">
        <w:noBreakHyphen/>
        <w:t>0027/2025, 05490/2025 – C10</w:t>
      </w:r>
      <w:r w:rsidRPr="005C4A71">
        <w:noBreakHyphen/>
        <w:t>0028/2025, 05491/2025 – C10</w:t>
      </w:r>
      <w:r w:rsidRPr="005C4A71">
        <w:noBreakHyphen/>
        <w:t>0029/2025),</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w:t>
      </w:r>
    </w:p>
    <w:p w:rsidR="00F70384" w:rsidRPr="005C4A71" w:rsidRDefault="00F70384" w:rsidP="00F70384">
      <w:pPr>
        <w:pStyle w:val="NormalHanging12a"/>
      </w:pPr>
      <w:r w:rsidRPr="005C4A71">
        <w:t>–</w:t>
      </w:r>
      <w:r w:rsidRPr="005C4A71">
        <w:tab/>
        <w:t xml:space="preserve">έχοντας υπόψη τη συμφωνία εταιρικής σχέσης μεταξύ των μελών της ομάδας των 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5C4A71">
        <w:t>Κοτονού</w:t>
      </w:r>
      <w:proofErr w:type="spellEnd"/>
      <w:r w:rsidRPr="005C4A71">
        <w:t xml:space="preserve"> (Μπενίν) στις 23 Ιουνίου 2000</w:t>
      </w:r>
      <w:r w:rsidRPr="005C4A71">
        <w:rPr>
          <w:rStyle w:val="FootnoteReference"/>
        </w:rPr>
        <w:footnoteReference w:id="70"/>
      </w:r>
      <w:r w:rsidRPr="005C4A71">
        <w:t xml:space="preserve">, και τροποποιήθηκε στην </w:t>
      </w:r>
      <w:proofErr w:type="spellStart"/>
      <w:r w:rsidRPr="005C4A71">
        <w:t>Ουαγκαντούγκου</w:t>
      </w:r>
      <w:proofErr w:type="spellEnd"/>
      <w:r w:rsidRPr="005C4A71">
        <w:t xml:space="preserve"> (Μπουρκίνα Φάσο) στις 22 Ιουνίου 2010</w:t>
      </w:r>
      <w:r w:rsidRPr="005C4A71">
        <w:rPr>
          <w:rStyle w:val="FootnoteReference"/>
        </w:rPr>
        <w:footnoteReference w:id="71"/>
      </w:r>
      <w:r w:rsidRPr="005C4A71">
        <w:t>,</w:t>
      </w:r>
    </w:p>
    <w:p w:rsidR="00F70384" w:rsidRPr="005C4A71" w:rsidRDefault="00F70384" w:rsidP="00F70384">
      <w:pPr>
        <w:pStyle w:val="NormalHanging12a"/>
      </w:pPr>
      <w:r w:rsidRPr="005C4A71">
        <w:t>–</w:t>
      </w:r>
      <w:r w:rsidRPr="005C4A71">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ΥΧΕ-ΕΕ, συμπεριλαμβανομένης της Γροιλανδίας)</w:t>
      </w:r>
      <w:r w:rsidRPr="005C4A71">
        <w:rPr>
          <w:rStyle w:val="FootnoteReference"/>
        </w:rPr>
        <w:footnoteReference w:id="72"/>
      </w:r>
      <w:r w:rsidRPr="005C4A71">
        <w:t>,</w:t>
      </w:r>
    </w:p>
    <w:p w:rsidR="00F70384" w:rsidRPr="005C4A71" w:rsidRDefault="00F70384" w:rsidP="00F70384">
      <w:pPr>
        <w:pStyle w:val="NormalHanging12a"/>
      </w:pPr>
      <w:r w:rsidRPr="005C4A71">
        <w:t>–</w:t>
      </w:r>
      <w:r w:rsidRPr="005C4A71">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5C4A71">
        <w:rPr>
          <w:rStyle w:val="FootnoteReference"/>
        </w:rPr>
        <w:footnoteReference w:id="73"/>
      </w:r>
      <w:r w:rsidRPr="005C4A71">
        <w:t>,</w:t>
      </w:r>
    </w:p>
    <w:p w:rsidR="00F70384" w:rsidRPr="005C4A71" w:rsidRDefault="00F70384" w:rsidP="00F70384">
      <w:pPr>
        <w:pStyle w:val="NormalHanging12a"/>
      </w:pPr>
      <w:r w:rsidRPr="005C4A71">
        <w:t>–</w:t>
      </w:r>
      <w:r w:rsidRPr="005C4A71">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5C4A71">
        <w:t>Κοτονού</w:t>
      </w:r>
      <w:proofErr w:type="spellEnd"/>
      <w:r w:rsidRPr="005C4A71">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5C4A71">
        <w:rPr>
          <w:rStyle w:val="FootnoteReference"/>
        </w:rPr>
        <w:footnoteReference w:id="74"/>
      </w:r>
      <w:r w:rsidRPr="005C4A71">
        <w:t>,</w:t>
      </w:r>
    </w:p>
    <w:p w:rsidR="00F70384" w:rsidRPr="005C4A71" w:rsidRDefault="00F70384" w:rsidP="00F70384">
      <w:pPr>
        <w:pStyle w:val="NormalHanging12a"/>
      </w:pPr>
      <w:r w:rsidRPr="005C4A71">
        <w:t>–</w:t>
      </w:r>
      <w:r w:rsidRPr="005C4A71">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Συνθήκης για τη λειτουργία της Ευρωπαϊκής Ένωσης</w:t>
      </w:r>
      <w:r w:rsidRPr="005C4A71">
        <w:rPr>
          <w:rStyle w:val="FootnoteReference"/>
        </w:rPr>
        <w:footnoteReference w:id="75"/>
      </w:r>
      <w:r w:rsidRPr="005C4A71">
        <w:t>,</w:t>
      </w:r>
    </w:p>
    <w:p w:rsidR="00F70384" w:rsidRPr="005C4A71" w:rsidRDefault="00F70384" w:rsidP="00F70384">
      <w:pPr>
        <w:pStyle w:val="NormalHanging12a"/>
      </w:pPr>
      <w:r w:rsidRPr="005C4A71">
        <w:t>–</w:t>
      </w:r>
      <w:r w:rsidRPr="005C4A71">
        <w:tab/>
        <w:t>έχοντας υπόψη το άρθρο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τέταρτης Σύμβασης ΑΚΕ-ΕΚ</w:t>
      </w:r>
      <w:r w:rsidRPr="005C4A71">
        <w:rPr>
          <w:rStyle w:val="FootnoteReference"/>
        </w:rPr>
        <w:footnoteReference w:id="76"/>
      </w:r>
      <w:r w:rsidRPr="005C4A71">
        <w:t>,</w:t>
      </w:r>
    </w:p>
    <w:p w:rsidR="00F70384" w:rsidRPr="005C4A71" w:rsidRDefault="00F70384" w:rsidP="00F70384">
      <w:pPr>
        <w:pStyle w:val="NormalHanging12a"/>
      </w:pPr>
      <w:r w:rsidRPr="005C4A71">
        <w:t>–</w:t>
      </w:r>
      <w:r w:rsidRPr="005C4A71">
        <w:tab/>
        <w:t>έχοντας υπόψη το άρθρο 119 του δημοσιονομικού κανονισμού, της 27ης Μαρτίου 2003, ο οποίος εφαρμόζεται στο 9ο Ευρωπαϊκό Ταμείο Ανάπτυξης</w:t>
      </w:r>
      <w:r w:rsidRPr="005C4A71">
        <w:rPr>
          <w:rStyle w:val="FootnoteReference"/>
        </w:rPr>
        <w:footnoteReference w:id="77"/>
      </w:r>
      <w:r w:rsidRPr="005C4A71">
        <w:t>,</w:t>
      </w:r>
    </w:p>
    <w:p w:rsidR="00F70384" w:rsidRPr="005C4A71" w:rsidRDefault="00F70384" w:rsidP="00F70384">
      <w:pPr>
        <w:pStyle w:val="NormalHanging12a"/>
      </w:pPr>
      <w:r w:rsidRPr="005C4A71">
        <w:t>–</w:t>
      </w:r>
      <w:r w:rsidRPr="005C4A71">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5C4A71">
        <w:rPr>
          <w:rStyle w:val="FootnoteReference"/>
        </w:rPr>
        <w:footnoteReference w:id="78"/>
      </w:r>
      <w:r w:rsidRPr="005C4A71">
        <w:t>,</w:t>
      </w:r>
    </w:p>
    <w:p w:rsidR="00F70384" w:rsidRPr="005C4A71" w:rsidRDefault="00F70384" w:rsidP="00F70384">
      <w:pPr>
        <w:pStyle w:val="NormalHanging12a"/>
      </w:pPr>
      <w:r w:rsidRPr="005C4A71">
        <w:t>–</w:t>
      </w:r>
      <w:r w:rsidRPr="005C4A71">
        <w:tab/>
        <w:t>έχοντας υπόψη το άρθρο 44 της απόφασης (ΕΕ) 2018/1877 του Συμβουλίου, της 26ης 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5C4A71">
        <w:rPr>
          <w:rStyle w:val="FootnoteReference"/>
        </w:rPr>
        <w:footnoteReference w:id="79"/>
      </w:r>
      <w:r w:rsidRPr="005C4A71">
        <w:t>,</w:t>
      </w:r>
    </w:p>
    <w:p w:rsidR="00F70384" w:rsidRPr="005C4A71" w:rsidRDefault="00F70384" w:rsidP="00F70384">
      <w:pPr>
        <w:pStyle w:val="NormalHanging12a"/>
      </w:pPr>
      <w:r w:rsidRPr="005C4A71">
        <w:t>–</w:t>
      </w:r>
      <w:r w:rsidRPr="005C4A71">
        <w:tab/>
        <w:t>έχοντας υπόψη το άρθρο 101, το άρθρο 102 τρίτη περίπτωση και το παράρτημα V του Κανονισμού του,</w:t>
      </w:r>
    </w:p>
    <w:p w:rsidR="00F70384" w:rsidRPr="005C4A71" w:rsidRDefault="00F70384" w:rsidP="00F70384">
      <w:pPr>
        <w:pStyle w:val="NormalHanging12a"/>
      </w:pPr>
      <w:r w:rsidRPr="005C4A71">
        <w:t>–</w:t>
      </w:r>
      <w:r w:rsidRPr="005C4A71">
        <w:tab/>
        <w:t>έχοντας υπόψη τη γνωμοδότηση της Επιτροπής Ανάπτυξης,</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χορηγεί απαλλαγή στην Επιτροπή όσον αφορά την εκτέλεση του προϋπολογισμού του ένατου, δέκατου και ενδέκατου Ευρωπαϊκού Ταμείου Ανάπτυξης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ακολουθεί·</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στο Ελεγκτικό Συνέδριο και στην Ευρωπαϊκή Τράπεζα Επενδύσεων, και να μεριμνήσει για τη δημοσίευσή τους στην </w:t>
      </w:r>
      <w:r w:rsidRPr="005C4A71">
        <w:rPr>
          <w:i/>
        </w:rPr>
        <w:t>Επίσημη Εφημερίδα της Ευρωπαϊκής Ένωσης</w:t>
      </w:r>
      <w:r w:rsidRPr="005C4A71">
        <w:t xml:space="preserve"> (σειρά L).</w:t>
      </w:r>
    </w:p>
    <w:p w:rsidR="00F70384" w:rsidRPr="005C4A71" w:rsidRDefault="00F70384" w:rsidP="00F70384">
      <w:pPr>
        <w:pStyle w:val="NormalHanging12a"/>
      </w:pPr>
    </w:p>
    <w:p w:rsidR="00F70384" w:rsidRPr="005C4A71" w:rsidRDefault="00F70384" w:rsidP="00F70384">
      <w:pPr>
        <w:pStyle w:val="NormalHanging12a"/>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23" w:name="_Toc196825095"/>
      <w:bookmarkEnd w:id="10"/>
      <w:bookmarkEnd w:id="11"/>
      <w:bookmarkEnd w:id="12"/>
      <w:bookmarkEnd w:id="13"/>
      <w:bookmarkEnd w:id="14"/>
      <w:bookmarkEnd w:id="20"/>
      <w:bookmarkEnd w:id="21"/>
      <w:r>
        <w:t xml:space="preserve">9. Απόφαση του Ευρωπαϊκού Κοινοβουλίου </w:t>
      </w:r>
      <w:r w:rsidR="004A6AA7">
        <w:t xml:space="preserve">της 7ης Μαΐου 2025 </w:t>
      </w:r>
      <w:r w:rsidR="00DB55E9" w:rsidRPr="000C1214">
        <w:t>σχετικά με το κλείσιμο των λογαριασμών όσον αφορά την εκτέλεση του γενικού προϋπολογισμού της Ευρωπαϊκής Ένωσης για το οικονομικό έτος 2023, τμήμα III – Επιτροπή</w:t>
      </w:r>
      <w:r>
        <w:t xml:space="preserve"> </w:t>
      </w:r>
      <w:bookmarkEnd w:id="23"/>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τον γενικό προϋπολογισμό της Ευρωπαϊκής Ένωσης για το οικονομικό έτος 2023</w:t>
      </w:r>
      <w:r w:rsidRPr="005C4A71">
        <w:rPr>
          <w:rStyle w:val="FootnoteReference"/>
        </w:rPr>
        <w:footnoteReference w:id="80"/>
      </w:r>
      <w:r w:rsidRPr="005C4A71">
        <w:t>,</w:t>
      </w:r>
    </w:p>
    <w:p w:rsidR="00F70384" w:rsidRPr="005C4A71" w:rsidRDefault="00F70384" w:rsidP="00F70384">
      <w:pPr>
        <w:pStyle w:val="NormalHanging12a"/>
      </w:pPr>
      <w:r w:rsidRPr="005C4A71">
        <w:t>–</w:t>
      </w:r>
      <w:r w:rsidRPr="005C4A71">
        <w:tab/>
        <w:t>έχοντας υπόψη τους ενοποιημένους ετήσιους λογαριασμούς της Ευρωπαϊκής Ένωσης για το οικονομικό έτος 2023 (COM(2024)0272 – C10-0067/2024)</w:t>
      </w:r>
      <w:r w:rsidRPr="005C4A71">
        <w:rPr>
          <w:rStyle w:val="FootnoteReference"/>
        </w:rPr>
        <w:footnoteReference w:id="81"/>
      </w:r>
      <w:r w:rsidRPr="005C4A71">
        <w:t>,</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 και τις λεπτομερείς απαντήσεις στα συγκεκριμένα αιτήματα που διατύπωσε το Ευρωπαϊκό Κοινοβούλιο,</w:t>
      </w:r>
    </w:p>
    <w:p w:rsidR="00F70384" w:rsidRPr="005C4A71" w:rsidRDefault="00F70384" w:rsidP="00F70384">
      <w:pPr>
        <w:pStyle w:val="NormalHanging12a"/>
      </w:pPr>
      <w:r w:rsidRPr="005C4A71">
        <w:t>–</w:t>
      </w:r>
      <w:r w:rsidRPr="005C4A71">
        <w:tab/>
        <w:t>έχοντας υπόψη την ετήσια έκθεση του 2023 της Επιτροπής για τη διαχείριση και τις επιδόσεις του προϋπολογισμού της ΕΕ (COM(2024)401),</w:t>
      </w:r>
    </w:p>
    <w:p w:rsidR="00F70384" w:rsidRPr="005C4A71" w:rsidRDefault="00F70384" w:rsidP="00F70384">
      <w:pPr>
        <w:pStyle w:val="NormalHanging12a"/>
      </w:pPr>
      <w:r w:rsidRPr="005C4A71">
        <w:t>–</w:t>
      </w:r>
      <w:r w:rsidRPr="005C4A71">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2023 (COM(2024)0249) και το υπηρεσιακό έγγραφο εργασίας της Επιτροπής που τη συνοδεύει (SWD(2024)0145),</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5C4A71">
        <w:rPr>
          <w:rStyle w:val="FootnoteReference"/>
        </w:rPr>
        <w:footnoteReference w:id="82"/>
      </w:r>
      <w:r w:rsidRPr="005C4A71">
        <w:t>, και τις ειδικές εκθέσεις του Ελεγκτικού Συνεδρίου,</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83"/>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της Επιτροπής όσον αφορά την εκτέλεση του προϋπολογισμού για το οικονομικό έτος 2023 (05754/2025 – C10</w:t>
      </w:r>
      <w:r w:rsidRPr="005C4A71">
        <w:noBreakHyphen/>
        <w:t>0013/2025),</w:t>
      </w:r>
    </w:p>
    <w:p w:rsidR="00F70384" w:rsidRPr="005C4A71" w:rsidRDefault="00F70384" w:rsidP="00F70384">
      <w:pPr>
        <w:pStyle w:val="NormalHanging12a"/>
      </w:pPr>
      <w:r w:rsidRPr="005C4A71">
        <w:t>–</w:t>
      </w:r>
      <w:r w:rsidRPr="005C4A71">
        <w:tab/>
        <w:t>έχοντας υπόψη τη σύσταση του Συμβουλίου, της 17ης Φεβρουαρίου 2025, σχετικά με την απαλλαγή των εκτελεστικών οργανισμών όσον αφορά την εκτέλεση του προϋπολογισμού για το οικονομικό έτος 2023 (05756/2025 – C10</w:t>
      </w:r>
      <w:r w:rsidRPr="005C4A71">
        <w:noBreakHyphen/>
        <w:t>0026/2025),</w:t>
      </w:r>
    </w:p>
    <w:p w:rsidR="00F70384" w:rsidRPr="005C4A71" w:rsidRDefault="00F70384" w:rsidP="00F70384">
      <w:pPr>
        <w:pStyle w:val="NormalHanging12a"/>
      </w:pPr>
      <w:r w:rsidRPr="005C4A71">
        <w:t>–</w:t>
      </w:r>
      <w:r w:rsidRPr="005C4A71">
        <w:tab/>
        <w:t>έχοντας υπόψη τα άρθρα 317, 318 και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106α της Συνθήκης περί ιδρύσεως της Ευρωπαϊκής Κοινότητος Ατομικής Ενεργείας,</w:t>
      </w:r>
    </w:p>
    <w:p w:rsidR="00F70384" w:rsidRPr="005C4A71" w:rsidRDefault="00F70384" w:rsidP="00F70384">
      <w:pPr>
        <w:pStyle w:val="NormalHanging12a"/>
      </w:pPr>
      <w:r w:rsidRPr="005C4A71">
        <w:t>–</w:t>
      </w:r>
      <w:r w:rsidRPr="005C4A7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C4A71">
        <w:rPr>
          <w:rStyle w:val="FootnoteReference"/>
        </w:rPr>
        <w:footnoteReference w:id="84"/>
      </w:r>
      <w:r w:rsidRPr="005C4A71">
        <w:t>, και ιδίως τα άρθρα 69, 260, 261 και 262,</w:t>
      </w:r>
    </w:p>
    <w:p w:rsidR="00F70384" w:rsidRPr="005C4A71" w:rsidRDefault="00F70384" w:rsidP="00F70384">
      <w:pPr>
        <w:pStyle w:val="NormalHanging12a"/>
      </w:pPr>
      <w:r w:rsidRPr="005C4A71">
        <w:t>–</w:t>
      </w:r>
      <w:r w:rsidRPr="005C4A7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C4A71">
        <w:rPr>
          <w:rStyle w:val="FootnoteReference"/>
          <w:noProof/>
        </w:rPr>
        <w:footnoteReference w:id="85"/>
      </w:r>
      <w:r w:rsidRPr="005C4A71">
        <w:t>, και ιδίως τα άρθρα 69, 266, 267 και 268,</w:t>
      </w:r>
    </w:p>
    <w:p w:rsidR="00F70384" w:rsidRPr="005C4A71" w:rsidRDefault="00F70384" w:rsidP="00F70384">
      <w:pPr>
        <w:pStyle w:val="NormalHanging12a"/>
      </w:pPr>
      <w:r w:rsidRPr="005C4A71">
        <w:t>–</w:t>
      </w:r>
      <w:r w:rsidRPr="005C4A71">
        <w:tab/>
        <w:t>έχοντας υπόψη τον κανονισμό (ΕΚ) αριθ. 58/2003 του Συμβουλίου, της 19ης 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5C4A71">
        <w:rPr>
          <w:rStyle w:val="FootnoteReference"/>
        </w:rPr>
        <w:footnoteReference w:id="86"/>
      </w:r>
      <w:r w:rsidRPr="005C4A71">
        <w:t>, και ιδίως το άρθρο 14 παράγραφοι 2 και 3,</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εγκρίνει το κλείσιμο των λογαριασμών του γενικού προϋπολογισμού της Ευρωπαϊκής Ένωσης για το οικονομικό έτος 2023·</w:t>
      </w:r>
    </w:p>
    <w:p w:rsidR="00F70384" w:rsidRPr="005C4A71" w:rsidRDefault="00F70384" w:rsidP="00F70384">
      <w:pPr>
        <w:pStyle w:val="NormalHanging12a"/>
      </w:pPr>
      <w:r w:rsidRPr="005C4A71">
        <w:t>2.</w:t>
      </w:r>
      <w:r w:rsidRPr="005C4A71">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F70384" w:rsidRPr="005C4A71" w:rsidRDefault="00F70384" w:rsidP="00F70384">
      <w:pPr>
        <w:pStyle w:val="NormalHanging12a"/>
      </w:pPr>
      <w:r w:rsidRPr="005C4A71">
        <w:t>3.</w:t>
      </w:r>
      <w:r w:rsidRPr="005C4A71">
        <w:tab/>
        <w:t xml:space="preserve">αναθέτει στην Πρόεδρό του να διαβιβάσει την παρούσα απόφαση στο Συμβούλιο, στην Επιτροπή, στο Δικαστήριο της Ευρωπαϊκής Ένωσης, στο Ελεγκτικό Συνέδριο και στην Ευρωπαϊκή Τράπεζα Επενδύσεων, καθώς και στα εθνικά κοινοβούλια και στα εθνικά και περιφερειακά όργανα ελέγχου των κρατών μελών, και να μεριμνήσει για τη δημοσίευσή της στην </w:t>
      </w:r>
      <w:r w:rsidRPr="005C4A71">
        <w:rPr>
          <w:i/>
        </w:rPr>
        <w:t>Επίσημη Εφημερίδα της Ευρωπαϊκής Ένωσης</w:t>
      </w:r>
      <w:r w:rsidRPr="005C4A71">
        <w:t xml:space="preserve"> (σειρά L).</w:t>
      </w:r>
    </w:p>
    <w:p w:rsidR="00F70384" w:rsidRPr="005C4A71" w:rsidRDefault="00F70384" w:rsidP="00F70384">
      <w:pPr>
        <w:pStyle w:val="PageHeading"/>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E8367F">
      <w:pPr>
        <w:pStyle w:val="ATHeading3"/>
      </w:pPr>
      <w:bookmarkStart w:id="24" w:name="_Toc196825097"/>
      <w:bookmarkStart w:id="25" w:name="_Toc178927114"/>
      <w:bookmarkStart w:id="26" w:name="_Toc178927133"/>
      <w:bookmarkStart w:id="27" w:name="_Toc178927152"/>
      <w:bookmarkStart w:id="28" w:name="_Toc178927171"/>
      <w:bookmarkStart w:id="29" w:name="_Toc178927190"/>
      <w:bookmarkStart w:id="30" w:name="_Toc178927209"/>
      <w:bookmarkStart w:id="31" w:name="_Toc178927239"/>
      <w:bookmarkStart w:id="32" w:name="_Toc178927297"/>
      <w:bookmarkStart w:id="33" w:name="_Toc178927343"/>
      <w:bookmarkStart w:id="34" w:name="_Toc178927362"/>
      <w:bookmarkStart w:id="35" w:name="_Toc178927406"/>
      <w:bookmarkStart w:id="36" w:name="_Toc178927457"/>
      <w:bookmarkStart w:id="37" w:name="_Toc178927505"/>
      <w:bookmarkStart w:id="38" w:name="_Toc178927524"/>
      <w:bookmarkStart w:id="39" w:name="_Toc178927615"/>
      <w:bookmarkStart w:id="40" w:name="_Toc178927759"/>
      <w:bookmarkStart w:id="41" w:name="_Toc178927791"/>
      <w:bookmarkStart w:id="42" w:name="_Toc178927935"/>
      <w:bookmarkStart w:id="43" w:name="_Toc178927964"/>
      <w:bookmarkStart w:id="44" w:name="_Toc178928005"/>
      <w:bookmarkStart w:id="45" w:name="_Toc178928024"/>
      <w:bookmarkStart w:id="46" w:name="_Toc178928065"/>
      <w:bookmarkStart w:id="47" w:name="_Toc178928084"/>
      <w:bookmarkStart w:id="48" w:name="_Toc178928147"/>
      <w:bookmarkStart w:id="49" w:name="_Toc178928246"/>
      <w:bookmarkStart w:id="50" w:name="_Toc178928618"/>
      <w:bookmarkStart w:id="51" w:name="_Toc178928870"/>
      <w:bookmarkStart w:id="52" w:name="_Toc178928889"/>
      <w:bookmarkStart w:id="53" w:name="_Toc178928980"/>
      <w:bookmarkStart w:id="54" w:name="_Toc178928999"/>
      <w:bookmarkStart w:id="55" w:name="_Toc178929054"/>
      <w:bookmarkStart w:id="56" w:name="_Toc178929076"/>
      <w:bookmarkStart w:id="57" w:name="_Toc178929171"/>
      <w:bookmarkStart w:id="58" w:name="_Toc178929213"/>
      <w:bookmarkStart w:id="59" w:name="_Toc178929232"/>
      <w:bookmarkStart w:id="60" w:name="_Toc178929349"/>
      <w:bookmarkStart w:id="61" w:name="_Toc178929389"/>
      <w:bookmarkStart w:id="62" w:name="_Toc178929408"/>
      <w:bookmarkStart w:id="63" w:name="_Toc178929597"/>
      <w:bookmarkStart w:id="64" w:name="_Toc178929616"/>
      <w:bookmarkStart w:id="65" w:name="_Toc178929691"/>
      <w:bookmarkStart w:id="66" w:name="_Toc178929710"/>
      <w:bookmarkStart w:id="67" w:name="_Toc178929821"/>
      <w:bookmarkStart w:id="68" w:name="_Toc178929867"/>
      <w:bookmarkStart w:id="69" w:name="_Toc178929892"/>
      <w:bookmarkStart w:id="70" w:name="_Toc178930001"/>
      <w:bookmarkStart w:id="71" w:name="_Toc178930035"/>
      <w:bookmarkStart w:id="72" w:name="_Toc178930054"/>
      <w:bookmarkStart w:id="73" w:name="_Toc178930259"/>
      <w:bookmarkStart w:id="74" w:name="_Toc178930385"/>
      <w:bookmarkStart w:id="75" w:name="_Toc178930426"/>
      <w:bookmarkStart w:id="76" w:name="_Toc178930445"/>
      <w:bookmarkStart w:id="77" w:name="_Toc178930492"/>
      <w:bookmarkStart w:id="78" w:name="_Toc178930518"/>
      <w:bookmarkStart w:id="79" w:name="_Toc178930546"/>
      <w:bookmarkStart w:id="80" w:name="_Toc178931533"/>
      <w:bookmarkStart w:id="81" w:name="_Toc178935882"/>
      <w:bookmarkStart w:id="82" w:name="_Toc178935991"/>
      <w:bookmarkStart w:id="83" w:name="_Toc178936027"/>
      <w:bookmarkStart w:id="84" w:name="_Toc178936073"/>
      <w:r>
        <w:t xml:space="preserve">10. Απόφαση του Ευρωπαϊκού Κοινοβουλίου </w:t>
      </w:r>
      <w:r w:rsidR="004A6AA7">
        <w:t xml:space="preserve">της 7ης Μαΐου 2025 </w:t>
      </w:r>
      <w:r w:rsidR="00DB55E9" w:rsidRPr="000C1214">
        <w:t>σχετικά με το κλείσιμο των λογαριασμών όσον αφορά την εκτέλεση του προϋπολογισμού του ένατου, δέκατου και ενδέκατου Ευρωπαϊκού Ταμείου Ανάπτυξης για το οικονομικό έτος 2023</w:t>
      </w:r>
      <w:r>
        <w:t xml:space="preserve"> </w:t>
      </w:r>
      <w:bookmarkEnd w:id="24"/>
      <w:r w:rsidR="00F70384" w:rsidRPr="005C4A71">
        <w:t>(2024/2019(DEC))</w:t>
      </w:r>
    </w:p>
    <w:p w:rsidR="00F70384" w:rsidRPr="005C4A71" w:rsidRDefault="00F70384" w:rsidP="00F70384">
      <w:pPr>
        <w:pStyle w:val="EPComma"/>
      </w:pPr>
      <w:r w:rsidRPr="005C4A71">
        <w:rPr>
          <w:i/>
          <w:iCs/>
        </w:rPr>
        <w:t>Το Ευρωπαϊκό Κοινοβούλιο</w:t>
      </w:r>
      <w:r w:rsidRPr="005C4A71">
        <w:t>,</w:t>
      </w:r>
    </w:p>
    <w:p w:rsidR="00F70384" w:rsidRPr="005C4A71" w:rsidRDefault="00F70384" w:rsidP="00F70384">
      <w:pPr>
        <w:pStyle w:val="NormalHanging12a"/>
      </w:pPr>
      <w:r w:rsidRPr="005C4A71">
        <w:t>–</w:t>
      </w:r>
      <w:r w:rsidRPr="005C4A71">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2023 (COM(2024)0273 – C10-0081/2024)</w:t>
      </w:r>
      <w:r w:rsidRPr="005C4A71">
        <w:rPr>
          <w:rStyle w:val="FootnoteReference"/>
        </w:rPr>
        <w:footnoteReference w:id="87"/>
      </w:r>
      <w:r w:rsidRPr="005C4A71">
        <w:t>,</w:t>
      </w:r>
    </w:p>
    <w:p w:rsidR="00F70384" w:rsidRPr="005C4A71" w:rsidRDefault="00F70384" w:rsidP="00F70384">
      <w:pPr>
        <w:pStyle w:val="NormalHanging12a"/>
      </w:pPr>
      <w:r w:rsidRPr="005C4A71">
        <w:t>–</w:t>
      </w:r>
      <w:r w:rsidRPr="005C4A71">
        <w:tab/>
        <w:t>έχοντας υπόψη τις δημοσιονομικές πληροφορίες σχετικά με τα Ευρωπαϊκά Ταμεία Ανάπτυξης (COM(2024)0273),</w:t>
      </w:r>
    </w:p>
    <w:p w:rsidR="00F70384" w:rsidRPr="005C4A71" w:rsidRDefault="00F70384" w:rsidP="00F70384">
      <w:pPr>
        <w:pStyle w:val="NormalHanging12a"/>
      </w:pPr>
      <w:r w:rsidRPr="005C4A71">
        <w:t>–</w:t>
      </w:r>
      <w:r w:rsidRPr="005C4A71">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2023, που συνοδεύεται από τις απαντήσεις της Επιτροπής</w:t>
      </w:r>
      <w:r w:rsidRPr="005C4A71">
        <w:rPr>
          <w:rStyle w:val="FootnoteReference"/>
        </w:rPr>
        <w:footnoteReference w:id="88"/>
      </w:r>
      <w:r w:rsidRPr="005C4A71">
        <w:t>,</w:t>
      </w:r>
    </w:p>
    <w:p w:rsidR="00F70384" w:rsidRPr="005C4A71" w:rsidRDefault="00F70384" w:rsidP="00F70384">
      <w:pPr>
        <w:pStyle w:val="NormalHanging12a"/>
      </w:pPr>
      <w:r w:rsidRPr="005C4A71">
        <w:t>–</w:t>
      </w:r>
      <w:r w:rsidRPr="005C4A71">
        <w:tab/>
        <w:t>έχοντας υπόψη τη δήλωση αξιοπιστίας</w:t>
      </w:r>
      <w:r w:rsidRPr="005C4A71">
        <w:rPr>
          <w:rStyle w:val="FootnoteReference"/>
        </w:rPr>
        <w:footnoteReference w:id="89"/>
      </w:r>
      <w:r w:rsidRPr="005C4A71">
        <w:t xml:space="preserve"> η οποία βεβαιώνει την ακρίβεια των λογαριασμών και τη νομιμότητα και κανονικότητα των σχετικών πράξεων, την οποία </w:t>
      </w:r>
      <w:proofErr w:type="spellStart"/>
      <w:r w:rsidRPr="005C4A71">
        <w:t>ενεχείρισε</w:t>
      </w:r>
      <w:proofErr w:type="spellEnd"/>
      <w:r w:rsidRPr="005C4A71">
        <w:t xml:space="preserve"> το Ελεγκτικό Συνέδριο για το οικονομικό έτος 2023, σύμφωνα με το άρθρο 287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τις συστάσεις του Συμβουλίου, της 17ης Φεβρουαρίου 2025, σχετικά με τη χορήγηση απαλλαγής στην Επιτροπή όσον αφορά την εκτέλεση των πράξεων των Ευρωπαϊκών Ταμείων Ανάπτυξης για το οικονομικό έτος 2023 (05489/2025 – C10</w:t>
      </w:r>
      <w:r w:rsidRPr="005C4A71">
        <w:noBreakHyphen/>
        <w:t>0027/2025, 05490/2025 – C10</w:t>
      </w:r>
      <w:r w:rsidRPr="005C4A71">
        <w:noBreakHyphen/>
        <w:t>0028/2025, 05491/2025 – C10</w:t>
      </w:r>
      <w:r w:rsidRPr="005C4A71">
        <w:noBreakHyphen/>
        <w:t>0029/2025),</w:t>
      </w:r>
    </w:p>
    <w:p w:rsidR="00F70384" w:rsidRPr="005C4A71" w:rsidRDefault="00F70384" w:rsidP="00F70384">
      <w:pPr>
        <w:pStyle w:val="NormalHanging12a"/>
      </w:pPr>
      <w:r w:rsidRPr="005C4A71">
        <w:t>–</w:t>
      </w:r>
      <w:r w:rsidRPr="005C4A71">
        <w:tab/>
        <w:t>έχοντας υπόψη την έκθεση της Επιτροπής σχετικά με τη συνέχεια που δόθηκε στην απαλλαγή για το οικονομικό έτος 2022 (COM(2024)0267),</w:t>
      </w:r>
    </w:p>
    <w:p w:rsidR="00F70384" w:rsidRPr="005C4A71" w:rsidRDefault="00F70384" w:rsidP="00F70384">
      <w:pPr>
        <w:pStyle w:val="NormalHanging12a"/>
      </w:pPr>
      <w:r w:rsidRPr="005C4A71">
        <w:t>–</w:t>
      </w:r>
      <w:r w:rsidRPr="005C4A71">
        <w:tab/>
        <w:t xml:space="preserve">έχοντας υπόψη τη συμφωνία εταιρικής σχέσης μεταξύ των μελών της ομάδας των 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5C4A71">
        <w:t>Κοτονού</w:t>
      </w:r>
      <w:proofErr w:type="spellEnd"/>
      <w:r w:rsidRPr="005C4A71">
        <w:t xml:space="preserve"> (Μπενίν) στις 23 Ιουνίου 2000</w:t>
      </w:r>
      <w:r w:rsidRPr="005C4A71">
        <w:rPr>
          <w:rStyle w:val="FootnoteReference"/>
        </w:rPr>
        <w:footnoteReference w:id="90"/>
      </w:r>
      <w:r w:rsidRPr="005C4A71">
        <w:t xml:space="preserve">, και τροποποιήθηκε στην </w:t>
      </w:r>
      <w:proofErr w:type="spellStart"/>
      <w:r w:rsidRPr="005C4A71">
        <w:t>Ουαγκαντούγκου</w:t>
      </w:r>
      <w:proofErr w:type="spellEnd"/>
      <w:r w:rsidRPr="005C4A71">
        <w:t xml:space="preserve"> (Μπουρκίνα Φάσο) στις 22 Ιουνίου 2010</w:t>
      </w:r>
      <w:r w:rsidRPr="005C4A71">
        <w:rPr>
          <w:rStyle w:val="FootnoteReference"/>
        </w:rPr>
        <w:footnoteReference w:id="91"/>
      </w:r>
      <w:r w:rsidRPr="005C4A71">
        <w:t>,</w:t>
      </w:r>
    </w:p>
    <w:p w:rsidR="00F70384" w:rsidRPr="005C4A71" w:rsidRDefault="00F70384" w:rsidP="00F70384">
      <w:pPr>
        <w:pStyle w:val="NormalHanging12a"/>
      </w:pPr>
      <w:r w:rsidRPr="005C4A71">
        <w:t>–</w:t>
      </w:r>
      <w:r w:rsidRPr="005C4A71">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ΥΧΕ-ΕΕ, συμπεριλαμβανομένης της Γροιλανδίας)</w:t>
      </w:r>
      <w:r w:rsidRPr="005C4A71">
        <w:rPr>
          <w:rStyle w:val="FootnoteReference"/>
        </w:rPr>
        <w:footnoteReference w:id="92"/>
      </w:r>
      <w:r w:rsidRPr="005C4A71">
        <w:t>,</w:t>
      </w:r>
    </w:p>
    <w:p w:rsidR="00F70384" w:rsidRPr="005C4A71" w:rsidRDefault="00F70384" w:rsidP="00F70384">
      <w:pPr>
        <w:pStyle w:val="NormalHanging12a"/>
      </w:pPr>
      <w:r w:rsidRPr="005C4A71">
        <w:t>–</w:t>
      </w:r>
      <w:r w:rsidRPr="005C4A71">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5C4A71">
        <w:rPr>
          <w:rStyle w:val="FootnoteReference"/>
        </w:rPr>
        <w:footnoteReference w:id="93"/>
      </w:r>
      <w:r w:rsidRPr="005C4A71">
        <w:t>,</w:t>
      </w:r>
    </w:p>
    <w:p w:rsidR="00F70384" w:rsidRPr="005C4A71" w:rsidRDefault="00F70384" w:rsidP="00F70384">
      <w:pPr>
        <w:pStyle w:val="NormalHanging12a"/>
      </w:pPr>
      <w:r w:rsidRPr="005C4A71">
        <w:t>–</w:t>
      </w:r>
      <w:r w:rsidRPr="005C4A71">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5C4A71">
        <w:t>Κοτονού</w:t>
      </w:r>
      <w:proofErr w:type="spellEnd"/>
      <w:r w:rsidRPr="005C4A71">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5C4A71">
        <w:rPr>
          <w:rStyle w:val="FootnoteReference"/>
        </w:rPr>
        <w:footnoteReference w:id="94"/>
      </w:r>
      <w:r w:rsidRPr="005C4A71">
        <w:t>,</w:t>
      </w:r>
    </w:p>
    <w:p w:rsidR="00F70384" w:rsidRPr="005C4A71" w:rsidRDefault="00F70384" w:rsidP="00F70384">
      <w:pPr>
        <w:pStyle w:val="NormalHanging12a"/>
      </w:pPr>
      <w:r w:rsidRPr="005C4A71">
        <w:t>–</w:t>
      </w:r>
      <w:r w:rsidRPr="005C4A71">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Συνθήκης για τη λειτουργία της Ευρωπαϊκής Ένωσης</w:t>
      </w:r>
      <w:r w:rsidRPr="005C4A71">
        <w:rPr>
          <w:rStyle w:val="FootnoteReference"/>
        </w:rPr>
        <w:footnoteReference w:id="95"/>
      </w:r>
      <w:r w:rsidRPr="005C4A71">
        <w:t>,</w:t>
      </w:r>
    </w:p>
    <w:p w:rsidR="00F70384" w:rsidRPr="005C4A71" w:rsidRDefault="00F70384" w:rsidP="00F70384">
      <w:pPr>
        <w:pStyle w:val="NormalHanging12a"/>
      </w:pPr>
      <w:r w:rsidRPr="005C4A71">
        <w:t>–</w:t>
      </w:r>
      <w:r w:rsidRPr="005C4A71">
        <w:tab/>
        <w:t>έχοντας υπόψη το άρθρο 319 της Συνθήκης για τη λειτουργία της Ευρωπαϊκής Ένωσης,</w:t>
      </w:r>
    </w:p>
    <w:p w:rsidR="00F70384" w:rsidRPr="005C4A71" w:rsidRDefault="00F70384" w:rsidP="00F70384">
      <w:pPr>
        <w:pStyle w:val="NormalHanging12a"/>
      </w:pPr>
      <w:r w:rsidRPr="005C4A71">
        <w:t>–</w:t>
      </w:r>
      <w:r w:rsidRPr="005C4A71">
        <w:tab/>
        <w:t>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τέταρτης Σύμβασης ΑΚΕ-ΕΚ</w:t>
      </w:r>
      <w:r w:rsidRPr="005C4A71">
        <w:rPr>
          <w:rStyle w:val="FootnoteReference"/>
        </w:rPr>
        <w:footnoteReference w:id="96"/>
      </w:r>
      <w:r w:rsidRPr="005C4A71">
        <w:t>,</w:t>
      </w:r>
    </w:p>
    <w:p w:rsidR="00F70384" w:rsidRPr="005C4A71" w:rsidRDefault="00F70384" w:rsidP="00F70384">
      <w:pPr>
        <w:pStyle w:val="NormalHanging12a"/>
      </w:pPr>
      <w:r w:rsidRPr="005C4A71">
        <w:t>–</w:t>
      </w:r>
      <w:r w:rsidRPr="005C4A71">
        <w:tab/>
        <w:t>έχοντας υπόψη το άρθρο 119 του δημοσιονομικού κανονισμού, της 27ης Μαρτίου 2003, ο οποίος εφαρμόζεται στο 9ο Ευρωπαϊκό Ταμείο Ανάπτυξης</w:t>
      </w:r>
      <w:r w:rsidRPr="005C4A71">
        <w:rPr>
          <w:rStyle w:val="FootnoteReference"/>
        </w:rPr>
        <w:footnoteReference w:id="97"/>
      </w:r>
      <w:r w:rsidRPr="005C4A71">
        <w:t>,</w:t>
      </w:r>
    </w:p>
    <w:p w:rsidR="00F70384" w:rsidRPr="005C4A71" w:rsidRDefault="00F70384" w:rsidP="00F70384">
      <w:pPr>
        <w:pStyle w:val="NormalHanging12a"/>
      </w:pPr>
      <w:r w:rsidRPr="005C4A71">
        <w:t>–</w:t>
      </w:r>
      <w:r w:rsidRPr="005C4A71">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5C4A71">
        <w:rPr>
          <w:rStyle w:val="FootnoteReference"/>
        </w:rPr>
        <w:footnoteReference w:id="98"/>
      </w:r>
      <w:r w:rsidRPr="005C4A71">
        <w:t>,</w:t>
      </w:r>
    </w:p>
    <w:p w:rsidR="00F70384" w:rsidRPr="005C4A71" w:rsidRDefault="00F70384" w:rsidP="00F70384">
      <w:pPr>
        <w:pStyle w:val="NormalHanging12a"/>
      </w:pPr>
      <w:r w:rsidRPr="005C4A71">
        <w:t>–</w:t>
      </w:r>
      <w:r w:rsidRPr="005C4A71">
        <w:tab/>
        <w:t>έχοντας υπόψη το άρθρο 48 του κανονισμού (ΕE) 2015/323 του Συμβουλίου, της 2ας Μαρτίου 2015, σχετικά με τον δημοσιονομικό κανονισμό που εφαρμόζεται στο ενδέκατο Ευρωπαϊκό Ταμείο Ανάπτυξης</w:t>
      </w:r>
      <w:r w:rsidRPr="005C4A71">
        <w:rPr>
          <w:rStyle w:val="FootnoteReference"/>
        </w:rPr>
        <w:footnoteReference w:id="99"/>
      </w:r>
      <w:r w:rsidRPr="005C4A71">
        <w:t>,</w:t>
      </w:r>
    </w:p>
    <w:p w:rsidR="00F70384" w:rsidRPr="005C4A71" w:rsidRDefault="00F70384" w:rsidP="00F70384">
      <w:pPr>
        <w:pStyle w:val="NormalHanging12a"/>
      </w:pPr>
      <w:r w:rsidRPr="005C4A71">
        <w:t>–</w:t>
      </w:r>
      <w:r w:rsidRPr="005C4A71">
        <w:tab/>
        <w:t>έχοντας υπόψη το άρθρο 44 της απόφασης (ΕΕ) 2018/1877 του Συμβουλίου, της 26ης 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5C4A71">
        <w:rPr>
          <w:rStyle w:val="FootnoteReference"/>
        </w:rPr>
        <w:footnoteReference w:id="100"/>
      </w:r>
      <w:r w:rsidRPr="005C4A71">
        <w:t>,</w:t>
      </w:r>
    </w:p>
    <w:p w:rsidR="00F70384" w:rsidRPr="005C4A71" w:rsidRDefault="00F70384" w:rsidP="00F70384">
      <w:pPr>
        <w:pStyle w:val="NormalHanging12a"/>
      </w:pPr>
      <w:r w:rsidRPr="005C4A71">
        <w:t>–</w:t>
      </w:r>
      <w:r w:rsidRPr="005C4A71">
        <w:tab/>
        <w:t>έχοντας υπόψη το άρθρο 101, το άρθρο 102 τρίτη περίπτωση και το παράρτημα V του Κανονισμού του,</w:t>
      </w:r>
    </w:p>
    <w:p w:rsidR="00F70384" w:rsidRPr="005C4A71" w:rsidRDefault="00F70384" w:rsidP="00F70384">
      <w:pPr>
        <w:pStyle w:val="NormalHanging12a"/>
      </w:pPr>
      <w:r w:rsidRPr="005C4A71">
        <w:t>–</w:t>
      </w:r>
      <w:r w:rsidRPr="005C4A71">
        <w:tab/>
        <w:t>έχοντας υπόψη τη γνωμοδότηση της Επιτροπής Ανάπτυξης,</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pPr>
      <w:r w:rsidRPr="005C4A71">
        <w:t>1.</w:t>
      </w:r>
      <w:r w:rsidRPr="005C4A71">
        <w:tab/>
        <w:t>εγκρίνει το κλείσιμο των λογαριασμών του ένατου, δέκατου και ενδέκατου Ευρωπαϊκού Ταμείου Ανάπτυξης για το οικονομικό έτος 2023·</w:t>
      </w:r>
    </w:p>
    <w:p w:rsidR="00F70384" w:rsidRPr="005C4A71" w:rsidRDefault="00F70384" w:rsidP="00F70384">
      <w:pPr>
        <w:pStyle w:val="NormalHanging12a"/>
      </w:pPr>
      <w:r w:rsidRPr="005C4A71">
        <w:t>2.</w:t>
      </w:r>
      <w:r w:rsidRPr="005C4A71">
        <w:tab/>
        <w:t xml:space="preserve">αναθέτει στην Πρόεδρό του να διαβιβάσει την παρούσα απόφαση στο Συμβούλιο, στην Επιτροπή, στο Ελεγκτικό Συνέδριο και στην Ευρωπαϊκή Τράπεζα Επενδύσεων, και να μεριμνήσει για τη δημοσίευσή της στην </w:t>
      </w:r>
      <w:r w:rsidRPr="005C4A71">
        <w:rPr>
          <w:i/>
        </w:rPr>
        <w:t>Επίσημη Εφημερίδα της Ευρωπαϊκής Ένωσης</w:t>
      </w:r>
      <w:r w:rsidRPr="005C4A71">
        <w:t xml:space="preserve"> (σειρά L).</w:t>
      </w:r>
    </w:p>
    <w:p w:rsidR="00F70384" w:rsidRPr="005C4A71" w:rsidRDefault="00F70384" w:rsidP="00F70384">
      <w:pPr>
        <w:widowControl/>
        <w:sectPr w:rsidR="00F70384" w:rsidRPr="005C4A71" w:rsidSect="005C4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384" w:rsidRPr="005C4A71" w:rsidRDefault="00565814" w:rsidP="00740869">
      <w:pPr>
        <w:pStyle w:val="ATHeading3"/>
      </w:pPr>
      <w:bookmarkStart w:id="85" w:name="_Toc184981722"/>
      <w:bookmarkStart w:id="86" w:name="_Toc196825099"/>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t xml:space="preserve">11. Ψήφισμα του Ευρωπαϊκού Κοινοβουλίου </w:t>
      </w:r>
      <w:r w:rsidR="004A6AA7">
        <w:t xml:space="preserve">της 7ης Μαΐου 2025 </w:t>
      </w:r>
      <w:r w:rsidR="00DB55E9" w:rsidRPr="000C1214">
        <w:t>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r w:rsidR="00740869">
        <w:t xml:space="preserve"> </w:t>
      </w:r>
      <w:bookmarkEnd w:id="85"/>
      <w:bookmarkEnd w:id="86"/>
      <w:r w:rsidR="00F70384" w:rsidRPr="005C4A71">
        <w:t>(2024/2019(DEC))</w:t>
      </w:r>
    </w:p>
    <w:p w:rsidR="00F70384" w:rsidRPr="005C4A71" w:rsidRDefault="00F70384" w:rsidP="00F70384">
      <w:pPr>
        <w:pStyle w:val="NormalBold"/>
      </w:pPr>
    </w:p>
    <w:p w:rsidR="00F70384" w:rsidRPr="005C4A71" w:rsidRDefault="00F70384" w:rsidP="00F70384">
      <w:pPr>
        <w:pStyle w:val="NormalBold"/>
        <w:spacing w:after="240"/>
        <w:rPr>
          <w:b w:val="0"/>
        </w:rPr>
      </w:pPr>
      <w:r w:rsidRPr="005C4A71">
        <w:rPr>
          <w:b w:val="0"/>
          <w:i/>
          <w:iCs/>
        </w:rPr>
        <w:t>Το Ευρωπαϊκό Κοινοβούλιο</w:t>
      </w:r>
      <w:r w:rsidRPr="005C4A71">
        <w:rPr>
          <w:b w:val="0"/>
        </w:rPr>
        <w:t>,</w:t>
      </w:r>
    </w:p>
    <w:p w:rsidR="00F70384" w:rsidRPr="005C4A71" w:rsidRDefault="00F70384" w:rsidP="00F70384">
      <w:pPr>
        <w:pStyle w:val="NormalHanging12a"/>
      </w:pPr>
      <w:r w:rsidRPr="005C4A71">
        <w:t>–</w:t>
      </w:r>
      <w:r w:rsidRPr="005C4A71">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III – Επιτροπή,</w:t>
      </w:r>
    </w:p>
    <w:p w:rsidR="00F70384" w:rsidRPr="005C4A71" w:rsidRDefault="00F70384" w:rsidP="00F70384">
      <w:pPr>
        <w:pStyle w:val="NormalHanging12a"/>
      </w:pPr>
      <w:r w:rsidRPr="005C4A71">
        <w:t>–</w:t>
      </w:r>
      <w:r w:rsidRPr="005C4A71">
        <w:tab/>
        <w:t>έχοντας υπόψη τις αποφάσεις του σχετικά με την απαλλαγή όσον αφορά την εκτέλεση των προϋπολογισμών των εκτελεστικών οργανισμών για το οικονομικό έτος 2023,</w:t>
      </w:r>
    </w:p>
    <w:p w:rsidR="00F70384" w:rsidRPr="005C4A71" w:rsidRDefault="00F70384" w:rsidP="00F70384">
      <w:pPr>
        <w:pStyle w:val="NormalHanging12a"/>
      </w:pPr>
      <w:r w:rsidRPr="005C4A71">
        <w:t>–</w:t>
      </w:r>
      <w:r w:rsidRPr="005C4A71">
        <w:tab/>
        <w:t>έχοντας υπόψη το άρθρο 101 και το παράρτημα V του Κανονισμού του,</w:t>
      </w:r>
    </w:p>
    <w:p w:rsidR="00F70384" w:rsidRPr="005C4A71" w:rsidRDefault="00F70384" w:rsidP="00F70384">
      <w:pPr>
        <w:pStyle w:val="NormalHanging12a"/>
      </w:pPr>
      <w:r w:rsidRPr="005C4A71">
        <w:t>–</w:t>
      </w:r>
      <w:r w:rsidRPr="005C4A71">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Δημόσιας Υγείας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rsidR="00F70384" w:rsidRPr="005C4A71" w:rsidRDefault="00F70384" w:rsidP="00F70384">
      <w:pPr>
        <w:pStyle w:val="NormalHanging12a"/>
      </w:pPr>
      <w:r w:rsidRPr="005C4A71">
        <w:t>–</w:t>
      </w:r>
      <w:r w:rsidRPr="005C4A71">
        <w:tab/>
        <w:t>έχοντας υπόψη την επιστολή της Επιτροπής Γεωργίας και Ανάπτυξης της Υπαίθρου,</w:t>
      </w:r>
    </w:p>
    <w:p w:rsidR="00F70384" w:rsidRPr="005C4A71" w:rsidRDefault="00F70384" w:rsidP="00F70384">
      <w:pPr>
        <w:pStyle w:val="NormalHanging12a"/>
      </w:pPr>
      <w:r w:rsidRPr="005C4A71">
        <w:t>–</w:t>
      </w:r>
      <w:r w:rsidRPr="005C4A71">
        <w:tab/>
        <w:t>έχοντας υπόψη την έκθεση της Επιτροπής Ελέγχου του Προϋπολογισμού (A10-0074/2025),</w:t>
      </w:r>
    </w:p>
    <w:p w:rsidR="00F70384" w:rsidRPr="005C4A71" w:rsidRDefault="00F70384" w:rsidP="00F70384">
      <w:pPr>
        <w:pStyle w:val="NormalHanging12a"/>
        <w:widowControl/>
        <w:rPr>
          <w:szCs w:val="24"/>
        </w:rPr>
      </w:pPr>
      <w:bookmarkStart w:id="87" w:name="_Toc185595108"/>
      <w:r w:rsidRPr="005C4A71">
        <w:t>Α.</w:t>
      </w:r>
      <w:r w:rsidRPr="005C4A71">
        <w:tab/>
        <w:t>λαμβάνοντας υπόψη ότι το ενδέκατο ΕΤΑ έχει φθάσει στο τελικό του στάδιο, καθώς η ρήτρα λήξης ισχύος του τέθηκε σε εφαρμογή στις 31 Δεκεμβρίου 2020· λαμβάνοντας ωστόσο υπόψη ότι υπογράφονταν ειδικές συμβάσεις για τις υφιστάμενες συμφωνίες χρηματοδότησης έως τις 31 Δεκεμβρίου 2023, και ότι η υλοποίηση των εν εξελίξει έργων που χρηματοδοτούνται από το ΕΤΑ θα συνεχιστεί μέχρι την τελική ολοκλήρωσή τους·</w:t>
      </w:r>
    </w:p>
    <w:p w:rsidR="00F70384" w:rsidRPr="005C4A71" w:rsidRDefault="00F70384" w:rsidP="00F70384">
      <w:pPr>
        <w:pStyle w:val="NormalHanging12a"/>
        <w:widowControl/>
        <w:rPr>
          <w:szCs w:val="24"/>
        </w:rPr>
      </w:pPr>
      <w:r w:rsidRPr="005C4A71">
        <w:t>Β.</w:t>
      </w:r>
      <w:r w:rsidRPr="005C4A71">
        <w:tab/>
        <w:t>λαμβάνοντας υπόψη ότι το ένατο, δέκατο και ενδέκατο</w:t>
      </w:r>
      <w:r w:rsidRPr="005C4A71">
        <w:rPr>
          <w:vertAlign w:val="superscript"/>
        </w:rPr>
        <w:footnoteReference w:id="101"/>
      </w:r>
      <w:r w:rsidRPr="005C4A71">
        <w:t> ΕΤΑ δεν ενσωματώθηκαν στον γενικό προϋπολογισμό της Ένωσης, ενώ τόσο η εκτέλεσή τους όσο και η παρουσίαση των σχετικών στοιχείων εξακολουθούν να γίνονται χωριστά έως το κλείσιμό τους·</w:t>
      </w:r>
    </w:p>
    <w:p w:rsidR="00F70384" w:rsidRPr="005C4A71" w:rsidRDefault="00F70384" w:rsidP="00F70384">
      <w:pPr>
        <w:pStyle w:val="NormalHanging12a"/>
        <w:widowControl/>
        <w:rPr>
          <w:szCs w:val="24"/>
        </w:rPr>
      </w:pPr>
      <w:r w:rsidRPr="005C4A71">
        <w:t>Γ.</w:t>
      </w:r>
      <w:r w:rsidRPr="005C4A71">
        <w:tab/>
        <w:t>λαμβάνοντας υπόψη ότι υπό το ΠΔΠ 2021-2027, οι ενισχύσεις στον τομέα της αναπτυξιακής συνεργασίας προς τα κράτη ΑΚΕ ενσωματώνονται στον Μηχανισμό Γειτονίας, Ανάπτυξης και Διεθνούς Συνεργασίας – Παγκόσμια Ευρώπη («NDICI-</w:t>
      </w:r>
      <w:proofErr w:type="spellStart"/>
      <w:r w:rsidRPr="005C4A71">
        <w:t>Global</w:t>
      </w:r>
      <w:proofErr w:type="spellEnd"/>
      <w:r w:rsidRPr="005C4A71">
        <w:t xml:space="preserve"> Europe») ως μέρος του γενικού προϋπολογισμού της ΕΕ, και οι ενισχύσεις στον τομέα της αναπτυξιακής συνεργασίας προς τις ΥΧΕ, συμπεριλαμβανομένης της Γροιλανδίας, ενσωματώνονται στην απόφαση για τη σύνδεση ΥΧΕ-ΕΕ·</w:t>
      </w:r>
    </w:p>
    <w:p w:rsidR="00F70384" w:rsidRPr="005C4A71" w:rsidRDefault="00F70384" w:rsidP="00F70384">
      <w:pPr>
        <w:pStyle w:val="NormalHanging12a"/>
        <w:widowControl/>
        <w:rPr>
          <w:szCs w:val="24"/>
        </w:rPr>
      </w:pPr>
      <w:r w:rsidRPr="005C4A71">
        <w:t>Δ.</w:t>
      </w:r>
      <w:r w:rsidRPr="005C4A71">
        <w:tab/>
        <w:t>λαμβάνοντας υπόψη ότι η διαχείριση των ΕΤΑ ασκείται σχεδόν εξ ολοκλήρου από τη ΓΔ INTPA της Επιτροπής, ενώ ένα μικρό ποσοστό (7 %) των δαπανών του ΕΤΑ για το 2023 τελεί υπό τη διαχείριση της ΓΔ NEAR·</w:t>
      </w:r>
    </w:p>
    <w:p w:rsidR="00F70384" w:rsidRPr="00E8367F" w:rsidRDefault="00F70384" w:rsidP="00F70384">
      <w:pPr>
        <w:spacing w:after="240"/>
        <w:rPr>
          <w:b/>
          <w:i/>
        </w:rPr>
      </w:pPr>
      <w:r w:rsidRPr="00E8367F">
        <w:rPr>
          <w:b/>
          <w:i/>
        </w:rPr>
        <w:t>Πολιτικές προτεραιότητες</w:t>
      </w:r>
      <w:bookmarkEnd w:id="87"/>
    </w:p>
    <w:p w:rsidR="00F70384" w:rsidRPr="005C4A71" w:rsidRDefault="00E8367F" w:rsidP="00E8367F">
      <w:pPr>
        <w:pStyle w:val="NormalHanging12a"/>
        <w:ind w:hanging="570"/>
      </w:pPr>
      <w:r w:rsidRPr="005C4A71">
        <w:t>1.</w:t>
      </w:r>
      <w:r w:rsidRPr="005C4A71">
        <w:tab/>
      </w:r>
      <w:r w:rsidR="00F70384" w:rsidRPr="005C4A71">
        <w:t>υπογραμμίζει την ισχυρή προσήλωσή του στις θεμελιώδεις αρχές και αξίες της Ένωσης που κατοχυρώνονται στη Συνθήκη για την Ευρωπαϊκή Ένωση (ΣΕΕ) και στη Συνθήκη για τη λειτουργία της Ευρωπαϊκής Ένωσης (ΣΛΕΕ)· στο πλαίσιο της διαδικασίας απαλλαγής, τονίζει ιδίως τις αρχές της χρηστής δημοσιονομικής διαχείρισης, όπως ορίζονται στο άρθρο 317 ΣΛΕΕ, και την καταπολέμηση της απάτης και την προστασία των οικονομικών συμφερόντων της Ένωσης, όπως ορίζονται στο άρθρο 325 ΣΛΕΕ·</w:t>
      </w:r>
    </w:p>
    <w:p w:rsidR="00F70384" w:rsidRPr="005C4A71" w:rsidRDefault="00E8367F" w:rsidP="00E8367F">
      <w:pPr>
        <w:pStyle w:val="NormalHanging12a"/>
        <w:ind w:hanging="570"/>
      </w:pPr>
      <w:r w:rsidRPr="005C4A71">
        <w:t>2.</w:t>
      </w:r>
      <w:r w:rsidRPr="005C4A71">
        <w:tab/>
      </w:r>
      <w:r w:rsidR="00F70384" w:rsidRPr="005C4A71">
        <w:t xml:space="preserve">υπογραμμίζει τη σημασία της αρχής της διάκρισης των εξουσιών στην Ένωση και υπενθυμίζει ότι, σύμφωνα με τη Συνθήκη, τα θεσμικά όργανα συνεργάζονται μεταξύ τους καλή τη </w:t>
      </w:r>
      <w:proofErr w:type="spellStart"/>
      <w:r w:rsidR="00F70384" w:rsidRPr="005C4A71">
        <w:t>πίστει</w:t>
      </w:r>
      <w:proofErr w:type="spellEnd"/>
      <w:r w:rsidR="00F70384" w:rsidRPr="005C4A71">
        <w:t>· πιστεύει ότι σε καμία περίπτωση οι ενέργειες ενός θεσμικού οργάνου της Ένωσης δεν θα πρέπει να επηρεάζουν την ανεξαρτησία άλλου θεσμικού οργάνου· παροτρύνει όλα τα άλλα θεσμικά όργανα να σέβονται τον ρόλο του Κοινοβουλίου ως μοναδικού θεσμικού οργάνου της Ένωσης που εκλέγεται άμεσα από τους πολίτες και να αποφεύγουν οποιαδήποτε αδικαιολόγητη άμεση ή έμμεση παρέμβαση στις νομοθετικές διαδικασίες του, ώστε να διασφαλίζεται ότι η διαδικασία λήψης αποφάσεων του Κοινοβουλίου παραμένει ελεύθερη και ανεξάρτητη από άλλα θεσμικά όργανα της Ένωσης ή οποιεσδήποτε άλλες οντότητες·</w:t>
      </w:r>
    </w:p>
    <w:p w:rsidR="00F70384" w:rsidRPr="005C4A71" w:rsidRDefault="00E8367F" w:rsidP="00E8367F">
      <w:pPr>
        <w:pStyle w:val="NormalHanging12a"/>
        <w:ind w:hanging="570"/>
      </w:pPr>
      <w:r w:rsidRPr="005C4A71">
        <w:t>3.</w:t>
      </w:r>
      <w:r w:rsidRPr="005C4A71">
        <w:tab/>
      </w:r>
      <w:r w:rsidR="00F70384" w:rsidRPr="005C4A71">
        <w:t>τονίζει τη σημασία του προϋπολογισμού της Ένωσης για την επίτευξη των πολιτικών προτεραιοτήτων της Ένωσης, καθώς και τον ρόλο του στην παροχή βοήθειας στα κράτη μέλη σε απρόβλεπτες καταστάσεις όπως οι διεθνείς συγκρούσεις ή κρίσεις και οι συνέπειές τους· τονίζει, στο πλαίσιο αυτό, τη διαρκή σημασία των επενδύσεων και της στήριξης από τον προϋπολογισμό της Ένωσης για τη μείωση των ανισοτήτων μεταξύ των κρατών μελών και των περιφερειών, για την προώθηση της οικονομικής ανάπτυξης και της απασχόλησης, για την καταπολέμηση της φτώχειας και του κοινωνικού αποκλεισμού και, επομένως, για τη βελτίωση της καθημερινής ζωής των Ευρωπαίων πολιτών·</w:t>
      </w:r>
    </w:p>
    <w:p w:rsidR="00F70384" w:rsidRPr="005C4A71" w:rsidRDefault="00E8367F" w:rsidP="00E8367F">
      <w:pPr>
        <w:pStyle w:val="NormalHanging12a"/>
        <w:ind w:hanging="570"/>
      </w:pPr>
      <w:r w:rsidRPr="005C4A71">
        <w:t>4.</w:t>
      </w:r>
      <w:r w:rsidRPr="005C4A71">
        <w:tab/>
      </w:r>
      <w:r w:rsidR="00F70384" w:rsidRPr="005C4A71">
        <w:t>σημειώνει ότι το Ελεγκτικό Συνέδριο διατύπωσε, για το οικονομικό έτος 2023, ανεπιφύλακτη γνώμη σχετικά με την αξιοπιστία των λογαριασμών και τη νομιμότητα και κανονικότητα των εσόδων· εκφράζει, ταυτόχρονα, τη λύπη του για το γεγονός ότι το Ελεγκτικό Συνέδριο χρειάστηκε για πέμπτο συνεχόμενο έτος να εκδώσει αρνητική γνώμη σχετικά με τη νομιμότητα και κανονικότητα των δαπανών του προϋπολογισμού της Ένωσης και γνώμη με επιφύλαξη σχετικά με τη νομιμότητα και κανονικότητα των δαπανών στο πλαίσιο του Μηχανισμού Ανάκαμψης και Ανθεκτικότητας (ΜΑΑ)·</w:t>
      </w:r>
    </w:p>
    <w:p w:rsidR="00F70384" w:rsidRPr="005C4A71" w:rsidRDefault="00E8367F" w:rsidP="00E8367F">
      <w:pPr>
        <w:pStyle w:val="NormalHanging12a"/>
        <w:ind w:hanging="570"/>
      </w:pPr>
      <w:r w:rsidRPr="005C4A71">
        <w:t>5.</w:t>
      </w:r>
      <w:r w:rsidRPr="005C4A71">
        <w:tab/>
      </w:r>
      <w:r w:rsidR="00F70384" w:rsidRPr="005C4A71">
        <w:t>εκφράζει τη βαθιά του ανησυχία για το γεγονός ότι το συνολικό ποσοστό σφάλματος, σύμφωνα με τις εκτιμήσεις του Ελεγκτικού Συνεδρίου, παρουσιάζει αυξητική τάση από το οικονομικό έτος 2020 και έφθασε στο 5,6 % για το οικονομικό έτος 2023· σημειώνει ότι υπάρχουν σημαντικές διαφορές στα ποσοστά σφάλματος μεταξύ των τομέων, από ποσοστά σφάλματος κάτω από το όριο σημαντικότητας του 2 % σε ορισμένους τομείς δαπανών έως ποσοστό σφάλματος 9,3 % στην περίπτωση της πολιτικής συνοχής· σημειώνει περαιτέρω ότι η απαλλαγή είναι μια πολιτική διαδικασία στο πλαίσιο της οποίας μπορούν να λαμβάνονται υπόψη όλα τα ζητήματα που σχετίζονται με ένα συγκεκριμένο οικονομικό έτος, και ότι η απόφαση σχετικά με τη χορήγηση ή άρνηση απαλλαγής θα πρέπει να παραμένει αντικειμενική και βασισμένη στο κεκτημένο της Ένωσης και λαμβάνεται για τον προϋπολογισμό στο σύνολό του· παροτρύνει την Επιτροπή να λάβει επιτέλους υπόψη τις συστάσεις του Ελεγκτικού Συνεδρίου και να μειώσει το συνολικό ποσοστό σφάλματος κατά τα επόμενα έτη· ζητεί επίσης από την Επιτροπή να υποβάλει εντός τεσσάρων μηνών σχέδιο δράσης για τη μείωση του ποσοστού σφάλματος·</w:t>
      </w:r>
    </w:p>
    <w:p w:rsidR="00F70384" w:rsidRPr="005C4A71" w:rsidRDefault="00E8367F" w:rsidP="00E8367F">
      <w:pPr>
        <w:pStyle w:val="NormalHanging12a"/>
        <w:ind w:hanging="570"/>
      </w:pPr>
      <w:r w:rsidRPr="005C4A71">
        <w:t>6.</w:t>
      </w:r>
      <w:r w:rsidRPr="005C4A71">
        <w:tab/>
      </w:r>
      <w:r w:rsidR="00F70384" w:rsidRPr="005C4A71">
        <w:t>εκφράζει την ανησυχία του για το γεγονός ότι η Επιτροπή και το Ελεγκτικό Συνέδριο έχουν διαφορετικές ερμηνείες σχετικά με το τι αντιπροσωπεύει το «ποσοστό σφάλματος», με αποτέλεσμα να προκαλείται σύγχυση· εκφράζει την υποστήριξή του για την κοινή προσέγγιση και μεθοδολογία ελέγχου του Ελεγκτικού Συνεδρίου και ζητεί επιτακτικά και από τα δύο θεσμικά όργανα να βρουν λύση όσον αφορά τις αποκλίνουσες προσεγγίσεις τους πριν από τη διαδικασία απαλλαγής του 2024· εκφράζει την ανησυχία του για το γεγονός ότι η Επιτροπή υποτιμά συστηματικά το υφιστάμενο επίπεδο σφάλματος και ότι αυτό θα μπορούσε να οδηγήσει σε αναποτελεσματική προστασία των οικονομικών συμφερόντων της Ένωσης·</w:t>
      </w:r>
    </w:p>
    <w:p w:rsidR="00F70384" w:rsidRPr="005C4A71" w:rsidRDefault="00E8367F" w:rsidP="00E8367F">
      <w:pPr>
        <w:pStyle w:val="NormalHanging12a"/>
        <w:ind w:hanging="570"/>
      </w:pPr>
      <w:r w:rsidRPr="005C4A71">
        <w:t>7.</w:t>
      </w:r>
      <w:r w:rsidRPr="005C4A71">
        <w:tab/>
      </w:r>
      <w:r w:rsidR="00F70384" w:rsidRPr="005C4A71">
        <w:t xml:space="preserve">εκφράζει εκ νέου τη βαθιά του ανησυχία για το γεγονός ότι οι σωρευτικές εκκρεμείς αναλήψεις υποχρεώσεων [RAL – </w:t>
      </w:r>
      <w:proofErr w:type="spellStart"/>
      <w:r w:rsidR="00F70384" w:rsidRPr="005C4A71">
        <w:t>reste</w:t>
      </w:r>
      <w:proofErr w:type="spellEnd"/>
      <w:r w:rsidR="00F70384" w:rsidRPr="005C4A71">
        <w:t xml:space="preserve"> à </w:t>
      </w:r>
      <w:proofErr w:type="spellStart"/>
      <w:r w:rsidR="00F70384" w:rsidRPr="005C4A71">
        <w:t>liquider</w:t>
      </w:r>
      <w:proofErr w:type="spellEnd"/>
      <w:r w:rsidR="00F70384" w:rsidRPr="005C4A71">
        <w:t xml:space="preserve"> (υπόλοιπο προς εκκαθάριση)] έχουν φτάσει στο πρωτοφανές επίπεδο των 543 δισεκατομμυρίων EUR, ποσό που ισοδυναμεί με το 3,2 % του συνολικού ΑΕΠ της Ένωσης στα τέλη του 2023 και αντιπροσωπεύει περισσότερο από το διπλάσιο του ετήσιου προϋπολογισμού της Ένωσης για το 2023· υπογραμμίζει ότι ένα τόσο υψηλό επίπεδο εκκρεμών αναλήψεων υποχρεώσεων ενέχει τον κίνδυνο να οδηγήσει σε προκλήσεις για τη μελλοντική ομαλή υλοποίηση εξαιρετικά υψηλών επιπέδων πληρωμών και/ή να οδηγήσει σε σημαντικές αποδεσμεύσεις, σε βάρος της υλοποίησης των στόχων πολιτικής της Ένωσης·</w:t>
      </w:r>
    </w:p>
    <w:p w:rsidR="00F70384" w:rsidRPr="005C4A71" w:rsidRDefault="00E8367F" w:rsidP="00E8367F">
      <w:pPr>
        <w:pStyle w:val="NormalHanging12a"/>
        <w:ind w:hanging="570"/>
      </w:pPr>
      <w:r w:rsidRPr="005C4A71">
        <w:t>8.</w:t>
      </w:r>
      <w:r w:rsidRPr="005C4A71">
        <w:tab/>
      </w:r>
      <w:r w:rsidR="00F70384" w:rsidRPr="005C4A71">
        <w:t>εκφράζει επίσης την ανησυχία του για το γεγονός ότι το ανεξόφλητο χρέος από δανεισμό ανήλθε σε 458,5 δισεκατομμύρια EUR, ποσό που ισοδυναμεί με το 2,7 % του συνολικού ΑΕΠ της Ένωσης στα τέλη του 2023· σημειώνει ότι η αύξηση του ανεξόφλητου χρέους κατά τη διάρκεια του 2023, που ισοδυναμεί με 110,5 δισεκατομμύρια EUR, έχει καταστήσει την Ένωση έναν από τους μεγαλύτερους εκδότες χρεωστικών τίτλων στην Ευρώπη· σημειώνει περαιτέρω ότι το ποσό του ανεξόφλητου χρέους προβλέπεται να αυξηθεί περαιτέρω κατά τα επόμενα έτη, ιδίως λόγω του αυξημένου δανεισμού που συνδέεται με τον ΜΑΑ και τη χρηματοδοτική συνδρομή προς ορισμένες χώρες, συμπεριλαμβανομένης της Ουκρανίας, η οποία είναι θύμα του επιθετικού πολέμου της Ρωσίας· επαναλαμβάνει τη βαθιά ανησυχία του για το γεγονός ότι η αύξηση του χρέους καθιστά τον προϋπολογισμό της Ένωσης πιο ευάλωτο στις αυξήσεις των επιτοκίων, δεδομένου ότι μέρος του χρέους θα πρέπει να εξυπηρετηθεί και να αποπληρωθεί από τον προϋπολογισμό της Ένωσης·</w:t>
      </w:r>
    </w:p>
    <w:p w:rsidR="00F70384" w:rsidRPr="005C4A71" w:rsidRDefault="00E8367F" w:rsidP="00E8367F">
      <w:pPr>
        <w:pStyle w:val="NormalHanging12a"/>
        <w:ind w:hanging="570"/>
      </w:pPr>
      <w:r w:rsidRPr="005C4A71">
        <w:t>9.</w:t>
      </w:r>
      <w:r w:rsidRPr="005C4A71">
        <w:tab/>
      </w:r>
      <w:r w:rsidR="00F70384" w:rsidRPr="005C4A71">
        <w:t>υπενθυμίζει τη σημασία της αυστηρής εφαρμογής των δημοσιονομικών κανόνων της Ένωσης σε όλα τα προγράμματα και σε όλους τους δικαιούχους, προκειμένου να αποφεύγεται κάθε μορφή απάτης, σύγκρουσης συμφερόντων, διαφθοράς, διπλής χρηματοδότησης και νομιμοποίησης εσόδων από παράνομες δραστηριότητες·</w:t>
      </w:r>
    </w:p>
    <w:p w:rsidR="00F70384" w:rsidRPr="005C4A71" w:rsidRDefault="00E8367F" w:rsidP="00E8367F">
      <w:pPr>
        <w:pStyle w:val="NormalHanging12a"/>
        <w:ind w:hanging="570"/>
      </w:pPr>
      <w:r w:rsidRPr="005C4A71">
        <w:t>10.</w:t>
      </w:r>
      <w:r w:rsidRPr="005C4A71">
        <w:tab/>
      </w:r>
      <w:r w:rsidR="00F70384" w:rsidRPr="005C4A71">
        <w:t xml:space="preserve">υπογραμμίζει τη σημασία του κράτους δικαίου ως μίας από τις θεμελιώδεις αξίες της Ένωσης και τονίζει ότι ο μηχανισμός </w:t>
      </w:r>
      <w:proofErr w:type="spellStart"/>
      <w:r w:rsidR="00F70384" w:rsidRPr="005C4A71">
        <w:t>αιρεσιμότητας</w:t>
      </w:r>
      <w:proofErr w:type="spellEnd"/>
      <w:r w:rsidR="00F70384" w:rsidRPr="005C4A71">
        <w:t xml:space="preserve"> για το κράτος δικαίου είναι ζωτικής σημασίας προκειμένου να διασφαλιστεί ότι τα κράτη μέλη εξακολουθούν να σέβονται τις αρχές του κράτους δικαίου· επαναλαμβάνει τη βαθιά του ανησυχία για την επιδείνωση της κατάστασης του κράτους δικαίου σε ορισμένα κράτη μέλη, συμπεριλαμβανομένων των επιθέσεων ή των περιορισμών στις δραστηριότητες των οργανώσεων της κοινωνίας των πολιτών, η οποία όχι μόνο συνιστά σημαντική απειλή για τις δημοκρατικές αξίες, αλλά οδηγεί επίσης σε αυξημένο κίνδυνο οικονομικών απωλειών για τον προϋπολογισμό της Ένωσης· ζητεί να παρέχεται επαρκής στήριξη στις οργανώσεις της κοινωνίας των πολιτών που δραστηριοποιούνται στον τομέα· αναγνωρίζει την εμφάνιση νέων μορφών παραβιάσεων του κράτους δικαίου από τις εθνικές κυβερνήσεις και καλεί την Επιτροπή να αντιμετωπίσει αυτές τις εξελισσόμενες προκλήσεις· καλεί την Επιτροπή να διασφαλίσει την αυστηρή και ταχεία εφαρμογή όλων των στοιχείων του μηχανισμού όταν τα κράτη μέλη παραβιάζουν τις αρχές του κράτους δικαίου και οι παραβιάσεις αυτές επηρεάζουν ή απειλούν να επηρεάσουν τα οικονομικά συμφέροντα της Ένωσης· υπογραμμίζει, ταυτόχρονα, την ανάγκη για πλήρη και έγκαιρη ενημέρωση όσον αφορά αποφάσεις που σχετίζονται με την εφαρμογή του μηχανισμού </w:t>
      </w:r>
      <w:proofErr w:type="spellStart"/>
      <w:r w:rsidR="00F70384" w:rsidRPr="005C4A71">
        <w:t>αιρεσιμότητας</w:t>
      </w:r>
      <w:proofErr w:type="spellEnd"/>
      <w:r w:rsidR="00F70384" w:rsidRPr="005C4A71">
        <w:t xml:space="preserve"> για το κράτος δικαίου· ενθαρρύνει την Επιτροπή να αξιολογήσει ρητά πότε οι ελλείψεις στο κράτος δικαίου έχουν συστημικό χαρακτήρα· ζητεί να δοθεί μεγαλύτερη έμφαση στην εφαρμογή των ειδικών ανά χώρα συστάσεων, σε συνδυασμό με αποτελεσματικούς μηχανισμούς παρακολούθησης και μετρήσιμα κριτήρια αναφοράς· προτείνει τη θέσπιση ενός ολοκληρωμένου πλαισίου παρακολούθησης του κράτους δικαίου με τη συμμετοχή όλων των θεσμικών οργάνων της Ένωσης, των κρατών μελών και των υποψήφιων χωρών, με στόχο τη διασφάλιση της συνοχής και της ομοιομορφίας σε ολόκληρη την Ένωση, με παράλληλη διασφάλιση της δίκαιης και αμερόληπτης εφαρμογής· καλεί την Επιτροπή να προτείνει μέτρα για τη διασφάλιση της προστασίας των τελικών δικαιούχων σε περιπτώσεις παραβιάσεων του κράτους δικαίου από τις εθνικές κυβερνήσεις, χωρίς να υπονομεύεται η εφαρμογή και η αποτελεσματικότητα του κανονισμού·</w:t>
      </w:r>
    </w:p>
    <w:p w:rsidR="00F70384" w:rsidRPr="005C4A71" w:rsidRDefault="00E8367F" w:rsidP="00E8367F">
      <w:pPr>
        <w:pStyle w:val="NormalHanging12a"/>
        <w:ind w:hanging="570"/>
      </w:pPr>
      <w:r w:rsidRPr="005C4A71">
        <w:t>11.</w:t>
      </w:r>
      <w:r w:rsidRPr="005C4A71">
        <w:tab/>
      </w:r>
      <w:r w:rsidR="00F70384" w:rsidRPr="005C4A71">
        <w:t xml:space="preserve">σημειώνει τον καινοτόμο χαρακτήρα του ΜΑΑ και τη συμβολή του στη στήριξη των κρατών μελών ώστε να ανακάμψουν από τις οικονομικές και κοινωνικές συνέπειες της πανδημίας και να δημιουργήσουν μια πιο ανθεκτική ευρωπαϊκή οικονομία· θεωρεί ότι, για να πραγματοποιηθεί οποιαδήποτε μετάβαση σε μια προσέγγιση βάσει επιδόσεων που χρησιμοποιεί τον ΜΑΑ ως μοντέλο, πρέπει να αντιμετωπιστούν πολλά ζητήματα που έχουν εντοπιστεί κατά την εφαρμογή του, καθώς και να αξιολογηθούν τα δεδομένα σχετικά με τον πλήρη αντίκτυπό του, πριν χρησιμοποιηθεί ένα τέτοιο μοντέλο· υπενθυμίζει τα πολλά προβλήματα που εντοπίστηκαν κατά την εφαρμογή του ΜΑΑ και τα οποία θα πρέπει να αντιμετωπιστούν, συμπεριλαμβανομένων, μεταξύ άλλων, των εξής: έλλειψη επαρκούς διαβούλευσης με τις περιφερειακές και τοπικές αρχές και άλλους σχετικούς συμφεροντούχους, όπως κοινωνικούς εταίρους και οργανώσεις της κοινωνίας των πολιτών, και έλλειψη συμμετοχής τους στην υλοποίηση· ασθενής διασυνοριακή διάσταση, η οποία μπορεί να αποτελεί ένδειξη μειωμένης ενωσιακής προστιθέμενης αξίας στο πλαίσιο αυτό· έλλειψη σαφούς ορισμού των οροσήμων και των στόχων και της ικανοποιητικής εκπλήρωσής τους· ανεπαρκής ευελιξία· κοινό χρέος με μακροπρόθεσμη αποπληρωμή ως συνέπεια· σοβαρά προβλήματα διαφάνειας, λογιστικού και άλλου ελέγχου του προγράμματος, τα οποία καθιστούν αδύνατη την ενημέρωση των πολιτών σχετικά με τους τελικούς δικαιούχους των δράσεων που χρηματοδοτούνται από την Ένωση και ωθούν τα κράτη μέλη να χρησιμοποιούν τα κονδύλια του ΜΑΑ για την κάλυψη έργων πολύ παρόμοιων με εκείνα που χρηματοδοτούνται από τα ταμεία συνοχής, αλλά με πολύ πιο περιορισμένη ικανότητα ελέγχου· επαναλαμβάνει την ανησυχία του σχετικά με την ερμηνεία της Επιτροπής και των κρατών μελών σχετικά με το τι σημαίνει «τελικός αποδέκτης» της χρηματοδότησης του ΜΑΑ, η οποία δεν συνάδει με τη συμφωνία που επιτεύχθηκε κατά τις διαπραγματεύσεις για το </w:t>
      </w:r>
      <w:proofErr w:type="spellStart"/>
      <w:r w:rsidR="00F70384" w:rsidRPr="005C4A71">
        <w:t>REPowerEU</w:t>
      </w:r>
      <w:proofErr w:type="spellEnd"/>
      <w:r w:rsidR="00F70384" w:rsidRPr="005C4A71">
        <w:t>, και υποστηρίζει ότι τα υπουργεία, οι δημόσιες αρχές ή άλλες αναθέτουσες αρχές δεν μπορούν να συμπεριλαμβάνονται στον κατάλογο των τελικών αποδεκτών χρηματοδότησης του ΜΑΑ· εκφράζει επίσης την ανησυχία του για τα πορίσματα του Ελεγκτικού Συνεδρίου σχετικά με τον κίνδυνο διπλής χρηματοδότησης και χρηματοδότησης επαναλαμβανόμενων δαπανών του προϋπολογισμού, κάτι το οποίο δεν συνάδει με τη νομική βάση του ΜΑΑ·</w:t>
      </w:r>
    </w:p>
    <w:p w:rsidR="00F70384" w:rsidRPr="005C4A71" w:rsidRDefault="00E8367F" w:rsidP="00E8367F">
      <w:pPr>
        <w:pStyle w:val="NormalHanging12a"/>
        <w:ind w:hanging="570"/>
      </w:pPr>
      <w:r w:rsidRPr="005C4A71">
        <w:t>12.</w:t>
      </w:r>
      <w:r w:rsidRPr="005C4A71">
        <w:tab/>
      </w:r>
      <w:r w:rsidR="00F70384" w:rsidRPr="005C4A71">
        <w:t>σημειώνει ότι η διάρθρωση του μηχανισμού NGEU συνεπάγεται ότι η αποπληρωμή των δανείων του NGEU πρέπει να ξεκινήσει πριν από το τέλος του 2027 και να ολοκληρωθεί το αργότερο έως το 2058· εκφράζει την ανησυχία του για το γεγονός ότι η αύξηση των επιτοκίων τα τελευταία χρόνια έχει οδηγήσει σε σημαντική αύξηση του κόστους δανεισμού στο πλαίσιο του NGEU σε σύγκριση με τις αρχικές εκτιμήσεις· τονίζει εκ νέου την ανάγκη να τηρηθεί πλήρως το χρονοδιάγραμμα του νομικά δεσμευτικού χάρτη πορείας για την εισαγωγή νέων ιδίων πόρων και υπογραμμίζει ότι η ταχεία πρόοδος όσον αφορά τους νέους ιδίους πόρους είναι απαραίτητη για την αποπληρωμή του NGEU και για τη διασφάλιση του τρέχοντος και του μελλοντικού ΠΔΠ·</w:t>
      </w:r>
    </w:p>
    <w:p w:rsidR="00F70384" w:rsidRPr="005C4A71" w:rsidRDefault="00E8367F" w:rsidP="00E8367F">
      <w:pPr>
        <w:pStyle w:val="NormalHanging12a"/>
        <w:ind w:hanging="570"/>
      </w:pPr>
      <w:r w:rsidRPr="005C4A71">
        <w:t>13.</w:t>
      </w:r>
      <w:r w:rsidRPr="005C4A71">
        <w:tab/>
      </w:r>
      <w:r w:rsidR="00F70384" w:rsidRPr="005C4A71">
        <w:t xml:space="preserve">τονίζει την επείγουσα ανάγκη για σημαντική μείωση της γραφειοκρατίας, εξορθολογισμό και απλούστευση όλων των πολιτικών της Ένωσης και της χρηματοδότησής τους, σύμφωνα με τις συστάσεις της έκθεσης </w:t>
      </w:r>
      <w:proofErr w:type="spellStart"/>
      <w:r w:rsidR="00F70384" w:rsidRPr="005C4A71">
        <w:t>Draghi</w:t>
      </w:r>
      <w:proofErr w:type="spellEnd"/>
      <w:r w:rsidR="00F70384" w:rsidRPr="005C4A71">
        <w:rPr>
          <w:vertAlign w:val="superscript"/>
        </w:rPr>
        <w:footnoteReference w:id="102"/>
      </w:r>
      <w:r w:rsidR="00F70384" w:rsidRPr="005C4A71">
        <w:t xml:space="preserve">, προκειμένου να μειωθεί ο φόρτος για τις ευρωπαϊκές επιχειρήσεις, να ενισχυθεί η ευρωπαϊκή ανταγωνιστικότητα και παράλληλα να διασφαλιστεί η προστασία των οικονομικών συμφερόντων της Ένωσης· υπογραμμίζει ότι η απλούστευση θα έχει επίσης θετικό αντίκτυπο στα ποσοστά σφάλματος κατά την εφαρμογή των πολιτικών, διότι πολλά σφάλματα συμβαίνουν λόγω των υπερβολικά περίπλοκων κανόνων, οι οποίοι είναι δύσκολο να εφαρμοστούν, ιδίως για τις μικρές και μεσαίες επιχειρήσεις (ΜΜΕ), τους νέους αιτούντες, τους </w:t>
      </w:r>
      <w:proofErr w:type="spellStart"/>
      <w:r w:rsidR="00F70384" w:rsidRPr="005C4A71">
        <w:t>τεχνοβλαστούς</w:t>
      </w:r>
      <w:proofErr w:type="spellEnd"/>
      <w:r w:rsidR="00F70384" w:rsidRPr="005C4A71">
        <w:t xml:space="preserve"> και τις νεοφυείς επιχειρήσεις·</w:t>
      </w:r>
    </w:p>
    <w:p w:rsidR="00F70384" w:rsidRPr="005C4A71" w:rsidRDefault="00E8367F" w:rsidP="00E8367F">
      <w:pPr>
        <w:pStyle w:val="NormalHanging12a"/>
        <w:ind w:hanging="570"/>
      </w:pPr>
      <w:r w:rsidRPr="005C4A71">
        <w:t>14.</w:t>
      </w:r>
      <w:r w:rsidRPr="005C4A71">
        <w:tab/>
      </w:r>
      <w:r w:rsidR="00F70384" w:rsidRPr="005C4A71">
        <w:t xml:space="preserve">τονίζει εκ νέου την ανάγκη να εξισορροπηθεί η περαιτέρω απλούστευση των κανόνων και διαδικασιών με πολύ πιο συστηματική χρήση της ψηφιακής υποβολής στοιχείων, καλύτερους και πιο εύρωστους ελέγχους και κατάλληλες εκ των υστέρων εξακριβώσεις στους τομείς όπου σημειώνονται επανειλημμένα παράτυπες δαπάνες, χωρίς να δημιουργείται πρόσθετη γραφειοκρατική πολυπλοκότητα για τους δικαιούχους, καθώς και να αναπτυχθούν σεμινάρια κατάρτισης και πρακτικές πληροφορίες για τους αιτούντες, και ιδίως τους νέους αιτούντες, και να βελτιωθεί η βοήθεια και οι κατευθυντήριες γραμμές για τις ΜΜΕ, τους </w:t>
      </w:r>
      <w:proofErr w:type="spellStart"/>
      <w:r w:rsidR="00F70384" w:rsidRPr="005C4A71">
        <w:t>τεχνοβλαστούς</w:t>
      </w:r>
      <w:proofErr w:type="spellEnd"/>
      <w:r w:rsidR="00F70384" w:rsidRPr="005C4A71">
        <w:t>, τις νεοφυείς επιχειρήσεις, τη διοίκηση και τους οργανισμούς πληρωμών και όλους τους άλλους σχετικούς συμφεροντούχους· υπενθυμίζει ότι απαιτείται ιδίως για τον ΜΑΑ ένα ισχυρό σύστημα ελέγχου υπό την ευθύνη της Επιτροπής·</w:t>
      </w:r>
    </w:p>
    <w:p w:rsidR="00F70384" w:rsidRPr="005C4A71" w:rsidRDefault="00E8367F" w:rsidP="00E8367F">
      <w:pPr>
        <w:pStyle w:val="NormalHanging12a"/>
        <w:ind w:hanging="570"/>
      </w:pPr>
      <w:r w:rsidRPr="005C4A71">
        <w:t>15.</w:t>
      </w:r>
      <w:r w:rsidRPr="005C4A71">
        <w:tab/>
      </w:r>
      <w:r w:rsidR="00F70384" w:rsidRPr="005C4A71">
        <w:t>τονίζει την ανάγκη και επισημαίνει τη σημασία του προγράμματος ΜΓΑΔΣ για τη στήριξη της αντιμετώπισης των παγκόσμιων προκλήσεων και την προώθηση των ανθρωπίνων δικαιωμάτων, των ελευθεριών και της δημοκρατίας· υπογραμμίζει τη σημασία της ενίσχυσης της γραμμής της Ανατολικής Γειτονίας προκειμένου να στηριχθούν οι πολιτικές, οικονομικές και κοινωνικές μεταρρυθμίσεις σε αυτή την περιοχή που αντιμετωπίζει προκλήσεις·</w:t>
      </w:r>
    </w:p>
    <w:p w:rsidR="00F70384" w:rsidRPr="005C4A71" w:rsidRDefault="00E8367F" w:rsidP="00E8367F">
      <w:pPr>
        <w:pStyle w:val="NormalHanging12a"/>
        <w:ind w:hanging="570"/>
      </w:pPr>
      <w:r w:rsidRPr="005C4A71">
        <w:t>16.</w:t>
      </w:r>
      <w:r w:rsidRPr="005C4A71">
        <w:tab/>
      </w:r>
      <w:r w:rsidR="00F70384" w:rsidRPr="005C4A71">
        <w:t xml:space="preserve">υπογραμμίζει ότι είναι επιτακτική ανάγκη για την αξιοπιστία της Ένωσης να διασφαλίσει η Επιτροπή ότι δεν θα διατίθενται </w:t>
      </w:r>
      <w:proofErr w:type="spellStart"/>
      <w:r w:rsidR="00F70384" w:rsidRPr="005C4A71">
        <w:t>ενωσιακά</w:t>
      </w:r>
      <w:proofErr w:type="spellEnd"/>
      <w:r w:rsidR="00F70384" w:rsidRPr="005C4A71">
        <w:t xml:space="preserve"> κονδύλια σε άτομα ή οργανώσεις που συνδέονται με οποιουδήποτε είδους τρομοκρατικά κινήματα ή οποιοδήποτε άλλο κίνημα που εκφράζει εξτρεμιστικές απόψεις, υποκινεί βία και/ή μίσος, τα οποία έρχονται σε άμεση αντίθεση με τις θεμελιώδεις αξίες της Ευρωπαϊκής Ένωσης, συμπεριλαμβανομένων των </w:t>
      </w:r>
      <w:proofErr w:type="spellStart"/>
      <w:r w:rsidR="00F70384" w:rsidRPr="005C4A71">
        <w:t>ισλαμιστικών</w:t>
      </w:r>
      <w:proofErr w:type="spellEnd"/>
      <w:r w:rsidR="00F70384" w:rsidRPr="005C4A71">
        <w:t>, αντισημιτικών</w:t>
      </w:r>
      <w:r w:rsidR="00465296">
        <w:t>, αντιχριστιανικών</w:t>
      </w:r>
      <w:r w:rsidR="00F70384" w:rsidRPr="005C4A71">
        <w:t xml:space="preserve"> και </w:t>
      </w:r>
      <w:proofErr w:type="spellStart"/>
      <w:r w:rsidR="00F70384" w:rsidRPr="005C4A71">
        <w:t>αντιισλαμικών</w:t>
      </w:r>
      <w:proofErr w:type="spellEnd"/>
      <w:r w:rsidR="00F70384" w:rsidRPr="005C4A71">
        <w:t xml:space="preserve"> κινημάτων· υπενθυμίζει, στο πλαίσιο αυτό, ότι υπήρξαν κατηγορίες ότι 19 από τους 13 000 υπαλλήλους της UNRWA στη Γάζα εμπλέκονταν στις αποτρόπαιες τρομοκρατικές επιθέσεις της 7ης Οκτωβρίου που διέπραξε η </w:t>
      </w:r>
      <w:proofErr w:type="spellStart"/>
      <w:r w:rsidR="00F70384" w:rsidRPr="005C4A71">
        <w:t>Χαμάς</w:t>
      </w:r>
      <w:proofErr w:type="spellEnd"/>
      <w:r w:rsidR="00F70384" w:rsidRPr="005C4A71">
        <w:t xml:space="preserve"> κατά του Ισραήλ· υπενθυμίζει ότι σε 9 περιπτώσεις η απασχόλησή τους τερματίστηκε επίσημα προς το συμφέρον της UNRWA· σημειώνει τα αποτελέσματα της έρευνας που ξεκίνησε το Γραφείο υπηρεσιών εσωτερικού ελέγχου του ΟΗΕ (OIOS)· υπογραμμίζει ότι η Επιτροπή θα πρέπει επίσης να θεσπίσει καλύτερους ελέγχους που θα διασφαλίζουν ότι δεν θα χορηγείται έμμεσα χρηματοδότηση αυτού του είδους, μέσω τρίτων, και να οργανώσει καλύτερα την ιχνηλασιμότητα των κονδυλίων της Ένωσης προς τους τελικούς δικαιούχους·</w:t>
      </w:r>
    </w:p>
    <w:p w:rsidR="00F70384" w:rsidRDefault="00E8367F" w:rsidP="00E8367F">
      <w:pPr>
        <w:pStyle w:val="NormalHanging12a"/>
        <w:ind w:hanging="570"/>
      </w:pPr>
      <w:r>
        <w:t>17.</w:t>
      </w:r>
      <w:r>
        <w:tab/>
      </w:r>
      <w:r w:rsidR="00F70384" w:rsidRPr="005C4A71">
        <w:t xml:space="preserve">εκφράζει εκ νέου τη βαθιά ανησυχία του για την αύξηση της εκμετάλλευσης των ενωσιακών κονδυλίων κατά παράβαση των αρχών και των αξιών της Ένωσης, ιδίως σε περιπτώσεις όπου η χρήση των κονδυλίων και οι μεταφορές σε άλλες οργανώσεις δεν είναι πλήρως ανιχνεύσιμες· προειδοποιεί ότι υπάρχει κίνδυνος τα </w:t>
      </w:r>
      <w:proofErr w:type="spellStart"/>
      <w:r w:rsidR="00F70384" w:rsidRPr="005C4A71">
        <w:t>ενωσιακά</w:t>
      </w:r>
      <w:proofErr w:type="spellEnd"/>
      <w:r w:rsidR="00F70384" w:rsidRPr="005C4A71">
        <w:t xml:space="preserve"> κονδύλια να καταλήξουν να χρησιμοποιούνται από κυκλώματα διαφθοράς και να υπόκεινται σε απάτες και παρατυπίες, ξένη επιρροή ή </w:t>
      </w:r>
      <w:proofErr w:type="spellStart"/>
      <w:r w:rsidR="00F70384" w:rsidRPr="005C4A71">
        <w:t>εισοδισμό</w:t>
      </w:r>
      <w:proofErr w:type="spellEnd"/>
      <w:r w:rsidR="00F70384" w:rsidRPr="005C4A71">
        <w:t xml:space="preserve">· τονίζει ότι είναι σημαντικό να υπάρχει «διαφάνεια των τελικών δικαιούχων» για τα </w:t>
      </w:r>
      <w:proofErr w:type="spellStart"/>
      <w:r w:rsidR="00F70384" w:rsidRPr="005C4A71">
        <w:t>ενωσιακά</w:t>
      </w:r>
      <w:proofErr w:type="spellEnd"/>
      <w:r w:rsidR="00F70384" w:rsidRPr="005C4A71">
        <w:t xml:space="preserve"> κονδύλια·</w:t>
      </w:r>
    </w:p>
    <w:p w:rsidR="00465296" w:rsidRPr="005C4A71" w:rsidRDefault="00E8367F" w:rsidP="00E8367F">
      <w:pPr>
        <w:pStyle w:val="NormalHanging12a"/>
        <w:ind w:hanging="570"/>
      </w:pPr>
      <w:r w:rsidRPr="005C4A71">
        <w:t>18.</w:t>
      </w:r>
      <w:r w:rsidRPr="005C4A71">
        <w:tab/>
      </w:r>
      <w:r w:rsidR="00465296" w:rsidRPr="00465296">
        <w:t xml:space="preserve">τονίζει ότι είναι σημαντικό να διατηρείται η θεσμική ακεραιότητα και να προλαμβάνονται πιθανές εξωτερικές παρεμβάσεις· καταδικάζει κάθε ανάρμοστη απόπειρα επηρεασμού των νομοθετικών δραστηριοτήτων του Ευρωπαϊκού Κοινοβουλίου· επιμένει στην ευθύνη της OLAF να διεξάγει όλες τις αναγκαίες εις βάθος έρευνες· τονίζει τη σημασία του έργου που επιτελεί η Ευρωπαϊκή Εισαγγελία για την προστασία των οικονομικών συμφερόντων της Ευρωπαϊκής Ένωσης· επιμένει ότι θα πρέπει να παρασχεθούν στην Ευρωπαϊκή Εισαγγελία επαρκείς οικονομικοί και ανθρώπινοι πόροι· υπενθυμίζει τη συμφωνία για τη σύσταση διοργανικού φορέα προτύπων δεοντολογίας για τα μέλη των θεσμικών και συμβουλευτικών οργάνων που αναφέρονται στο άρθρο 13 </w:t>
      </w:r>
      <w:r w:rsidR="00465296">
        <w:t>ΣΕΕ</w:t>
      </w:r>
      <w:r w:rsidR="00465296" w:rsidRPr="00465296">
        <w:t>, και επιμένει στην ταχεία εφαρμογή του σε όλα τα θεσμικά όργανα της ΕΕ·</w:t>
      </w:r>
    </w:p>
    <w:p w:rsidR="00F70384" w:rsidRPr="005C4A71" w:rsidRDefault="00E8367F" w:rsidP="00E8367F">
      <w:pPr>
        <w:pStyle w:val="NormalHanging12a"/>
        <w:ind w:hanging="570"/>
      </w:pPr>
      <w:r w:rsidRPr="005C4A71">
        <w:t>19.</w:t>
      </w:r>
      <w:r w:rsidRPr="005C4A71">
        <w:tab/>
      </w:r>
      <w:r w:rsidR="00F70384" w:rsidRPr="005C4A71">
        <w:t>υπενθυμίζει τον καίριο ρόλο των οργανώσεων της κοινωνίας των πολιτών (ΟΚΠ), συμπεριλαμβανομένων των ΜΚΟ, στην προάσπιση των δημοκρατικών αξιών για τη στήριξη μιας δυναμικής και ζωντανής δημοκρατικής κοινωνίας, καθώς διασφαλίζουν μια στέρεη βάση για την ευρεία κάλυψη όλων των σχετικών απόψεων σε διάφορες συζητήσεις, και τονίζει ότι οι ΜΚΟ μπορούν να λαμβάνουν στήριξη από κονδύλια της Ένωσης για να ασκούν τα καθήκοντα αυτά, όπως προβλέπεται στο άρθρο 11 της Συνθήκης για την Ευρωπαϊκή Ένωση·</w:t>
      </w:r>
    </w:p>
    <w:p w:rsidR="00465296" w:rsidRPr="005C4A71" w:rsidRDefault="00E8367F" w:rsidP="00E8367F">
      <w:pPr>
        <w:pStyle w:val="NormalHanging12a"/>
        <w:ind w:hanging="570"/>
      </w:pPr>
      <w:r w:rsidRPr="005C4A71">
        <w:t>20.</w:t>
      </w:r>
      <w:r w:rsidRPr="005C4A71">
        <w:tab/>
      </w:r>
      <w:r w:rsidR="00F70384" w:rsidRPr="005C4A71">
        <w:t>σημειώνει ότι έχουν διατυπωθεί ισχυρισμοί από ορισμένα μέλη της Επιτροπής Ελέγχου του Προϋπολογισμού ότι ορισμένες συμφωνίες επιχορήγησης που είχε συνάψει η Επιτροπή, περιλάμβαναν συγκεκριμένες δραστηριότητες άσκησης πίεσης από ομάδες συμφερόντων, οι οποίες θα μπορούσαν να ερμηνευθούν ως δυνητικές παρεμβάσεις στις εσωτερικές διαδικασίες λήψης αποφάσεων των θεσμικών οργάνων της Ένωσης· σημειώνει ότι η Επιτροπή έλαβε σειρά μέτρων για την αντιμετώπιση των εικαζόμενων ζητημάτων, εγκρίνοντας κατευθυντήριες γραμμές σχετικά με τη χρηματοδότηση για δραστηριότητες που σχετίζονται με την ανάπτυξη, την εφαρμογή, την παρακολούθηση και την επιβολή της νομοθεσίας και της πολιτικής της Ένωσης, και δήλωσε ότι, ενώ οι εν λόγω συμφωνίες επιχορήγησης δεν παραβίαζαν το νομικό πλαίσιο της ΕΕ, θα μπορούσαν δυνητικά να ενέχουν κίνδυνο δυσφήμισης της Ένωσης· σημειώνει ότι όλες οι συμφωνίες επιχορήγησης περιλάμβαναν δήλωση αποποίησης ευθύνης στην οποία αναφέρεται ότι «οι απόψεις του δικαιούχου δεν αντιπροσωπεύουν με κανέναν τρόπο τις απόψεις της ΕΕ και ότι η χορηγούσα αρχή δεν μπορεί να θεωρηθεί υπεύθυνη γι’ αυτές»· σημειώνει ότι μια τέτοια δήλωση αποποίησης ευθύνης προστέθηκε επιπλέον στην πρόσκληση υποβολής προτάσεων του 2024 για επιχορηγήσεις λειτουργίας·</w:t>
      </w:r>
    </w:p>
    <w:p w:rsidR="00F70384" w:rsidRDefault="00E8367F" w:rsidP="00E8367F">
      <w:pPr>
        <w:pStyle w:val="NormalHanging12a"/>
        <w:ind w:hanging="570"/>
      </w:pPr>
      <w:r>
        <w:t>21.</w:t>
      </w:r>
      <w:r>
        <w:tab/>
      </w:r>
      <w:r w:rsidR="00F70384" w:rsidRPr="005C4A71">
        <w:t>σημειώνει ότι βρίσκεται σε εξέλιξη έλεγχος των συμφωνιών επιχορήγησης σε όλα τα χαρτοφυλάκια, προκειμένου να επαληθευτεί η ευθυγράμμισή τους με τις νέες κατευθυντήριες γραμμές και ότι, μέχρι στιγμής, η Επιτροπή δεν έχει κοινοποιήσει στο Κοινοβούλιο τα πλήρη αποτελέσματα του ελέγχου ούτε άλλα μέτρα που ενδέχεται να λάβει η Επιτροπή, εάν χρειαστεί· ζητεί από την Επιτροπή να ενημερώνει διαρκώς την αρμόδια για την απαλλαγή αρχή σχετικά με το θέμα αυτό· τονίζει ότι η διαφάνεια στις συναντήσεις με συμφεροντούχους είναι θεμελιώδους σημασίας για τη δημοκρατική ακεραιότητα και θα πρέπει να εφαρμόζεται εξίσου σε όλες τις οντότητες που συνεργάζονται με τα θεσμικά όργανα της Ένωσης· τονίζει ότι η σαφής τεκμηρίωση και δημοσιοποίηση αυτών των αλληλεπιδράσεων ενισχύουν την εμπιστοσύνη του κοινού και τη δημοκρατική λογοδοσία·</w:t>
      </w:r>
    </w:p>
    <w:p w:rsidR="00E8367F" w:rsidRDefault="00E8367F" w:rsidP="00E8367F">
      <w:pPr>
        <w:pStyle w:val="NormalHanging12a"/>
        <w:ind w:hanging="570"/>
      </w:pPr>
      <w:r>
        <w:t>22.</w:t>
      </w:r>
      <w:r>
        <w:tab/>
      </w:r>
      <w:r w:rsidRPr="00465296">
        <w:t>υπενθυμίζει ότι η χρηματοδότηση της ΕΕ απαιτεί αυστηρά πρότυπα λογοδοσίας και διαφάνειας· σύμφωνα με τις συστάσεις του ΕΕΣ στην ειδική έκθεση 05/2024</w:t>
      </w:r>
      <w:r>
        <w:rPr>
          <w:rStyle w:val="FootnoteReference"/>
        </w:rPr>
        <w:footnoteReference w:id="103"/>
      </w:r>
      <w:r w:rsidRPr="00465296">
        <w:t xml:space="preserve"> και στην πρόσφατη ειδική έκθεση 11/2025</w:t>
      </w:r>
      <w:r>
        <w:rPr>
          <w:rStyle w:val="FootnoteReference"/>
        </w:rPr>
        <w:footnoteReference w:id="104"/>
      </w:r>
      <w:r w:rsidRPr="00465296">
        <w:t>, παροτρύνει την Επιτροπή να διασφαλίσει ότι οι πληροφορίες που δημοσιοποιούνται στο σύστημα δημοσιονομικής διαφάνειας επικαιροποιούνται συχνά, είναι αξιόπιστες, συγκρίσιμες και χρήσιμες· τονίζει την ανάγκη να διατεθούν πρόσθετοι πόροι στη Γραμματεία του Μητρώου Διαφάνειας της ΕΕ, ώστε να καταστεί δυνατή η συστηματική και διεξοδική παρακολούθηση του Μητρώου Διαφάνειας· αυτό θα πρέπει να περιλαμβάνει τη διάθεση πόρων για την εφαρμογή της τεχνητής νοημοσύνης προκειμένου να αναπτυχθεί ένας μηχανισμός αναζήτησης που βασίζεται στην τεχνητή νοημοσύνη· υπενθυμίζει την ανάγκη να ελέγχεται προορατικά ότι όλες οι οντότητες που είναι δικαιούχοι κονδυλίων της ΕΕ σέβονται τις αξίες της ΕΕ·</w:t>
      </w:r>
    </w:p>
    <w:p w:rsidR="00E8367F" w:rsidRPr="005C4A71" w:rsidRDefault="00E8367F" w:rsidP="00E8367F">
      <w:pPr>
        <w:pStyle w:val="NormalHanging12a"/>
        <w:ind w:hanging="570"/>
      </w:pPr>
      <w:r w:rsidRPr="005C4A71">
        <w:t>23.</w:t>
      </w:r>
      <w:r w:rsidRPr="005C4A71">
        <w:tab/>
      </w:r>
      <w:r w:rsidRPr="00465296">
        <w:t xml:space="preserve">εκφράζει την ικανοποίησή του για την απάντηση του Επιτρόπου </w:t>
      </w:r>
      <w:proofErr w:type="spellStart"/>
      <w:r w:rsidRPr="00465296">
        <w:t>Serafin</w:t>
      </w:r>
      <w:proofErr w:type="spellEnd"/>
      <w:r w:rsidRPr="00465296">
        <w:t xml:space="preserve"> στη γραπτή ερώτηση</w:t>
      </w:r>
      <w:r>
        <w:rPr>
          <w:rStyle w:val="FootnoteReference"/>
        </w:rPr>
        <w:footnoteReference w:id="105"/>
      </w:r>
      <w:r w:rsidRPr="00465296">
        <w:t>, η οποία επιβεβαιώνει εκ νέου ότι η χρηματοδότηση της ΕΕ χορηγήθηκε και χρησιμοποιήθηκε από ΜΚΟ με πλήρη σεβασμό των Συνθηκών της ΕΕ και του κανονισμού (ΕΕ) 2021/783</w:t>
      </w:r>
      <w:r>
        <w:rPr>
          <w:rStyle w:val="FootnoteReference"/>
        </w:rPr>
        <w:footnoteReference w:id="106"/>
      </w:r>
      <w:r>
        <w:t xml:space="preserve"> (κανονισμός </w:t>
      </w:r>
      <w:r>
        <w:rPr>
          <w:lang w:val="en-GB"/>
        </w:rPr>
        <w:t>LIFE</w:t>
      </w:r>
      <w:r w:rsidRPr="00DB7820">
        <w:t>)</w:t>
      </w:r>
      <w:r w:rsidRPr="00465296">
        <w:t>· σημειώνει επίσης την πρόσφατη ειδική έκθεση του Ελεγκτικού Συνεδρίου σχετικά με τη διαφάνεια της χρηματοδότησης της ΕΕ που χορηγείται σε ΜΚΟ</w:t>
      </w:r>
      <w:r>
        <w:rPr>
          <w:rStyle w:val="FootnoteReference"/>
        </w:rPr>
        <w:footnoteReference w:id="107"/>
      </w:r>
      <w:r w:rsidRPr="00465296">
        <w:t>, η οποία, μολονότι δηλώνει ότι η χρήση της χρηματοδότησης της ΕΕ για την υπεράσπιση των ΜΚΟ είναι νόμιμη, επιβεβαιώνει επίσης ότι συνάδει με τις νομικές απαιτήσεις διαφάνειας της ΕΕ, όπως ορίζονται στον δημοσιονομικό κανονισμό της ΕΕ· ταυτόχρονα, η ειδική έκθεση αριθ. 11/2025 του ΕΕΣ επισημαίνει ότι θα πρέπει να καταβληθούν περισσότερες προσπάθειες για τη βελτίωση της διαφάνειας της χρηματοδότησης της ΕΕ που λαμβάνουν όλοι οι δικαιούχοι· καλεί, στο πλαίσιο αυτό, την Επιτροπή να εφαρμόσει τις συστάσεις του ΕΕΣ σχετικά με τον έλεγχο των υπεύθυνων δηλώσεων στο σύστημα δημοσιονομικής διαφάνειας της ΕΕ, καθώς και την προορατική παρακολούθηση του σεβασμού των θεμελιωδών αξιών και αρχών της ΕΕ από τους δικαιούχους·</w:t>
      </w:r>
    </w:p>
    <w:p w:rsidR="00740869" w:rsidRDefault="00E8367F" w:rsidP="00E8367F">
      <w:pPr>
        <w:pStyle w:val="NormalHanging12a"/>
        <w:ind w:hanging="570"/>
      </w:pPr>
      <w:r>
        <w:t>24.</w:t>
      </w:r>
      <w:r>
        <w:tab/>
      </w:r>
      <w:r w:rsidR="00F70384" w:rsidRPr="005C4A71">
        <w:t xml:space="preserve">εκφράζει την ικανοποίησή του για την έναρξη ισχύος του αναδιατυπωμένου δημοσιονομικού κανονισμού· εκφράζει, ειδικότερα, την ικανοποίησή του για τις βελτιώσεις που σχετίζονται με την παρακολούθηση των κονδυλίων της Ένωσης μέσω ψηφιακών εργαλείων και διαλειτουργικότητας που θα ενισχύσουν την προστασία των οικονομικών συμφερόντων της Ένωσης, τη </w:t>
      </w:r>
      <w:proofErr w:type="spellStart"/>
      <w:r w:rsidR="00F70384" w:rsidRPr="005C4A71">
        <w:t>στοχευμένη</w:t>
      </w:r>
      <w:proofErr w:type="spellEnd"/>
      <w:r w:rsidR="00F70384" w:rsidRPr="005C4A71">
        <w:t xml:space="preserve"> επέκταση του συστήματος έγκαιρου εντοπισμού και αποκλεισμού (EDES) στην επιμερισμένη διαχείριση μετά το ΠΔΠ 2027, την αναφορά στον μηχανισμό </w:t>
      </w:r>
      <w:proofErr w:type="spellStart"/>
      <w:r w:rsidR="00F70384" w:rsidRPr="005C4A71">
        <w:t>αιρεσιμότητας</w:t>
      </w:r>
      <w:proofErr w:type="spellEnd"/>
      <w:r w:rsidR="00F70384" w:rsidRPr="005C4A71">
        <w:t xml:space="preserve"> για το κράτος δικαίου και τη θέσπιση </w:t>
      </w:r>
      <w:proofErr w:type="spellStart"/>
      <w:r w:rsidR="00F70384" w:rsidRPr="005C4A71">
        <w:t>αιρεσιμότητας</w:t>
      </w:r>
      <w:proofErr w:type="spellEnd"/>
      <w:r w:rsidR="00F70384" w:rsidRPr="005C4A71">
        <w:t xml:space="preserve"> με βάση τις αξίες της Ένωσης όπως κατοχυρώνονται στο άρθρο 2 ΣΕΕ, καθώς και την ευκαιρία </w:t>
      </w:r>
      <w:proofErr w:type="spellStart"/>
      <w:r w:rsidR="00F70384" w:rsidRPr="005C4A71">
        <w:t>εξορθολογισμού</w:t>
      </w:r>
      <w:proofErr w:type="spellEnd"/>
      <w:r w:rsidR="00F70384" w:rsidRPr="005C4A71">
        <w:t xml:space="preserve"> της στήριξης για τις ΜΜΕ και τους μεμονωμένους αιτούντες με τη θέσπιση επιχορηγήσεων πολύ μικρού ύψους·</w:t>
      </w:r>
    </w:p>
    <w:p w:rsidR="00C474CB" w:rsidRDefault="00C474CB" w:rsidP="00F70384">
      <w:pPr>
        <w:pStyle w:val="NormalHanging12a"/>
      </w:pPr>
    </w:p>
    <w:p w:rsidR="00C474CB" w:rsidRDefault="00C474CB" w:rsidP="00F70384">
      <w:pPr>
        <w:pStyle w:val="NormalHanging12a"/>
        <w:sectPr w:rsidR="00C474CB" w:rsidSect="005C4A7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0384" w:rsidRPr="005C4A71" w:rsidRDefault="00F70384" w:rsidP="00F70384">
      <w:pPr>
        <w:pStyle w:val="PageHeadingNoLeader"/>
        <w:numPr>
          <w:ilvl w:val="0"/>
          <w:numId w:val="0"/>
        </w:numPr>
        <w:tabs>
          <w:tab w:val="left" w:pos="720"/>
        </w:tabs>
        <w:ind w:left="720" w:hanging="720"/>
        <w:jc w:val="left"/>
      </w:pPr>
      <w:bookmarkStart w:id="88" w:name="_Toc185595109"/>
      <w:bookmarkStart w:id="89" w:name="_Toc187930960"/>
      <w:bookmarkStart w:id="90" w:name="_Toc187931135"/>
      <w:bookmarkStart w:id="91" w:name="_Toc187931166"/>
      <w:bookmarkStart w:id="92" w:name="_Toc187931190"/>
      <w:bookmarkStart w:id="93" w:name="_Toc187931584"/>
      <w:bookmarkStart w:id="94" w:name="_Toc187932881"/>
      <w:bookmarkStart w:id="95" w:name="_Toc187932921"/>
      <w:bookmarkStart w:id="96" w:name="_Toc187932945"/>
      <w:bookmarkStart w:id="97" w:name="_Toc187933260"/>
      <w:bookmarkStart w:id="98" w:name="_Toc187933746"/>
      <w:bookmarkStart w:id="99" w:name="_Toc187934016"/>
      <w:bookmarkStart w:id="100" w:name="_Toc187934048"/>
      <w:bookmarkStart w:id="101" w:name="_Toc187934397"/>
      <w:bookmarkStart w:id="102" w:name="_Toc187934421"/>
      <w:bookmarkStart w:id="103" w:name="_Toc187934445"/>
      <w:bookmarkStart w:id="104" w:name="_Toc187934469"/>
      <w:bookmarkStart w:id="105" w:name="_Toc187935536"/>
      <w:bookmarkStart w:id="106" w:name="_Toc187935560"/>
      <w:bookmarkStart w:id="107" w:name="_Toc187935591"/>
      <w:bookmarkStart w:id="108" w:name="_Toc187935615"/>
      <w:bookmarkStart w:id="109" w:name="_Toc187935887"/>
      <w:bookmarkStart w:id="110" w:name="_Toc187935911"/>
      <w:bookmarkStart w:id="111" w:name="_Toc187935935"/>
      <w:bookmarkStart w:id="112" w:name="_Toc187935959"/>
      <w:bookmarkStart w:id="113" w:name="_Toc188368528"/>
      <w:bookmarkStart w:id="114" w:name="_Toc188369632"/>
      <w:bookmarkStart w:id="115" w:name="_Toc188369956"/>
      <w:bookmarkStart w:id="116" w:name="_Toc194661962"/>
      <w:bookmarkStart w:id="117" w:name="_Toc194661995"/>
      <w:bookmarkStart w:id="118" w:name="_Toc194662066"/>
      <w:bookmarkStart w:id="119" w:name="_Toc194662155"/>
      <w:bookmarkStart w:id="120" w:name="_Toc194665323"/>
      <w:bookmarkStart w:id="121" w:name="_Toc194665620"/>
      <w:bookmarkStart w:id="122" w:name="_Toc195009288"/>
      <w:bookmarkStart w:id="123" w:name="_Toc195010058"/>
      <w:bookmarkStart w:id="124" w:name="_Toc195010221"/>
      <w:bookmarkStart w:id="125" w:name="_Toc195010773"/>
      <w:bookmarkStart w:id="126" w:name="_Toc195012310"/>
      <w:bookmarkStart w:id="127" w:name="_Toc195012488"/>
      <w:bookmarkStart w:id="128" w:name="_Toc195014831"/>
      <w:bookmarkStart w:id="129" w:name="_Toc195015157"/>
      <w:bookmarkStart w:id="130" w:name="_Toc195015890"/>
      <w:bookmarkStart w:id="131" w:name="_Toc195015978"/>
      <w:bookmarkStart w:id="132" w:name="_Toc195018605"/>
      <w:bookmarkStart w:id="133" w:name="_Toc195018637"/>
      <w:bookmarkStart w:id="134" w:name="_Toc195021470"/>
      <w:bookmarkStart w:id="135" w:name="_Toc195021494"/>
      <w:bookmarkStart w:id="136" w:name="_Toc195021518"/>
      <w:bookmarkStart w:id="137" w:name="_Toc195023444"/>
      <w:bookmarkStart w:id="138" w:name="_Toc195024251"/>
      <w:bookmarkStart w:id="139" w:name="_Toc195024275"/>
      <w:bookmarkStart w:id="140" w:name="_Toc195024590"/>
      <w:bookmarkStart w:id="141" w:name="_Toc195024614"/>
      <w:bookmarkStart w:id="142" w:name="_Toc195025607"/>
      <w:bookmarkStart w:id="143" w:name="_Toc195025637"/>
      <w:bookmarkStart w:id="144" w:name="_Toc195025665"/>
      <w:bookmarkStart w:id="145" w:name="_Toc195025689"/>
      <w:bookmarkStart w:id="146" w:name="_Toc195025764"/>
      <w:bookmarkStart w:id="147" w:name="_Toc195025790"/>
      <w:bookmarkStart w:id="148" w:name="_Toc195027959"/>
      <w:bookmarkStart w:id="149" w:name="_Toc195027991"/>
      <w:bookmarkStart w:id="150" w:name="_Toc195088892"/>
      <w:bookmarkStart w:id="151" w:name="_Toc195088918"/>
      <w:bookmarkStart w:id="152" w:name="_Toc195096126"/>
      <w:bookmarkStart w:id="153" w:name="_Toc195096308"/>
      <w:bookmarkStart w:id="154" w:name="_Toc195102368"/>
      <w:bookmarkStart w:id="155" w:name="_Toc195102419"/>
      <w:bookmarkStart w:id="156" w:name="_Toc195102446"/>
      <w:bookmarkStart w:id="157" w:name="_Toc195102473"/>
      <w:bookmarkStart w:id="158" w:name="_Toc195102931"/>
      <w:bookmarkStart w:id="159" w:name="_Toc195102959"/>
      <w:bookmarkStart w:id="160" w:name="_Toc195102987"/>
      <w:bookmarkStart w:id="161" w:name="_Toc195103015"/>
      <w:bookmarkStart w:id="162" w:name="_Toc195103044"/>
      <w:bookmarkStart w:id="163" w:name="_Toc195103073"/>
      <w:bookmarkStart w:id="164" w:name="_Toc195103102"/>
      <w:bookmarkStart w:id="165" w:name="_Toc195103132"/>
      <w:bookmarkStart w:id="166" w:name="_Toc195103162"/>
      <w:bookmarkStart w:id="167" w:name="_Toc195103192"/>
      <w:bookmarkStart w:id="168" w:name="_Toc195103223"/>
      <w:bookmarkStart w:id="169" w:name="_Toc195103254"/>
      <w:bookmarkStart w:id="170" w:name="_Toc195103285"/>
      <w:bookmarkStart w:id="171" w:name="_Toc195103317"/>
      <w:bookmarkStart w:id="172" w:name="_Toc195103349"/>
      <w:bookmarkStart w:id="173" w:name="_Toc195103522"/>
      <w:bookmarkStart w:id="174" w:name="_Toc195103555"/>
      <w:bookmarkStart w:id="175" w:name="_Toc195103588"/>
      <w:bookmarkStart w:id="176" w:name="_Toc195103621"/>
      <w:bookmarkStart w:id="177" w:name="_Toc195103655"/>
      <w:bookmarkStart w:id="178" w:name="_Toc195103689"/>
      <w:bookmarkStart w:id="179" w:name="_Toc195103723"/>
      <w:bookmarkStart w:id="180" w:name="_Toc195103758"/>
      <w:bookmarkStart w:id="181" w:name="_Toc195103793"/>
      <w:bookmarkStart w:id="182" w:name="_Toc195103828"/>
      <w:bookmarkStart w:id="183" w:name="_Toc195103864"/>
      <w:bookmarkStart w:id="184" w:name="_Toc195103900"/>
      <w:bookmarkStart w:id="185" w:name="_Toc195103936"/>
      <w:bookmarkStart w:id="186" w:name="_Toc195103973"/>
      <w:bookmarkStart w:id="187" w:name="_Toc195104010"/>
      <w:bookmarkStart w:id="188" w:name="_Toc195104047"/>
      <w:bookmarkStart w:id="189" w:name="_Toc195104084"/>
      <w:bookmarkStart w:id="190" w:name="_Toc195105226"/>
      <w:bookmarkStart w:id="191" w:name="_Toc195105263"/>
      <w:bookmarkStart w:id="192" w:name="_Toc195105300"/>
      <w:bookmarkStart w:id="193" w:name="_Toc195106716"/>
      <w:bookmarkStart w:id="194" w:name="_Toc195111032"/>
      <w:bookmarkStart w:id="195" w:name="_Toc195113778"/>
      <w:bookmarkStart w:id="196" w:name="_Toc195113818"/>
      <w:bookmarkStart w:id="197" w:name="_Toc195115093"/>
      <w:bookmarkStart w:id="198" w:name="_Toc195115130"/>
      <w:bookmarkStart w:id="199" w:name="_Toc195178400"/>
      <w:bookmarkStart w:id="200" w:name="_Toc195178436"/>
      <w:bookmarkStart w:id="201" w:name="_Toc195178576"/>
      <w:bookmarkStart w:id="202" w:name="_Toc195179100"/>
      <w:bookmarkStart w:id="203" w:name="_Toc195182062"/>
      <w:bookmarkStart w:id="204" w:name="_Toc195182099"/>
      <w:bookmarkStart w:id="205" w:name="_Toc195182136"/>
      <w:bookmarkStart w:id="206" w:name="_Toc195197844"/>
      <w:bookmarkStart w:id="207" w:name="_Toc195199138"/>
      <w:bookmarkStart w:id="208" w:name="_Toc195199392"/>
      <w:bookmarkStart w:id="209" w:name="_Toc195199830"/>
      <w:bookmarkStart w:id="210" w:name="_Toc195199867"/>
      <w:bookmarkStart w:id="211" w:name="_Toc195202127"/>
      <w:bookmarkStart w:id="212" w:name="_Toc195202164"/>
      <w:bookmarkStart w:id="213" w:name="_Toc195202930"/>
      <w:bookmarkStart w:id="214" w:name="_Toc195202967"/>
      <w:bookmarkStart w:id="215" w:name="_Toc195203378"/>
      <w:bookmarkStart w:id="216" w:name="_Toc195203415"/>
      <w:bookmarkStart w:id="217" w:name="_Toc195257656"/>
      <w:bookmarkStart w:id="218" w:name="_Toc195257757"/>
      <w:bookmarkStart w:id="219" w:name="_Toc195257794"/>
      <w:bookmarkStart w:id="220" w:name="_Toc195257831"/>
      <w:bookmarkStart w:id="221" w:name="_Toc195257869"/>
      <w:bookmarkStart w:id="222" w:name="_Toc195257907"/>
      <w:bookmarkStart w:id="223" w:name="_Toc195257975"/>
      <w:bookmarkStart w:id="224" w:name="_Toc195258020"/>
      <w:bookmarkStart w:id="225" w:name="_Toc195258058"/>
      <w:bookmarkStart w:id="226" w:name="_Toc195258096"/>
      <w:bookmarkStart w:id="227" w:name="_Toc195258134"/>
      <w:bookmarkStart w:id="228" w:name="_Toc195258172"/>
      <w:bookmarkStart w:id="229" w:name="_Toc195258718"/>
      <w:bookmarkStart w:id="230" w:name="_Toc195258756"/>
      <w:bookmarkStart w:id="231" w:name="_Toc195258794"/>
      <w:bookmarkStart w:id="232" w:name="_Toc195258832"/>
      <w:bookmarkStart w:id="233" w:name="_Toc195258870"/>
      <w:bookmarkStart w:id="234" w:name="_Toc195258908"/>
      <w:bookmarkStart w:id="235" w:name="_Toc195258946"/>
      <w:bookmarkStart w:id="236" w:name="_Toc195258984"/>
      <w:bookmarkStart w:id="237" w:name="_Toc195259022"/>
      <w:bookmarkStart w:id="238" w:name="_Toc195259060"/>
      <w:bookmarkStart w:id="239" w:name="_Toc195259098"/>
      <w:bookmarkStart w:id="240" w:name="_Toc195259136"/>
      <w:bookmarkStart w:id="241" w:name="_Toc195263151"/>
      <w:bookmarkStart w:id="242" w:name="_Toc195263240"/>
      <w:bookmarkStart w:id="243" w:name="_Toc195263277"/>
      <w:bookmarkStart w:id="244" w:name="_Toc195263328"/>
      <w:bookmarkStart w:id="245" w:name="_Toc195263365"/>
      <w:bookmarkStart w:id="246" w:name="_Toc195263761"/>
      <w:bookmarkStart w:id="247" w:name="_Toc195263860"/>
      <w:bookmarkStart w:id="248" w:name="_Toc195263897"/>
      <w:bookmarkStart w:id="249" w:name="_Toc195263934"/>
      <w:bookmarkStart w:id="250" w:name="_Toc195709909"/>
      <w:bookmarkStart w:id="251" w:name="_Toc195710124"/>
      <w:bookmarkStart w:id="252" w:name="_Toc195710191"/>
      <w:bookmarkStart w:id="253" w:name="_Toc195710287"/>
      <w:bookmarkStart w:id="254" w:name="_Toc195711096"/>
      <w:bookmarkStart w:id="255" w:name="_Toc195711133"/>
      <w:bookmarkStart w:id="256" w:name="_Toc195711179"/>
      <w:bookmarkStart w:id="257" w:name="_Toc195711430"/>
      <w:bookmarkStart w:id="258" w:name="_Toc195711467"/>
      <w:bookmarkStart w:id="259" w:name="_Toc195718918"/>
      <w:bookmarkStart w:id="260" w:name="_Toc195718954"/>
      <w:bookmarkStart w:id="261" w:name="_Toc195719692"/>
      <w:bookmarkStart w:id="262" w:name="_Toc195719772"/>
      <w:bookmarkStart w:id="263" w:name="_Toc196303410"/>
      <w:bookmarkStart w:id="264" w:name="_Toc196306262"/>
      <w:bookmarkStart w:id="265" w:name="_Toc196306351"/>
      <w:bookmarkStart w:id="266" w:name="_Toc196306388"/>
      <w:bookmarkStart w:id="267" w:name="_Toc196311178"/>
      <w:bookmarkStart w:id="268" w:name="_Toc196311399"/>
      <w:bookmarkStart w:id="269" w:name="_Toc196311438"/>
      <w:bookmarkStart w:id="270" w:name="_Toc196311967"/>
      <w:bookmarkStart w:id="271" w:name="_Toc196312004"/>
      <w:bookmarkStart w:id="272" w:name="_Toc196312597"/>
      <w:bookmarkStart w:id="273" w:name="_Toc196312634"/>
      <w:bookmarkStart w:id="274" w:name="_Toc196312742"/>
      <w:bookmarkStart w:id="275" w:name="_Toc196312836"/>
      <w:bookmarkStart w:id="276" w:name="_Toc196318420"/>
      <w:bookmarkStart w:id="277" w:name="_Toc196318709"/>
      <w:bookmarkStart w:id="278" w:name="_Toc196318745"/>
      <w:bookmarkStart w:id="279" w:name="_Toc196319617"/>
      <w:bookmarkStart w:id="280" w:name="_Toc196376764"/>
      <w:bookmarkStart w:id="281" w:name="_Toc196377182"/>
      <w:bookmarkStart w:id="282" w:name="_Toc196377207"/>
      <w:bookmarkStart w:id="283" w:name="_Toc196824416"/>
      <w:bookmarkStart w:id="284" w:name="_Toc196824453"/>
      <w:bookmarkStart w:id="285" w:name="_Toc196824492"/>
      <w:bookmarkStart w:id="286" w:name="_Toc196824535"/>
      <w:bookmarkStart w:id="287" w:name="_Toc196824572"/>
      <w:bookmarkStart w:id="288" w:name="_Toc196824758"/>
      <w:bookmarkStart w:id="289" w:name="_Toc196825063"/>
      <w:bookmarkStart w:id="290" w:name="_Toc196825100"/>
      <w:r w:rsidRPr="005C4A71">
        <w:t>ΚΕΦΑΛΑΙΟ I – Πολυετές δημοσιονομικό πλαίσιο (ΠΔΠ)</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F70384" w:rsidRPr="00C474CB" w:rsidRDefault="00F70384" w:rsidP="00F70384">
      <w:pPr>
        <w:spacing w:after="240"/>
        <w:rPr>
          <w:b/>
          <w:i/>
        </w:rPr>
      </w:pPr>
      <w:bookmarkStart w:id="291" w:name="_Toc185595110"/>
      <w:r w:rsidRPr="00C474CB">
        <w:rPr>
          <w:b/>
          <w:i/>
        </w:rPr>
        <w:t>Δήλωση αξιοπιστίας του Ευρωπαϊκού Ελεγκτικού Συνεδρίου και δημοσιονομική και χρηματοοικονομική διαχείριση</w:t>
      </w:r>
      <w:bookmarkEnd w:id="291"/>
    </w:p>
    <w:p w:rsidR="00F70384" w:rsidRPr="005C4A71" w:rsidRDefault="00F70384" w:rsidP="00F70384">
      <w:pPr>
        <w:spacing w:after="240"/>
        <w:ind w:left="567" w:hanging="567"/>
        <w:textAlignment w:val="baseline"/>
        <w:rPr>
          <w:rFonts w:ascii="Segoe UI" w:hAnsi="Segoe UI" w:cs="Segoe UI"/>
          <w:sz w:val="18"/>
          <w:szCs w:val="18"/>
        </w:rPr>
      </w:pPr>
      <w:r w:rsidRPr="005C4A71">
        <w:rPr>
          <w:i/>
          <w:shd w:val="clear" w:color="auto" w:fill="FFFFFF"/>
        </w:rPr>
        <w:t>Αξιοπιστία των λογαριασμών</w:t>
      </w:r>
    </w:p>
    <w:p w:rsidR="00F70384" w:rsidRPr="005C4A71" w:rsidRDefault="00E8367F" w:rsidP="00E8367F">
      <w:pPr>
        <w:pStyle w:val="NormalHanging12a"/>
        <w:ind w:hanging="570"/>
      </w:pPr>
      <w:r w:rsidRPr="005C4A71">
        <w:t>25.</w:t>
      </w:r>
      <w:r w:rsidRPr="005C4A71">
        <w:tab/>
      </w:r>
      <w:r w:rsidR="00F70384" w:rsidRPr="005C4A71">
        <w:t>εκφράζει την ικανοποίησή του για το συμπέρασμα του Ελεγκτικού Συνεδρίου, στην ετήσια έκθεσή του σχετικά με την εκτέλεση του προϋπολογισμού για το οικονομικό έτος 2023</w:t>
      </w:r>
      <w:r w:rsidR="00F70384" w:rsidRPr="005C4A71">
        <w:rPr>
          <w:rStyle w:val="FootnoteReference"/>
        </w:rPr>
        <w:footnoteReference w:id="108"/>
      </w:r>
      <w:r w:rsidR="00F70384" w:rsidRPr="005C4A71">
        <w:t>, ότι οι ενοποιημένοι λογαριασμοί της Ευρωπαϊκής Ένωσης για το έτος αυτό είναι αξιόπιστοι· σημειώνει ότι το Ελεγκτικό Συνέδριο διατυπώνει γνώμη χωρίς επιφύλαξη σχετικά με την αξιοπιστία των λογαριασμών κάθε χρόνο από το 2007·</w:t>
      </w:r>
    </w:p>
    <w:p w:rsidR="00F70384" w:rsidRPr="005C4A71" w:rsidRDefault="00E8367F" w:rsidP="00E8367F">
      <w:pPr>
        <w:pStyle w:val="NormalHanging12a"/>
        <w:ind w:hanging="570"/>
      </w:pPr>
      <w:r w:rsidRPr="005C4A71">
        <w:t>26.</w:t>
      </w:r>
      <w:r w:rsidRPr="005C4A71">
        <w:tab/>
      </w:r>
      <w:r w:rsidR="00F70384" w:rsidRPr="005C4A71">
        <w:t>σημειώνει ότι στις 31 Δεκεμβρίου 2023 οι συνολικές υποχρεώσεις ανέρχονταν σε 679,9 δισεκατομμύρια EUR και το σύνολο των στοιχείων ενεργητικού ανερχόταν σε 445,9 δισεκατομμύρια EUR· σημειώνει ότι η διαφορά των 212,2 δισεκατομμυρίων EUR αντιπροσωπεύει τα αρνητικά καθαρά περιουσιακά στοιχεία, τα οποία συνίστανται στο χρέος και στο μέρος των δαπανών που είχαν ήδη πραγματοποιηθεί από την Ένωση στις 31 Δεκεμβρίου 2023 και πρέπει να χρηματοδοτηθούν από μελλοντικούς προϋπολογισμούς·</w:t>
      </w:r>
    </w:p>
    <w:p w:rsidR="00F70384" w:rsidRPr="005C4A71" w:rsidRDefault="00E8367F" w:rsidP="00E8367F">
      <w:pPr>
        <w:pStyle w:val="NormalHanging12a"/>
        <w:ind w:hanging="570"/>
      </w:pPr>
      <w:r w:rsidRPr="005C4A71">
        <w:t>27.</w:t>
      </w:r>
      <w:r w:rsidRPr="005C4A71">
        <w:tab/>
      </w:r>
      <w:r w:rsidR="00F70384" w:rsidRPr="005C4A71">
        <w:t>σημειώνει ότι στο τέλος του 2023 η εκτιμώμενη αξία των επιλέξιμων δαπανών που είχαν μεν πραγματοποιηθεί και οφείλονταν στους δικαιούχους, αλλά δεν είχαν ακόμη δηλωθεί και οι οποίες καταχωρήθηκαν ως δεδουλευμένα έξοδα, ανερχόταν σε 155,2 δισεκατομμύρια EUR (2021: 148,7 δισεκατομμύρια EUR), εκ των οποίων 7,4 δισεκατομμύρια EUR αφορούσαν δεδουλευμένα έξοδα στο πλαίσιο του ΜΑΑ·</w:t>
      </w:r>
    </w:p>
    <w:p w:rsidR="00F70384" w:rsidRPr="005C4A71" w:rsidRDefault="00E8367F" w:rsidP="00E8367F">
      <w:pPr>
        <w:pStyle w:val="NormalHanging12a"/>
        <w:ind w:hanging="570"/>
      </w:pPr>
      <w:r w:rsidRPr="005C4A71">
        <w:t>28.</w:t>
      </w:r>
      <w:r w:rsidRPr="005C4A71">
        <w:tab/>
      </w:r>
      <w:r w:rsidR="00F70384" w:rsidRPr="005C4A71">
        <w:t xml:space="preserve">εκφράζει την ικανοποίησή του για το συμπέρασμα του Ελεγκτικού Συνεδρίου ότι τα περιουσιακά στοιχεία, οι υποχρεώσεις, τα έσοδα και οι δαπάνες, συμπεριλαμβανομένων εκείνων που σχετίζονται με το </w:t>
      </w:r>
      <w:proofErr w:type="spellStart"/>
      <w:r w:rsidR="00F70384" w:rsidRPr="005C4A71">
        <w:t>NextGenerationEU</w:t>
      </w:r>
      <w:proofErr w:type="spellEnd"/>
      <w:r w:rsidR="00F70384" w:rsidRPr="005C4A71">
        <w:t xml:space="preserve"> (NGEU), η εκτίμηση σχετικά με τη διαδικασία αποχώρησης του Ηνωμένου Βασιλείου και ο αντίκτυπος του επιθετικού πολέμου της Ρωσίας κατά της Ουκρανίας απεικονίζονται εύλογα στους ενοποιημένους ετήσιους λογαριασμούς·</w:t>
      </w:r>
    </w:p>
    <w:p w:rsidR="00F70384" w:rsidRPr="005C4A71" w:rsidRDefault="00F70384" w:rsidP="00F70384">
      <w:pPr>
        <w:spacing w:after="240"/>
        <w:rPr>
          <w:i/>
        </w:rPr>
      </w:pPr>
      <w:r w:rsidRPr="005C4A71">
        <w:rPr>
          <w:i/>
        </w:rPr>
        <w:t>Νομιμότητα και κανονικότητα των εσόδων της Ένωσης</w:t>
      </w:r>
    </w:p>
    <w:p w:rsidR="00F70384" w:rsidRPr="005C4A71" w:rsidRDefault="00E8367F" w:rsidP="00E8367F">
      <w:pPr>
        <w:pStyle w:val="NormalHanging12a"/>
        <w:widowControl/>
        <w:ind w:hanging="570"/>
      </w:pPr>
      <w:r w:rsidRPr="005C4A71">
        <w:t>29.</w:t>
      </w:r>
      <w:r w:rsidRPr="005C4A71">
        <w:tab/>
      </w:r>
      <w:r w:rsidR="00F70384" w:rsidRPr="005C4A71">
        <w:t>σημειώνει το συμπέρασμα του Ελεγκτικού Συνεδρίου ότι τα έσοδα της Ένωσης δεν περιέχουν ουσιώδη σφάλματα και ότι τα συστήματα διαχείρισης που εξέτασε το Ελεγκτικό Συνέδριο ήταν σε γενικές γραμμές αποτελεσματικά·</w:t>
      </w:r>
    </w:p>
    <w:p w:rsidR="00F70384" w:rsidRPr="005C4A71" w:rsidRDefault="00F70384" w:rsidP="00F70384">
      <w:pPr>
        <w:spacing w:after="240"/>
        <w:rPr>
          <w:i/>
        </w:rPr>
      </w:pPr>
      <w:r w:rsidRPr="005C4A71">
        <w:rPr>
          <w:i/>
        </w:rPr>
        <w:t>Νομιμότητα και κανονικότητα των δαπανών της Ένωσης</w:t>
      </w:r>
    </w:p>
    <w:p w:rsidR="00F70384" w:rsidRPr="005C4A71" w:rsidRDefault="00E8367F" w:rsidP="00E8367F">
      <w:pPr>
        <w:pStyle w:val="NormalHanging12a"/>
        <w:ind w:hanging="570"/>
      </w:pPr>
      <w:r w:rsidRPr="005C4A71">
        <w:t>30.</w:t>
      </w:r>
      <w:r w:rsidRPr="005C4A71">
        <w:tab/>
      </w:r>
      <w:r w:rsidR="00F70384" w:rsidRPr="005C4A71">
        <w:t>εκφράζει τη βαθιά λύπη του για την αρνητική γνώμη που εξέδωσε το Ελεγκτικό Συνέδριο για πέμπτο συνεχές έτος σχετικά με τη νομιμότητα και κανονικότητα των δαπανών του προϋπολογισμού της Ένωσης· θεωρεί ότι αυτό καθίσταται ολοένα και πιο προβληματικό, καθώς η Επιτροπή φαίνεται να μην είναι σε θέση ή να μην επιθυμεί να εντοπίσει την αιτία και να αντιμετωπίσει τα υποκείμενα ζητήματα· εκφράζει τη λύπη του για το γεγονός ότι η Επιτροπή δεν αποδέχεται ορισμένες συστάσεις του Ελεγκτικού Συνεδρίου· σημειώνει ειδικότερα τη σημασία της ενίσχυσης της δημοσιονομικής διαχείρισης της Επιτροπής και των κρατών μελών, την οποία το Ελεγκτικό Συνέδριο κρίνει ως μη αξιόπιστη και θεωρεί συνεπώς ότι θέτει σε κίνδυνο την αξιοπιστία της ετήσιας έκθεσης για τη διαχείριση και τις επιδόσεις· καλεί την Επιτροπή να υποβάλει σαφές σχέδιο δράσης για τη μείωση του ποσοστού σφάλματος εντός των επόμενων τεσσάρων μηνών· τονίζει ότι το Κοινοβούλιο θα ελέγχει δεόντως το εν λόγω σχέδιο δράσης·</w:t>
      </w:r>
    </w:p>
    <w:p w:rsidR="00F70384" w:rsidRPr="005C4A71" w:rsidRDefault="00E8367F" w:rsidP="00E8367F">
      <w:pPr>
        <w:pStyle w:val="NormalHanging12a"/>
        <w:ind w:hanging="570"/>
      </w:pPr>
      <w:r w:rsidRPr="005C4A71">
        <w:t>31.</w:t>
      </w:r>
      <w:r w:rsidRPr="005C4A71">
        <w:tab/>
      </w:r>
      <w:r w:rsidR="00F70384" w:rsidRPr="005C4A71">
        <w:t>εκφράζει σοβαρή ανησυχία για την εκτίμηση του Ελεγκτικού Συνεδρίου σχετικά με το επίπεδο σφάλματος 5,6 % στις δαπάνες του 2023· σημειώνει ότι το γεγονός αυτό συνιστά ταχύτερη επιδείνωση σε σύγκριση με τα προηγούμενα δύο έτη (4,2 % το 2022 και 3,0 % το 2021)· σημειώνει με ανησυχία ότι το Ελεγκτικό Συνέδριο εξακολουθεί να εντοπίζει σημαντικά ζητήματα στις δαπάνες που πραγματοποιούνται για την απόδοση εξόδων, όπου το εκτιμώμενο επίπεδο σφάλματος είναι 7,9 %· σημειώνει ότι οι επιπτώσεις των σφαλμάτων που εντόπισε το Ελεγκτικό Συνέδριο εκτιμάται ότι είναι ουσιώδεις και γενικευμένες· ζητεί να ενισχυθεί η δημοσιονομική διαχείριση της Επιτροπής, σύμφωνα με τις συστάσεις που διατύπωσε το Ελεγκτικό Συνέδριο στις ετήσιες και ειδικές εκθέσεις του, προκειμένου να αντιμετωπιστεί αποφασιστικά το υψηλό ποσοστό σφάλματος κατά τα επόμενα έτη· υπογραμμίζει την προειδοποίηση του Ελεγκτικού Συνεδρίου ότι η αύξηση του ευρωπαϊκού χρέους ασκεί αυξανόμενη πίεση στον προϋπολογισμό της Ένωσης·</w:t>
      </w:r>
    </w:p>
    <w:p w:rsidR="00F70384" w:rsidRPr="005C4A71" w:rsidRDefault="00E8367F" w:rsidP="00E8367F">
      <w:pPr>
        <w:pStyle w:val="NormalHanging12a"/>
        <w:ind w:hanging="570"/>
      </w:pPr>
      <w:r w:rsidRPr="005C4A71">
        <w:t>32.</w:t>
      </w:r>
      <w:r w:rsidRPr="005C4A71">
        <w:tab/>
      </w:r>
      <w:r w:rsidR="00F70384" w:rsidRPr="005C4A71">
        <w:t>σημειώνει ότι η Επιτροπή, στην ετήσια έκθεσή της για τη διαχείριση και τις επιδόσεις, κατηγοριοποιεί τις δαπάνες σε κατηγορίες υψηλότερου, μεσαίου και χαμηλότερου κινδύνου, προκειμένου να εστιάσει τη δράση της σε τομείς υψηλού κινδύνου, ενώ το Ελεγκτικό Συνέδριο χρησιμοποιεί μόνο δύο κατηγορίες κινδύνου για να εκδώσει γνώμη σχετικά με τη νομιμότητα και κανονικότητα των δαπανών· εκφράζει ανησυχία για το γεγονός ότι το έργο του Ελεγκτικού Συνεδρίου αποκάλυψε περιορισμούς στις εκ των υστέρων εργασίες της Επιτροπής, οι οποίοι, συνολικά, επηρεάζουν την αξιοπιστία της εκτίμησης επιπτώσεων της Επιτροπής· σημειώνει με ανησυχία ότι ένας από τους τομείς που επηρεάστηκαν περισσότερο ήταν ο τομέας «Συνοχή, ανθεκτικότητα και αξίες», όπου το Ελεγκτικό Συνέδριο εκτίμησε ότι η πλειονότητα των δαπανών ήταν υψηλού κινδύνου, ενώ η Επιτροπή κατέταξε μόνο μια μειονότητα κατ’ αυτόν τον τρόπο·</w:t>
      </w:r>
    </w:p>
    <w:p w:rsidR="00F70384" w:rsidRPr="005C4A71" w:rsidRDefault="00E8367F" w:rsidP="00E8367F">
      <w:pPr>
        <w:pStyle w:val="NormalHanging12a"/>
        <w:ind w:hanging="570"/>
      </w:pPr>
      <w:r w:rsidRPr="005C4A71">
        <w:t>33.</w:t>
      </w:r>
      <w:r w:rsidRPr="005C4A71">
        <w:tab/>
      </w:r>
      <w:r w:rsidR="00F70384" w:rsidRPr="005C4A71">
        <w:t>επαναλαμβάνει τις ανησυχίες του για την παρατήρηση του Ελεγκτικού Συνεδρίου ότι η εκτίμηση κινδύνου της Επιτροπής είναι πιθανό να υποεκτιμά το επίπεδο κινδύνου σε διάφορους τομείς· εκφράζει επίσης την ανησυχία του για τις επαναλαμβανόμενες αδυναμίες που εντόπισε το Ελεγκτικό Συνέδριο στα συστήματα διαχείρισης και ελέγχου των κρατών μελών, τα οποία εξακολουθούν να μην προλαμβάνουν ή να εντοπίζουν παρατυπίες στον τομέα 2, γεγονός που περιορίζει την αξιοπιστία που μπορεί να αποδοθεί στο έργο τους, ενώ τα ποσοστά σφάλματος της Επιτροπής εξακολουθούν να βασίζονται σε αυτά τα εθνικά συστήματα, τα οποία δεν λειτουργούν αποτελεσματικά·</w:t>
      </w:r>
    </w:p>
    <w:p w:rsidR="00F70384" w:rsidRPr="005C4A71" w:rsidRDefault="00E8367F" w:rsidP="00E8367F">
      <w:pPr>
        <w:pStyle w:val="NormalHanging12a"/>
        <w:widowControl/>
        <w:ind w:hanging="570"/>
      </w:pPr>
      <w:r w:rsidRPr="005C4A71">
        <w:t>34.</w:t>
      </w:r>
      <w:r w:rsidRPr="005C4A71">
        <w:tab/>
      </w:r>
      <w:r w:rsidR="00F70384" w:rsidRPr="005C4A71">
        <w:t>σημειώνει ότι η αύξηση οφείλεται κυρίως στο εκτιμώμενο επίπεδο σφάλματος στον τομέα 2 του ΠΔΠ (Συνοχή, ανθεκτικότητα και αξίες), όπου το Ελεγκτικό Συνέδριο διαπίστωσε ότι το 9,3 % των δαπανών παραβιάζει τους κανόνες και τους κανονισμούς της Ένωσης· υπενθυμίζει τα υποκείμενα ζητήματα που αναφέρει το Ελεγκτικό Συνέδριο και τα οποία είναι γνωστά εδώ και αρκετά χρόνια·</w:t>
      </w:r>
    </w:p>
    <w:p w:rsidR="00F70384" w:rsidRPr="005C4A71" w:rsidRDefault="00E8367F" w:rsidP="00E8367F">
      <w:pPr>
        <w:pStyle w:val="NormalHanging12a"/>
        <w:ind w:hanging="570"/>
      </w:pPr>
      <w:r w:rsidRPr="005C4A71">
        <w:t>35.</w:t>
      </w:r>
      <w:r w:rsidRPr="005C4A71">
        <w:tab/>
      </w:r>
      <w:r w:rsidR="00F70384" w:rsidRPr="005C4A71">
        <w:t>υπογραμμίζει ότι το εκτιμώμενο επίπεδο σφάλματος στις δαπάνες της Ένωσης, όπως παρουσιάζεται στη δήλωση αξιοπιστίας του Ελεγκτικού Συνεδρίου, αποτελεί εκτίμηση των ποσών που δεν θα έπρεπε να είχαν καταβληθεί διότι δεν χρησιμοποιήθηκαν σύμφωνα με τους ισχύοντες κανόνες και κανονισμούς· θεωρεί ότι, αν και δεν αποτελεί δείκτη απάτης ή διαφθοράς, το εκτιμώμενο επίπεδο σφάλματος αντιπροσωπεύει δαπάνες που χρήζουν διορθωτικών μέτρων και, κατ’ επέκταση, καταδεικνύει σπατάλη πόρων· εκφράζει τη λύπη του για το γεγονός ότι, ενώ η κατάσταση αυτή αποτελεί πρόβλημα από μόνη της, επιπλέον δημιουργεί αρνητική εντύπωση στους πολίτες, και μπορεί ακόμη και να θέσει υπό αμφισβήτηση την ικανότητα της Επιτροπής να προστατεύει αποτελεσματικά τα οικονομικά συμφέροντα της Ένωσης·</w:t>
      </w:r>
    </w:p>
    <w:p w:rsidR="00F70384" w:rsidRPr="005C4A71" w:rsidRDefault="00E8367F" w:rsidP="00E8367F">
      <w:pPr>
        <w:pStyle w:val="NormalHanging12a"/>
        <w:ind w:hanging="570"/>
      </w:pPr>
      <w:r w:rsidRPr="005C4A71">
        <w:t>36.</w:t>
      </w:r>
      <w:r w:rsidRPr="005C4A71">
        <w:tab/>
      </w:r>
      <w:r w:rsidR="00F70384" w:rsidRPr="005C4A71">
        <w:t>σημειώνει με ανησυχία ότι η εκτίμηση της ίδιας της Επιτροπής για τον κίνδυνο κατά την πληρωμή είναι μόλις 1,9 % για το 2023 και βρίσκεται στο επίπεδο αυτό από το 2020· σημειώνει ότι η Επιτροπή εκτιμά ότι η ικανότητά της να διορθώνει και να ανακτά παράτυπες δαπάνες κατά την υλοποίηση των σχετικών προγραμμάτων ανέρχεται στο 1,0 %, το οποίο σημαίνει ότι ο κίνδυνος κατά το κλείσιμο ανέρχεται στο 0,9 %· εκφράζει την ανησυχία του για το γεγονός ότι, φέτος, για άλλη μια φορά η εκτίμηση της Επιτροπής για τον κίνδυνο κατά την πληρωμή δεν είναι μόνο χαμηλότερη από το εκτιμώμενο από το Ελεγκτικό Συνέδριο επίπεδο σφάλματος 5,6 %, αλλά είναι επίσης χαμηλότερη από το εύρος 4,4 % έως 6,8 % που ορίζει το Ελεγκτικό Συνέδριο· επισημαίνει ότι η απόκλιση μεταξύ του συνολικού ποσοστού σφάλματος του Ελεγκτικού Συνεδρίου και της εκτίμησης της Επιτροπής για τον κίνδυνο κατά την πληρωμή είναι επίσης εμφανής σε συγκεκριμένους τομείς δαπανών, ιδίως στον τομέα 2, ακόμη περισσότερο από ό,τι στο παρελθόν· επιδοκιμάζει την εκτίμηση του Ελεγκτικού Συνεδρίου όσον αφορά το επίπεδο σφάλματος ως σημαντικό δείκτη για τους υπάρχοντες κινδύνους·</w:t>
      </w:r>
    </w:p>
    <w:p w:rsidR="00F70384" w:rsidRPr="005C4A71" w:rsidRDefault="00E8367F" w:rsidP="00E8367F">
      <w:pPr>
        <w:pStyle w:val="NormalHanging12a"/>
        <w:widowControl/>
        <w:ind w:hanging="570"/>
      </w:pPr>
      <w:r w:rsidRPr="005C4A71">
        <w:t>37.</w:t>
      </w:r>
      <w:r w:rsidRPr="005C4A71">
        <w:tab/>
      </w:r>
      <w:r w:rsidR="00F70384" w:rsidRPr="005C4A71">
        <w:t>σημειώνει την πολυετή προοπτική του κινδύνου της Επιτροπής κατά το κλείσιμο, καθώς οι διορθώσεις και οι ανακτήσεις μετά το τέλος του έτους δεν αντικατοπτρίζονται στην εκτίμηση του Ελεγκτικού Συνεδρίου για το επίπεδο σφάλματος· εκφράζει, ωστόσο, τη λύπη του για τη σύγχυση που προκαλεί η παρουσίαση του κινδύνου κατά την πληρωμή από την Επιτροπή·</w:t>
      </w:r>
    </w:p>
    <w:p w:rsidR="00F70384" w:rsidRPr="005C4A71" w:rsidRDefault="00E8367F" w:rsidP="00E8367F">
      <w:pPr>
        <w:pStyle w:val="NormalHanging12a"/>
        <w:ind w:hanging="570"/>
      </w:pPr>
      <w:r w:rsidRPr="005C4A71">
        <w:t>38.</w:t>
      </w:r>
      <w:r w:rsidRPr="005C4A71">
        <w:tab/>
      </w:r>
      <w:r w:rsidR="00F70384" w:rsidRPr="005C4A71">
        <w:t>υπενθυμίζει τις θέσεις που εκφράστηκαν στο ψήφισμα απαλλαγής για το 2022 και τις ανταλλαγές απόψεων στις ακροάσεις απαλλαγής για το οικονομικό έτος 2023 σχετικά με τις αποκλίνουσες μεθοδολογίες και εκτιμήσεις μεταξύ του Ελεγκτικού Συνεδρίου και της Επιτροπής όσον αφορά τα σφάλματα που διαπράττονται στις δαπάνες της Ένωσης· σημειώνει ειδικότερα ότι το ποσοστό σφάλματος του Ελεγκτικού Συνεδρίου βασίζεται σε στατιστικό δείγμα, ενώ η εκτίμηση της Επιτροπής για τον κίνδυνο κατά την πληρωμή συνάγεται σε μεγάλο βαθμό από τα ποσοστά σφάλματος που αναφέρουν οι εθνικές ελεγκτικές αρχές στα κράτη μέλη και υπολογίζεται μόνο μετά τις διορθώσεις και τις επιστροφές· υπενθυμίζει ότι το ποσοστό σφάλματος του Ελεγκτικού Συνεδρίου περιλαμβάνει τα σφάλματα που δεν εντοπίστηκαν από τα κράτη μέλη και την Επιτροπή, γεγονός που καταδεικνύει ότι τα ποσοστά σφάλματος της Επιτροπής συνιστούν υποεκτίμηση· σημειώνει με ανησυχία τη διεύρυνση του χάσματος μεταξύ των εκτιμήσεων του Ελεγκτικού Συνεδρίου και της Επιτροπής· σημειώνει περαιτέρω ότι η Επιτροπή και το Ελεγκτικό Συνέδριο διοργανώνουν κοινά εργαστήρια για το θέμα αυτό· σημειώνει ότι το Ελεγκτικό Συνέδριο ευθυγράμμισε πρόσφατα τη μεθοδολογία του για τις δημόσιες συμβάσεις στους αποκεντρωμένους οργανισμούς με τη μεθοδολογία της Επιτροπής· επαναλαμβάνει την υποστήριξή του στην προσέγγιση και τη μεθοδολογία ανεξάρτητου ελέγχου του Ελεγκτικού Συνεδρίου και καλεί την Επιτροπή να συνεργαστεί με το Ελεγκτικό Συνέδριο με σκοπό την ενίσχυση της εναρμόνισης και την παροχή πιο συγκρίσιμων εκτιμήσεων του επιπέδου σφάλματος·</w:t>
      </w:r>
    </w:p>
    <w:p w:rsidR="00F70384" w:rsidRPr="005C4A71" w:rsidRDefault="00E8367F" w:rsidP="00E8367F">
      <w:pPr>
        <w:pStyle w:val="NormalHanging12a"/>
        <w:widowControl/>
        <w:ind w:hanging="570"/>
      </w:pPr>
      <w:r w:rsidRPr="005C4A71">
        <w:t>39.</w:t>
      </w:r>
      <w:r w:rsidRPr="005C4A71">
        <w:tab/>
      </w:r>
      <w:r w:rsidR="00F70384" w:rsidRPr="005C4A71">
        <w:t>υπενθυμίζει ότι η αρμόδια για την απαλλαγή αρχή χρειάζεται από δήλωση, από το Ελεγκτικό Συνέδριο, που βεβαιώνει την ακρίβεια των λογαριασμών και τη νομιμότητα και κανονικότητα των σχετικών πράξεων στο τέλος του έτους, προκειμένου να εκδώσει την απόφασή της σχετικά με την απαλλαγή για το εν λόγω έτος· σημειώνει ότι τα προγράμματα δαπανών της Ένωσης είναι πολυετή και ότι τα συστήματα διαχείρισης και ελέγχου τους καλύπτουν πολλά έτη, παρέχοντας τη δυνατότητα για διορθώσεις και ανακτήσεις μετά το τέλος του έτους·</w:t>
      </w:r>
    </w:p>
    <w:p w:rsidR="00F70384" w:rsidRPr="005C4A71" w:rsidRDefault="00E8367F" w:rsidP="00E8367F">
      <w:pPr>
        <w:pStyle w:val="NormalHanging12a"/>
        <w:ind w:hanging="570"/>
      </w:pPr>
      <w:r w:rsidRPr="005C4A71">
        <w:t>40.</w:t>
      </w:r>
      <w:r w:rsidRPr="005C4A71">
        <w:tab/>
      </w:r>
      <w:r w:rsidR="00F70384" w:rsidRPr="005C4A71">
        <w:t>υπενθυμίζει ότι η Επιτροπή είναι υπεύθυνη για την πρόληψη και τον εντοπισμό της απάτης· σημειώνει ότι το Ελεγκτικό Συνέδριο, κατά την άσκηση της εντολής του, υποχρεούται να αναφέρει κάθε περίπτωση παρατυπίας· σημειώνει ότι το Ελεγκτικό Συνέδριο διαβιβάζει στην Ευρωπαϊκή Εισαγγελία τις υπόνοιες για ποινικά αδικήματα που εμπίπτουν στις αρμοδιότητές της και στην OLAF τις υπόνοιες για απάτη, διαφθορά ή άλλη παράνομη δραστηριότητα εις βάρος των οικονομικών συμφερόντων της Ένωσης· σημειώνει ότι το 2023 το Ελεγκτικό Συνέδριο ανέφερε στην OLAF 20 περιπτώσεις εικαζόμενης απάτης και, παράλληλα, ανέφερε 12 από αυτές τις υποθέσεις στην Ευρωπαϊκή Εισαγγελία, με αποτέλεσμα να έχουν κινηθεί μέχρι στιγμής τέσσερις έρευνες της OLAF και εννέα έρευνες της Ευρωπαϊκής Εισαγγελίας· συγχαίρει το Ελεγκτικό Συνέδριο για την αναφορά υποθέσεων παρατυπιών στην OLAF και την Ευρωπαϊκή Εισαγγελία, δεδομένου ότι οι πληροφορίες που προκύπτουν από τις ελεγκτικές αποστολές έχουν συνήθως υψηλό βαθμό αξιοπιστίας· υπενθυμίζει, στο πλαίσιο αυτό, τον κεντρικό ρόλο που διαδραματίζει ολόκληρο το ενωσιακό σύστημα καταπολέμησης της απάτης και εκφράζει ανησυχίες σχετικά με την άρνηση ορισμένων κρατών μελών να συνεργαστούν με ένα από τα στοιχεία της, την Ευρωπαϊκή Εισαγγελία·</w:t>
      </w:r>
    </w:p>
    <w:p w:rsidR="00F70384" w:rsidRPr="005C4A71" w:rsidRDefault="00F70384" w:rsidP="00F70384">
      <w:pPr>
        <w:spacing w:after="240"/>
        <w:rPr>
          <w:i/>
        </w:rPr>
      </w:pPr>
      <w:r w:rsidRPr="005C4A71">
        <w:rPr>
          <w:i/>
        </w:rPr>
        <w:t xml:space="preserve">Δημοσιονομική και χρηματοοικονομική διαχείριση </w:t>
      </w:r>
    </w:p>
    <w:p w:rsidR="00F70384" w:rsidRPr="005C4A71" w:rsidRDefault="00E8367F" w:rsidP="00E8367F">
      <w:pPr>
        <w:pStyle w:val="NormalHanging12a"/>
        <w:widowControl/>
        <w:ind w:hanging="570"/>
      </w:pPr>
      <w:r w:rsidRPr="005C4A71">
        <w:t>41.</w:t>
      </w:r>
      <w:r w:rsidRPr="005C4A71">
        <w:tab/>
      </w:r>
      <w:r w:rsidR="00F70384" w:rsidRPr="005C4A71">
        <w:t>σημειώνει ότι το 2023 χρησιμοποιήθηκε το 98,9 % των διαθέσιμων πιστώσεων αναλήψεων υποχρεώσεων (184,4 δισεκατομμύρια EUR από τα 186,5 δισεκατομμύρια EUR)· σημειώνει ότι οι διαθέσιμες πιστώσεις ήταν υψηλότερες από το ανώτατο όριο του ΠΔΠ των 182,7 δισεκατομμυρίων EUR εξαιτίας της χρήσης ειδικών μέσων για νέα ή απρόβλεπτα γεγονότα· σημειώνει ότι χρησιμοποιήθηκε το 90,0 % των πιστώσεων πληρωμών (162,0 δισεκατομμύρια EUR από τα διαθέσιμα 165,2 δισεκατομμύρια EUR)·</w:t>
      </w:r>
    </w:p>
    <w:p w:rsidR="00F70384" w:rsidRPr="005C4A71" w:rsidRDefault="00E8367F" w:rsidP="00E8367F">
      <w:pPr>
        <w:pStyle w:val="NormalHanging12a"/>
        <w:widowControl/>
        <w:ind w:hanging="570"/>
      </w:pPr>
      <w:r w:rsidRPr="005C4A71">
        <w:t>42.</w:t>
      </w:r>
      <w:r w:rsidRPr="005C4A71">
        <w:tab/>
      </w:r>
      <w:r w:rsidR="00F70384" w:rsidRPr="005C4A71">
        <w:t>σημειώνει με ανησυχία ότι οι συνολικές εκκρεμείς αναλήψεις υποχρεώσεων, οι οποίες αντιπροσωπεύουν μελλοντικά χρέη εάν δεν αποδεσμευτούν, έφθασαν στο πρωτοφανές υψηλό επίπεδο των 543 δισεκατομμυρίων EUR (2022: 450 δισεκατομμύρια EUR)· σημειώνει ότι η Επιτροπή προβλέπει μείωση από το 2025 έως το 2029, όταν θα πρέπει να καταβληθούν τα δεσμευμένα ποσά τόσο για το NGEU όσο και για την περίοδο προγραμματισμού 2021-2027· σημειώνει, ωστόσο, ότι τα πραγματικά ποσά για το 2023 (543 δισεκατομμύρια EUR) είναι πολύ υψηλότερα από το προβλεπόμενο ποσό (490 δισεκατομμύρια EUR), γεγονός που θέτει υπό αμφισβήτηση τις εκτιμήσεις της Επιτροπής·</w:t>
      </w:r>
    </w:p>
    <w:p w:rsidR="00F70384" w:rsidRPr="005C4A71" w:rsidRDefault="00E8367F" w:rsidP="00E8367F">
      <w:pPr>
        <w:pStyle w:val="NormalHanging12a"/>
        <w:ind w:hanging="570"/>
      </w:pPr>
      <w:r w:rsidRPr="005C4A71">
        <w:t>43.</w:t>
      </w:r>
      <w:r w:rsidRPr="005C4A71">
        <w:tab/>
      </w:r>
      <w:r w:rsidR="00F70384" w:rsidRPr="005C4A71">
        <w:t>υπενθυμίζει ότι ο χρόνος που διατίθεται για την εκτέλεση των υπό επιμερισμένη διαχείριση ταμείων στο πλαίσιο του ΠΔΠ 2021-2027 είναι λιγότερος σε σχέση με τα προηγούμενα ΠΔΠ λόγω του κανόνα ν+2 για το τελευταίο έτος, κάτι το οποίο, σε συνδυασμό με το υψηλό υπόλοιπο προς εκκαθάριση, θα οδηγήσει σε αύξηση του κινδύνου αποδεσμεύσεων· σημειώνει την παρατήρηση του Ελεγκτικού Συνεδρίου ότι η Επιτροπή αύξησε το προβλεπόμενο ποσό των αποδεσμεύσεων από 7,6 δισεκατομμύρια EUR για την περίοδο 2023-2027 σε 8,1 δισεκατομμύρια EUR για την περίοδο 2024-2027, και σε 8,8 δισεκατομμύρια EUR για την περίοδο 2025-2027, ήτοι αύξηση κατά 15 % σε 2 έτη· υπογραμμίζει με ανησυχία ότι η Επιτροπή έχει υποεκτιμήσει τις προβλέψεις της για το υπόλοιπο προς εκκαθάριση τα τελευταία δύο έτη και, κατά συνέπεια, πιθανότατα υποεκτιμά το ποσό των αποδεσμεύσεων που θα πραγματοποιηθούν έως το 2027· σημειώνει τη θέσπιση του μηχανισμού κλιμακωτής χρηματοδότησης μετά την ενδιάμεση επανεξέταση του ΠΔΠ 2021-2027 και το κίνητρο για τη χρήση αποδεσμευμένων ποσών για την κάλυψη του αυξημένου κόστους των τόκων για τα ποσά που δανείζεται η Επιτροπή για το NGEU·</w:t>
      </w:r>
    </w:p>
    <w:p w:rsidR="00F70384" w:rsidRPr="005C4A71" w:rsidRDefault="00E8367F" w:rsidP="00E8367F">
      <w:pPr>
        <w:pStyle w:val="NormalHanging12a"/>
        <w:ind w:hanging="570"/>
      </w:pPr>
      <w:r w:rsidRPr="005C4A71">
        <w:t>44.</w:t>
      </w:r>
      <w:r w:rsidRPr="005C4A71">
        <w:tab/>
      </w:r>
      <w:r w:rsidR="00F70384" w:rsidRPr="005C4A71">
        <w:t xml:space="preserve">σημειώνει ότι οι τελευταίες μακροπρόθεσμες προβλέψεις πληρωμών που κατάρτισε η Επιτροπή προβλέπουν σημαντικές αποδεσμεύσεις από το 2027, εκτός εάν τα κράτη μέλη καταβάλουν πρόσθετες προσπάθειες και πετύχουν πολύ υψηλότερο ποσοστό εκτέλεσης από ό,τι κατά την περίοδο 2014-2020· σημειώνει ότι, όσον αφορά τα ταμεία της πολιτικής συνοχής ΤΣ, ΕΤΠΑ και ΕΚΤ+, η Επιτροπή προέβλεψε ότι οι συνολικές αποδεσμεύσεις για την περίοδο 2024-2027 θα ανέλθουν σε 2,2 δισεκατομμύρια EUR, δηλαδή ότι θα είναι </w:t>
      </w:r>
      <w:proofErr w:type="spellStart"/>
      <w:r w:rsidR="00F70384" w:rsidRPr="005C4A71">
        <w:t>υπερπενταπλάσιες</w:t>
      </w:r>
      <w:proofErr w:type="spellEnd"/>
      <w:r w:rsidR="00F70384" w:rsidRPr="005C4A71">
        <w:t xml:space="preserve"> των αντίστοιχων προβλέψεων του 2022, που ανέφεραν 0,4 δισεκατομμύρια EUR· προειδοποιεί ότι, όσον αφορά το Ταμείο Δίκαιης Μετάβασης (ΤΔΜ), το χαμηλό ποσοστό εκτέλεσης το 2023 θέτει σε κίνδυνο σημαντικά ποσά από το 2025 και μετά· καλεί την Επιτροπή και τα κράτη μέλη να αξιοποιήσουν όλες τις διαθέσιμες δυνατότητες για να αποφύγουν τις αποδεσμεύσεις·</w:t>
      </w:r>
    </w:p>
    <w:p w:rsidR="00F70384" w:rsidRPr="005C4A71" w:rsidRDefault="00E8367F" w:rsidP="00E8367F">
      <w:pPr>
        <w:pStyle w:val="NormalHanging12a"/>
        <w:widowControl/>
        <w:ind w:hanging="570"/>
      </w:pPr>
      <w:r w:rsidRPr="005C4A71">
        <w:t>45.</w:t>
      </w:r>
      <w:r w:rsidRPr="005C4A71">
        <w:tab/>
      </w:r>
      <w:r w:rsidR="00F70384" w:rsidRPr="005C4A71">
        <w:t>σημειώνει με ανησυχία ότι το χρέος της Ένωσης αυξήθηκε από 344,3 δισεκατομμύρια EUR το 2022 σε 458,5 δισεκατομμύρια EUR το 2023, εκ των οποίων το 60 % σχετίζεται με το NGEU· σημειώνει ότι μόνο για το χρέος που εκδίδεται για το NGEU, το σχετικό κόστος των τόκων πρέπει να καλύπτεται απευθείας από τον προϋπολογισμό της Ένωσης και ότι, λόγω των αυξημένων επιτοκίων, το εν λόγω κόστος για το τρέχον ΠΔΠ (έως το τέλος του 2027) εκτιμάται ότι είναι κατά 17 έως 27 δισεκατομμύρια EUR υψηλότερο από το αρχικά προβλεπόμενο ποσό των 14,9 δισεκατομμυρίων EUR·</w:t>
      </w:r>
    </w:p>
    <w:p w:rsidR="00F70384" w:rsidRPr="005C4A71" w:rsidRDefault="00E8367F" w:rsidP="00E8367F">
      <w:pPr>
        <w:pStyle w:val="NormalHanging12a"/>
        <w:ind w:hanging="570"/>
      </w:pPr>
      <w:r w:rsidRPr="005C4A71">
        <w:t>46.</w:t>
      </w:r>
      <w:r w:rsidRPr="005C4A71">
        <w:tab/>
      </w:r>
      <w:r w:rsidR="00F70384" w:rsidRPr="005C4A71">
        <w:t>σημειώνει με ανησυχία ότι το συνολικό άνοιγμα του προϋπολογισμού της Ένωσης λόγω εγγυήσεων και ενδεχόμενων υποχρεώσεων για δάνεια αυξήθηκε σε 298,0 δισεκατομμύρια EUR· σημειώνει ότι οι παραδοχές σχετικά με τα επιτόκια στην κεφαλαιαγορά θα πρέπει να είναι συντηρητικές, τόσο για το υφιστάμενο όσο και για το νέο χρέος, και ότι και για τις δύο κατηγορίες απαιτείται ένα βιώσιμο σχέδιο αποπληρωμής· σημειώνει ότι το Ελεγκτικό Συνέδριο έλαβε πληροφορίες από την Επιτροπή που δείχνουν ότι το άνοιγμα θα αυξηθεί σταθερά τα επόμενα έτη, με αποτέλεσμα να ασκείται πρόσθετη πίεση στο περιθώριο του προϋπολογισμού και να περιοριστεί περαιτέρω η ευελιξία του προϋπολογισμού της Ένωσης· υποστηρίζει τις συστάσεις του Ελεγκτικού Συνεδρίου προς την Επιτροπή να αναλάβει πιο προορατική δράση για να διασφαλίσει ότι τα εργαλεία μετριασμού της (όπως το κοινό ταμείο προβλέψεων) διαθέτουν επαρκή ικανότητα, καθώς και να εξασφαλίζει μεγαλύτερη διαφάνεια κατά την υποβολή στοιχείων σχετικά με τη συνολικό ετήσιο άνοιγμα του προϋπολογισμού, δημοσιοποιώντας την εκτίμησή της·</w:t>
      </w:r>
    </w:p>
    <w:p w:rsidR="00F70384" w:rsidRPr="005C4A71" w:rsidRDefault="00E8367F" w:rsidP="00E8367F">
      <w:pPr>
        <w:pStyle w:val="NormalHanging12a"/>
        <w:ind w:hanging="570"/>
      </w:pPr>
      <w:r w:rsidRPr="005C4A71">
        <w:t>47.</w:t>
      </w:r>
      <w:r w:rsidRPr="005C4A71">
        <w:tab/>
      </w:r>
      <w:r w:rsidR="00F70384" w:rsidRPr="005C4A71">
        <w:t>σημειώνει με ανησυχία ότι το Ελεγκτικό Συνέδριο, στην ειδική έκθεσή του αριθ. 07/2024</w:t>
      </w:r>
      <w:r w:rsidR="00F70384" w:rsidRPr="005C4A71">
        <w:rPr>
          <w:vertAlign w:val="superscript"/>
        </w:rPr>
        <w:footnoteReference w:id="109"/>
      </w:r>
      <w:r w:rsidR="00F70384" w:rsidRPr="005C4A71">
        <w:t>, παρατήρησε ότι σημαντικό ποσοστό των ενταλμάτων είσπραξης που εκδόθηκαν μεταξύ του 2014 και του 2022 εξακολουθούσαν να εκκρεμούν κατά τον χρόνο του ελέγχου· σημειώνει περαιτέρω ότι η Επιτροπή, στις απαντήσεις της στις γραπτές ερωτήσεις της Επιτροπής Ελέγχου του Προϋπολογισμού (επιτροπή CONT) του Κοινοβουλίου για την απαλλαγή για το 2023, αναφέρει ότι υπάρχουν 1 357 ληξιπρόθεσμα εντάλματα είσπραξης για συνολικό ανεξόφλητο ποσό περίπου 335 εκατομμυρίων EUR για την περίοδο 2014-2023· καλεί την Επιτροπή να δώσει προτεραιότητα στη συλλογή ποσών στο πλαίσιο καθυστερημένων εντολών ανάκτησης και να τηρεί ενήμερη την Επιτροπή Ελέγχου του Προϋπολογισμού σχετικά με την πρόοδο που σημειώνεται·</w:t>
      </w:r>
    </w:p>
    <w:p w:rsidR="00F70384" w:rsidRPr="005C4A71" w:rsidRDefault="00E8367F" w:rsidP="00E8367F">
      <w:pPr>
        <w:pStyle w:val="NormalHanging12a"/>
        <w:ind w:hanging="570"/>
      </w:pPr>
      <w:r w:rsidRPr="005C4A71">
        <w:t>48.</w:t>
      </w:r>
      <w:r w:rsidRPr="005C4A71">
        <w:tab/>
      </w:r>
      <w:r w:rsidR="00F70384" w:rsidRPr="005C4A71">
        <w:t>επισημαίνει ότι η ισότητα είναι θεμελιώδης αξία της Ένωσης και κατοχυρώνεται στον Χάρτη των Θεμελιωδών Δικαιωμάτων της Ευρωπαϊκής Ένωσης· υπενθυμίζει τη δέσμευση της Ένωσης για ενσωμάτωση της διάστασης του φύλου στη χάραξη πολιτικής και στην εκτέλεση των κονδυλίων της Ένωσης, συμπεριλαμβανομένης της συνεκτίμησης της διάστασης του φύλου στον προϋπολογισμό· ενθαρρύνει την Επιτροπή να συνεχίσει τις προσπάθειες που καταβάλλονται για τη συνεκτίμηση της διάστασης του φύλου στον προϋπολογισμό και την παρακολούθηση του αντικτύπου του προϋπολογισμού της Ένωσης για την προώθηση της ισότητας των φύλων· υπενθυμίζει την υποχρέωση της Επιτροπής να συνοδεύει όλες τις νομοθετικές προτάσεις με εκτίμηση επιπτώσεων όταν προβλέπεται να έχουν σημαντικό οικονομικό, κοινωνικό και περιβαλλοντικό αντίκτυπο, προκειμένου να διασφαλίζεται, μεταξύ άλλων, η δίκαιη κατανομή των κονδυλίων·</w:t>
      </w:r>
    </w:p>
    <w:p w:rsidR="00F70384" w:rsidRDefault="00E8367F" w:rsidP="00E8367F">
      <w:pPr>
        <w:pStyle w:val="NormalHanging12a"/>
        <w:ind w:hanging="570"/>
      </w:pPr>
      <w:r>
        <w:t>49.</w:t>
      </w:r>
      <w:r>
        <w:tab/>
      </w:r>
      <w:r w:rsidR="00F70384" w:rsidRPr="005C4A71">
        <w:t>σημειώνει ότι η αναθεώρηση της διοργανικής συμφωνίας για το Μητρώο Διαφάνειας αναμένεται να πραγματοποιηθεί έως τον Ιούλιο του 2025· καλεί την Επιτροπή να διασφαλίσει ότι η διαδικασία είναι όσο το δυνατόν πιο ανοικτή, να ευθυγραμμίσει τις απαιτήσεις χρηματοοικονομικής αναφοράς σε όλες τις κατηγορίες εγγεγραμμένων (συμπεριλαμβανομένων των πηγών χρηματοδότησης και των προϋπολογισμών για την άσκηση πίεσης), καθώς και να αντιμετωπίσει τον κίνδυνο που εντοπίστηκε στην ειδική έκθεση του Ελεγκτικού Συνεδρίου σχετικά με το Μητρώο Διαφάνειας της ΕΕ (05/2024) όσον αφορά τις υπεύθυνες δηλώσεις σχετικά με την κατηγορία εκπροσώπησης συμφερόντων· πιστεύει ότι, για να εφαρμοστούν οι συστάσεις του Ελεγκτικού Συνεδρίου, θα πρέπει να αυξηθούν οι πόροι της γραμματείας του Μητρώου Διαφάνειας·</w:t>
      </w:r>
    </w:p>
    <w:p w:rsidR="001B5954" w:rsidRPr="00E8367F" w:rsidRDefault="00E8367F" w:rsidP="00E8367F">
      <w:pPr>
        <w:pStyle w:val="NormalHanging12a"/>
        <w:ind w:hanging="570"/>
      </w:pPr>
      <w:r w:rsidRPr="00E8367F">
        <w:t>50.</w:t>
      </w:r>
      <w:r w:rsidRPr="00E8367F">
        <w:tab/>
      </w:r>
      <w:r w:rsidR="001B5954" w:rsidRPr="00E8367F">
        <w:t>υπενθυμίζει τα ακόλουθα πορίσματα της ειδικής έκθεσης αριθ. 11/2025 του Ελεγκτικού Συνεδρίου:</w:t>
      </w:r>
    </w:p>
    <w:p w:rsidR="008563DB" w:rsidRDefault="001B5954" w:rsidP="00E8367F">
      <w:pPr>
        <w:pStyle w:val="NormalHanging12a"/>
        <w:ind w:left="1134"/>
      </w:pPr>
      <w:r w:rsidRPr="00E8367F">
        <w:t>i)</w:t>
      </w:r>
      <w:r>
        <w:tab/>
      </w:r>
      <w:r w:rsidRPr="00E8367F">
        <w:t>ότι οι οντότητες δεν χαρακτηρίζονται και δεν καταχωρούνται πάντοτε ως ΜΚΟ κατά τρόπο συνεκτικό και αξιόπιστο·</w:t>
      </w:r>
    </w:p>
    <w:p w:rsidR="001B5954" w:rsidRPr="00E8367F" w:rsidRDefault="001B5954" w:rsidP="00E8367F">
      <w:pPr>
        <w:pStyle w:val="NormalHanging12a"/>
        <w:ind w:left="1134"/>
      </w:pPr>
      <w:proofErr w:type="spellStart"/>
      <w:r w:rsidRPr="00E8367F">
        <w:t>ii</w:t>
      </w:r>
      <w:proofErr w:type="spellEnd"/>
      <w:r w:rsidRPr="00E8367F">
        <w:t>)</w:t>
      </w:r>
      <w:r w:rsidR="008563DB">
        <w:tab/>
      </w:r>
      <w:r w:rsidRPr="00E8367F">
        <w:t>ότι, μολονότι η διαδικασία επιχορήγησης είναι πιο εξορθολογισμένη, εξακολουθούν να υφίστανται ζητήματα που αφορούν την πληρότητα και την ακρίβεια των δεδομένων·</w:t>
      </w:r>
    </w:p>
    <w:p w:rsidR="001B5954" w:rsidRPr="00E8367F" w:rsidRDefault="001B5954" w:rsidP="00E8367F">
      <w:pPr>
        <w:pStyle w:val="NormalHanging12a"/>
        <w:ind w:left="1134"/>
      </w:pPr>
      <w:proofErr w:type="spellStart"/>
      <w:r w:rsidRPr="00E8367F">
        <w:t>iii</w:t>
      </w:r>
      <w:proofErr w:type="spellEnd"/>
      <w:r w:rsidRPr="00E8367F">
        <w:t>)</w:t>
      </w:r>
      <w:r>
        <w:tab/>
      </w:r>
      <w:r w:rsidRPr="00E8367F">
        <w:t>ότι η έλλειψη αξιόπιστης συνολικής εικόνας των δαπανών της Ένωσης σχετικά με τη χρηματοδότηση των ΜΚΟ αποτελεί πρόσκομμα για τη διεξαγωγή χρήσιμης ανάλυσης·</w:t>
      </w:r>
    </w:p>
    <w:p w:rsidR="001B5954" w:rsidRPr="00E8367F" w:rsidRDefault="001B5954" w:rsidP="00E8367F">
      <w:pPr>
        <w:pStyle w:val="NormalHanging12a"/>
        <w:ind w:left="1134"/>
      </w:pPr>
      <w:r w:rsidRPr="00E8367F">
        <w:t>iv)</w:t>
      </w:r>
      <w:r>
        <w:tab/>
      </w:r>
      <w:r w:rsidRPr="00E8367F">
        <w:t>ότι οι προσκλήσεις υποβολής προτάσεων στο δείγμα του Συνεδρίου ήταν διαφανείς·</w:t>
      </w:r>
    </w:p>
    <w:p w:rsidR="001B5954" w:rsidRPr="00E8367F" w:rsidRDefault="001B5954" w:rsidP="00E8367F">
      <w:pPr>
        <w:pStyle w:val="NormalHanging12a"/>
        <w:ind w:left="1134"/>
      </w:pPr>
      <w:r w:rsidRPr="00E8367F">
        <w:t>v)</w:t>
      </w:r>
      <w:r>
        <w:tab/>
      </w:r>
      <w:r w:rsidRPr="00E8367F">
        <w:t xml:space="preserve">ότι ο σεβασμός των αξιών της Ένωσης δεν επαληθεύεται κατά τρόπο </w:t>
      </w:r>
      <w:proofErr w:type="spellStart"/>
      <w:r w:rsidRPr="00E8367F">
        <w:t>προδραστικό</w:t>
      </w:r>
      <w:proofErr w:type="spellEnd"/>
      <w:r w:rsidRPr="00E8367F">
        <w:t>· και</w:t>
      </w:r>
    </w:p>
    <w:p w:rsidR="001B5954" w:rsidRPr="001B5954" w:rsidRDefault="001B5954" w:rsidP="00E8367F">
      <w:pPr>
        <w:pStyle w:val="NormalHanging12a"/>
        <w:ind w:left="1134"/>
      </w:pPr>
      <w:proofErr w:type="spellStart"/>
      <w:r w:rsidRPr="00E8367F">
        <w:t>vi</w:t>
      </w:r>
      <w:proofErr w:type="spellEnd"/>
      <w:r w:rsidRPr="00E8367F">
        <w:t>)</w:t>
      </w:r>
      <w:r>
        <w:tab/>
      </w:r>
      <w:r w:rsidRPr="00E8367F">
        <w:t>ότι οι πρακτικές όσον αφορά τη διαφάνεια ποικίλλουν σημαντικά στο δείγμα του Ελεγκτικού Συνεδρίου, με τις μεγαλύτερες ΜΚΟ να έχουν καλύτερες επιδόσεις· καλεί την Επιτροπή να εφαρμόσει πλήρως τις συστάσεις της ειδικής έκθεσης του Ελεγκτικού Συνεδρίου·</w:t>
      </w:r>
    </w:p>
    <w:p w:rsidR="00F70384" w:rsidRPr="005C4A71" w:rsidRDefault="00F70384" w:rsidP="00F70384">
      <w:pPr>
        <w:spacing w:after="240"/>
        <w:ind w:left="567" w:hanging="567"/>
        <w:rPr>
          <w:i/>
        </w:rPr>
      </w:pPr>
      <w:r w:rsidRPr="005C4A71">
        <w:rPr>
          <w:i/>
        </w:rPr>
        <w:t>Συστάσεις</w:t>
      </w:r>
    </w:p>
    <w:p w:rsidR="00F70384" w:rsidRPr="005C4A71" w:rsidRDefault="00E8367F" w:rsidP="00E8367F">
      <w:pPr>
        <w:spacing w:after="240"/>
        <w:ind w:left="567" w:hanging="573"/>
      </w:pPr>
      <w:r w:rsidRPr="005C4A71">
        <w:t>51.</w:t>
      </w:r>
      <w:r w:rsidRPr="005C4A71">
        <w:tab/>
      </w:r>
      <w:r w:rsidR="00F70384" w:rsidRPr="005C4A71">
        <w:t>υποστηρίζει σθεναρά τις συστάσεις του Ελεγκτικού Συνεδρίου στην ετήσια έκθεσή του σχετικά με την εκτέλεση του προϋπολογισμού για το οικονομικό έτος 2023 (ετήσια έκθεση για το οικονομικό έτος 2023)</w:t>
      </w:r>
      <w:r w:rsidR="00F70384" w:rsidRPr="005C4A71">
        <w:rPr>
          <w:rStyle w:val="FootnoteReference"/>
        </w:rPr>
        <w:footnoteReference w:id="110"/>
      </w:r>
      <w:r w:rsidR="00F70384" w:rsidRPr="005C4A71">
        <w:t>, καθώς και στις σχετικές ειδικές εκθέσεις· καλεί την Επιτροπή να τις εφαρμόσει χωρίς καθυστέρηση και να τηρεί ενήμερη την αρμόδια για την απαλλαγή αρχή σχετικά με την πρόοδο της εφαρμογής·</w:t>
      </w:r>
    </w:p>
    <w:p w:rsidR="00F70384" w:rsidRPr="005C4A71" w:rsidRDefault="00E8367F" w:rsidP="00E8367F">
      <w:pPr>
        <w:spacing w:after="240"/>
        <w:ind w:left="567" w:hanging="573"/>
      </w:pPr>
      <w:r w:rsidRPr="005C4A71">
        <w:t>52.</w:t>
      </w:r>
      <w:r w:rsidRPr="005C4A71">
        <w:tab/>
      </w:r>
      <w:r w:rsidR="00F70384" w:rsidRPr="005C4A71">
        <w:t>καλεί το Ελεγκτικό Συνέδριο να αναζητήσει τρόπους, από κοινού με την Επιτροπή, για να ευθυγραμμιστούν οι μεθοδολογίες τους για τον γενικό προϋπολογισμό, όπως στην περίπτωση των δημόσιων συμβάσεων για τους αποκεντρωμένους οργανισμούς, με σεβασμό προς τους διαφορετικούς τους ρόλους·</w:t>
      </w:r>
    </w:p>
    <w:p w:rsidR="00F70384" w:rsidRPr="005C4A71" w:rsidRDefault="00E8367F" w:rsidP="00E8367F">
      <w:pPr>
        <w:spacing w:after="240"/>
        <w:ind w:left="567" w:hanging="573"/>
      </w:pPr>
      <w:r w:rsidRPr="005C4A71">
        <w:t>53.</w:t>
      </w:r>
      <w:r w:rsidRPr="005C4A71">
        <w:tab/>
      </w:r>
      <w:r w:rsidR="00F70384" w:rsidRPr="005C4A71">
        <w:t>καλεί, ειδικότερα, την Επιτροπή:</w:t>
      </w:r>
    </w:p>
    <w:p w:rsidR="00F70384" w:rsidRPr="005C4A71" w:rsidRDefault="00F70384" w:rsidP="00F70384">
      <w:pPr>
        <w:pStyle w:val="NormalHanging12a"/>
        <w:widowControl/>
        <w:ind w:left="1287" w:hanging="720"/>
      </w:pPr>
      <w:r w:rsidRPr="005C4A71">
        <w:t>i)</w:t>
      </w:r>
      <w:r w:rsidRPr="005C4A71">
        <w:tab/>
        <w:t xml:space="preserve">να συνεχίσει να συνεργάζεται με το Ελεγκτικό Συνέδριο προκειμένου να ενισχυθεί η κατανόηση, η σύγκλιση και η </w:t>
      </w:r>
      <w:proofErr w:type="spellStart"/>
      <w:r w:rsidRPr="005C4A71">
        <w:t>συγκρισιμότητα</w:t>
      </w:r>
      <w:proofErr w:type="spellEnd"/>
      <w:r w:rsidRPr="005C4A71">
        <w:t xml:space="preserve"> των δύο προσεγγίσεων όσον αφορά τις αποκλίνουσες εκτιμήσεις σφαλμάτων στις δαπάνες της Ένωσης·</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χαρακτηρίσει τον αντίκτυπο των διορθωτικών μέτρων στο συνολικό επίπεδο σφάλματος·</w:t>
      </w:r>
    </w:p>
    <w:p w:rsidR="00F70384" w:rsidRPr="005C4A71" w:rsidRDefault="00F70384" w:rsidP="00F70384">
      <w:pPr>
        <w:pStyle w:val="NormalHanging12a"/>
        <w:widowControl/>
        <w:ind w:left="1287" w:hanging="720"/>
      </w:pPr>
      <w:proofErr w:type="spellStart"/>
      <w:r w:rsidRPr="005C4A71">
        <w:t>iii</w:t>
      </w:r>
      <w:proofErr w:type="spellEnd"/>
      <w:r w:rsidRPr="005C4A71">
        <w:t>)</w:t>
      </w:r>
      <w:r w:rsidRPr="005C4A71">
        <w:tab/>
        <w:t>να αναζητήσει τρόπους, από κοινού με το Ελεγκτικό Συνέδριο, για να ευθυγραμμιστούν οι μεθοδολογίες τους όσον αφορά την αξιολόγηση των σφαλμάτων στις δημόσιες συμβάσεις και την εκτίμηση του επιπέδου σφάλματος για τον γενικό προϋπολογισμό, όπως στην περίπτωση των δημόσιων συμβάσεων για τους αποκεντρωμένους οργανισμούς, με σεβασμό προς τους διαφορετικούς τους ρόλους·</w:t>
      </w:r>
    </w:p>
    <w:p w:rsidR="00F70384" w:rsidRPr="005C4A71" w:rsidRDefault="00F70384" w:rsidP="00F70384">
      <w:pPr>
        <w:pStyle w:val="NormalHanging12a"/>
        <w:widowControl/>
        <w:ind w:left="1287" w:hanging="720"/>
      </w:pPr>
      <w:r w:rsidRPr="005C4A71">
        <w:t>iv)</w:t>
      </w:r>
      <w:r w:rsidRPr="005C4A71">
        <w:tab/>
        <w:t>να παρουσιάσει στην αρμόδια για την απαλλαγή αρχή στρατηγική για την ενίσχυση της χρήσης των κονδυλίων για τον σκοπό για τον οποίο προορίζονται, την αύξηση της απορρόφησης και την πρόληψη των αποδεσμεύσεων, προκειμένου να μεγιστοποιηθεί η ενωσιακή προστιθέμενη αξία του προϋπολογισμού της Ένωσης·</w:t>
      </w:r>
    </w:p>
    <w:p w:rsidR="00F70384" w:rsidRPr="005C4A71" w:rsidRDefault="00F70384" w:rsidP="00F70384">
      <w:pPr>
        <w:pStyle w:val="NormalHanging12a"/>
        <w:widowControl/>
        <w:ind w:left="1287" w:hanging="720"/>
      </w:pPr>
      <w:r w:rsidRPr="005C4A71">
        <w:t>v)</w:t>
      </w:r>
      <w:r w:rsidRPr="005C4A71">
        <w:tab/>
        <w:t>να ενισχύσει την αξιοπιστία των προβλέψεων των εκκρεμών αναλήψεων υποχρεώσεων με ρεαλιστικότερη εκτίμηση της απορρόφησης των κονδυλίων της Ένωσης, ώστε να παρέχεται στην αρμόδια για την απαλλαγή αρχή καλύτερη πρόβλεψη για την εξέλιξη του υπολοίπου προς εκκαθάριση με την πάροδο των ετών και να προστατεύεται καλύτερα ο προϋπολογισμός της Ένωσης·</w:t>
      </w:r>
    </w:p>
    <w:p w:rsidR="00F70384" w:rsidRPr="005C4A71" w:rsidRDefault="00F70384" w:rsidP="00F70384">
      <w:pPr>
        <w:pStyle w:val="NormalHanging12a"/>
        <w:widowControl/>
        <w:ind w:left="1287" w:hanging="720"/>
      </w:pPr>
      <w:proofErr w:type="spellStart"/>
      <w:r w:rsidRPr="005C4A71">
        <w:t>vi</w:t>
      </w:r>
      <w:proofErr w:type="spellEnd"/>
      <w:r w:rsidRPr="005C4A71">
        <w:t>)</w:t>
      </w:r>
      <w:r w:rsidRPr="005C4A71">
        <w:tab/>
        <w:t>να παρέχει στοιχεία και να προβλέπει επαρκή μέτρα για την προστασία του προϋπολογισμού της Ένωσης από τους διάφορους κινδύνους που εντοπίζονται πέραν του υπολοίπου προς εκκαθάριση (RAL), όπως οι αποδεσμεύσεις στο πλαίσιο της πολιτικής συνοχής, το αυξανόμενο χρέος, το αυξανόμενο άνοιγμα του προϋπολογισμού και ο αντίκτυπος του αυξανόμενου πληθωρισμού·</w:t>
      </w:r>
    </w:p>
    <w:p w:rsidR="00F70384" w:rsidRPr="005C4A71" w:rsidRDefault="00F70384" w:rsidP="00F70384">
      <w:pPr>
        <w:pStyle w:val="NormalHanging12a"/>
        <w:widowControl/>
        <w:ind w:left="1287" w:hanging="720"/>
      </w:pPr>
      <w:proofErr w:type="spellStart"/>
      <w:r w:rsidRPr="005C4A71">
        <w:t>vii</w:t>
      </w:r>
      <w:proofErr w:type="spellEnd"/>
      <w:r w:rsidRPr="005C4A71">
        <w:t>)</w:t>
      </w:r>
      <w:r w:rsidRPr="005C4A71">
        <w:tab/>
        <w:t>να εξασφαλίζει πιο διαφανή υποβολή στοιχείων σχετικά με το συνολικό ετήσιο άνοιγμα του προϋπολογισμού, παρουσιάζοντας, στην ετήσια έκθεση για τη διαχείριση και τις επιδόσεις, πολυετείς προοπτικές σχετικά με το άνοιγμα του προϋπολογισμού της Ένωσης σε εγγυήσεις από τον προϋπολογισμό·</w:t>
      </w:r>
    </w:p>
    <w:p w:rsidR="00F70384" w:rsidRPr="005C4A71" w:rsidRDefault="00F70384" w:rsidP="00F70384">
      <w:pPr>
        <w:pStyle w:val="NormalHanging12a"/>
        <w:widowControl/>
        <w:ind w:left="1287" w:hanging="720"/>
      </w:pPr>
      <w:proofErr w:type="spellStart"/>
      <w:r w:rsidRPr="005C4A71">
        <w:t>viii</w:t>
      </w:r>
      <w:proofErr w:type="spellEnd"/>
      <w:r w:rsidRPr="005C4A71">
        <w:t>)</w:t>
      </w:r>
      <w:r w:rsidRPr="005C4A71">
        <w:tab/>
        <w:t xml:space="preserve">να απλοποιήσει σημαντικά τους κανόνες και τις διαδικασίες και να βελτιώσει τη βοήθεια και να διασφαλίσει συνεπείς και φιλικές προς τον χρήστη κατευθυντήριες γραμμές για τις ΜΜΕ, τους νέους αιτούντες, τους </w:t>
      </w:r>
      <w:proofErr w:type="spellStart"/>
      <w:r w:rsidRPr="005C4A71">
        <w:t>τεχνοβλαστούς</w:t>
      </w:r>
      <w:proofErr w:type="spellEnd"/>
      <w:r w:rsidRPr="005C4A71">
        <w:t>, τις νεοφυείς επιχειρήσεις, τους φορείς διαχείρισης και πληρωμών, τις οργανώσεις της κοινωνίας των πολιτών και όλους τους άλλους σχετικούς συμφεροντούχους, χωρίς να τίθεται σε κίνδυνο η ποιότητα των ελέγχων·</w:t>
      </w:r>
    </w:p>
    <w:p w:rsidR="00F70384" w:rsidRPr="005C4A71" w:rsidRDefault="00F70384" w:rsidP="00F70384">
      <w:pPr>
        <w:pStyle w:val="NormalHanging12a"/>
        <w:widowControl/>
        <w:ind w:left="1287" w:hanging="720"/>
      </w:pPr>
      <w:proofErr w:type="spellStart"/>
      <w:r w:rsidRPr="005C4A71">
        <w:t>ix</w:t>
      </w:r>
      <w:proofErr w:type="spellEnd"/>
      <w:r w:rsidRPr="005C4A71">
        <w:t>)</w:t>
      </w:r>
      <w:r w:rsidRPr="005C4A71">
        <w:tab/>
        <w:t>να διασφαλίσει ότι τα υφιστάμενα εργαλεία μετριασμού διαθέτουν επαρκή ικανότητα για την αποτελεσματική αντιμετώπιση των κινδύνων έκθεσης του προϋπολογισμού της Ένωσης·</w:t>
      </w:r>
    </w:p>
    <w:p w:rsidR="00F70384" w:rsidRPr="005C4A71" w:rsidRDefault="00F70384" w:rsidP="00F70384">
      <w:pPr>
        <w:pStyle w:val="NormalHanging12a"/>
        <w:widowControl/>
        <w:ind w:left="1287" w:hanging="720"/>
      </w:pPr>
      <w:r w:rsidRPr="005C4A71">
        <w:t>x)</w:t>
      </w:r>
      <w:r w:rsidRPr="005C4A71">
        <w:tab/>
        <w:t>να εντείνει τις προσπάθειες για τη βελτίωση της διαφάνειας στη χρήση των κονδυλίων, συμπεριλαμβανομένης της ενημέρωσης σχετικά με τους τελικούς δικαιούχους, μεταξύ άλλων σχετικά με τα κονδύλια που διατίθενται για την προετοιμασία πολιτικών και νομοθετικών προτάσεων·</w:t>
      </w:r>
    </w:p>
    <w:p w:rsidR="00F70384" w:rsidRPr="005C4A71" w:rsidRDefault="00F70384" w:rsidP="00F70384">
      <w:pPr>
        <w:pStyle w:val="NormalHanging12a"/>
        <w:widowControl/>
        <w:ind w:left="1287" w:hanging="720"/>
      </w:pPr>
      <w:proofErr w:type="spellStart"/>
      <w:r w:rsidRPr="005C4A71">
        <w:t>xi</w:t>
      </w:r>
      <w:proofErr w:type="spellEnd"/>
      <w:r w:rsidRPr="005C4A71">
        <w:t>)</w:t>
      </w:r>
      <w:r w:rsidRPr="005C4A71">
        <w:tab/>
        <w:t>να θέσει σε εφαρμογή όλα τα αναγκαία μέσα για να διασφαλιστεί ότι οι εκπρόσωποι συμφερόντων που προσεγγίζουν τα θεσμικά όργανα της Ένωσης είναι εγγεγραμμένοι στο Μητρώο Διαφάνειας· καλεί περαιτέρω την Επιτροπή να δημιουργήσει αποτελεσματικό μηχανισμό για να διασφαλίζεται ότι οι χρηματοδοτούμενες από την Ένωση οντότητες στο Μητρώο Διαφάνειας ευθυγραμμίζονται με τις αξίες της Ένωσης και να απαιτήσει πλήρη διαφάνεια σχετικά με τη χρηματοδότησή τους, ώστε να εξασφαλίζονται αναλυτικότερες πληροφορίες σχετικά με τη χρηματοδότηση όλων των εγγεγραμμένων οντοτήτων, κάτι το οποίο θα πρέπει να αποτελεί προϋπόθεση για να μπορούν να προσεγγίσουν όλα τα θεσμικά και λοιπά όργανα και οργανισμούς της Ένωσης·</w:t>
      </w:r>
    </w:p>
    <w:p w:rsidR="00F70384" w:rsidRPr="005C4A71" w:rsidRDefault="00F70384" w:rsidP="00F70384">
      <w:pPr>
        <w:pStyle w:val="NormalHanging12a"/>
        <w:widowControl/>
        <w:ind w:left="1287" w:hanging="720"/>
      </w:pPr>
      <w:proofErr w:type="spellStart"/>
      <w:r w:rsidRPr="005C4A71">
        <w:t>xii</w:t>
      </w:r>
      <w:proofErr w:type="spellEnd"/>
      <w:r w:rsidRPr="005C4A71">
        <w:t>)</w:t>
      </w:r>
      <w:r w:rsidRPr="005C4A71">
        <w:tab/>
        <w:t>να εγγυηθεί, μαζί με το Κοινοβούλιο και το Συμβούλιο, επαρκείς πόρους για τη γραμματεία του Μητρώου Διαφάνειας, προκειμένου να διασφαλιστεί ότι οι καταχωρίσεις σχετικά με τις δραστηριότητες άσκησης πίεσης όλων των εκπροσώπων συμφερόντων μπορούν να ελέγχονται ως προς την ακρίβειά τους και ότι η άσκηση πίεσης από ομάδες συμφερόντων καθίσταται πιο διαφανής, όπως ζητήθηκε στην ειδική έκθεση αριθ. 05/2024 του Ελεγκτικού Συνεδρίου σχετικά με το Μητρώο Διαφάνειας της ΕΕ· καλεί την Επιτροπή να διαθέσει επαρκείς πόρους για τον εντοπισμό παρατυπιών, ώστε να διασφαλιστεί ευρύ φάσμα δυνατοτήτων αναζήτησης·</w:t>
      </w:r>
    </w:p>
    <w:p w:rsidR="00F70384" w:rsidRPr="005C4A71" w:rsidRDefault="00F70384" w:rsidP="00F70384">
      <w:pPr>
        <w:pStyle w:val="NormalHanging12a"/>
        <w:widowControl/>
        <w:ind w:left="1287" w:hanging="720"/>
      </w:pPr>
      <w:proofErr w:type="spellStart"/>
      <w:r w:rsidRPr="005C4A71">
        <w:t>xiii</w:t>
      </w:r>
      <w:proofErr w:type="spellEnd"/>
      <w:r w:rsidRPr="005C4A71">
        <w:t>)</w:t>
      </w:r>
      <w:r w:rsidRPr="005C4A71">
        <w:tab/>
        <w:t>να απαιτεί από τους εκπροσώπους συμφερόντων στο Μητρώο Διαφάνειας να καταγράφουν τους οικονομικούς τους υποστηρικτές με υπεύθυνη δήλωση ότι εκπροσωπούν μόνο τα συμφέροντά τους ή τα συλλογικά συμφέροντα των μελών τους, και να προτείνει τροποποίηση του παραρτήματος ΙΙ της διοργανικής συμφωνίας της 20ής Μαΐου 2021, ώστε να υποχρεούνται να καταγράφουν τους οικονομικούς τους υποστηρικτές στο Μητρώο Διαφάνειας της ΕΕ, ακόμη και αν δηλώνουν στο εν λόγω μητρώο ότι εκπροσωπούν μόνο τα συμφέροντα των μελών τους· παροτρύνει τις ήδη εγγεγραμμένες οντότητες που δεν έχουν καταγράψει τους οικονομικούς τους πόρους με υπεύθυνη δήλωση, να τους δηλώσουν οικειοθελώς πριν από την τροποποίηση της διοργανικής συμφωνίας·</w:t>
      </w:r>
    </w:p>
    <w:p w:rsidR="00F70384" w:rsidRPr="005C4A71" w:rsidRDefault="00F70384" w:rsidP="00F70384">
      <w:pPr>
        <w:pStyle w:val="NormalHanging12a"/>
        <w:widowControl/>
        <w:ind w:left="1287" w:hanging="720"/>
      </w:pPr>
      <w:proofErr w:type="spellStart"/>
      <w:r w:rsidRPr="005C4A71">
        <w:t>xiv</w:t>
      </w:r>
      <w:proofErr w:type="spellEnd"/>
      <w:r w:rsidRPr="005C4A71">
        <w:t>)</w:t>
      </w:r>
      <w:r w:rsidRPr="005C4A71">
        <w:tab/>
        <w:t>να συνεχίσει να στηρίζει τα κράτη μέλη προκειμένου να βελτιώσουν τόσο την ποιότητα όσο και την ποσότητα των ελέγχων, καθώς και να ανταλλάσσει βέλτιστες πρακτικές για την καταπολέμηση της απάτης και της διαφθοράς·</w:t>
      </w:r>
    </w:p>
    <w:p w:rsidR="00F70384" w:rsidRPr="005C4A71" w:rsidRDefault="00F70384" w:rsidP="00F70384">
      <w:pPr>
        <w:pStyle w:val="NormalHanging12a"/>
        <w:widowControl/>
        <w:ind w:left="1287" w:hanging="720"/>
      </w:pPr>
      <w:bookmarkStart w:id="292" w:name="_Toc185595111"/>
      <w:proofErr w:type="spellStart"/>
      <w:r w:rsidRPr="005C4A71">
        <w:t>xv</w:t>
      </w:r>
      <w:proofErr w:type="spellEnd"/>
      <w:r w:rsidRPr="005C4A71">
        <w:t>)</w:t>
      </w:r>
      <w:r w:rsidRPr="005C4A71">
        <w:tab/>
        <w:t>να αντιμετωπίσει την κατάσταση όσον αφορά τα καθυστερημένα εντάλματα είσπραξης και να λάβει όλα τα αναγκαία μέτρα για την ανάκτηση του μεγαλύτερου μέρους των ποσών που εκκρεμούν για την περίοδο 2014-2023, συμπεριλαμβανομένης της εφαρμογής μηχανισμών κλιμάκωσης σε επίπεδο οργανισμού, και να τηρεί ενήμερη την αρμόδια για την απαλλαγή αρχή σχετικά με την πρόοδο που σημειώνεται όσον αφορά την ανάκτηση των ποσών·</w:t>
      </w:r>
    </w:p>
    <w:p w:rsidR="00F70384" w:rsidRPr="005C4A71" w:rsidRDefault="00F70384" w:rsidP="00F70384">
      <w:pPr>
        <w:pStyle w:val="NormalHanging12a"/>
        <w:widowControl/>
        <w:ind w:left="1287" w:hanging="720"/>
      </w:pPr>
      <w:proofErr w:type="spellStart"/>
      <w:r w:rsidRPr="005C4A71">
        <w:t>xvi</w:t>
      </w:r>
      <w:proofErr w:type="spellEnd"/>
      <w:r w:rsidRPr="005C4A71">
        <w:t>)</w:t>
      </w:r>
      <w:r w:rsidRPr="005C4A71">
        <w:tab/>
        <w:t>να ενισχύσει την ικανότητα της αρχιτεκτονικής της Ένωσης για την καταπολέμηση της απάτης, συμπεριλαμβανομένης της παροχής επαρκών οικονομικών και ανθρώπινων πόρων, και να διευκολύνει τη μεταξύ τους συνεργασία·</w:t>
      </w:r>
    </w:p>
    <w:p w:rsidR="00F70384" w:rsidRPr="00E8367F" w:rsidRDefault="00F70384" w:rsidP="00F70384">
      <w:pPr>
        <w:spacing w:after="240"/>
        <w:rPr>
          <w:b/>
          <w:i/>
        </w:rPr>
      </w:pPr>
      <w:r w:rsidRPr="00E8367F">
        <w:rPr>
          <w:b/>
          <w:i/>
        </w:rPr>
        <w:t>Έσοδα</w:t>
      </w:r>
      <w:bookmarkEnd w:id="292"/>
    </w:p>
    <w:p w:rsidR="00F70384" w:rsidRPr="005C4A71" w:rsidRDefault="00E8367F" w:rsidP="00E8367F">
      <w:pPr>
        <w:spacing w:after="240"/>
        <w:ind w:left="567" w:hanging="573"/>
      </w:pPr>
      <w:r w:rsidRPr="005C4A71">
        <w:t>54.</w:t>
      </w:r>
      <w:r w:rsidRPr="005C4A71">
        <w:tab/>
      </w:r>
      <w:r w:rsidR="00F70384" w:rsidRPr="005C4A71">
        <w:t>εκφράζει την ικανοποίησή του για το γεγονός ότι και για το 2023 το Ελεγκτικό Συνέδριο είναι σε θέση να εκδώσει γνώμη χωρίς επιφύλαξη σχετικά με τη νομιμότητα και κανονικότητα των εσόδων· τονίζει, ταυτόχρονα, ότι τα προβλήματα μη δήλωσης ή εσφαλμένης δήλωσης των τελωνειακών δασμών (έλλειμμα τελωνειακών δασμών) που οδηγούν σε υστέρηση των εισπραχθέντων εισαγωγικών δασμών αποτελούν μόνιμο πρόβλημα εδώ και πολλά χρόνια και θα μπορούσαν ενδεχομένως να οδηγήσουν σε απώλεια παραδοσιακών ιδίων πόρων για την Ένωση και τα κράτη μέλη·</w:t>
      </w:r>
    </w:p>
    <w:p w:rsidR="00F70384" w:rsidRPr="005C4A71" w:rsidRDefault="00E8367F" w:rsidP="00E8367F">
      <w:pPr>
        <w:spacing w:after="240"/>
        <w:ind w:left="567" w:hanging="573"/>
      </w:pPr>
      <w:r w:rsidRPr="005C4A71">
        <w:t>55.</w:t>
      </w:r>
      <w:r w:rsidRPr="005C4A71">
        <w:tab/>
      </w:r>
      <w:r w:rsidR="00F70384" w:rsidRPr="005C4A71">
        <w:t>σημειώνει με σοβαρή ανησυχία ότι το Ελεγκτικό Συνέδριο εξέτασε την εφαρμογή του σχεδίου δράσης της Επιτροπής για τα τελωνεία, το οποίο έχει τη δυνατότητα να οδηγήσει σε σημαντική μείωση του ελλείμματος τελωνειακών δασμών, και διαπίστωσε εκ νέου ανεπαρκή πρόοδο στην εφαρμογή ορισμένων δράσεων του εν λόγω σχεδίου· σημειώνει ότι η Επιτροπή, στο πλαίσιο του σχεδίου αυτού, πρότεινε τελωνειακή μεταρρύθμιση τον Μάιο του 2023</w:t>
      </w:r>
      <w:r w:rsidR="00F70384" w:rsidRPr="005C4A71">
        <w:rPr>
          <w:vertAlign w:val="superscript"/>
        </w:rPr>
        <w:footnoteReference w:id="111"/>
      </w:r>
      <w:r w:rsidR="00F70384" w:rsidRPr="005C4A71">
        <w:t>, συμπεριλαμβανομένης της σύστασης τελωνειακής αρχής της ΕΕ και τελωνειακού κόμβου δεδομένων της ΕΕ·</w:t>
      </w:r>
    </w:p>
    <w:p w:rsidR="00F70384" w:rsidRPr="005C4A71" w:rsidRDefault="00E8367F" w:rsidP="00E8367F">
      <w:pPr>
        <w:pStyle w:val="NormalHanging12a"/>
        <w:ind w:hanging="573"/>
      </w:pPr>
      <w:r w:rsidRPr="005C4A71">
        <w:t>56.</w:t>
      </w:r>
      <w:r w:rsidRPr="005C4A71">
        <w:tab/>
      </w:r>
      <w:r w:rsidR="00F70384" w:rsidRPr="005C4A71">
        <w:t>υπενθυμίζει ότι το Ελεγκτικό Συνέδριο έχει επισημάνει τους κινδύνους που ενέχουν για τα οικονομικά συμφέροντα της ΕΕ οι ανεπαρκείς ή αναποτελεσματικοί τελωνειακοί έλεγχοι των εισαγόμενων εμπορευμάτων· επαινεί την OLAF για τις προσπάθειες που καταβάλλει για την καταπολέμηση της απάτης που συνδέεται με τους τελωνειακούς δασμούς και τον ΦΠΑ· υπογραμμίζει την αύξηση των κινδύνων του ηλεκτρονικού εμπορίου και των διαδικτυακών πλατφορμών λόγω πιθανών απειλών για την ασφάλεια και την προστασία, και του κινδύνου μη συμμόρφωσης με τους φορολογικούς και τελωνειακούς κανόνες της ΕΕ, τα πρότυπα προϊόντων, τα δικαιώματα διανοητικής ιδιοκτησίας, τις απαγορεύσεις και τους περιορισμούς·</w:t>
      </w:r>
    </w:p>
    <w:p w:rsidR="00F70384" w:rsidRPr="005C4A71" w:rsidRDefault="00E8367F" w:rsidP="00E8367F">
      <w:pPr>
        <w:spacing w:after="240"/>
        <w:ind w:left="567" w:hanging="573"/>
      </w:pPr>
      <w:r w:rsidRPr="005C4A71">
        <w:t>57.</w:t>
      </w:r>
      <w:r w:rsidRPr="005C4A71">
        <w:tab/>
      </w:r>
      <w:r w:rsidR="00F70384" w:rsidRPr="005C4A71">
        <w:t>σημειώνει με ανησυχία ότι το Ελεγκτικό Συνέδριο αποκάλυψε ότι η Επιτροπή δεν χρέωσε τόκους υπερημερίας για έξι περιπτώσεις που αφορούσαν καθυστερημένες διορθώσεις στα στοιχεία για το ΑΕΕ από τα κράτη μέλη για τις οποίες η Επιτροπή έχει εκφράσει επιφυλάξεις· συμφωνεί με το Ελεγκτικό Συνέδριο ότι η Επιτροπή, κατ’ αρχήν, θα πρέπει να χρεώνει τόκους υπερημερίας σε τέτοιες περιπτώσεις, προκειμένου να έχουν κίνητρο τα κράτη μέλη να αντιμετωπίσουν τις επιφυλάξεις εντός των προθεσμιών·</w:t>
      </w:r>
    </w:p>
    <w:p w:rsidR="00F70384" w:rsidRPr="005C4A71" w:rsidRDefault="00E8367F" w:rsidP="00E8367F">
      <w:pPr>
        <w:spacing w:after="240"/>
        <w:ind w:left="567" w:hanging="573"/>
      </w:pPr>
      <w:r w:rsidRPr="005C4A71">
        <w:t>58.</w:t>
      </w:r>
      <w:r w:rsidRPr="005C4A71">
        <w:tab/>
      </w:r>
      <w:r w:rsidR="00F70384" w:rsidRPr="005C4A71">
        <w:t>σημειώνει με ικανοποίηση ότι ο νέος ίδιος πόρος που βασίζεται στα μη ανακυκλωμένα απορρίμματα πλαστικών συσκευασιών που παρήγαγαν τα κράτη μέλη το 2023 ανήλθε σε 7,2 δισεκατομμύρια EUR, ποσό που αντιστοιχεί στο 4,0 % των συνολικών εσόδων της ΕΕ· σημειώνει περαιτέρω ότι το Ελεγκτικό Συνέδριο εντόπισε</w:t>
      </w:r>
      <w:r w:rsidR="00F70384" w:rsidRPr="005C4A71">
        <w:rPr>
          <w:vertAlign w:val="superscript"/>
        </w:rPr>
        <w:footnoteReference w:id="112"/>
      </w:r>
      <w:r w:rsidR="00F70384" w:rsidRPr="005C4A71">
        <w:t xml:space="preserve"> ορισμένα προβλήματα που σχετίζονται με την αξιοπιστία και τη </w:t>
      </w:r>
      <w:proofErr w:type="spellStart"/>
      <w:r w:rsidR="00F70384" w:rsidRPr="005C4A71">
        <w:t>συγκρισιμότητα</w:t>
      </w:r>
      <w:proofErr w:type="spellEnd"/>
      <w:r w:rsidR="00F70384" w:rsidRPr="005C4A71">
        <w:t xml:space="preserve"> των δεδομένων· τονίζει ότι αυτό αποτελεί εξαιρετικό παράδειγμα νέου ιδίου πόρου, καθώς παρέχει θετικά κίνητρα προκειμένου τα κράτη μέλη να μειώσουν τον όγκο των μη ανακυκλωμένων πλαστικών συσκευασιών, δημιουργώντας ταυτόχρονα μια νέα ροή εσόδων για την Ένωση·</w:t>
      </w:r>
    </w:p>
    <w:p w:rsidR="00F70384" w:rsidRPr="005C4A71" w:rsidRDefault="00E8367F" w:rsidP="00E8367F">
      <w:pPr>
        <w:pStyle w:val="NormalHanging12a"/>
        <w:ind w:hanging="573"/>
      </w:pPr>
      <w:r w:rsidRPr="005C4A71">
        <w:t>59.</w:t>
      </w:r>
      <w:r w:rsidRPr="005C4A71">
        <w:tab/>
      </w:r>
      <w:r w:rsidR="00F70384" w:rsidRPr="005C4A71">
        <w:t>τονίζει ότι τα τρία στοιχεία που περιλαμβάνονται στις προτάσεις τις οποίες διατύπωσε το 2021 η Επιτροπή σχετικά με τους νέους ιδίους πόρους —το πρώτο βασίζεται στα έσοδα από την εμπορία εκπομπών (ΣΕΔΕ), το δεύτερο στους πόρους που παράγονται από τον μηχανισμό συνοριακής προσαρμογής άνθρακα της Ένωσης και το τρίτο στο μερίδιο των υπολειπόμενων κερδών από πολυεθνικές εταιρείες που θα ανακατανεμηθούν στα κράτη μέλη στο πλαίσιο της συμφωνίας ΟΟΣΑ/G20 για την ανακατανομή των δικαιωμάτων φορολόγησης («πρώτος πυλώνας»)— είναι προφανείς υποψήφιοι για τέτοιους νέους πόρους· επισημαίνει, ταυτόχρονα, ότι θα μπορούσαν επίσης να εξεταστούν και άλλες πηγές, εάν αποδειχθεί ότι θα ήταν ευκολότερο να λάβουν την έγκριση των κρατών μελών· εκφράζει την ικανοποίησή του για άλλες πρωτοβουλίες που ενδέχεται να οδηγήσουν σε νέους ιδίους πόρους για τον προϋπολογισμό της Ένωσης·</w:t>
      </w:r>
    </w:p>
    <w:p w:rsidR="00F70384" w:rsidRPr="005C4A71" w:rsidRDefault="00E8367F" w:rsidP="00E8367F">
      <w:pPr>
        <w:spacing w:after="240"/>
        <w:ind w:left="567" w:hanging="573"/>
      </w:pPr>
      <w:r w:rsidRPr="005C4A71">
        <w:t>60.</w:t>
      </w:r>
      <w:r w:rsidRPr="005C4A71">
        <w:tab/>
      </w:r>
      <w:r w:rsidR="00F70384" w:rsidRPr="005C4A71">
        <w:t>καλεί, ειδικότερα, την Επιτροπή:</w:t>
      </w:r>
    </w:p>
    <w:p w:rsidR="00F70384" w:rsidRPr="005C4A71" w:rsidRDefault="00F70384" w:rsidP="00F70384">
      <w:pPr>
        <w:pStyle w:val="NormalHanging12a"/>
        <w:widowControl/>
        <w:ind w:left="1287" w:hanging="720"/>
        <w:rPr>
          <w:b/>
          <w:i/>
        </w:rPr>
      </w:pPr>
      <w:r w:rsidRPr="005C4A71">
        <w:t>i)</w:t>
      </w:r>
      <w:r w:rsidRPr="005C4A71">
        <w:tab/>
        <w:t>να δώσει μεγαλύτερη έμφαση στην εφαρμογή του σχεδίου δράσης για τα τελωνεία και ιδίως της πρότασης για σημαντική τελωνειακή μεταρρύθμιση από τον Μάιο του 2023, συμπεριλαμβανομένης της σύστασης τελωνειακής αρχής της ΕΕ και τελωνειακού κόμβου δεδομένων της ΕΕ, και να ασκήσει πιέσεις προς την κατεύθυνση αυτή· να διασφαλίσει ότι τα κράτη μέλη εφαρμόζουν αποτελεσματικές, αναλογικές και αποτρεπτικές κυρώσεις σε περίπτωση μη συμμόρφωσης με τις υποχρεώσεις αναφοράς· να κινεί διαδικασίες επί παραβάσει στις περιπτώσεις όπου υπάρχουν επαρκή αποδεικτικά στοιχεία ότι τα κράτη μέλη εφαρμόζουν ένα προδήλως ανεπαρκές σύστημα κυρώσεων για παραβιάσεις της οδηγίας για τη διοικητική συνεργασία 6</w:t>
      </w:r>
      <w:r w:rsidRPr="005C4A71">
        <w:rPr>
          <w:rStyle w:val="FootnoteReference"/>
        </w:rPr>
        <w:footnoteReference w:id="113"/>
      </w:r>
      <w:r w:rsidRPr="005C4A71">
        <w:t xml:space="preserve"> (DAC 6)·</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επιμείνει στη σημασία της εντατικοποίησης και της διαφοροποίησης της διεθνούς τελωνειακής συνεργασίας με τους εμπορικούς εταίρους, μεταξύ άλλων υπό το πρίσμα της ανάγκης να ενισχυθεί η καταπολέμηση της διασυνοριακής φορολογικής και τελωνειακής απάτης στο πλαίσιο της επέκτασης του ηλεκτρονικού εμπορίου·</w:t>
      </w:r>
    </w:p>
    <w:p w:rsidR="00F70384" w:rsidRPr="005C4A71" w:rsidRDefault="00F70384" w:rsidP="00F70384">
      <w:pPr>
        <w:pStyle w:val="NormalHanging12a"/>
        <w:widowControl/>
        <w:ind w:left="1287" w:hanging="720"/>
      </w:pPr>
      <w:proofErr w:type="spellStart"/>
      <w:r w:rsidRPr="005C4A71">
        <w:t>iii</w:t>
      </w:r>
      <w:proofErr w:type="spellEnd"/>
      <w:r w:rsidRPr="005C4A71">
        <w:t>)</w:t>
      </w:r>
      <w:r w:rsidRPr="005C4A71">
        <w:tab/>
        <w:t>να δημιουργήσει κίνητρα προκειμένου τα κράτη μέλη να αντιμετωπίζουν τις επιφυλάξεις που σχετίζονται με τις διορθώσεις των στοιχείων για το ΑΕΕ από τα κράτη μέλη εντός των προθεσμιών, με την επιβολή τόκων υπερημερίας·</w:t>
      </w:r>
    </w:p>
    <w:p w:rsidR="00F70384" w:rsidRPr="005C4A71" w:rsidRDefault="00F70384" w:rsidP="00F70384">
      <w:pPr>
        <w:pStyle w:val="NormalHanging12a"/>
        <w:widowControl/>
        <w:ind w:left="1287" w:hanging="720"/>
      </w:pPr>
      <w:r w:rsidRPr="005C4A71">
        <w:t>iv)</w:t>
      </w:r>
      <w:r w:rsidRPr="005C4A71">
        <w:tab/>
        <w:t>να συνεχίσει να εργάζεται για την εισαγωγή πρόσθετων νέων ιδίων πόρων·</w:t>
      </w:r>
    </w:p>
    <w:p w:rsidR="00F70384" w:rsidRPr="00E8367F" w:rsidRDefault="00F70384" w:rsidP="00F70384">
      <w:pPr>
        <w:spacing w:after="240"/>
        <w:rPr>
          <w:b/>
          <w:i/>
        </w:rPr>
      </w:pPr>
      <w:bookmarkStart w:id="293" w:name="_Toc185595112"/>
      <w:r w:rsidRPr="00E8367F">
        <w:rPr>
          <w:b/>
          <w:i/>
        </w:rPr>
        <w:t>Ενιαία αγορά, καινοτομία και ψηφιακή οικονομία</w:t>
      </w:r>
      <w:bookmarkEnd w:id="293"/>
    </w:p>
    <w:p w:rsidR="00F70384" w:rsidRPr="005C4A71" w:rsidRDefault="00E8367F" w:rsidP="00E8367F">
      <w:pPr>
        <w:spacing w:after="240"/>
        <w:ind w:left="567" w:hanging="573"/>
      </w:pPr>
      <w:r w:rsidRPr="005C4A71">
        <w:t>61.</w:t>
      </w:r>
      <w:r w:rsidRPr="005C4A71">
        <w:tab/>
      </w:r>
      <w:r w:rsidR="00F70384" w:rsidRPr="005C4A71">
        <w:t xml:space="preserve">σημειώνει ότι ο προϋπολογισμός για τα προγράμματα στο πλαίσιο του τομέα 1 του ΠΔΠ «Ενιαία αγορά, καινοτομία και ψηφιακή οικονομία» ανήλθε σε 25,3 δισεκατομμύρια EUR (13,2 % του προϋπολογισμού της Ένωσης), τα οποία κατανέμονται ως εξής: 15,3 δισ. EUR (60,5 %) για την έρευνα, 4,1 δισ. EUR (16,1 %) για τις μεταφορές, την ενέργεια και τον ψηφιακό τομέα, 2,3 δισ. EUR (9,1 %) για το πρόγραμμα </w:t>
      </w:r>
      <w:proofErr w:type="spellStart"/>
      <w:r w:rsidR="00F70384" w:rsidRPr="005C4A71">
        <w:t>InvestEU</w:t>
      </w:r>
      <w:proofErr w:type="spellEnd"/>
      <w:r w:rsidR="00F70384" w:rsidRPr="005C4A71">
        <w:t>, 2,2 δισ. EUR (8,7 %) για το διάστημα και 1,4 δισ. EUR (5,6 %) για άλλους τομείς·</w:t>
      </w:r>
    </w:p>
    <w:p w:rsidR="00F70384" w:rsidRPr="005C4A71" w:rsidRDefault="00E8367F" w:rsidP="00E8367F">
      <w:pPr>
        <w:spacing w:after="240"/>
        <w:ind w:left="567" w:hanging="573"/>
      </w:pPr>
      <w:r w:rsidRPr="005C4A71">
        <w:t>62.</w:t>
      </w:r>
      <w:r w:rsidRPr="005C4A71">
        <w:tab/>
      </w:r>
      <w:r w:rsidR="00F70384" w:rsidRPr="005C4A71">
        <w:t>σημειώνει ότι το Ελεγκτικό Συνέδριο εξέτασε 127 πράξεις που καλύπτουν το πλήρες φάσμα των δαπανών στο πλαίσιο του εν λόγω τομέα του ΠΔΠ, και συγκεκριμένα το πρόγραμμα «</w:t>
      </w:r>
      <w:proofErr w:type="spellStart"/>
      <w:r w:rsidR="00F70384" w:rsidRPr="005C4A71">
        <w:t>Ορίζων</w:t>
      </w:r>
      <w:proofErr w:type="spellEnd"/>
      <w:r w:rsidR="00F70384" w:rsidRPr="005C4A71">
        <w:t xml:space="preserve"> 2020» (90 πράξεις), το πρόγραμμα «</w:t>
      </w:r>
      <w:proofErr w:type="spellStart"/>
      <w:r w:rsidR="00F70384" w:rsidRPr="005C4A71">
        <w:t>Ορίζων</w:t>
      </w:r>
      <w:proofErr w:type="spellEnd"/>
      <w:r w:rsidR="00F70384" w:rsidRPr="005C4A71">
        <w:t xml:space="preserve"> Ευρώπη» (7 πράξεις), τον μηχανισμό «Συνδέοντας την Ευρώπη» (ΜΣΕ), τα διαστημικά προγράμματα και τα χρηματοδοτικά μέσα, καθώς και ότι επανεξέτασε το σύστημα εκ των προτέρων ελέγχου του Ευρωπαϊκού Εκτελεστικού Οργανισμού για το Κλίμα, τις Υποδομές και το Περιβάλλον (CINEA) για τις επιχορηγήσεις του ΜΣΕ στους τομείς των μεταφορών και της ενέργειας, καθώς και τις πληροφορίες σχετικά με την κανονικότητα που παρέχονται στις ετήσιες εκθέσεις δραστηριοτήτων της Γενικής Διεύθυνσης Έρευνας και Καινοτομίας (ΓΔ RTD) και του Ευρωπαϊκού Εκτελεστικού Οργανισμού για την Υγεία και τον Ψηφιακό τομέα (HADEA)·</w:t>
      </w:r>
    </w:p>
    <w:p w:rsidR="00F70384" w:rsidRPr="005C4A71" w:rsidRDefault="00E8367F" w:rsidP="00E8367F">
      <w:pPr>
        <w:pStyle w:val="NormalHanging12a"/>
        <w:ind w:hanging="573"/>
      </w:pPr>
      <w:r w:rsidRPr="005C4A71">
        <w:t>63.</w:t>
      </w:r>
      <w:r w:rsidRPr="005C4A71">
        <w:tab/>
      </w:r>
      <w:r w:rsidR="00F70384" w:rsidRPr="005C4A71">
        <w:t>σημειώνει ότι το Ελεγκτικό Συνέδριο εκτιμά ότι το επίπεδο σφάλματος στις δαπάνες του τομέα «Ενιαία αγορά, καινοτομία και ψηφιακή οικονομία» το 2023 ήταν σημαντικό, καθότι ανερχόταν σε 3,3 %· σημειώνει την παρατήρηση του Ελεγκτικού Συνεδρίου ότι οι δαπάνες για την έρευνα και την καινοτομία επηρεάζονται περισσότερο από σφάλματα, ιδίως στον τομέα των δαπανών προσωπικού· σημειώνει επίσης ότι η Επιτροπή εκτιμά τον κίνδυνο κατά την πληρωμή στο 1,4 % για τον τομέα αυτό, ποσοστό που βρίσκεται στο κατώτερο ήμισυ του εύρους της εκτίμησης του Ελεγκτικού Συνεδρίου· εκφράζει την ανησυχία του για το συμπέρασμα του Ελεγκτικού Συνεδρίου ότι η Επιτροπή εξακολουθεί να υποεκτιμά τον κίνδυνο κατά την πληρωμή στον τομέα αυτό, λόγω των αδυναμιών που εντόπισε το Ελεγκτικό Συνέδριο στους κατασταλτικούς ελέγχους της Επιτροπής στον τομέα αυτό από το οικονομικό έτος 2019</w:t>
      </w:r>
      <w:r w:rsidR="00F70384" w:rsidRPr="005C4A71">
        <w:rPr>
          <w:vertAlign w:val="superscript"/>
        </w:rPr>
        <w:footnoteReference w:id="114"/>
      </w:r>
      <w:r w:rsidR="00F70384" w:rsidRPr="005C4A71">
        <w:t>·</w:t>
      </w:r>
    </w:p>
    <w:p w:rsidR="00F70384" w:rsidRPr="005C4A71" w:rsidRDefault="00E8367F" w:rsidP="00E8367F">
      <w:pPr>
        <w:spacing w:after="240"/>
        <w:ind w:left="567" w:hanging="573"/>
      </w:pPr>
      <w:r w:rsidRPr="005C4A71">
        <w:t>64.</w:t>
      </w:r>
      <w:r w:rsidRPr="005C4A71">
        <w:tab/>
      </w:r>
      <w:r w:rsidR="00F70384" w:rsidRPr="005C4A71">
        <w:t xml:space="preserve">σημειώνει με ανησυχία ότι 39 (31 %) από τις 127 πράξεις που εξέτασε το Ελεγκτικό Συνέδριο περιείχαν σφάλματα· εκφράζει τη βαθιά του ανησυχία για το γεγονός ότι σε επτά περιπτώσεις </w:t>
      </w:r>
      <w:proofErr w:type="spellStart"/>
      <w:r w:rsidR="00F70384" w:rsidRPr="005C4A71">
        <w:t>ποσοτικοποιήσιμων</w:t>
      </w:r>
      <w:proofErr w:type="spellEnd"/>
      <w:r w:rsidR="00F70384" w:rsidRPr="005C4A71">
        <w:t xml:space="preserve"> σφαλμάτων στα οποία υπέπεσαν οι δικαιούχοι, η Επιτροπή (ή οι κατ’ ανάθεση των δικαιούχων ελεγκτές) είχε στη διάθεσή της επαρκή πληροφοριακά στοιχεία ώστε να προληφθεί, ή να εντοπιστεί και να διορθωθεί το σφάλμα πριν από την έγκριση των δαπανών, και επομένως αν η Επιτροπή είχε χρησιμοποιήσει σωστά όλες τις πληροφορίες που είχε στη διάθεσή της, το εκτιμώμενο επίπεδο σφάλματος για αυτό το κεφάλαιο θα ήταν χαμηλότερο κατά 1,4 ποσοστιαίες μονάδες· επισημαίνει ότι αυτό καταδεικνύει αδυναμίες στους ελέγχους της Επιτροπής·</w:t>
      </w:r>
    </w:p>
    <w:p w:rsidR="00F70384" w:rsidRPr="005C4A71" w:rsidRDefault="00F70384" w:rsidP="00F70384">
      <w:pPr>
        <w:spacing w:after="240"/>
        <w:ind w:left="567" w:hanging="567"/>
        <w:rPr>
          <w:i/>
        </w:rPr>
      </w:pPr>
      <w:r w:rsidRPr="005C4A71">
        <w:rPr>
          <w:i/>
        </w:rPr>
        <w:t xml:space="preserve">Έρευνα και καινοτομία </w:t>
      </w:r>
    </w:p>
    <w:p w:rsidR="00F70384" w:rsidRPr="005C4A71" w:rsidRDefault="00E8367F" w:rsidP="00E8367F">
      <w:pPr>
        <w:pStyle w:val="NormalHanging12a"/>
        <w:ind w:hanging="573"/>
      </w:pPr>
      <w:r w:rsidRPr="005C4A71">
        <w:t>65.</w:t>
      </w:r>
      <w:r w:rsidRPr="005C4A71">
        <w:tab/>
      </w:r>
      <w:r w:rsidR="00F70384" w:rsidRPr="005C4A71">
        <w:t>τονίζει τη σημασία των ενωσιακών προγραμμάτων χρηματοδότησης της έρευνας και καινοτομίας για την επιστημονική, κοινωνική, οικονομική και τεχνολογική ανάπτυξη της Ένωσης, για τη μείωση των ανισοτήτων, για την επίτευξη της πράσινης και της ψηφιακής μετάβασης και για τη μείωση της ενεργειακής εξάρτησης της Ένωσης από τη Ρωσία· υπενθυμίζει ότι το πρόγραμμα «</w:t>
      </w:r>
      <w:proofErr w:type="spellStart"/>
      <w:r w:rsidR="00F70384" w:rsidRPr="005C4A71">
        <w:t>Ορίζων</w:t>
      </w:r>
      <w:proofErr w:type="spellEnd"/>
      <w:r w:rsidR="00F70384" w:rsidRPr="005C4A71">
        <w:t xml:space="preserve"> Ευρώπη» είναι το σημαντικότερο πρόγραμμα έρευνας και καινοτομίας στην Ευρώπη, με συνολικό προϋπολογισμό 95,5 δισεκατομμυρίων EUR για την περίοδο 2021-2027, συμπεριλαμβανομένων 5,4 δισεκατομμυρίων EUR από το μέσο NGEU· σημειώνει ότι ο ΜΑΑ έχει διαθέσει περίπου 48 δισεκατομμύρια EUR σε επενδύσεις για έρευνα και καινοτομία· υπογραμμίζει ότι, προκειμένου να ενισχυθεί η ανταγωνιστικότητα της Ένωσης και να γεφυρωθεί το χάσμα καινοτομίας, απαιτείται πρόσθετη χρηματοδότηση για την έρευνα και την καινοτομία, λαμβανομένων υπόψη των σχετικών συστάσεων της έκθεσης </w:t>
      </w:r>
      <w:proofErr w:type="spellStart"/>
      <w:r w:rsidR="00F70384" w:rsidRPr="005C4A71">
        <w:t>Draghi</w:t>
      </w:r>
      <w:proofErr w:type="spellEnd"/>
      <w:r w:rsidR="00F70384" w:rsidRPr="005C4A71">
        <w:t>· επισημαίνει, ειδικότερα, την ανάγκη να αυξηθούν οι δαπάνες έρευνας και καινοτομίας στον τομέα της άμυνας λόγω των τρεχουσών γεωπολιτικών συνθηκών, οι οποίες θα μπορούσαν να χρησιμεύσουν ως σημαντική συνιστώσα της στρατηγικής για την πολιτική καινοτομίας·</w:t>
      </w:r>
    </w:p>
    <w:p w:rsidR="00F70384" w:rsidRPr="00E8367F" w:rsidRDefault="00E8367F" w:rsidP="00E8367F">
      <w:pPr>
        <w:spacing w:after="240"/>
        <w:ind w:left="567" w:hanging="573"/>
        <w:rPr>
          <w:bCs/>
          <w:shd w:val="clear" w:color="auto" w:fill="FFFFFF"/>
        </w:rPr>
      </w:pPr>
      <w:r w:rsidRPr="00C474CB">
        <w:rPr>
          <w:bCs/>
        </w:rPr>
        <w:t>66.</w:t>
      </w:r>
      <w:r w:rsidRPr="00C474CB">
        <w:rPr>
          <w:bCs/>
        </w:rPr>
        <w:tab/>
      </w:r>
      <w:r w:rsidR="00F70384" w:rsidRPr="00E8367F">
        <w:rPr>
          <w:shd w:val="clear" w:color="auto" w:fill="FFFFFF"/>
        </w:rPr>
        <w:t>σημειώνει ότι ο προκάτοχός του, το πρόγραμμα «</w:t>
      </w:r>
      <w:proofErr w:type="spellStart"/>
      <w:r w:rsidR="00F70384" w:rsidRPr="00E8367F">
        <w:rPr>
          <w:shd w:val="clear" w:color="auto" w:fill="FFFFFF"/>
        </w:rPr>
        <w:t>Ορίζων</w:t>
      </w:r>
      <w:proofErr w:type="spellEnd"/>
      <w:r w:rsidR="00F70384" w:rsidRPr="00E8367F">
        <w:rPr>
          <w:shd w:val="clear" w:color="auto" w:fill="FFFFFF"/>
        </w:rPr>
        <w:t xml:space="preserve"> 2020», με προϋπολογισμό 75,6 δισεκατομμύρια EUR, χρηματοδότησε περισσότερα από 35 000 έργα κατά την περίοδο 2014-2020 και οι προσκλήσεις του προσέλκυσαν πάνω από ένα εκατομμύριο μεμονωμένες αιτήσεις από 177 χώρες· σημειώνει περαιτέρω ότι, κατά την ακρόασή της για την απαλλαγή για το 2023, η επίτροπος κ. </w:t>
      </w:r>
      <w:proofErr w:type="spellStart"/>
      <w:r w:rsidR="00F70384" w:rsidRPr="00E8367F">
        <w:rPr>
          <w:shd w:val="clear" w:color="auto" w:fill="FFFFFF"/>
        </w:rPr>
        <w:t>Ivanova</w:t>
      </w:r>
      <w:proofErr w:type="spellEnd"/>
      <w:r w:rsidR="00F70384" w:rsidRPr="00E8367F">
        <w:rPr>
          <w:shd w:val="clear" w:color="auto" w:fill="FFFFFF"/>
        </w:rPr>
        <w:t xml:space="preserve"> υπογράμμισε την ενωσιακή προστιθέμενη αξία των ενωσιακών προγραμμάτων χρηματοδότησης της έρευνας και καινοτομίας, εξηγώντας ότι, σύμφωνα με την εκτίμηση στο πλαίσιο της τελικής αξιολόγησης του προγράμματος «</w:t>
      </w:r>
      <w:proofErr w:type="spellStart"/>
      <w:r w:rsidR="00F70384" w:rsidRPr="00E8367F">
        <w:rPr>
          <w:shd w:val="clear" w:color="auto" w:fill="FFFFFF"/>
        </w:rPr>
        <w:t>Ορίζων</w:t>
      </w:r>
      <w:proofErr w:type="spellEnd"/>
      <w:r w:rsidR="00F70384" w:rsidRPr="00E8367F">
        <w:rPr>
          <w:shd w:val="clear" w:color="auto" w:fill="FFFFFF"/>
        </w:rPr>
        <w:t xml:space="preserve"> 2020», για κάθε ευρώ δαπανών που συνδέονται με το πρόγραμμα, θα προκύψουν οφέλη ύψους πέντε ευρώ για την κοινωνία έως το 2040· εκφράζει τη βαθιά του λύπη για το γεγονός ότι το 74 % των προτάσεων που αξιολογήθηκαν ως υψηλής ποιότητας από ανεξάρτητους εμπειρογνώμονες δεν μπόρεσαν να χρηματοδοτηθούν λόγω δημοσιονομικών περιορισμών· σημειώνει ότι για τη χρηματοδότηση όλων των προτάσεων υψηλής ποιότητας θα απαιτούνταν επιπλέον 159 δισ. EUR· τονίζει ότι είναι σημαντικό να εξασφαλιστεί επαρκής χρηματοδότηση για την έρευνα και την καινοτομία στην Ένωση, ιδίως για την ενίσχυση της ανταγωνιστικότητας και της ευημερίας της Ένωσης, σύμφωνα με το στρατηγικό θεματολόγιο της Ένωσης για την περίοδο 2024-2029·</w:t>
      </w:r>
    </w:p>
    <w:p w:rsidR="00F70384" w:rsidRPr="00E8367F" w:rsidRDefault="00E8367F" w:rsidP="00E8367F">
      <w:pPr>
        <w:spacing w:after="240"/>
        <w:ind w:left="567" w:hanging="573"/>
        <w:rPr>
          <w:bCs/>
          <w:shd w:val="clear" w:color="auto" w:fill="FFFFFF"/>
        </w:rPr>
      </w:pPr>
      <w:r w:rsidRPr="00C474CB">
        <w:rPr>
          <w:bCs/>
        </w:rPr>
        <w:t>67.</w:t>
      </w:r>
      <w:r w:rsidRPr="00C474CB">
        <w:rPr>
          <w:bCs/>
        </w:rPr>
        <w:tab/>
      </w:r>
      <w:r w:rsidR="00F70384" w:rsidRPr="00E8367F">
        <w:rPr>
          <w:shd w:val="clear" w:color="auto" w:fill="FFFFFF"/>
        </w:rPr>
        <w:t>σημειώνει την καθυστερημένη έγκριση των νομικών βάσεων του προγράμματος «</w:t>
      </w:r>
      <w:proofErr w:type="spellStart"/>
      <w:r w:rsidR="00F70384" w:rsidRPr="00E8367F">
        <w:rPr>
          <w:shd w:val="clear" w:color="auto" w:fill="FFFFFF"/>
        </w:rPr>
        <w:t>Ορίζων</w:t>
      </w:r>
      <w:proofErr w:type="spellEnd"/>
      <w:r w:rsidR="00F70384" w:rsidRPr="00E8367F">
        <w:rPr>
          <w:shd w:val="clear" w:color="auto" w:fill="FFFFFF"/>
        </w:rPr>
        <w:t xml:space="preserve"> Ευρώπη» το 2021 και εκφράζει την ικανοποίησή του για το γεγονός ότι η Επιτροπή κατάφερε να επιτύχει σχεδόν το 100 % της εκτέλεσης του προϋπολογισμού το 2023· σημειώνει ότι ο αριθμός των συμφωνιών επιχορήγησης που υπογράφηκαν έως το τέλος του 2023 ήταν 10 674 και υπογράφηκαν άλλες δύο συμφωνίες-πλαίσια·</w:t>
      </w:r>
    </w:p>
    <w:p w:rsidR="00F70384" w:rsidRPr="00E8367F" w:rsidRDefault="00E8367F" w:rsidP="00E8367F">
      <w:pPr>
        <w:spacing w:after="240"/>
        <w:ind w:left="567" w:hanging="573"/>
        <w:rPr>
          <w:bCs/>
          <w:shd w:val="clear" w:color="auto" w:fill="FFFFFF"/>
        </w:rPr>
      </w:pPr>
      <w:r w:rsidRPr="00C474CB">
        <w:rPr>
          <w:bCs/>
        </w:rPr>
        <w:t>68.</w:t>
      </w:r>
      <w:r w:rsidRPr="00C474CB">
        <w:rPr>
          <w:bCs/>
        </w:rPr>
        <w:tab/>
      </w:r>
      <w:r w:rsidR="00F70384" w:rsidRPr="00E8367F">
        <w:rPr>
          <w:shd w:val="clear" w:color="auto" w:fill="FFFFFF"/>
        </w:rPr>
        <w:t>σημειώνει με ανησυχία ότι το Ελεγκτικό Συνέδριο εντόπισε σφάλματα σχετικά με μη επιλέξιμες δαπάνες σε 30 από τις 97 πράξεις του δείγματός του στον τομέα της έρευνας και της καινοτομίας, και ότι τα σφάλματα αυτά αντιπροσωπεύουν το 71 % του εκτιμώμενου επιπέδου σφάλματος του Ελεγκτικού Συνεδρίου για τον εν λόγω τομέα το 2023· επαναλαμβάνει την ανησυχία του για το γεγονός ότι, μετά από 9 έτη εφαρμογής του προγράμματος «</w:t>
      </w:r>
      <w:proofErr w:type="spellStart"/>
      <w:r w:rsidR="00F70384" w:rsidRPr="00E8367F">
        <w:rPr>
          <w:shd w:val="clear" w:color="auto" w:fill="FFFFFF"/>
        </w:rPr>
        <w:t>Ορίζων</w:t>
      </w:r>
      <w:proofErr w:type="spellEnd"/>
      <w:r w:rsidR="00F70384" w:rsidRPr="00E8367F">
        <w:rPr>
          <w:shd w:val="clear" w:color="auto" w:fill="FFFFFF"/>
        </w:rPr>
        <w:t xml:space="preserve"> 2020», ο υπολογισμός των δαπανών προσωπικού παραμένει σημαντική πηγή σφαλμάτων, καθώς 22 από τις 30 πράξεις στον τομέα της έρευνας με </w:t>
      </w:r>
      <w:proofErr w:type="spellStart"/>
      <w:r w:rsidR="00F70384" w:rsidRPr="00E8367F">
        <w:rPr>
          <w:shd w:val="clear" w:color="auto" w:fill="FFFFFF"/>
        </w:rPr>
        <w:t>προσδιορίσιμα</w:t>
      </w:r>
      <w:proofErr w:type="spellEnd"/>
      <w:r w:rsidR="00F70384" w:rsidRPr="00E8367F">
        <w:rPr>
          <w:shd w:val="clear" w:color="auto" w:fill="FFFFFF"/>
        </w:rPr>
        <w:t xml:space="preserve"> </w:t>
      </w:r>
      <w:proofErr w:type="spellStart"/>
      <w:r w:rsidR="00F70384" w:rsidRPr="00E8367F">
        <w:rPr>
          <w:shd w:val="clear" w:color="auto" w:fill="FFFFFF"/>
        </w:rPr>
        <w:t>ποσοτικώς</w:t>
      </w:r>
      <w:proofErr w:type="spellEnd"/>
      <w:r w:rsidR="00F70384" w:rsidRPr="00E8367F">
        <w:rPr>
          <w:shd w:val="clear" w:color="auto" w:fill="FFFFFF"/>
        </w:rPr>
        <w:t xml:space="preserve"> σφάλματα στο δείγμα του Ελεγκτικού Συνεδρίου (περίπου 73 %) επηρεάζονται από την εσφαλμένη εφαρμογή της μεθοδολογίας για τον υπολογισμό των δαπανών προσωπικού· αναγνωρίζει τις συνεχείς προσπάθειες της Επιτροπής και του Ελεγκτικού Συνεδρίου για την αντιμετώπιση αυτής της κατάστασης· εκφράζει την ικανοποίησή του για το γεγονός ότι η Επιτροπή έχει αποδεχθεί τις συστάσεις του Ελεγκτικού Συνεδρίου για την ενίσχυση της συμμόρφωσης των δικαιούχων με τους κανόνες που αφορούν το ημερομίσθιο και για τη διασφάλιση σαφήνειας όσον αφορά τους εν λόγω κανόνες στα έγγραφα του προγράμματος «</w:t>
      </w:r>
      <w:proofErr w:type="spellStart"/>
      <w:r w:rsidR="00F70384" w:rsidRPr="00E8367F">
        <w:rPr>
          <w:shd w:val="clear" w:color="auto" w:fill="FFFFFF"/>
        </w:rPr>
        <w:t>Ορίζων</w:t>
      </w:r>
      <w:proofErr w:type="spellEnd"/>
      <w:r w:rsidR="00F70384" w:rsidRPr="00E8367F">
        <w:rPr>
          <w:shd w:val="clear" w:color="auto" w:fill="FFFFFF"/>
        </w:rPr>
        <w:t xml:space="preserve"> Ευρώπη»·</w:t>
      </w:r>
    </w:p>
    <w:p w:rsidR="00F70384" w:rsidRPr="005C4A71" w:rsidRDefault="00E8367F" w:rsidP="00E8367F">
      <w:pPr>
        <w:spacing w:after="240"/>
        <w:ind w:left="567" w:hanging="573"/>
      </w:pPr>
      <w:r w:rsidRPr="005C4A71">
        <w:t>69.</w:t>
      </w:r>
      <w:r w:rsidRPr="005C4A71">
        <w:tab/>
      </w:r>
      <w:r w:rsidR="00F70384" w:rsidRPr="00E8367F">
        <w:rPr>
          <w:shd w:val="clear" w:color="auto" w:fill="FFFFFF"/>
        </w:rPr>
        <w:t xml:space="preserve">υπογραμμίζει τη σημασία της απλούστευσης των κανόνων και των διαδικασιών που διέπουν τη χρηματοδότηση της Ένωσης στον τομέα της έρευνας και καινοτομίας· σημειώνει ότι το 2023 η Επιτροπή συνέχισε την ανάπτυξη απλουστευμένων επιλογών κόστους, όπως τα κατ’ αποκοπή ποσά και το </w:t>
      </w:r>
      <w:proofErr w:type="spellStart"/>
      <w:r w:rsidR="00F70384" w:rsidRPr="00E8367F">
        <w:rPr>
          <w:shd w:val="clear" w:color="auto" w:fill="FFFFFF"/>
        </w:rPr>
        <w:t>μοναδιαίο</w:t>
      </w:r>
      <w:proofErr w:type="spellEnd"/>
      <w:r w:rsidR="00F70384" w:rsidRPr="00E8367F">
        <w:rPr>
          <w:shd w:val="clear" w:color="auto" w:fill="FFFFFF"/>
        </w:rPr>
        <w:t xml:space="preserve"> κόστος στο πρόγραμμα «</w:t>
      </w:r>
      <w:proofErr w:type="spellStart"/>
      <w:r w:rsidR="00F70384" w:rsidRPr="00E8367F">
        <w:rPr>
          <w:shd w:val="clear" w:color="auto" w:fill="FFFFFF"/>
        </w:rPr>
        <w:t>Ορίζων</w:t>
      </w:r>
      <w:proofErr w:type="spellEnd"/>
      <w:r w:rsidR="00F70384" w:rsidRPr="00E8367F">
        <w:rPr>
          <w:shd w:val="clear" w:color="auto" w:fill="FFFFFF"/>
        </w:rPr>
        <w:t xml:space="preserve"> Ευρώπη»· σημειώνει επίσης τις παρατηρήσεις που διατύπωσε ο Γενικός Διευθυντής Έρευνας και Καινοτομίας κατά την ανταλλαγή απόψεων με την επιτροπή CONT, σύμφωνα με τις οποίες η Επιτροπή προτίθεται να αυξήσει την εκταμίευση</w:t>
      </w:r>
      <w:r w:rsidR="00F70384" w:rsidRPr="005C4A71">
        <w:t xml:space="preserve"> των κονδυλίων του προγράμματος «</w:t>
      </w:r>
      <w:proofErr w:type="spellStart"/>
      <w:r w:rsidR="00F70384" w:rsidRPr="005C4A71">
        <w:t>Ορίζων</w:t>
      </w:r>
      <w:proofErr w:type="spellEnd"/>
      <w:r w:rsidR="00F70384" w:rsidRPr="005C4A71">
        <w:t xml:space="preserve"> Ευρώπη» μέσω κατ’ αποκοπή ποσών στο 50 % έως το 2027· εκφράζει την ικανοποίησή του για το γεγονός ότι η Επιτροπή, λαμβάνοντας υπόψη τις συστάσεις που διατύπωσε το Ελεγκτικό Συνέδριο στις ετήσιες εκθέσεις του για το 2022, θα προσδιορίσει περαιτέρω τις απαιτήσεις που καθορίζουν την ορθή εκτέλεση των κατ’ αποκοπή επιχορηγήσεων, συμπεριλαμβανομένων των στοιχείων κάθε δέσμης εργασιών που ενεργοποιεί την πληρωμή, και θα παρέχει επίσης λεπτομερή καθοδήγηση σε όσους συμμετέχουν στην αξιολόγηση της υλοποίησης των έργων· σημειώνει περαιτέρω ότι, όπως περιγράφεται στην αξιολόγηση της Επιτροπής σχετικά με την κατ’ αποκοπή χρηματοδότηση στο πλαίσιο των προγραμμάτων «</w:t>
      </w:r>
      <w:proofErr w:type="spellStart"/>
      <w:r w:rsidR="00F70384" w:rsidRPr="005C4A71">
        <w:t>Ορίζων</w:t>
      </w:r>
      <w:proofErr w:type="spellEnd"/>
      <w:r w:rsidR="00F70384" w:rsidRPr="005C4A71">
        <w:t xml:space="preserve"> 2020» και «</w:t>
      </w:r>
      <w:proofErr w:type="spellStart"/>
      <w:r w:rsidR="00F70384" w:rsidRPr="005C4A71">
        <w:t>Ορίζων</w:t>
      </w:r>
      <w:proofErr w:type="spellEnd"/>
      <w:r w:rsidR="00F70384" w:rsidRPr="005C4A71">
        <w:t xml:space="preserve"> Ευρώπη» για την περίοδο 2018-2024, οι δικαιούχοι θα επιθυμούσαν μεγαλύτερη σαφήνεια σχετικά με τον τρόπο ελέγχου των κατ’ αποκοπή επιχορηγήσεων· εκφράζει την ανησυχία του για το γεγονός ότι δεν έχει ακόμη αναπτυχθεί στρατηγική κατασταλτικών ελέγχων για το πρόγραμμα «</w:t>
      </w:r>
      <w:proofErr w:type="spellStart"/>
      <w:r w:rsidR="00F70384" w:rsidRPr="005C4A71">
        <w:t>Ορίζων</w:t>
      </w:r>
      <w:proofErr w:type="spellEnd"/>
      <w:r w:rsidR="00F70384" w:rsidRPr="005C4A71">
        <w:t xml:space="preserve"> Ευρώπη»·</w:t>
      </w:r>
    </w:p>
    <w:p w:rsidR="00F70384" w:rsidRPr="005C4A71" w:rsidRDefault="00E8367F" w:rsidP="00E8367F">
      <w:pPr>
        <w:pStyle w:val="NormalHanging12a"/>
        <w:ind w:hanging="573"/>
      </w:pPr>
      <w:r w:rsidRPr="005C4A71">
        <w:t>70.</w:t>
      </w:r>
      <w:r w:rsidRPr="005C4A71">
        <w:tab/>
      </w:r>
      <w:r w:rsidR="00F70384" w:rsidRPr="005C4A71">
        <w:t xml:space="preserve">τονίζει τον καίριο ρόλο του ιδιωτικού τομέα στην αντιμετώπιση του χάσματος καινοτομίας στην Ένωση και στη βελτίωση της ανταγωνιστικότητας και της ευημερίας στην Ένωση· πιστεύει, ειδικότερα, ότι είναι επιτακτική ανάγκη να συνεχιστεί η προώθηση και η διευκόλυνση, στο μέτρο του δυνατού, της συμμετοχής των ΜΜΕ στα </w:t>
      </w:r>
      <w:proofErr w:type="spellStart"/>
      <w:r w:rsidR="00F70384" w:rsidRPr="005C4A71">
        <w:t>ενωσιακά</w:t>
      </w:r>
      <w:proofErr w:type="spellEnd"/>
      <w:r w:rsidR="00F70384" w:rsidRPr="005C4A71">
        <w:t xml:space="preserve"> προγράμματα χρηματοδότησης της έρευνας και καινοτομίας· σημειώνει το συμπέρασμα του Ελεγκτικού Συνεδρίου ότι οι ΜΜΕ και οι νέοι δικαιούχοι εμφανίζουν μεγαλύτερο κίνδυνο σφάλματος από άλλους δικαιούχους, δεδομένου ότι δεν διαθέτουν την εμπειρία και τους πόρους που απαιτούνται για τη διαχείριση των κονδυλίων· εκφράζει την ικανοποίησή του για τις προσπάθειες που καταβάλλει η Επιτροπή ειδικά για τη στήριξη των ΜΜΕ, για παράδειγμα μέσω ενημερωτικών εκστρατειών, επαφών με το σύστημα των εθνικών σημείων επαφής, και του ειδικού γραφείου υποστήριξης της υπηρεσίας πληροφοριών για την έρευνα· θεωρεί ότι η απλούστευση των κανόνων και των διαδικασιών είναι ο κύριος παράγοντας για την αύξηση της συμμετοχής των ΜΜΕ·</w:t>
      </w:r>
    </w:p>
    <w:p w:rsidR="00F70384" w:rsidRPr="005C4A71" w:rsidRDefault="00F70384" w:rsidP="00F70384">
      <w:pPr>
        <w:spacing w:after="240"/>
        <w:rPr>
          <w:i/>
        </w:rPr>
      </w:pPr>
      <w:r w:rsidRPr="005C4A71">
        <w:rPr>
          <w:i/>
        </w:rPr>
        <w:t>Ενέργεια, μεταφορές και ψηφιακός τομέας</w:t>
      </w:r>
    </w:p>
    <w:p w:rsidR="00F70384" w:rsidRPr="005C4A71" w:rsidRDefault="00E8367F" w:rsidP="00E8367F">
      <w:pPr>
        <w:spacing w:after="240"/>
        <w:ind w:left="567" w:hanging="573"/>
      </w:pPr>
      <w:r w:rsidRPr="005C4A71">
        <w:t>71.</w:t>
      </w:r>
      <w:r w:rsidRPr="005C4A71">
        <w:tab/>
      </w:r>
      <w:r w:rsidR="00F70384" w:rsidRPr="005C4A71">
        <w:t>τονίζει τη σημασία των επενδύσεων της Ένωσης για την ανάπτυξη βιώσιμων και αποδοτικά διασυνδεδεμένων διευρωπαϊκών δικτύων υψηλών επιδόσεων στους τομείς των μεταφορών, της ενέργειας και των ψηφιακών υπηρεσιών και σημειώνει ότι ο μηχανισμός «Συνδέοντας την Ευρώπη» (ΜΣΕ), με δαπάνες ύψους 4,1 δισεκατομμυρίων EUR το 2023, αποτελεί βασικό μέσο της Ένωσης για την επίτευξη αυτών των στόχων·</w:t>
      </w:r>
    </w:p>
    <w:p w:rsidR="00F70384" w:rsidRPr="005C4A71" w:rsidRDefault="00E8367F" w:rsidP="00E8367F">
      <w:pPr>
        <w:spacing w:after="240"/>
        <w:ind w:left="567" w:hanging="573"/>
      </w:pPr>
      <w:r w:rsidRPr="005C4A71">
        <w:t>72.</w:t>
      </w:r>
      <w:r w:rsidRPr="005C4A71">
        <w:tab/>
      </w:r>
      <w:proofErr w:type="spellStart"/>
      <w:r w:rsidR="00F70384" w:rsidRPr="005C4A71">
        <w:t>εφιστά</w:t>
      </w:r>
      <w:proofErr w:type="spellEnd"/>
      <w:r w:rsidR="00F70384" w:rsidRPr="005C4A71">
        <w:t xml:space="preserve"> την προσοχή στην ανάγκη απλούστευσης των διαδικασιών υποβολής αιτήσεων στο πλαίσιο του μηχανισμού «Συνδέοντας την Ευρώπη» για τις μεταφορές (CEF-T), προκειμένου να δοθεί η δυνατότητα σε μικρότερες οντότητες και τοπικές πρωτοβουλίες να συμμετέχουν σε μεγαλύτερο βαθμό στην ανάπτυξη των ευρωπαϊκών υποδομών μεταφορών· εκφράζει τη λύπη του για το γεγονός ότι ο προϋπολογισμός του CEF-T δεν καλύπτει όλες τις ανάγκες για βιώσιμες επενδύσεις στον τομέα των μεταφορών και ότι το μεγαλύτερο μέρος του προϋπολογισμού του CEF-T έχει ήδη διατεθεί, με αποτέλεσμα να υπάρχει χρηματοδοτικό κενό έως το 2027·</w:t>
      </w:r>
    </w:p>
    <w:p w:rsidR="00F70384" w:rsidRPr="005C4A71" w:rsidRDefault="00E8367F" w:rsidP="00E8367F">
      <w:pPr>
        <w:spacing w:after="240"/>
        <w:ind w:left="567" w:hanging="573"/>
      </w:pPr>
      <w:r w:rsidRPr="005C4A71">
        <w:t>73.</w:t>
      </w:r>
      <w:r w:rsidRPr="005C4A71">
        <w:tab/>
      </w:r>
      <w:r w:rsidR="00F70384" w:rsidRPr="005C4A71">
        <w:t xml:space="preserve">υπενθυμίζει ότι ο επιθετικός πόλεμος της Ρωσίας κατά της Ουκρανίας και οι κυρώσεις που επιβλήθηκαν στη Ρωσία ως αποτέλεσμα αυτού του πολέμου συνέχισαν να επηρεάζουν αρνητικά τον τομέα των μεταφορών της Ένωσης το 2023, οδηγώντας σε ελλείψεις στην κυκλοφορία, σημεία συμφόρησης στην αλυσίδα εφοδιασμού και στην ανάγκη παράκαμψης των παραδοσιακών διαδρομών, με αποτέλεσμα την επιμήκυνση της διάρκειας των ταξιδιών και την αύξηση του κόστους· επισημαίνει ότι οι ανατολικές παραμεθόριες περιοχές, ιδίως στα κράτη της Βαλτικής, στη Φινλανδία, στην Πολωνία και στη Ρουμανία, έχουν πληγεί ιδιαίτερα από τις οικονομικές απώλειες και την παύση της διασυνοριακής κινητικότητας ως συνέπεια της ρωσικής επίθεσης· καλεί την Επιτροπή να θεσπίσει </w:t>
      </w:r>
      <w:proofErr w:type="spellStart"/>
      <w:r w:rsidR="00F70384" w:rsidRPr="005C4A71">
        <w:t>στοχευμένα</w:t>
      </w:r>
      <w:proofErr w:type="spellEnd"/>
      <w:r w:rsidR="00F70384" w:rsidRPr="005C4A71">
        <w:t xml:space="preserve"> μέτρα, μεταξύ άλλων στο επόμενο ΠΔΠ, για να διευκολυνθεί η ανάκαμψη των περιοχών που έχουν πληγεί·</w:t>
      </w:r>
    </w:p>
    <w:p w:rsidR="00F70384" w:rsidRPr="005C4A71" w:rsidRDefault="00E8367F" w:rsidP="00E8367F">
      <w:pPr>
        <w:spacing w:after="240"/>
        <w:ind w:left="567" w:hanging="570"/>
      </w:pPr>
      <w:r w:rsidRPr="005C4A71">
        <w:t>74.</w:t>
      </w:r>
      <w:r w:rsidRPr="005C4A71">
        <w:tab/>
      </w:r>
      <w:r w:rsidR="00F70384" w:rsidRPr="005C4A71">
        <w:t xml:space="preserve">καλεί την Επιτροπή να διενεργήσει ολοκληρωμένη επανεξέταση της χρηματοδότησης που διατίθεται για τα διασυνοριακά και </w:t>
      </w:r>
      <w:proofErr w:type="spellStart"/>
      <w:r w:rsidR="00F70384" w:rsidRPr="005C4A71">
        <w:t>πολυκρατικά</w:t>
      </w:r>
      <w:proofErr w:type="spellEnd"/>
      <w:r w:rsidR="00F70384" w:rsidRPr="005C4A71">
        <w:t xml:space="preserve"> έργα υποδομών, τα οποία αντιμετωπίζουν σημαντικές προκλήσεις όσον αφορά την υλοποίηση, οικονομικές δυσκολίες ή καθυστερήσεις, όπως το έργο </w:t>
      </w:r>
      <w:proofErr w:type="spellStart"/>
      <w:r w:rsidR="00F70384" w:rsidRPr="005C4A71">
        <w:t>Rail</w:t>
      </w:r>
      <w:proofErr w:type="spellEnd"/>
      <w:r w:rsidR="00F70384" w:rsidRPr="005C4A71">
        <w:t xml:space="preserve"> </w:t>
      </w:r>
      <w:proofErr w:type="spellStart"/>
      <w:r w:rsidR="00F70384" w:rsidRPr="005C4A71">
        <w:t>Baltica</w:t>
      </w:r>
      <w:proofErr w:type="spellEnd"/>
      <w:r w:rsidR="00F70384" w:rsidRPr="005C4A71">
        <w:t>· τονίζει ότι στο πλαίσιο αυτής της επανεξέτασης θα πρέπει να αντιμετωπιστούν οι ανεπάρκειες στον σχεδιασμό και τη διαχείριση, καθώς και η κατακόρυφη αύξηση του κόστους κατασκευής που θέτει σε κίνδυνο τα χρονοδιαγράμματα και τους στόχους των έργων· επαναλαμβάνει ότι η μεγαλύτερη διαφάνεια στη διαχείριση των δημόσιων πόρων ενισχύει την εμπιστοσύνη των πολιτών στα θεσμικά όργανα της Ένωσης·</w:t>
      </w:r>
    </w:p>
    <w:p w:rsidR="00F70384" w:rsidRPr="005C4A71" w:rsidRDefault="00E8367F" w:rsidP="00E8367F">
      <w:pPr>
        <w:spacing w:after="240"/>
        <w:ind w:left="567" w:hanging="573"/>
      </w:pPr>
      <w:r w:rsidRPr="005C4A71">
        <w:t>75.</w:t>
      </w:r>
      <w:r w:rsidRPr="005C4A71">
        <w:tab/>
      </w:r>
      <w:r w:rsidR="00F70384" w:rsidRPr="005C4A71">
        <w:t>σημειώνει με ανησυχία ότι το Ελεγκτικό Συνέδριο εντόπισε δύο σφάλματα σε έργα του ΜΣΕ στο δείγμα του 2023, το ένα εκ των οποίων αφορούσε σοβαρή παραβίαση των κανόνων της Ένωσης για τις δημόσιες συμβάσεις, καθώς ανατέθηκε σύμβαση σε κοινοπραξία που δεν πληρούσε τα κριτήρια επιλογής, με αποτέλεσμα το σφάλμα αυτό να συμβάλει κατά 28 % στο εκτιμώμενο ποσοστό σφάλματος για τον τομέα 1·</w:t>
      </w:r>
    </w:p>
    <w:p w:rsidR="00F70384" w:rsidRPr="005C4A71" w:rsidRDefault="00E8367F" w:rsidP="00E8367F">
      <w:pPr>
        <w:spacing w:after="240"/>
        <w:ind w:left="567" w:hanging="573"/>
      </w:pPr>
      <w:r w:rsidRPr="005C4A71">
        <w:t>76.</w:t>
      </w:r>
      <w:r w:rsidRPr="005C4A71">
        <w:tab/>
      </w:r>
      <w:r w:rsidR="00F70384" w:rsidRPr="005C4A71">
        <w:t>εκφράζει τη βαθιά του ανησυχία για τις διαπιστώσεις του Ελεγκτικού Συνεδρίου σε σχέση με το σύστημα εκ των προτέρων ελέγχου του Ευρωπαϊκού Εκτελεστικού Οργανισμού για το Κλίμα, τις Υποδομές και το Περιβάλλον (CINEA) για τις επιχορηγήσεις του ΜΣΕ στους τομείς των μεταφορών και της ενέργειας, και ιδίως για το συμπέρασμα του Ελεγκτικού Συνεδρίου ότι, ενώ οι στρατηγικές τόσο για τον ΜΣΕ1 (2014-2020) όσο και για τον ΜΣΕ2 (2021-2027) βασίζονται σε ορθή ανάλυση των κινδύνων και των παρατυπιών του παρελθόντος, οι κατευθυντήριες γραμμές για τους εκ των προτέρων ελέγχους σχετικά με τις δημόσιες συμβάσεις δεν ήταν αρκετά λεπτομερείς· υποστηρίζει πλήρως τη σύσταση του Ελεγκτικού Συνεδρίου σύμφωνα με την οποία η Επιτροπή θα πρέπει να αναπτύξει περαιτέρω αυτές τις κατευθυντήριες γραμμές·</w:t>
      </w:r>
    </w:p>
    <w:p w:rsidR="00F70384" w:rsidRPr="005C4A71" w:rsidRDefault="00F70384" w:rsidP="00F70384">
      <w:pPr>
        <w:spacing w:after="240"/>
        <w:ind w:left="567" w:hanging="567"/>
        <w:rPr>
          <w:i/>
        </w:rPr>
      </w:pPr>
      <w:r w:rsidRPr="005C4A71">
        <w:rPr>
          <w:i/>
        </w:rPr>
        <w:t>Συστάσεις</w:t>
      </w:r>
    </w:p>
    <w:p w:rsidR="00F70384" w:rsidRPr="00E8367F" w:rsidRDefault="00E8367F" w:rsidP="00E8367F">
      <w:pPr>
        <w:spacing w:after="240"/>
        <w:ind w:left="567" w:hanging="573"/>
        <w:rPr>
          <w:shd w:val="clear" w:color="auto" w:fill="FFFFFF"/>
        </w:rPr>
      </w:pPr>
      <w:r w:rsidRPr="00C474CB">
        <w:t>77.</w:t>
      </w:r>
      <w:r w:rsidRPr="00C474CB">
        <w:tab/>
      </w:r>
      <w:r w:rsidR="00F70384" w:rsidRPr="005C4A71">
        <w:t>καλεί</w:t>
      </w:r>
      <w:r w:rsidR="00F70384" w:rsidRPr="00E8367F">
        <w:rPr>
          <w:shd w:val="clear" w:color="auto" w:fill="FFFFFF"/>
        </w:rPr>
        <w:t xml:space="preserve"> την Επιτροπή:</w:t>
      </w:r>
    </w:p>
    <w:p w:rsidR="00F70384" w:rsidRPr="005C4A71" w:rsidRDefault="00F70384" w:rsidP="00F70384">
      <w:pPr>
        <w:pStyle w:val="NormalHanging12a"/>
        <w:widowControl/>
        <w:ind w:left="1287" w:hanging="720"/>
      </w:pPr>
      <w:r w:rsidRPr="005C4A71">
        <w:t>i)</w:t>
      </w:r>
      <w:r w:rsidRPr="005C4A71">
        <w:tab/>
        <w:t>να εξασφαλίσει την παροχή επαρκών πόρων για τη στήριξη προτάσεων για έργα έρευνας και καινοτομίας με υψηλή ποιότητα και ενωσιακή προστιθέμενη αξία, βραχυπρόθεσμα μέσω του σχεδίου προϋπολογισμού για το 2026 και μεσοπρόθεσμα μέσω της πρότασης της Επιτροπής για το επόμενο πολυετές δημοσιονομικό πλαίσιο·</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 xml:space="preserve">να συνεχίσει να απλουστεύει τους κανόνες και τις διαδικασίες σύμφωνα με τον νέο δημοσιονομικό κανονισμό, να στηρίζει σεμινάρια κατάρτισης και φιλική προς τον χρήστη, συνεκτική και πρακτική ενημέρωση για τους αιτούντες στα κράτη μέλη, ιδίως για τις ΜΜΕ, τους νέους αιτούντες, τους </w:t>
      </w:r>
      <w:proofErr w:type="spellStart"/>
      <w:r w:rsidRPr="005C4A71">
        <w:t>τεχνοβλαστούς</w:t>
      </w:r>
      <w:proofErr w:type="spellEnd"/>
      <w:r w:rsidRPr="005C4A71">
        <w:t>, τις νεοφυείς επιχειρήσεις, τις οργανώσεις της κοινωνίας των πολιτών ή τις ομάδες τοπικής δράσης, και να ενθαρρύνει τις αιτήσεις από δικαιούχους σε κράτη μέλη με πιο περιορισμένη συμμετοχή, καθώς και από μικρότερες οντότητες·</w:t>
      </w:r>
    </w:p>
    <w:p w:rsidR="00F70384" w:rsidRPr="005C4A71" w:rsidRDefault="00F70384" w:rsidP="00F70384">
      <w:pPr>
        <w:spacing w:after="240"/>
        <w:ind w:left="1287" w:hanging="720"/>
        <w:contextualSpacing/>
        <w:rPr>
          <w:spacing w:val="-6"/>
        </w:rPr>
      </w:pPr>
      <w:proofErr w:type="spellStart"/>
      <w:r w:rsidRPr="005C4A71">
        <w:t>iii</w:t>
      </w:r>
      <w:proofErr w:type="spellEnd"/>
      <w:r w:rsidRPr="005C4A71">
        <w:t>)</w:t>
      </w:r>
      <w:r w:rsidRPr="005C4A71">
        <w:tab/>
        <w:t>να συνεχίσει να εφαρμόζει απλουστευμένους κανόνες και διαδικασίες, μέτρα ψηφιοποίησης και επιλογές απλουστευμένου κόστους (ΕΑΚ), και παράλληλα να αντιμετωπίσει ιδίως τον κίνδυνο παρατυπιών και απάτης και το κόστος των ελέγχων και να ολοκληρώσει τη στρατηγική κατασταλτικών ελέγχων για το πρόγραμμα «</w:t>
      </w:r>
      <w:proofErr w:type="spellStart"/>
      <w:r w:rsidRPr="005C4A71">
        <w:t>Ορίζων</w:t>
      </w:r>
      <w:proofErr w:type="spellEnd"/>
      <w:r w:rsidRPr="005C4A71">
        <w:t xml:space="preserve"> Ευρώπη» το συντομότερο δυνατό·</w:t>
      </w:r>
    </w:p>
    <w:p w:rsidR="00F70384" w:rsidRPr="005C4A71" w:rsidRDefault="00F70384" w:rsidP="00F70384">
      <w:pPr>
        <w:pStyle w:val="NormalHanging12a"/>
        <w:widowControl/>
        <w:ind w:left="1287" w:hanging="720"/>
      </w:pPr>
      <w:r w:rsidRPr="005C4A71">
        <w:t>iv)</w:t>
      </w:r>
      <w:r w:rsidRPr="005C4A71">
        <w:tab/>
        <w:t>να διευκρινίσει περαιτέρω τις απαιτήσεις για τον καθορισμό της ορθής εκτέλεσης των κατ’ αποκοπή επιχορηγήσεων, λαμβάνοντας υπόψη τις σχετικές συστάσεις που διατύπωσε το Ελεγκτικό Συνέδριο στην ετήσια έκθεσή του για το 2022, και να επαληθεύει την πραγματική υλοποίηση των έργων με τη χρήση κατ’ αποκοπή ποσών·</w:t>
      </w:r>
    </w:p>
    <w:p w:rsidR="00F70384" w:rsidRPr="005C4A71" w:rsidRDefault="00F70384" w:rsidP="00F70384">
      <w:pPr>
        <w:pStyle w:val="NormalHanging12a"/>
        <w:ind w:left="1287" w:hanging="720"/>
      </w:pPr>
      <w:r w:rsidRPr="005C4A71">
        <w:t>v)</w:t>
      </w:r>
      <w:r w:rsidRPr="005C4A71">
        <w:tab/>
        <w:t>να προβεί σε ενδελεχή ανάλυση των διαπιστωθέντων σφαλμάτων στον τομέα των δημόσιων συμβάσεων και να αναπτύξει περαιτέρω τις κατευθυντήριες γραμμές που περιγράφουν την έκταση των εκ των προτέρων ελέγχων που πρέπει να διενεργούνται σχετικά με τις δημόσιες συμβάσεις για έργα του ΜΣΕ, σύμφωνα με τις συστάσεις του Ελεγκτικού Συνεδρίου·</w:t>
      </w:r>
    </w:p>
    <w:p w:rsidR="00F70384" w:rsidRPr="00E8367F" w:rsidRDefault="00F70384" w:rsidP="00F70384">
      <w:pPr>
        <w:spacing w:after="240"/>
        <w:rPr>
          <w:b/>
          <w:i/>
        </w:rPr>
      </w:pPr>
      <w:bookmarkStart w:id="294" w:name="_Toc185595113"/>
      <w:r w:rsidRPr="00E8367F">
        <w:rPr>
          <w:b/>
          <w:i/>
        </w:rPr>
        <w:t>Συνοχή, ανθεκτικότητα και αξίες</w:t>
      </w:r>
      <w:bookmarkEnd w:id="294"/>
    </w:p>
    <w:p w:rsidR="00F70384" w:rsidRPr="005C4A71" w:rsidRDefault="00E8367F" w:rsidP="00E8367F">
      <w:pPr>
        <w:spacing w:after="240"/>
        <w:ind w:left="567" w:hanging="573"/>
      </w:pPr>
      <w:r w:rsidRPr="005C4A71">
        <w:t>78.</w:t>
      </w:r>
      <w:r w:rsidRPr="005C4A71">
        <w:tab/>
      </w:r>
      <w:r w:rsidRPr="001B5954">
        <w:t>τονίζει τη σημασία της πολιτικής συνοχής της Ένωσης για την οικονομική και εδαφική σύγκλιση και ανάπτυξη στις περιφέρειες της Ένωσης, καθώς και για τη στήριξη της υλοποίησης του Ευρωπαϊκού πυλώνα κοινωνικών δικαιωμάτων·</w:t>
      </w:r>
      <w:r w:rsidRPr="00E8367F">
        <w:t xml:space="preserve"> </w:t>
      </w:r>
      <w:r w:rsidR="00F70384" w:rsidRPr="00E8367F">
        <w:rPr>
          <w:shd w:val="clear" w:color="auto" w:fill="FFFFFF"/>
        </w:rPr>
        <w:t xml:space="preserve">σημειώνει ότι ο προϋπολογισμός για τα προγράμματα στο πλαίσιο του τομέα 2 του ΠΔΠ «Συνοχή, ανθεκτικότητα και </w:t>
      </w:r>
      <w:r w:rsidR="00F70384" w:rsidRPr="005C4A71">
        <w:t xml:space="preserve">αξίες» ανήλθε σε 73,3 δισεκατομμύρια EUR (38,4 % του προϋπολογισμού της Ένωσης), κατανεμημένα ως εξής: 47,8 % για το Ευρωπαϊκό Ταμείο Περιφερειακής Ανάπτυξης (ΕΤΠΑ) και άλλες πράξεις περιφερειακής πολιτικής, 18,9 % για το Ευρωπαϊκό Κοινωνικό Ταμείο (ΕΚΤ), 9,8 % για το Ταμείο Συνοχής (ΤΣ), 3,8 % για το </w:t>
      </w:r>
      <w:proofErr w:type="spellStart"/>
      <w:r w:rsidR="00F70384" w:rsidRPr="005C4A71">
        <w:t>Erasmus</w:t>
      </w:r>
      <w:proofErr w:type="spellEnd"/>
      <w:r w:rsidR="00F70384" w:rsidRPr="005C4A71">
        <w:t>+, 2,1 % για τον ΜΣΕ Μεταφορές και 3,8 % για άλλους τομείς·</w:t>
      </w:r>
    </w:p>
    <w:p w:rsidR="00F70384" w:rsidRPr="005C4A71" w:rsidRDefault="00E8367F" w:rsidP="00E8367F">
      <w:pPr>
        <w:spacing w:after="240"/>
        <w:ind w:left="567" w:hanging="573"/>
      </w:pPr>
      <w:r w:rsidRPr="005C4A71">
        <w:t>79.</w:t>
      </w:r>
      <w:r w:rsidRPr="005C4A71">
        <w:tab/>
      </w:r>
      <w:r w:rsidR="00F70384" w:rsidRPr="005C4A71">
        <w:t xml:space="preserve">σημειώνει ότι το Ελεγκτικό Συνέδριο εξέτασε δείγμα 238 πράξεων που καλύπτουν ολόκληρο το φάσμα των δαπανών στο πλαίσιο του τομέα 2 του ΠΔΠ· σημειώνει με ανησυχία ότι το εκτιμώμενο συνολικό επίπεδο σφάλματος του Ελεγκτικού Συνεδρίου στις δαπάνες του τομέα αυτού το 2023 αυξήθηκε στο 9,3 %, ποσοστό που υπερβαίνει κατά πολύ το όριο σημαντικότητας· </w:t>
      </w:r>
      <w:proofErr w:type="spellStart"/>
      <w:r w:rsidR="00F70384" w:rsidRPr="005C4A71">
        <w:t>εφιστά</w:t>
      </w:r>
      <w:proofErr w:type="spellEnd"/>
      <w:r w:rsidR="00F70384" w:rsidRPr="005C4A71">
        <w:t xml:space="preserve"> την προσοχή στη σημαντική αύξηση του συνολικού επιπέδου σφάλματος που εκτίμησε το Ελεγκτικό Συνέδριο το 2023 σε σύγκριση με τα προηγούμενα έτη (6,4 % το 2022, 3,6 % το 2021)·</w:t>
      </w:r>
    </w:p>
    <w:p w:rsidR="00F70384" w:rsidRPr="005C4A71" w:rsidRDefault="00E8367F" w:rsidP="00E8367F">
      <w:pPr>
        <w:spacing w:after="240"/>
        <w:ind w:left="567" w:hanging="573"/>
      </w:pPr>
      <w:r w:rsidRPr="005C4A71">
        <w:t>80.</w:t>
      </w:r>
      <w:r w:rsidRPr="005C4A71">
        <w:tab/>
      </w:r>
      <w:r w:rsidR="00F70384" w:rsidRPr="005C4A71">
        <w:t xml:space="preserve">εκφράζει την ανησυχία του για την παρατήρηση του Ελεγκτικού Συνεδρίου ότι οι σημαντικοί πρόσθετοι πόροι που διατίθενται στο πλαίσιο της Συνδρομής στην Ανάκαμψη για τη Συνοχή και τις Περιοχές της Ευρώπης (REACT-EU), καθώς και η επικείμενη λήξη της περιόδου επιλεξιμότητας για τα προγράμματα της περιόδου 2014-2020 (31 Δεκεμβρίου 2023) και η παράλληλη υλοποίηση του προγράμματος NGEU συνεπάγονται πρόσθετη πίεση για τις διοικήσεις των κρατών μελών, με αποτέλεσμα να αυξάνεται ο κίνδυνος σφαλμάτων· εκφράζει ιδίως την ανησυχία του για την πρακτική της μείωσης της συγχρηματοδότησης των κρατών μελών, όπως συμβαίνει στο πλαίσιο του REACT-EU, της Πρωτοβουλίας Επενδύσεων για την Αντιμετώπιση του </w:t>
      </w:r>
      <w:proofErr w:type="spellStart"/>
      <w:r w:rsidR="00F70384" w:rsidRPr="005C4A71">
        <w:t>Κορονοϊού</w:t>
      </w:r>
      <w:proofErr w:type="spellEnd"/>
      <w:r w:rsidR="00F70384" w:rsidRPr="005C4A71">
        <w:t xml:space="preserve"> (CRII) και της CRII+, με αποτέλεσμα να περιορίζονται η ίδια ευθύνη και τα συναφή κίνητρα για την κατάλληλη εποπτεία των δαπανών· σημειώνει, με βάση τις απαντήσεις της Επιτροπής, την παραδοχή ότι ορισμένες αρχές ενδέχεται να έχουν διενεργήσει λιγότερο αποτελεσματικούς ελέγχους και επαληθεύσεις λόγω του μεγάλου φόρτου και της αυξανόμενης πίεσης λόγω της παράλληλης εφαρμογής των προγραμμάτων της περιόδου 2014-2020 και της πρόσθετης χρηματοδότησης στο πλαίσιο του NGEU·</w:t>
      </w:r>
    </w:p>
    <w:p w:rsidR="00F70384" w:rsidRPr="005C4A71" w:rsidRDefault="00E8367F" w:rsidP="00E8367F">
      <w:pPr>
        <w:spacing w:after="240"/>
        <w:ind w:left="567" w:hanging="573"/>
      </w:pPr>
      <w:r w:rsidRPr="005C4A71">
        <w:t>81.</w:t>
      </w:r>
      <w:r w:rsidRPr="005C4A71">
        <w:tab/>
      </w:r>
      <w:r w:rsidR="00F70384" w:rsidRPr="005C4A71">
        <w:t>σημειώνει την ανάλυση του Ελεγκτικού Συνεδρίου σχετικά με τις πράξεις με πρόσθετη χρηματοδότηση μέσω του REACT-EU και ευελιξία μέσω της CRII+ και της δράσης συνοχής για τους πρόσφυγες (CARE), και τη συμβολή τους στα εκτιμώμενα επίπεδα σφάλματος· σημειώνει ειδικότερα το συμπέρασμα ότι τα σφάλματα που εντοπίστηκαν στις προτεραιότητες που χρηματοδοτούνται κατά 100 % από την ΕΕ συνέβαλαν κατά 5,0 % στο συνολικό εκτιμώμενο επίπεδο σφάλματος του 9,3 %· εκφράζει την ανησυχία του για το γεγονός ότι η ενίσχυση της ευελιξίας, χωρίς ταυτόχρονη μείωση των απαιτήσεων ή αύξηση των προληπτικών επαληθεύσεων και ελέγχων, συνέβαλε στο υψηλό ποσοστό σφάλματος·</w:t>
      </w:r>
    </w:p>
    <w:p w:rsidR="00F70384" w:rsidRPr="005C4A71" w:rsidRDefault="00E8367F" w:rsidP="00E8367F">
      <w:pPr>
        <w:pStyle w:val="NormalHanging12a"/>
        <w:ind w:hanging="573"/>
      </w:pPr>
      <w:r w:rsidRPr="005C4A71">
        <w:t>82.</w:t>
      </w:r>
      <w:r w:rsidRPr="005C4A71">
        <w:tab/>
      </w:r>
      <w:r w:rsidR="00F70384" w:rsidRPr="005C4A71">
        <w:t>σημειώνει την επισκόπηση 03/2024 του Ελεγκτικού Συνεδρίου, με τίτλο «Πλαίσιο διασφάλισης και βασικοί παράγοντες που συνέβαλαν στα σφάλματα στις δαπάνες της πολιτικής συνοχής της περιόδου 2014-2020», η οποία καλύπτει τα αποτελέσματα των ελέγχων για περίοδο έξι ετών και περιλαμβάνει αξιολόγηση ζητημάτων διαχείρισης και ελέγχου, με στόχο την ενίσχυση του μοντέλου διασφάλισης· εκφράζει την ανησυχία του για το συμπέρασμα του Ελεγκτικού Συνεδρίου ότι, παρόλο που το πλαίσιο διασφάλισης για την πολιτική συνοχής βοήθησε να μειωθεί το επίπεδο σφάλματος, δεν υπήρξε αποτελεσματικό όσον αφορά τη μείωση του συνολικού επιπέδου σφάλματος κάτω από το όριο σημαντικότητας του 2 %· εκφράζει την ανησυχία του για το γεγονός ότι η Επιτροπή δεν μπορεί να βασιστεί παρά σε περιορισμένο βαθμό στο έργο των εθνικών ελεγκτικών αρχών, λόγω των συστηματικών αδυναμιών· στηρίζει τη σύσταση του Ελεγκτικού Συνεδρίου προς την Επιτροπή να ενισχύσει την εφαρμογή του πλαισίου διασφάλισης για τις δαπάνες συνοχής της περιόδου 2021-2027· υπενθυμίζει στην Επιτροπή την έκκληση της αρμόδιας για την απαλλαγή αρχής να συνεργαστεί στενά με τα κράτη μέλη για τη βελτίωση του συστήματος διαχείρισης και ελέγχου των δαπανών της Ένωσης, ώστε να μειωθεί το υψηλό ποσοστό σφάλματος κάτω από το όριο σημαντικότητας του 2 %·</w:t>
      </w:r>
    </w:p>
    <w:p w:rsidR="00F70384" w:rsidRPr="005C4A71" w:rsidRDefault="00E8367F" w:rsidP="00E8367F">
      <w:pPr>
        <w:spacing w:after="240"/>
        <w:ind w:left="567" w:hanging="573"/>
      </w:pPr>
      <w:r w:rsidRPr="005C4A71">
        <w:t>83.</w:t>
      </w:r>
      <w:r w:rsidRPr="005C4A71">
        <w:tab/>
      </w:r>
      <w:r w:rsidR="00F70384" w:rsidRPr="005C4A71">
        <w:t>σημειώνει την παρατήρηση του Ελεγκτικού Συνεδρίου στην επισκόπησή του σχετικά με την αξιοπιστία του έργου των βασικών παραγόντων στο σύστημα ελέγχου για την πολιτική συνοχής· εκφράζει την ανησυχία του για τη διαπίστωση του Ελεγκτικού Συνεδρίου ότι, κατά την εξαετή αυτή περίοδο, οι διαχειριστικές αρχές, η πρώτη γραμμή άμυνας για τον εντοπισμό και την πρόληψη σφαλμάτων, δεν ήταν επαρκώς αποτελεσματικές όσον αφορά τον μετριασμό του εγγενούς υψηλού κινδύνου σφάλματος στην πολιτική συνοχής· θεωρεί ακόμη πιο ανησυχητικό το γεγονός ότι το Ελεγκτικό Συνέδριο διαπίστωσε ότι η δεύτερη γραμμή άμυνας, οι ελεγκτικές αρχές των κρατών μελών, δεν είναι σε θέση να προσδιορίσουν το ορθό ποσοστό σφάλματος για τις δέσμες δαπανών τις οποίες ελέγχουν και για τις οποίες παρέχουν διασφάλιση, δεδομένου ότι το Ελεγκτικό Συνέδριο εντόπισε πρόσθετα σφάλματα τουλάχιστον στο 39 % των εν λόγω δεσμών· σημειώνει ότι τα σφάλματα αυτά εντοπίζονται και αναφέρονται από το Ελεγκτικό Συνέδριο κάθε χρόνο για περισσότερα από 6 έτη, γεγονός που δείχνει ότι υπάρχει συστημικό ζήτημα·</w:t>
      </w:r>
    </w:p>
    <w:p w:rsidR="00F70384" w:rsidRPr="005C4A71" w:rsidRDefault="00E8367F" w:rsidP="00E8367F">
      <w:pPr>
        <w:spacing w:after="240"/>
        <w:ind w:left="567" w:hanging="573"/>
      </w:pPr>
      <w:r w:rsidRPr="005C4A71">
        <w:t>84.</w:t>
      </w:r>
      <w:r w:rsidRPr="005C4A71">
        <w:tab/>
      </w:r>
      <w:r w:rsidR="00F70384" w:rsidRPr="005C4A71">
        <w:t>σημειώνει την κατηγοριοποίηση από το Ελεγκτικό Συνέδριο των σφαλμάτων που εντοπίστηκαν στις δαπάνες συνοχής, σύμφωνα με την οποία τα μη επιλέξιμα έργα αντιστοιχούν στο 29 % των σφαλμάτων, τα μη επιλέξιμα έξοδα στο 26 % και οι σοβαρές περιπτώσεις μη συμμόρφωσης στις διαδικασίες σύναψης δημόσιων συμβάσεων στο 21 %, ενώ οι δαπάνες που σχετίζονται με το ΕΤΠΑ και το ΤΣ αντιπροσωπεύουν το μεγαλύτερο ποσοστό σφαλμάτων (80 %)· σημειώνει ότι οι δαπάνες στο πλαίσιο του ΕΚΤ+, της ΠΑΝ και του ΤΕΒΑ περιέχουν αναλογικά λιγότερα σφάλματα, καθώς από κοινού αντιπροσωπεύουν το 16 % των σφαλμάτων και περίπου το 20 % του προϋπολογισμού στο πλαίσιο αυτού του τομέα·</w:t>
      </w:r>
    </w:p>
    <w:p w:rsidR="00F70384" w:rsidRPr="005C4A71" w:rsidRDefault="00E8367F" w:rsidP="00E8367F">
      <w:pPr>
        <w:spacing w:after="240"/>
        <w:ind w:left="567" w:hanging="573"/>
      </w:pPr>
      <w:r w:rsidRPr="005C4A71">
        <w:t>85.</w:t>
      </w:r>
      <w:r w:rsidRPr="005C4A71">
        <w:tab/>
      </w:r>
      <w:r w:rsidR="00F70384" w:rsidRPr="005C4A71">
        <w:t>σημειώνει τη μελέτη που εκπονήθηκε για λογαριασμό της Επιτροπής Ελέγχου του Προϋπολογισμού με θέμα τα διδάγματα που αντλήθηκαν από την εφαρμογή εργαλείων αντιμετώπισης κρίσεων, και η οποία δείχνει ότι η απορρόφηση των μη δεσμευμένων πόρων συνοχής υποστηρίχθηκε από τις δυνατότητες ευελιξίας που θεσπίστηκαν στο πλαίσιο των CRII και CRII+· εκφράζει την ανησυχία του για τη διαπίστωση των ερευνητών ότι η ποιότητα των έργων ταχείας υλοποίησης ενδέχεται να μην έχει φτάσει στο ίδιο επίπεδο με τις επενδύσεις πριν από την πανδημία· εκφράζει επίσης την ανησυχία του για την παρατήρηση των ερευνητών ότι ο κίνδυνος των έργων χαμηλής ποιότητας αναλαμβάνεται εξ ολοκλήρου από τον προϋπολογισμό της Ένωσης, λόγω της χρηματοδότησης κατά 100 % από την ΕΕ στα προγράμματα CRII, CRII+ και REACT-EU· θεωρεί ότι η χρηματοδότηση κατά 100 % από την ΕΕ μπορεί να συμβάλει στην απορρόφηση, αλλά η απορρόφηση δεν αποτελεί αυτοσκοπό·</w:t>
      </w:r>
    </w:p>
    <w:p w:rsidR="00F70384" w:rsidRPr="005C4A71" w:rsidRDefault="00E8367F" w:rsidP="00E8367F">
      <w:pPr>
        <w:spacing w:after="240"/>
        <w:ind w:left="567" w:hanging="573"/>
      </w:pPr>
      <w:r w:rsidRPr="005C4A71">
        <w:t>86.</w:t>
      </w:r>
      <w:r w:rsidRPr="005C4A71">
        <w:tab/>
      </w:r>
      <w:r w:rsidR="00F70384" w:rsidRPr="005C4A71">
        <w:t>τονίζει ότι η Επιτροπή Περιφερειακής Ανάπτυξης ζήτησε, στις πλέον πρόσφατες γνωμοδοτήσεις της για την απαλλαγή, την παροχή πρόσθετης συμβουλευτικής στήριξης από την Επιτροπή στις εθνικές, τοπικές και περιφερειακές αρχές προκειμένου να αποφευχθεί μια κατάσταση υπερβολικού διοικητικού φόρτου· αναγνωρίζει τις προσπάθειες της Επιτροπής, αλλά παρατηρεί ότι, δυστυχώς, αυτές δεν ήταν επαρκείς για τον μετριασμό του κινδύνου σφάλματος· προειδοποιεί ότι ενδέχεται να προκύψουν παρόμοια φαινόμενα υπερβολικού διοικητικού φόρτου στο τέλος της περιόδου επιλεξιμότητας του ΜΑΑ και στα τελευταία έτη του ΠΔΠ· υπογραμμίζει την ανάγκη να αντιμετωπιστούν επειγόντως οι ελλείψεις όσον αφορά τη διοικητική ικανότητα των εθνικών, τοπικών και περιφερειακών αρχών· καλεί, στο πλαίσιο αυτό, την Επιτροπή να τους παρέχει σαφή καθοδήγηση και να αυξήσει τη στήριξή της για την ανάπτυξη διοικητικών ικανοτήτων, μεταξύ άλλων μέσω της κατάρτισης του προσωπικού, της ανταλλαγής βέλτιστων πρακτικών, των αξιολογήσεων από ομότιμους και της παροχής τεχνικής υποστήριξης για τη διασφάλιση της αποτελεσματικής διαχείρισης των κονδυλίων·</w:t>
      </w:r>
    </w:p>
    <w:p w:rsidR="00F70384" w:rsidRPr="005C4A71" w:rsidRDefault="00E8367F" w:rsidP="00E8367F">
      <w:pPr>
        <w:pStyle w:val="NormalHanging12a"/>
        <w:ind w:hanging="573"/>
      </w:pPr>
      <w:r w:rsidRPr="005C4A71">
        <w:t>87.</w:t>
      </w:r>
      <w:r w:rsidRPr="005C4A71">
        <w:tab/>
      </w:r>
      <w:r w:rsidR="00F70384" w:rsidRPr="005C4A71">
        <w:t>σημειώνει τις δημόσιες συζητήσεις σχετικά με το πολυετές δημοσιονομικό πλαίσιο για την περίοδο μετά το 2027, οι οποίες ενδέχεται να υποδηλώνουν μια στροφή προς ένα μοντέλο βασισμένο στις επιδόσεις, τη σύζευξη επενδύσεων και μεταρρυθμίσεων, καθώς και την επιθυμία απλούστευσης των κανόνων και των διαδικασιών· καλεί την Επιτροπή να δώσει προτεραιότητα στις οικονομικές απαντήσεις στις τρέχουσες απειλές που απορρέουν από τη γεωπολιτική κατάσταση· προειδοποιεί ότι οποιαδήποτε απόφαση σχετικά με τον μελλοντικό σχεδιασμό των προγραμμάτων δαπανών δεν πρέπει να αποβαίνει εις βάρος της εποπτείας και του ελέγχου των δαπανών της Ένωσης όσον αφορά τη διαφάνεια και την ενημέρωση σε επίπεδο Ένωσης σχετικά με τη μη συμμόρφωση με τους κανόνες και τους κανονισμούς· θεωρεί ότι τα σφάλματα που εντόπισε το Ελεγκτικό Συνέδριο και ο τρόπος με τον οποίο η Επιτροπή χειρίζεται τα σφάλματα αυτά αποτελούν επίσης ένδειξη της εύρυθμης λειτουργίας του συστήματος διαχείρισης και ελέγχου, και σημειώνει ότι αμφότερα τα θεσμικά όργανα δήλωσαν τη δέσμευσή τους να βελτιώσουν το σύστημα και να μειώσουν το ποσοστό σφάλματος·</w:t>
      </w:r>
    </w:p>
    <w:p w:rsidR="00F70384" w:rsidRPr="005C4A71" w:rsidRDefault="00E8367F" w:rsidP="00E8367F">
      <w:pPr>
        <w:pStyle w:val="NormalHanging12a"/>
        <w:widowControl/>
        <w:ind w:hanging="573"/>
      </w:pPr>
      <w:r w:rsidRPr="005C4A71">
        <w:t>88.</w:t>
      </w:r>
      <w:r w:rsidRPr="005C4A71">
        <w:tab/>
      </w:r>
      <w:r w:rsidR="00F70384" w:rsidRPr="005C4A71">
        <w:t>σημειώνει, όπως και τα προηγούμενα έτη, την παρατήρηση του Ελεγκτικού Συνεδρίου ότι οι έλεγχοι εγγράφων της Επιτροπής, για την εξέταση και την αξιολόγηση του έργου των ελεγκτικών αρχών, αποσκοπούν στον έλεγχο μόνο της συνέπειας των πληροφοριών σχετικά με την κανονικότητα και επομένως δεν αρκούν να επιβεβαιώσουν το εναπομένον ποσοστό σφάλματος που αναφέρουν οι εθνικές αρχές στις δέσμες εγγράφων για τη διασφάλιση της αξιοπιστίας· σημειώνει την απάντηση της Επιτροπής ότι συμπληρώνει τους ελέγχους εγγράφων με επιτόπιες ελεγκτικές εργασίες που καλύπτουν τα προγράμματα και τις δέσμες εγγράφων για τη διασφάλιση της αξιοπιστίας, γεγονός που της επιτρέπει να προβαίνει σε εύλογη και δίκαιη εκτίμηση των ποσοστών σφάλματος για κάθε πρόγραμμα· θεωρεί ότι η παρατήρηση του Ελεγκτικού Συνεδρίου αφορά το πεδίο εφαρμογής των ελέγχων εγγράφων και το γεγονός ότι αποσκοπούν μόνο στον έλεγχο της συνέπειας και, κατά συνέπεια, δεν αρκούν για να παράσχουν στην Επιτροπή επαρκώς αξιόπιστες πληροφορίες·</w:t>
      </w:r>
    </w:p>
    <w:p w:rsidR="00F70384" w:rsidRPr="005C4A71" w:rsidRDefault="00E8367F" w:rsidP="00E8367F">
      <w:pPr>
        <w:pStyle w:val="NormalHanging12a"/>
        <w:widowControl/>
        <w:ind w:hanging="573"/>
      </w:pPr>
      <w:r w:rsidRPr="005C4A71">
        <w:t>89.</w:t>
      </w:r>
      <w:r w:rsidRPr="005C4A71">
        <w:tab/>
      </w:r>
      <w:r w:rsidR="00F70384" w:rsidRPr="005C4A71">
        <w:t>εκφράζει την ανησυχία του για τις συνεχιζόμενες ελλείψεις που παρατηρούνται από το Ελεγκτικό Συνέδριο στο έργο των εθνικών ελεγκτικών αρχών, όπως φαίνεται από τις αδυναμίες που εντοπίστηκαν στις δέσμες εγγράφων για τη διασφάλιση της αξιοπιστίας, με εναπομένον ποσοστό σφάλματος πάνω από το όριο σημαντικότητας για πάνω από το 60 % της αξίας των δεσμών εγγράφων για τη διασφάλιση της αξιοπιστίας που ελέγχθηκαν το 2023· τονίζει με ανησυχία ότι οι διαχειριστικές αρχές συστηματικά δεν καταφέρνουν να προλαμβάνουν ή να εντοπίζουν αποτελεσματικά τις παρατυπίες στις δαπάνες που δηλώνουν οι δικαιούχοι, γεγονός που περιορίζει τον βαθμό στον οποίο η Επιτροπή μπορεί να βασιστεί στο έργο τους·</w:t>
      </w:r>
    </w:p>
    <w:p w:rsidR="00F70384" w:rsidRPr="005C4A71" w:rsidRDefault="00E8367F" w:rsidP="00E8367F">
      <w:pPr>
        <w:pStyle w:val="NormalHanging12a"/>
        <w:ind w:hanging="573"/>
      </w:pPr>
      <w:r w:rsidRPr="005C4A71">
        <w:t>90.</w:t>
      </w:r>
      <w:r w:rsidRPr="005C4A71">
        <w:tab/>
      </w:r>
      <w:r w:rsidR="00F70384" w:rsidRPr="005C4A71">
        <w:t>υπενθυμίζει ότι, στο πλαίσιο της επιμερισμένης διαχείρισης, είναι ευθύνη της Επιτροπής να βεβαιώνεται ότι τα κράτη μέλη δημιουργούν συστήματα διαχείρισης και ελέγχου που λειτουργούν αποτελεσματικά κατά τη διάρκεια της υλοποίησης των προγραμμάτων· εκφράζει την ανησυχία του για το γεγονός ότι τόσο η Επιτροπή όσο και το Ελεγκτικό Συνέδριο έχουν διαπιστώσει ότι δεν λειτουργούν αποτελεσματικά όλα τα συστήματα διαχείρισης και ελέγχου των κρατών μελών, γεγονός που επηρεάζει αρνητικά την αξιοπιστία των ποσοστών σφάλματος της Επιτροπής, καθώς αυτά βασίζονται στα εν λόγω εθνικά συστήματα, τα οποία δεν λειτουργούν αποτελεσματικά· θέτει υπό αμφισβήτηση τη δυνατότητα της Επιτροπής να συνεχίσει να βασίζεται στα εθνικά συστήματα·</w:t>
      </w:r>
    </w:p>
    <w:p w:rsidR="00F70384" w:rsidRPr="005C4A71" w:rsidRDefault="00E8367F" w:rsidP="00E8367F">
      <w:pPr>
        <w:pStyle w:val="NormalHanging12a"/>
        <w:widowControl/>
        <w:ind w:hanging="573"/>
      </w:pPr>
      <w:r w:rsidRPr="005C4A71">
        <w:t>91.</w:t>
      </w:r>
      <w:r w:rsidRPr="005C4A71">
        <w:tab/>
      </w:r>
      <w:r w:rsidR="00F70384" w:rsidRPr="005C4A71">
        <w:t>θεωρεί ότι, για να λειτουργήσει σωστά η προσέγγιση του ενιαίου ελέγχου και να μειωθεί ο διοικητικός φόρτος για τους δικαιούχους και τις διαχειριστικές αρχές, είναι απολύτως απαραίτητο να τηρούνται τα πρότυπα λογιστικού ελέγχου σε όλα τα επίπεδα λογιστικών και λοιπών ελέγχων· εκφράζει, επομένως, την ανησυχία του για τη διαπίστωση, στην ετήσια έκθεση του Ελεγκτικού Συνεδρίου, ότι οι αρχές των προγραμμάτων και οι δικαιούχοι δεν υπέβαλαν βασικά δικαιολογητικά έγγραφα σχετικά με τη συμμόρφωση με τους όρους επιλεξιμότητας, καθώς και για τη διαπίστωση, στην επισκόπηση του Ελεγκτικού Συνεδρίου, ότι η ανεπαρκής τεκμηρίωση του ελεγκτικού έργου των ελεγκτικών αρχών περιορίζει την αξιοπιστία του ελεγκτικού έργου των εθνικών ελεγκτικών αρχών·</w:t>
      </w:r>
    </w:p>
    <w:p w:rsidR="00F70384" w:rsidRPr="005C4A71" w:rsidRDefault="00E8367F" w:rsidP="00E8367F">
      <w:pPr>
        <w:pStyle w:val="NormalHanging12a"/>
        <w:ind w:hanging="573"/>
      </w:pPr>
      <w:r w:rsidRPr="005C4A71">
        <w:t>92.</w:t>
      </w:r>
      <w:r w:rsidRPr="005C4A71">
        <w:tab/>
      </w:r>
      <w:r w:rsidR="00F70384" w:rsidRPr="005C4A71">
        <w:t>υπενθυμίζει ότι, σύμφωνα με το άρθρο 15 του κανονισμού (ΕΕ) 2021/1060 του Ευρωπαϊκού Κοινοβουλίου και του Συμβουλίου</w:t>
      </w:r>
      <w:r w:rsidR="00F70384" w:rsidRPr="005C4A71">
        <w:rPr>
          <w:vertAlign w:val="superscript"/>
        </w:rPr>
        <w:footnoteReference w:id="115"/>
      </w:r>
      <w:r w:rsidR="00F70384" w:rsidRPr="005C4A71">
        <w:t xml:space="preserve"> (ΚΚΔ) για την περίοδο προγραμματισμού 2021-2027, τα κράτη μέλη πρέπει να συμμορφώνονται με οριζόντιους και θεματικούς αναγκαίους πρόσφορους όρους, οι οποίοι πρέπει να εξακολουθούν να πληρούνται και να τηρούνται καθ’ όλη τη διάρκεια της περιόδου υλοποίησης των κονδυλίων· υπενθυμίζει ότι, όταν δεν πληρούνται οι αναγκαίοι πρόσφοροι όροι κατά τον χρόνο υποβολής αίτησης πληρωμής στην Επιτροπή για τον συγκεκριμένο ειδικό στόχο, οι σχετικές δαπάνες δεν θα επιστρέφονται από τον προϋπολογισμό της Ένωσης έως ότου η Επιτροπή πεισθεί ότι έχει εκπληρωθεί ο αναγκαίος πρόσφορος όρος· υπενθυμίζει την έντονη δυσαρέσκεια της αρμόδιας για την απαλλαγή αρχής για την απόφαση της Επιτροπής, της 13ης Δεκεμβρίου 2023</w:t>
      </w:r>
      <w:r w:rsidR="00F70384" w:rsidRPr="005C4A71">
        <w:rPr>
          <w:vertAlign w:val="superscript"/>
        </w:rPr>
        <w:footnoteReference w:id="116"/>
      </w:r>
      <w:r w:rsidR="00F70384" w:rsidRPr="005C4A71">
        <w:t xml:space="preserve">, με την οποία θεωρείται ότι η Ουγγαρία εκπλήρωσε τον οριζόντιο αναγκαίο πρόσφορο όρο που σχετίζεται με την ανεξαρτησία της δικαιοσύνης, και η οποία επέτρεψε στις ουγγρικές αρχές να υποβάλουν αιτήσεις επιστροφής δαπανών ύψους έως 10,2 δισεκατομμυρίων EUR· σημειώνει με ανησυχία ότι, μετά την αποδέσμευση αυτών των κονδυλίων, η ουγγρική κυβέρνηση δεν έλαβε μέτρα για την αποκατάσταση της ανεξαρτησίας της δικαιοσύνης, αλλά κινήθηκε στην αντίθετη κατεύθυνση· εκφράζει εκ νέου την ανησυχία του για την έλλειψη επαρκών μηχανισμών ελέγχου και την αναξιοπιστία των διαδικασιών σύναψης δημόσιων συμβάσεων ως προς τη διασφάλιση της χρηστής δημοσιονομικής διαχείρισης και την προστασία του προϋπολογισμού της Ένωσης· πιστεύει ότι η απόφαση αυτή έρχεται σε πολιτική αντίθεση με την παράταση των μέτρων που εγκρίθηκαν δυνάμει του </w:t>
      </w:r>
      <w:r w:rsidR="00F70384" w:rsidRPr="005C4A71">
        <w:rPr>
          <w:shd w:val="clear" w:color="auto" w:fill="FFFFFF"/>
        </w:rPr>
        <w:t>κανονισμού (ΕΕ, Ευρατόμ) 2020/2092</w:t>
      </w:r>
      <w:r w:rsidR="00F70384" w:rsidRPr="005C4A71">
        <w:rPr>
          <w:rStyle w:val="FootnoteReference"/>
          <w:b/>
          <w:bCs/>
          <w:shd w:val="clear" w:color="auto" w:fill="FFFFFF"/>
        </w:rPr>
        <w:footnoteReference w:id="117"/>
      </w:r>
      <w:r w:rsidR="00F70384" w:rsidRPr="005C4A71">
        <w:t xml:space="preserve"> («κανονισμός για την </w:t>
      </w:r>
      <w:proofErr w:type="spellStart"/>
      <w:r w:rsidR="00F70384" w:rsidRPr="005C4A71">
        <w:t>αιρεσιμότητα</w:t>
      </w:r>
      <w:proofErr w:type="spellEnd"/>
      <w:r w:rsidR="00F70384" w:rsidRPr="005C4A71">
        <w:t>»)·</w:t>
      </w:r>
    </w:p>
    <w:p w:rsidR="00F70384" w:rsidRPr="005C4A71" w:rsidRDefault="00E8367F" w:rsidP="00E8367F">
      <w:pPr>
        <w:pStyle w:val="NormalHanging12a"/>
        <w:ind w:hanging="573"/>
      </w:pPr>
      <w:r w:rsidRPr="005C4A71">
        <w:t>93.</w:t>
      </w:r>
      <w:r w:rsidRPr="005C4A71">
        <w:tab/>
      </w:r>
      <w:r w:rsidR="00F70384" w:rsidRPr="005C4A71">
        <w:t xml:space="preserve">εκφράζει βαθιά ανησυχία για τα πορίσματα της έκθεσης του 2023 για το κράτος δικαίου σχετικά με την κατάσταση του κράτους δικαίου στην Ουγγαρία, και ιδίως για τις διαρκείς και συστημικές προκλήσεις στους τομείς της δικαιοσύνης και των μέσων ενημέρωσης· σημειώνει με ανησυχία την αυξανόμενη πίεση που ασκείται στον ανεξάρτητο χαρακτήρα της δικαιοσύνης, συμπεριλαμβανομένων των ανησυχιών για την επιλογή και την προαγωγή δικαστών, και τις πρόσφατες αναφορές για εκφοβισμό και παρέμβαση σε δικαστικές αποφάσεις, όπως καταδεικνύεται από τις παραιτήσεις δικαστών σε ένδειξη διαμαρτυρίας κατά της πολιτικής επιρροής· σημειώνει με ανησυχία, στο ίδιο πνεύμα, ότι ο επικεφαλής της ουγγρικής αρχής ακεραιότητας, ενός βασικού θεσμικού οργάνου του οποίου η σύσταση αποτελούσε προϋπόθεση που έθεσε η Επιτροπή για την αποδέσμευση κονδυλίων της Ένωσης στο πλαίσιο του κανονισμού για την </w:t>
      </w:r>
      <w:proofErr w:type="spellStart"/>
      <w:r w:rsidR="00F70384" w:rsidRPr="005C4A71">
        <w:t>αιρεσιμότητα</w:t>
      </w:r>
      <w:proofErr w:type="spellEnd"/>
      <w:r w:rsidR="00F70384" w:rsidRPr="005C4A71">
        <w:t xml:space="preserve"> όσον αφορά το κράτος δικαίου, αντιμετωπίζει αυξανόμενη πίεση από την ουγγρική κυβέρνηση· καλεί την Επιτροπή να διασφαλίσει μια συντονισμένη και ολιστική προσέγγιση σε όλα τα σχετικά κονδύλια και νομοθετικά εργαλεία της Ένωσης, τονίζοντας ότι τα κονδύλια της Ένωσης δεν πρέπει να διατίθενται σε δραστηριότητες που υπονομεύουν τη δημοκρατία ή ενισχύουν τον αυταρχισμό·</w:t>
      </w:r>
    </w:p>
    <w:p w:rsidR="00F70384" w:rsidRPr="00E8367F" w:rsidRDefault="00E8367F" w:rsidP="00E8367F">
      <w:pPr>
        <w:spacing w:after="240"/>
        <w:ind w:left="567" w:hanging="573"/>
        <w:rPr>
          <w:shd w:val="clear" w:color="auto" w:fill="FFFFFF"/>
        </w:rPr>
      </w:pPr>
      <w:r w:rsidRPr="00C474CB">
        <w:t>94.</w:t>
      </w:r>
      <w:r w:rsidRPr="00C474CB">
        <w:tab/>
      </w:r>
      <w:r w:rsidR="00F70384" w:rsidRPr="00E8367F">
        <w:rPr>
          <w:shd w:val="clear" w:color="auto" w:fill="FFFFFF"/>
        </w:rPr>
        <w:t xml:space="preserve">υπενθυμίζει ότι ο κανονισμός για την </w:t>
      </w:r>
      <w:proofErr w:type="spellStart"/>
      <w:r w:rsidR="00F70384" w:rsidRPr="00E8367F">
        <w:rPr>
          <w:shd w:val="clear" w:color="auto" w:fill="FFFFFF"/>
        </w:rPr>
        <w:t>αιρεσιμότητα</w:t>
      </w:r>
      <w:proofErr w:type="spellEnd"/>
      <w:r w:rsidR="00F70384" w:rsidRPr="00E8367F">
        <w:rPr>
          <w:shd w:val="clear" w:color="auto" w:fill="FFFFFF"/>
        </w:rPr>
        <w:t xml:space="preserve"> θεσπίζει μηχανισμό και μέτρα για την προστασία του προϋπολογισμού της Ένωσης από παραβιάσεις του κράτους δικαίου, όταν άλλες διαδικασίες που ορίζονται στη νομοθεσία της Ένωσης δεν προστατεύουν αποτελεσματικότερα τον προϋπολογισμό· υπενθυμίζει ότι ο μηχανισμός αυτός ενεργοποιήθηκε στις 15 Δεκεμβρίου 2022 στην περίπτωση της Ουγγαρίας λόγω ανησυχιών σχετικά με το σύστημα δημόσιων συμβάσεων της, με αποτέλεσμα την προσωρινή αναστολή του 55 % των δημοσιονομικών δεσμεύσεων για τρία προγράμματα της πολιτικής συνοχής· υπενθυμίζει ότι ο ίδιος κανονισμός, σύμφωνα με το άρθρο 6 του κανονισμού (ΕΕ, Ευρατόμ) 2020/2093 του Συμβουλίου</w:t>
      </w:r>
      <w:r w:rsidR="00F70384" w:rsidRPr="005C4A71">
        <w:rPr>
          <w:rStyle w:val="FootnoteReference"/>
          <w:bCs/>
          <w:shd w:val="clear" w:color="auto" w:fill="FFFFFF"/>
        </w:rPr>
        <w:footnoteReference w:id="118"/>
      </w:r>
      <w:r w:rsidR="00F70384" w:rsidRPr="00E8367F">
        <w:rPr>
          <w:shd w:val="clear" w:color="auto" w:fill="FFFFFF"/>
        </w:rPr>
        <w:t xml:space="preserve"> («κανονισμός ΠΔΠ»), ορίζει ότι οι ανασταλείσες δεσμεύσεις του 2022 (έτος ν) δεν μπορούν να </w:t>
      </w:r>
      <w:proofErr w:type="spellStart"/>
      <w:r w:rsidR="00F70384" w:rsidRPr="00E8367F">
        <w:rPr>
          <w:shd w:val="clear" w:color="auto" w:fill="FFFFFF"/>
        </w:rPr>
        <w:t>επανεγγραφούν</w:t>
      </w:r>
      <w:proofErr w:type="spellEnd"/>
      <w:r w:rsidR="00F70384" w:rsidRPr="00E8367F">
        <w:rPr>
          <w:shd w:val="clear" w:color="auto" w:fill="FFFFFF"/>
        </w:rPr>
        <w:t xml:space="preserve"> στον προϋπολογισμό μετά το 2024 (έτος ν+2) και ότι, ως εκ τούτου, το 55 % των δεσμεύσεων από το 2022, περίπου 1 δισεκατομμύριο EUR, αποδεσμεύθηκε τον Δεκέμβριο του 2024· σημειώνει ότι δεν βρίσκονται σε εξέλιξη άλλες διαδικασίες βάσει του κανονισμού για την </w:t>
      </w:r>
      <w:proofErr w:type="spellStart"/>
      <w:r w:rsidR="00F70384" w:rsidRPr="00E8367F">
        <w:rPr>
          <w:shd w:val="clear" w:color="auto" w:fill="FFFFFF"/>
        </w:rPr>
        <w:t>αιρεσιμότητα</w:t>
      </w:r>
      <w:proofErr w:type="spellEnd"/>
      <w:r w:rsidR="00F70384" w:rsidRPr="00E8367F">
        <w:rPr>
          <w:shd w:val="clear" w:color="auto" w:fill="FFFFFF"/>
        </w:rPr>
        <w:t>·</w:t>
      </w:r>
    </w:p>
    <w:p w:rsidR="00F70384" w:rsidRPr="005C4A71" w:rsidRDefault="00E8367F" w:rsidP="00E8367F">
      <w:pPr>
        <w:pStyle w:val="NormalHanging12a"/>
        <w:ind w:hanging="573"/>
      </w:pPr>
      <w:r w:rsidRPr="005C4A71">
        <w:t>95.</w:t>
      </w:r>
      <w:r w:rsidRPr="005C4A71">
        <w:tab/>
      </w:r>
      <w:r w:rsidR="00F70384" w:rsidRPr="005C4A71">
        <w:t xml:space="preserve">σημειώνει ότι η Επιτροπή διέθεσε ισοδύναμο πέντε υπαλλήλων πλήρους απασχόλησης για την εφαρμογή του κανονισμού για την </w:t>
      </w:r>
      <w:proofErr w:type="spellStart"/>
      <w:r w:rsidR="00F70384" w:rsidRPr="005C4A71">
        <w:t>αιρεσιμότητα</w:t>
      </w:r>
      <w:proofErr w:type="spellEnd"/>
      <w:r w:rsidR="00F70384" w:rsidRPr="005C4A71">
        <w:t xml:space="preserve"> και επαναλαμβάνει τις ανησυχίες που εξέφρασε το Ευρωπαϊκό Ελεγκτικό Συνέδριο στην ειδική έκθεσή του αριθ. 03/2024 ότι ο τρέχων αριθμός υπαλλήλων φαίνεται να μην επαρκεί για τη διασφάλιση της αυστηρής και συνεκτικής εφαρμογής του κανονισμού·</w:t>
      </w:r>
    </w:p>
    <w:p w:rsidR="00F70384" w:rsidRPr="005C4A71" w:rsidRDefault="00E8367F" w:rsidP="00E8367F">
      <w:pPr>
        <w:pStyle w:val="NormalHanging12a"/>
        <w:widowControl/>
        <w:ind w:hanging="573"/>
      </w:pPr>
      <w:r w:rsidRPr="005C4A71">
        <w:t>96.</w:t>
      </w:r>
      <w:r w:rsidRPr="005C4A71">
        <w:tab/>
      </w:r>
      <w:r w:rsidR="00F70384" w:rsidRPr="005C4A71">
        <w:t xml:space="preserve">τονίζει εκ νέου την ανάγκη να αντιμετωπίζονται ως ενιαία, ολοκληρωμένη δέσμη όλα τα μέτρα που απαιτούνται για την αποδέσμευση κονδυλίων της ΕΕ στο πλαίσιο του κανονισμού για την </w:t>
      </w:r>
      <w:proofErr w:type="spellStart"/>
      <w:r w:rsidR="00F70384" w:rsidRPr="005C4A71">
        <w:t>αιρεσιμότητα</w:t>
      </w:r>
      <w:proofErr w:type="spellEnd"/>
      <w:r w:rsidR="00F70384" w:rsidRPr="005C4A71">
        <w:t>, του ΚΚΔ και του κανονισμού (ΕΕ) 2021/241 του Ευρωπαϊκού Κοινοβουλίου και του Συμβουλίου</w:t>
      </w:r>
      <w:r w:rsidR="00F70384" w:rsidRPr="005C4A71">
        <w:rPr>
          <w:rStyle w:val="FootnoteReference"/>
          <w:bCs/>
        </w:rPr>
        <w:footnoteReference w:id="119"/>
      </w:r>
      <w:r w:rsidR="00F70384" w:rsidRPr="005C4A71">
        <w:t xml:space="preserve"> («κανονισμός ΜΑΑ»)· τονίζει τη σημασία της προστασίας των οικονομικών συμφερόντων της Ένωσης, μεταξύ άλλων, για την εκταμίευση της προχρηματοδότησης·</w:t>
      </w:r>
    </w:p>
    <w:p w:rsidR="00F70384" w:rsidRPr="005C4A71" w:rsidRDefault="00E8367F" w:rsidP="00E8367F">
      <w:pPr>
        <w:pStyle w:val="NormalHanging12a"/>
        <w:ind w:hanging="573"/>
      </w:pPr>
      <w:r w:rsidRPr="005C4A71">
        <w:t>97.</w:t>
      </w:r>
      <w:r w:rsidRPr="005C4A71">
        <w:tab/>
      </w:r>
      <w:r w:rsidR="00F70384" w:rsidRPr="005C4A71">
        <w:t xml:space="preserve">σημειώνει ότι ορισμένες επενδύσεις που θα ήταν επιλέξιμες για χρηματοδότηση στο πλαίσιο της συνοχής περιλαμβάνονται στα εθνικά σχέδια ανάκαμψης και ανθεκτικότητας· υπενθυμίζει ότι ο γενικός στόχος του ΜΑΑ που κατοχυρώνεται στο άρθρο 4 του κανονισμού ΜΑΑ είναι η προώθηση της οικονομικής, κοινωνικής και εδαφικής συνοχής της Ένωσης, και ότι ένας από τους έξι πυλώνες του είναι ειδικά αφιερωμένος στον σκοπό αυτό· αναγνωρίζει ότι το ευρύ πεδίο εφαρμογής του ΜΑΑ έχει ως αποτέλεσμα περιορισμένη αλληλεπικάλυψη με άλλα χρηματοδοτικά προγράμματα της Ένωσης, όπως προβλέπεται από τους </w:t>
      </w:r>
      <w:proofErr w:type="spellStart"/>
      <w:r w:rsidR="00F70384" w:rsidRPr="005C4A71">
        <w:t>συννομοθέτες</w:t>
      </w:r>
      <w:proofErr w:type="spellEnd"/>
      <w:r w:rsidR="00F70384" w:rsidRPr="005C4A71">
        <w:t xml:space="preserve"> κατά τη θέσπιση του άρθρου 9 του κανονισμού ΜΑΑ, το οποίο θεσπίζει ως βασικές αρχές την </w:t>
      </w:r>
      <w:proofErr w:type="spellStart"/>
      <w:r w:rsidR="00F70384" w:rsidRPr="005C4A71">
        <w:t>προσθετικότητα</w:t>
      </w:r>
      <w:proofErr w:type="spellEnd"/>
      <w:r w:rsidR="00F70384" w:rsidRPr="005C4A71">
        <w:t xml:space="preserve"> και τη συμπληρωματική χρηματοδότηση· </w:t>
      </w:r>
      <w:proofErr w:type="spellStart"/>
      <w:r w:rsidR="00F70384" w:rsidRPr="005C4A71">
        <w:t>εφιστά</w:t>
      </w:r>
      <w:proofErr w:type="spellEnd"/>
      <w:r w:rsidR="00F70384" w:rsidRPr="005C4A71">
        <w:t>, ωστόσο, την προσοχή στους κινδύνους διπλής χρηματοδότησης που προκύπτουν από τέτοιες καταστάσεις·</w:t>
      </w:r>
    </w:p>
    <w:p w:rsidR="00F70384" w:rsidRPr="005C4A71" w:rsidRDefault="00E8367F" w:rsidP="00E8367F">
      <w:pPr>
        <w:pStyle w:val="NormalHanging12a"/>
        <w:widowControl/>
        <w:ind w:hanging="573"/>
      </w:pPr>
      <w:r w:rsidRPr="005C4A71">
        <w:t>98.</w:t>
      </w:r>
      <w:r w:rsidRPr="005C4A71">
        <w:tab/>
      </w:r>
      <w:r w:rsidR="00F70384" w:rsidRPr="005C4A71">
        <w:t>εκφράζει την ανησυχία του για τις ορατές καθυστερήσεις στην εφαρμογή της πολιτικής συνοχής στα κράτη μέλη και για το γεγονός ότι οι εθνικές διοικήσεις δεν έχουν την ικανότητα να διαχειρίζονται παράλληλα διαφορετικά προγράμματα δαπανών (π.χ. προγράμματα συνοχής και προγράμματα ΜΑΑ) που καλύπτουν συμπληρωματικούς ή ακόμη και παρόμοιους στόχους· καλεί την Επιτροπή να διασφαλίσει την παροχή επαρκούς τεχνικής βοήθειας στα κράτη μέλη που συναντούν δυσκολίες, προκειμένου να αντιμετωπιστούν οι υφιστάμενες καθυστερήσεις στην υλοποίηση των προγραμμάτων συνοχής·</w:t>
      </w:r>
    </w:p>
    <w:p w:rsidR="00F70384" w:rsidRPr="005C4A71" w:rsidRDefault="00E8367F" w:rsidP="00E8367F">
      <w:pPr>
        <w:pStyle w:val="NormalHanging12a"/>
        <w:ind w:hanging="573"/>
      </w:pPr>
      <w:r w:rsidRPr="005C4A71">
        <w:t>99.</w:t>
      </w:r>
      <w:r w:rsidRPr="005C4A71">
        <w:tab/>
      </w:r>
      <w:r w:rsidR="00F70384" w:rsidRPr="005C4A71">
        <w:t xml:space="preserve">αναγνωρίζει τον δυσανάλογο αντίκτυπο του επιθετικού πολέμου της Ρωσίας κατά της Ουκρανίας στις ανατολικές περιοχές της Ένωσης που συνορεύουν με τη Ρωσία και τη Λευκορωσία· </w:t>
      </w:r>
      <w:proofErr w:type="spellStart"/>
      <w:r w:rsidR="00F70384" w:rsidRPr="005C4A71">
        <w:t>εφιστά</w:t>
      </w:r>
      <w:proofErr w:type="spellEnd"/>
      <w:r w:rsidR="00F70384" w:rsidRPr="005C4A71">
        <w:t xml:space="preserve"> την προσοχή στο κόστος που επωμίζονται οι εν λόγω περιοχές και τα κράτη μέλη λόγω των κοινών συνόρων τους με εχθρικές γειτονικές χώρες, ιδίως στην ανάγκη τους να αφιερώνουν ολοένα και περισσότερους δημόσιους πόρους στην ασφάλεια, την άμυνα και την ετοιμότητα, ενώ παράλληλα αντιμετωπίζουν δραματική μείωση πόρων λόγω της διαταραχής των οικονομικών δραστηριοτήτων, του διασυνοριακού εμπορίου και άλλων ανταλλαγών, καθώς και των προγραμμάτων συνοχής, ιδίως των προγραμμάτων </w:t>
      </w:r>
      <w:proofErr w:type="spellStart"/>
      <w:r w:rsidR="00F70384" w:rsidRPr="005C4A71">
        <w:t>Interreg</w:t>
      </w:r>
      <w:proofErr w:type="spellEnd"/>
      <w:r w:rsidR="00F70384" w:rsidRPr="005C4A71">
        <w:t>· σημειώνει τα μέτρα που έλαβε η Ευρωπαϊκή Επιτροπή για τη στήριξη αυτών των περιφερειών, ιδίως μέσω της ευελιξίας που παρέχεται στο πλαίσιο της πολιτικής συνοχής· εκφράζει την ικανοποίησή του για το γεγονός ότι η παροχή στήριξης στις ανατολικές παραμεθόριες περιοχές που πλήττονται περισσότερο από την επίθεση της Ρωσίας περιλαμβάνεται στην επιστολή ανάθεσης καθηκόντων του εκτελεστικού αντιπροέδρου για τη συνοχή και τις μεταρρυθμίσεις· καλεί την Επιτροπή να διασφαλίσει την παροχή επαρκούς στήριξης στις ανατολικές περιοχές της Ένωσης που συνορεύουν με τη Ρωσία και τη Λευκορωσία για την αντιμετώπιση των δυσανάλογων συνεπειών του ρωσικού επιθετικού πολέμου, τόσο βραχυπρόθεσμα μέσω του σχεδίου προϋπολογισμού του 2026 όσο και μεσοπρόθεσμα μέσω της πρότασης της Επιτροπής για το επόμενο ΠΔΠ·</w:t>
      </w:r>
    </w:p>
    <w:p w:rsidR="00F70384" w:rsidRPr="005C4A71" w:rsidRDefault="00E8367F" w:rsidP="00E8367F">
      <w:pPr>
        <w:pStyle w:val="NormalHanging12a"/>
        <w:ind w:hanging="573"/>
        <w:rPr>
          <w:szCs w:val="24"/>
        </w:rPr>
      </w:pPr>
      <w:r w:rsidRPr="005C4A71">
        <w:rPr>
          <w:szCs w:val="24"/>
        </w:rPr>
        <w:t>100.</w:t>
      </w:r>
      <w:r w:rsidRPr="005C4A71">
        <w:rPr>
          <w:szCs w:val="24"/>
        </w:rPr>
        <w:tab/>
      </w:r>
      <w:r w:rsidR="00F70384" w:rsidRPr="005C4A71">
        <w:t xml:space="preserve">τονίζει τη σημασία του ΕΚΤ+, το οποίο αποσκοπεί στην επίτευξη υψηλής απασχόλησης, δίκαιης κοινωνικής προστασίας, ειδικευμένου και ανθεκτικού εργατικού δυναμικού και συνεκτικών κοινωνιών χωρίς αποκλεισμούς, δεδομένου ότι αυτά αποτελούν στοιχεία καίριας σημασίας για την εξάλειψη της φτώχειας· επισημαίνει την ανάγκη να διαθέτει το ΕΚΤ+ διαρκή οικονομική και πολιτική στήριξη από τα </w:t>
      </w:r>
      <w:proofErr w:type="spellStart"/>
      <w:r w:rsidR="00F70384" w:rsidRPr="005C4A71">
        <w:t>ενωσιακά</w:t>
      </w:r>
      <w:proofErr w:type="spellEnd"/>
      <w:r w:rsidR="00F70384" w:rsidRPr="005C4A71">
        <w:t>, εθνικά και περιφερειακά θεσμικά όργανα, προκειμένου να επιτύχει τους στόχους και τις επιδιώξεις του κατά τα επόμενα έτη· υπογραμμίζει τη σημασία της στενής συμμετοχής των περιφερειακών φορέων, ιδίως των οργανώσεων της κοινωνίας των πολιτών και των κοινωνικών εταίρων που εργάζονται επιτόπου, στην υλοποίηση των δραστηριοτήτων που χρηματοδοτούνται από το ΕΚΤ+·</w:t>
      </w:r>
    </w:p>
    <w:p w:rsidR="00F70384" w:rsidRPr="005C4A71" w:rsidRDefault="00E8367F" w:rsidP="00E8367F">
      <w:pPr>
        <w:spacing w:after="240"/>
        <w:ind w:left="567" w:hanging="573"/>
      </w:pPr>
      <w:r w:rsidRPr="005C4A71">
        <w:t>101.</w:t>
      </w:r>
      <w:r w:rsidRPr="005C4A71">
        <w:tab/>
      </w:r>
      <w:r w:rsidR="00F70384" w:rsidRPr="005C4A71">
        <w:t xml:space="preserve">επικροτεί την </w:t>
      </w:r>
      <w:proofErr w:type="spellStart"/>
      <w:r w:rsidR="00F70384" w:rsidRPr="005C4A71">
        <w:t>εμπροσθοβαρή</w:t>
      </w:r>
      <w:proofErr w:type="spellEnd"/>
      <w:r w:rsidR="00F70384" w:rsidRPr="005C4A71">
        <w:t xml:space="preserve"> μεταφορά 100 εκατομμυρίων EUR από τον προϋπολογισμό του </w:t>
      </w:r>
      <w:proofErr w:type="spellStart"/>
      <w:r w:rsidR="00F70384" w:rsidRPr="005C4A71">
        <w:t>Erasmus</w:t>
      </w:r>
      <w:proofErr w:type="spellEnd"/>
      <w:r w:rsidR="00F70384" w:rsidRPr="005C4A71">
        <w:t xml:space="preserve">+ για το 2027 στον προϋπολογισμό του </w:t>
      </w:r>
      <w:proofErr w:type="spellStart"/>
      <w:r w:rsidR="00F70384" w:rsidRPr="005C4A71">
        <w:t>Erasmus</w:t>
      </w:r>
      <w:proofErr w:type="spellEnd"/>
      <w:r w:rsidR="00F70384" w:rsidRPr="005C4A71">
        <w:t xml:space="preserve">+ για το 2023, καθώς επέτρεψε να συνεχιστεί η παροχή στήριξης σε μαθητές, σπουδαστές, εκπαιδευτικούς και ειδικευμένο προσωπικό που προσπαθούσαν να ξεφύγουν από την Ουκρανία, καθώς και την κατανομή 20 εκατομμυρίων EUR επιπλέον στο </w:t>
      </w:r>
      <w:proofErr w:type="spellStart"/>
      <w:r w:rsidR="00F70384" w:rsidRPr="005C4A71">
        <w:t>Erasmus</w:t>
      </w:r>
      <w:proofErr w:type="spellEnd"/>
      <w:r w:rsidR="00F70384" w:rsidRPr="005C4A71">
        <w:t xml:space="preserve">+ το 2023 ως αποτέλεσμα της επιμονής του Κοινοβουλίου· τονίζει ότι η </w:t>
      </w:r>
      <w:proofErr w:type="spellStart"/>
      <w:r w:rsidR="00F70384" w:rsidRPr="005C4A71">
        <w:t>εμπροσθοβαρής</w:t>
      </w:r>
      <w:proofErr w:type="spellEnd"/>
      <w:r w:rsidR="00F70384" w:rsidRPr="005C4A71">
        <w:t xml:space="preserve"> χρηματοδότηση πρέπει να παραμείνει εξαίρεση όσον αφορά την ταχεία αντίδραση σε απρόβλεπτες καταστάσεις οξείας κρίσης· υπογραμμίζει ότι οποιαδήποτε </w:t>
      </w:r>
      <w:proofErr w:type="spellStart"/>
      <w:r w:rsidR="00F70384" w:rsidRPr="005C4A71">
        <w:t>εμπροσθοβαρής</w:t>
      </w:r>
      <w:proofErr w:type="spellEnd"/>
      <w:r w:rsidR="00F70384" w:rsidRPr="005C4A71">
        <w:t xml:space="preserve"> χρηματοδότηση του </w:t>
      </w:r>
      <w:proofErr w:type="spellStart"/>
      <w:r w:rsidR="00F70384" w:rsidRPr="005C4A71">
        <w:t>Erasmus</w:t>
      </w:r>
      <w:proofErr w:type="spellEnd"/>
      <w:r w:rsidR="00F70384" w:rsidRPr="005C4A71">
        <w:t>+ δεν μπορεί να οδηγήσει σε περικοπές για το πρόγραμμα στο τέλος του τρέχοντος ΠΔΠ· τονίζει ότι πρέπει να καταβάλλεται κάθε δυνατή προσπάθεια για την προνομιακή αντιμετώπιση τέτοιων καταστάσεων με πρόσθετη χρηματοδότηση·</w:t>
      </w:r>
    </w:p>
    <w:p w:rsidR="00F70384" w:rsidRPr="005C4A71" w:rsidRDefault="00E8367F" w:rsidP="00E8367F">
      <w:pPr>
        <w:spacing w:after="240"/>
        <w:ind w:left="567" w:hanging="573"/>
      </w:pPr>
      <w:r w:rsidRPr="005C4A71">
        <w:t>102.</w:t>
      </w:r>
      <w:r w:rsidRPr="005C4A71">
        <w:tab/>
      </w:r>
      <w:r w:rsidR="00F70384" w:rsidRPr="005C4A71">
        <w:t xml:space="preserve">τονίζει ότι απαιτείται αυστηρή εποπτεία της κατανομής των κονδυλίων ώστε να προληφθεί η κατάχρηση στο πλαίσιο του προγράμματος </w:t>
      </w:r>
      <w:proofErr w:type="spellStart"/>
      <w:r w:rsidR="00F70384" w:rsidRPr="005C4A71">
        <w:t>Erasmus</w:t>
      </w:r>
      <w:proofErr w:type="spellEnd"/>
      <w:r w:rsidR="00F70384" w:rsidRPr="005C4A71">
        <w:t xml:space="preserve">· ζητεί από την Επιτροπή να συγκεντρώσει στοιχεία για να διερευνήσει κάθε περιστατικό δόλιων ή ύποπτων αποδεκτών, σύμφωνα με τα καθήκοντά της που περιγράφονται στον δημοσιονομικό κανονισμό και στις συμφωνίες επιχορήγησης </w:t>
      </w:r>
      <w:proofErr w:type="spellStart"/>
      <w:r w:rsidR="00F70384" w:rsidRPr="005C4A71">
        <w:t>Erasmus</w:t>
      </w:r>
      <w:proofErr w:type="spellEnd"/>
      <w:r w:rsidR="00F70384" w:rsidRPr="005C4A71">
        <w:t>+· ζητεί την επαρκή προστασία του προγράμματος έναντι καταχρήσεων από οργανισμούς οι δραστηριότητες των οποίων δεν ευθυγραμμίζονται με τις θεμελιώδεις αξίες της Ένωσης (ανθρώπινη αξιοπρέπεια, ελευθερία, δημοκρατία, ισότητα, κράτος δικαίου, ανθρώπινα δικαιώματα)· υπενθυμίζει ότι η Επιτροπή δεσμεύεται νομικά να μεριμνά ώστε οι δικαιούχοι του προγράμματος να τηρούν αυτές τις αξίες και να διασφαλίζουν ότι γίνονται σεβαστές, και να μη διαπράττουν επαγγελματικά παραπτώματα·</w:t>
      </w:r>
    </w:p>
    <w:p w:rsidR="00F70384" w:rsidRPr="005C4A71" w:rsidRDefault="00E8367F" w:rsidP="00E8367F">
      <w:pPr>
        <w:pStyle w:val="NormalHanging12a"/>
        <w:ind w:hanging="573"/>
      </w:pPr>
      <w:r w:rsidRPr="005C4A71">
        <w:t>103.</w:t>
      </w:r>
      <w:r w:rsidRPr="005C4A71">
        <w:tab/>
      </w:r>
      <w:r w:rsidR="00F70384" w:rsidRPr="005C4A71">
        <w:t xml:space="preserve">σημειώνει ότι, το 2023, ο προϋπολογισμός του προγράμματος EU4Health, του κύριου χρηματοδοτικού μέσου για τη στήριξη των πρωτοβουλιών της Ένωσης στον τομέα της υγείας, ήταν 735 εκατομμύρια EUR, υπό τη διαχείριση κυρίως της </w:t>
      </w:r>
      <w:r w:rsidR="00F70384" w:rsidRPr="005C4A71">
        <w:rPr>
          <w:shd w:val="clear" w:color="auto" w:fill="FFFFFF"/>
        </w:rPr>
        <w:t>Γενικής Διεύθυνσης Υγείας και Ασφάλειας των Τροφίμων</w:t>
      </w:r>
      <w:r w:rsidR="00F70384" w:rsidRPr="005C4A71">
        <w:t xml:space="preserve"> και της Αρχής Ετοιμότητας και Αντιμετώπισης Καταστάσεων Έκτακτης Υγειονομικής Ανάγκης (HERA), και εκτελέστηκε μέσω του Ευρωπαϊκού Εκτελεστικού Οργανισμού για την Υγεία και τον Ψηφιακό τομέα· αναγνωρίζει την πρόοδο των πρωτοβουλιών που χρηματοδοτούνται στο πλαίσιο του εν λόγω προγράμματος, ιδίως στους τομείς της ετοιμότητας για καταστάσεις έκτακτης ανάγκης στον τομέα της υγείας, του σχεδίου για την καταπολέμηση του καρκίνου, της φαρμακευτικής στρατηγικής για την Ευρώπη και της εφαρμογής της νομοθεσίας της Ένωσης για την υγεία·</w:t>
      </w:r>
    </w:p>
    <w:p w:rsidR="00F70384" w:rsidRPr="005C4A71" w:rsidRDefault="00F70384" w:rsidP="00F70384">
      <w:pPr>
        <w:spacing w:after="240"/>
        <w:ind w:left="567" w:hanging="567"/>
        <w:rPr>
          <w:i/>
        </w:rPr>
      </w:pPr>
      <w:r w:rsidRPr="005C4A71">
        <w:rPr>
          <w:i/>
        </w:rPr>
        <w:t>Συστάσεις</w:t>
      </w:r>
    </w:p>
    <w:p w:rsidR="00F70384" w:rsidRPr="005C4A71" w:rsidRDefault="00E8367F" w:rsidP="00E8367F">
      <w:pPr>
        <w:pStyle w:val="NormalHanging12a"/>
        <w:widowControl/>
        <w:ind w:hanging="570"/>
      </w:pPr>
      <w:r w:rsidRPr="005C4A71">
        <w:t>104.</w:t>
      </w:r>
      <w:r w:rsidRPr="005C4A71">
        <w:tab/>
      </w:r>
      <w:r w:rsidR="00F70384" w:rsidRPr="005C4A71">
        <w:t>καλεί την Επιτροπή:</w:t>
      </w:r>
    </w:p>
    <w:p w:rsidR="00F70384" w:rsidRPr="005C4A71" w:rsidRDefault="00F70384" w:rsidP="00F70384">
      <w:pPr>
        <w:pStyle w:val="NormalHanging12a"/>
        <w:widowControl/>
        <w:ind w:left="1287" w:hanging="720"/>
        <w:rPr>
          <w:spacing w:val="-6"/>
          <w:szCs w:val="24"/>
        </w:rPr>
      </w:pPr>
      <w:r w:rsidRPr="005C4A71">
        <w:t>i)</w:t>
      </w:r>
      <w:r w:rsidRPr="005C4A71">
        <w:tab/>
        <w:t>να επανεξετάσει την πρακτική της χρηματοδότησης κατά 100 % από την Ένωση στα μέσα αντιμετώπισης κρίσεων της Ένωσης, όπου η αύξηση της προχρηματοδότησης θα μπορούσε να οδηγήσει σε ταχύτερη διαθεσιμότητα των κονδυλίων, διατηρώντας παράλληλα την κοινή ευθύνη για τον δημοσιονομικό έλεγχο κατά την εκτέλεση των κονδυλίων μέσω της διατήρησης της χρηματοδότησης τόσο από το εθνικό όσο και από το ενωσιακό επίπεδο·</w:t>
      </w:r>
    </w:p>
    <w:p w:rsidR="00F70384" w:rsidRPr="005C4A71" w:rsidRDefault="00F70384" w:rsidP="00F70384">
      <w:pPr>
        <w:pStyle w:val="NormalHanging12a"/>
        <w:widowControl/>
        <w:ind w:left="1287" w:hanging="720"/>
        <w:rPr>
          <w:spacing w:val="-6"/>
          <w:szCs w:val="24"/>
        </w:rPr>
      </w:pPr>
      <w:proofErr w:type="spellStart"/>
      <w:r w:rsidRPr="005C4A71">
        <w:t>ii</w:t>
      </w:r>
      <w:proofErr w:type="spellEnd"/>
      <w:r w:rsidRPr="005C4A71">
        <w:t>)</w:t>
      </w:r>
      <w:r w:rsidRPr="005C4A71">
        <w:tab/>
        <w:t>να διασφαλίσει ότι τα κονδύλια της πολιτικής για τη συνοχή κατευθύνονται σε ποιοτικά έργα, ευνοώντας τις μακροπρόθεσμες επενδύσεις, ενώ παράλληλα θα πρέπει να αιτιολογεί δεόντως τη χρηματοδότηση κατά 100 % από την Ένωση και να περιορίζει το πεδίο εφαρμογής της·</w:t>
      </w:r>
    </w:p>
    <w:p w:rsidR="00F70384" w:rsidRPr="005C4A71" w:rsidRDefault="00F70384" w:rsidP="00F70384">
      <w:pPr>
        <w:pStyle w:val="NormalHanging12a"/>
        <w:widowControl/>
        <w:ind w:left="1287" w:hanging="720"/>
        <w:rPr>
          <w:spacing w:val="-6"/>
          <w:szCs w:val="24"/>
        </w:rPr>
      </w:pPr>
      <w:proofErr w:type="spellStart"/>
      <w:r w:rsidRPr="005C4A71">
        <w:t>iii</w:t>
      </w:r>
      <w:proofErr w:type="spellEnd"/>
      <w:r w:rsidRPr="005C4A71">
        <w:t>)</w:t>
      </w:r>
      <w:r w:rsidRPr="005C4A71">
        <w:tab/>
        <w:t>να αντιμετωπίσει το συστημικό ζήτημα του μη εντοπισμού σφαλμάτων στο επίπεδο των κρατών μελών όσον αφορά τις δαπάνες της πολιτικής για τη συνοχή, υιοθετώντας ένα σχέδιο δράσης που θα έχει ως στόχο να αναφέρεται ακριβές ποσοστό σφάλματος στις δέσμες εγγράφων για τη διασφάλιση της αξιοπιστίας, καθώς και να εντοπίζονται σφάλματα στις πρώτες γραμμές άμυνας χάρη στη διάθεση περισσότερων πόρων και/ή στην καλύτερη στόχευση των υφιστάμενων πόρων και την αύξηση της ικανότητας εντοπισμού σε επίπεδο κρατών μελών και Επιτροπής·</w:t>
      </w:r>
    </w:p>
    <w:p w:rsidR="00F70384" w:rsidRPr="005C4A71" w:rsidRDefault="00F70384" w:rsidP="00F70384">
      <w:pPr>
        <w:pStyle w:val="NormalHanging12a"/>
        <w:widowControl/>
        <w:ind w:left="1287" w:hanging="720"/>
        <w:rPr>
          <w:spacing w:val="-6"/>
          <w:szCs w:val="24"/>
        </w:rPr>
      </w:pPr>
      <w:r w:rsidRPr="005C4A71">
        <w:t>iv)</w:t>
      </w:r>
      <w:r w:rsidRPr="005C4A71">
        <w:tab/>
        <w:t>να υπολογίσει και να αναφέρει στην αρμόδια για την απαλλαγή αρχή το κόστος ελέγχου για όλες τις δαπάνες που διαχειρίζονται οι εθνικές αρχές όσον αφορά τα κονδύλια της πολιτικής για τη συνοχή και το NGEU, και να συγκρίνει τα εν λόγω αριθμητικά στοιχεία με το κόστος ελέγχου όταν οι ίδιες αρχές διαχειρίζονταν μόνο τα κονδύλια της πολιτικής για τη συνοχή·</w:t>
      </w:r>
    </w:p>
    <w:p w:rsidR="00F70384" w:rsidRPr="005C4A71" w:rsidRDefault="00F70384" w:rsidP="00F70384">
      <w:pPr>
        <w:pStyle w:val="NormalHanging12a"/>
        <w:widowControl/>
        <w:ind w:left="1287" w:hanging="720"/>
        <w:rPr>
          <w:spacing w:val="-6"/>
          <w:szCs w:val="24"/>
        </w:rPr>
      </w:pPr>
      <w:r w:rsidRPr="005C4A71">
        <w:t>v)</w:t>
      </w:r>
      <w:r w:rsidRPr="005C4A71">
        <w:tab/>
        <w:t>να αντιμετωπίσει το επαναλαμβανόμενο ζήτημα της ανεπαρκούς τεκμηρίωσης σε επίπεδο δικαιούχου, αρχής του προγράμματος και αρχής ελέγχου, όχι μόνο μέσω ελέγχων, ευαισθητοποίησης και ενημέρωσης σχετικά με τις απαιτήσεις, αλλά και μέσω της αυξημένης ψηφιοποίησης και, όπου είναι δυνατόν, μέσω οικονομικών κινήτρων για την επιβολή κυρώσεων για τη μη τήρηση των απαιτήσεων χρηστής δημοσιονομικής διαχείρισης·</w:t>
      </w:r>
    </w:p>
    <w:p w:rsidR="00F70384" w:rsidRPr="005C4A71" w:rsidRDefault="00F70384" w:rsidP="00F70384">
      <w:pPr>
        <w:pStyle w:val="NormalHanging12a"/>
        <w:widowControl/>
        <w:ind w:left="1287" w:hanging="720"/>
      </w:pPr>
      <w:proofErr w:type="spellStart"/>
      <w:r w:rsidRPr="005C4A71">
        <w:t>vi</w:t>
      </w:r>
      <w:proofErr w:type="spellEnd"/>
      <w:r w:rsidRPr="005C4A71">
        <w:t>)</w:t>
      </w:r>
      <w:r w:rsidRPr="005C4A71">
        <w:tab/>
        <w:t>να επεκτείνει το πεδίο εφαρμογής του ελέγχου εγγράφων όσον αφορά τις δέσμες εγγράφων για τη διασφάλιση της αξιοπιστίας, προκειμένου να εξετάζονται περισσότερα κριτήρια ποιότητας, επιπλέον της συνέπειας, ώστε να γίνεται αξιόπιστη εκτίμηση του εναπομένοντος ποσοστού σφάλματος για την υπό εξέταση δέσμη εγγράφων για τη διασφάλιση της αξιοπιστίας, καθώς και του κινδύνου κατά την πληρωμή συνολικά·</w:t>
      </w:r>
    </w:p>
    <w:p w:rsidR="00F70384" w:rsidRPr="005C4A71" w:rsidRDefault="00F70384" w:rsidP="00F70384">
      <w:pPr>
        <w:pStyle w:val="NormalHanging12a"/>
        <w:widowControl/>
        <w:ind w:left="1287" w:hanging="720"/>
      </w:pPr>
      <w:proofErr w:type="spellStart"/>
      <w:r w:rsidRPr="005C4A71">
        <w:t>vii</w:t>
      </w:r>
      <w:proofErr w:type="spellEnd"/>
      <w:r w:rsidRPr="005C4A71">
        <w:t>)</w:t>
      </w:r>
      <w:r w:rsidRPr="005C4A71">
        <w:tab/>
        <w:t>να εντείνει την παρακολούθηση των οριζόντιων και θεματικών αναγκαίων πρόσφορων όρων σε όλα τα κράτη μέλη προκειμένου να εντοπίζονται πιθανές απειλές σε σχέση με την προστασία του προϋπολογισμού της Ένωσης και να διασφαλίσει ενισχυμένη διαφάνεια και συμμετοχή των ενδιαφερόμενων μερών στην εφαρμογή αυτού του εργαλείου·</w:t>
      </w:r>
    </w:p>
    <w:p w:rsidR="00F70384" w:rsidRPr="005C4A71" w:rsidRDefault="00F70384" w:rsidP="00F70384">
      <w:pPr>
        <w:pStyle w:val="NormalHanging12a"/>
        <w:widowControl/>
        <w:ind w:left="1287" w:hanging="720"/>
        <w:rPr>
          <w:spacing w:val="-6"/>
          <w:szCs w:val="24"/>
        </w:rPr>
      </w:pPr>
      <w:proofErr w:type="spellStart"/>
      <w:r w:rsidRPr="005C4A71">
        <w:t>viii</w:t>
      </w:r>
      <w:proofErr w:type="spellEnd"/>
      <w:r w:rsidRPr="005C4A71">
        <w:t>)</w:t>
      </w:r>
      <w:r w:rsidRPr="005C4A71">
        <w:tab/>
        <w:t xml:space="preserve">να ευθυγραμμίσει σε μεγάλο βαθμό την έκθεση για το κράτος δικαίου με τον κανονισμό για την </w:t>
      </w:r>
      <w:proofErr w:type="spellStart"/>
      <w:r w:rsidRPr="005C4A71">
        <w:t>αιρεσιμότητα</w:t>
      </w:r>
      <w:proofErr w:type="spellEnd"/>
      <w:r w:rsidRPr="005C4A71">
        <w:t xml:space="preserve">, και να παρέχει αναλυτικότερη ενημέρωση σχετικά με τις παραβιάσεις των αρχών του κράτους δικαίου που μπορούν να χρησιμοποιηθούν ως στοιχεία για την ενεργοποίηση του κανονισμού για την </w:t>
      </w:r>
      <w:proofErr w:type="spellStart"/>
      <w:r w:rsidRPr="005C4A71">
        <w:t>αιρεσιμότητα</w:t>
      </w:r>
      <w:proofErr w:type="spellEnd"/>
      <w:r w:rsidRPr="005C4A71">
        <w:t>·</w:t>
      </w:r>
    </w:p>
    <w:p w:rsidR="00F70384" w:rsidRPr="005C4A71" w:rsidRDefault="00F70384" w:rsidP="00F70384">
      <w:pPr>
        <w:pStyle w:val="NormalHanging12a"/>
        <w:widowControl/>
        <w:ind w:left="1287" w:hanging="720"/>
      </w:pPr>
      <w:proofErr w:type="spellStart"/>
      <w:r w:rsidRPr="005C4A71">
        <w:t>ix</w:t>
      </w:r>
      <w:proofErr w:type="spellEnd"/>
      <w:r w:rsidRPr="005C4A71">
        <w:t>)</w:t>
      </w:r>
      <w:r w:rsidRPr="005C4A71">
        <w:tab/>
        <w:t xml:space="preserve">να παρακολουθεί συνεχώς την εφαρμογή από την ουγγρική κυβέρνηση των μέτρων που προβλέπονται στην εκτελεστική απόφαση (ΕΕ) 2022/2506 του Συμβουλίου, της 15ης Δεκεμβρίου 2022· να αξιολογεί τον βαθμό στον οποίο η κατάσταση έχει βελτιωθεί ή επιδεινωθεί, μεταξύ άλλων σε σχέση με τις προκλήσεις που αντιμετωπίζει η ουγγρική αρχή ακεραιότητας, και να λαμβάνει όλα τα αναγκαία μέτρα σύμφωνα με τον κανονισμό για την </w:t>
      </w:r>
      <w:proofErr w:type="spellStart"/>
      <w:r w:rsidRPr="005C4A71">
        <w:t>αιρεσιμότητα</w:t>
      </w:r>
      <w:proofErr w:type="spellEnd"/>
      <w:r w:rsidRPr="005C4A71">
        <w:t>·</w:t>
      </w:r>
    </w:p>
    <w:p w:rsidR="00F70384" w:rsidRPr="005C4A71" w:rsidRDefault="00F70384" w:rsidP="00F70384">
      <w:pPr>
        <w:pStyle w:val="NormalHanging12a"/>
        <w:widowControl/>
        <w:ind w:left="1287" w:hanging="720"/>
      </w:pPr>
      <w:r w:rsidRPr="005C4A71">
        <w:t>x)</w:t>
      </w:r>
      <w:r w:rsidRPr="005C4A71">
        <w:tab/>
        <w:t>να παρέχει στα κράτη μέλη αυξημένη τεχνική βοήθεια για την αντιμετώπιση των καθυστερήσεων στην υλοποίηση των εθνικών προγραμμάτων, προκειμένου να αυξηθεί το ποσοστό απορρόφησης·</w:t>
      </w:r>
    </w:p>
    <w:p w:rsidR="00F70384" w:rsidRPr="005C4A71" w:rsidRDefault="00F70384" w:rsidP="00F70384">
      <w:pPr>
        <w:pStyle w:val="NormalHanging12a"/>
        <w:widowControl/>
        <w:ind w:left="1287" w:hanging="720"/>
      </w:pPr>
      <w:proofErr w:type="spellStart"/>
      <w:r w:rsidRPr="005C4A71">
        <w:t>xi</w:t>
      </w:r>
      <w:proofErr w:type="spellEnd"/>
      <w:r w:rsidRPr="005C4A71">
        <w:t>)</w:t>
      </w:r>
      <w:r w:rsidRPr="005C4A71">
        <w:tab/>
        <w:t>να παρακολουθεί στενά και να μετριάζει τον αυξημένο κίνδυνο διπλής χρηματοδότησης μεταξύ των προγραμμάτων συνοχής και της χρηματοδότησης από τον ΜΑΑ, και να αντιμετωπίζει χωρίς καθυστέρηση τυχόν τέτοια περιστατικά·</w:t>
      </w:r>
    </w:p>
    <w:p w:rsidR="00F70384" w:rsidRPr="005C4A71" w:rsidRDefault="00F70384" w:rsidP="00F70384">
      <w:pPr>
        <w:pStyle w:val="NormalHanging12a"/>
        <w:widowControl/>
        <w:ind w:left="1287" w:hanging="720"/>
        <w:rPr>
          <w:color w:val="000000"/>
          <w:szCs w:val="24"/>
        </w:rPr>
      </w:pPr>
      <w:proofErr w:type="spellStart"/>
      <w:r w:rsidRPr="005C4A71">
        <w:t>xii</w:t>
      </w:r>
      <w:proofErr w:type="spellEnd"/>
      <w:r w:rsidRPr="005C4A71">
        <w:t>)</w:t>
      </w:r>
      <w:r w:rsidRPr="005C4A71">
        <w:tab/>
        <w:t>να ενισχύσει περαιτέρω την απλούστευση της εφαρμογής των προγραμμάτων συνοχής και να συνεργαστεί στενά με τα κράτη μέλη για τον εντοπισμό βέλτιστων πρακτικών όσον αφορά την ψηφιοποίηση των πρακτικών και των διαδικασιών·</w:t>
      </w:r>
    </w:p>
    <w:p w:rsidR="00F70384" w:rsidRPr="005C4A71" w:rsidRDefault="00F70384" w:rsidP="00F70384">
      <w:pPr>
        <w:pStyle w:val="NormalHanging12a"/>
        <w:widowControl/>
        <w:ind w:left="1287" w:hanging="720"/>
        <w:rPr>
          <w:color w:val="000000"/>
        </w:rPr>
      </w:pPr>
      <w:proofErr w:type="spellStart"/>
      <w:r w:rsidRPr="005C4A71">
        <w:rPr>
          <w:color w:val="000000"/>
        </w:rPr>
        <w:t>xiii</w:t>
      </w:r>
      <w:proofErr w:type="spellEnd"/>
      <w:r w:rsidRPr="005C4A71">
        <w:rPr>
          <w:color w:val="000000"/>
        </w:rPr>
        <w:t>)</w:t>
      </w:r>
      <w:r w:rsidRPr="005C4A71">
        <w:rPr>
          <w:color w:val="000000"/>
        </w:rPr>
        <w:tab/>
        <w:t>να λάβει όλα τα αναγκαία μέτρα για τη μείωση του ποσοστού σφάλματος σε στενή συνεργασία με το Ελεγκτικό Συνέδριο·</w:t>
      </w:r>
    </w:p>
    <w:p w:rsidR="00F70384" w:rsidRPr="005C4A71" w:rsidRDefault="00F70384" w:rsidP="00F70384">
      <w:pPr>
        <w:pStyle w:val="NormalHanging12a"/>
        <w:widowControl/>
        <w:ind w:left="1287" w:hanging="720"/>
      </w:pPr>
      <w:proofErr w:type="spellStart"/>
      <w:r w:rsidRPr="005C4A71">
        <w:t>xiv</w:t>
      </w:r>
      <w:proofErr w:type="spellEnd"/>
      <w:r w:rsidRPr="005C4A71">
        <w:t>)</w:t>
      </w:r>
      <w:r w:rsidRPr="005C4A71">
        <w:tab/>
        <w:t>να διασφαλίσει την παροχή επαρκούς στήριξης στις ανατολικές περιοχές της Ένωσης που συνορεύουν με τη Ρωσία και τη Λευκορωσία για την αντιμετώπιση των δυσανάλογων συνεπειών του ρωσικού επιθετικού πολέμου κατά της Ουκρανίας, τόσο βραχυπρόθεσμα όσο και μεσοπρόθεσμα·</w:t>
      </w:r>
    </w:p>
    <w:p w:rsidR="00F70384" w:rsidRPr="00E8367F" w:rsidRDefault="00F70384" w:rsidP="00F70384">
      <w:pPr>
        <w:spacing w:after="240"/>
        <w:rPr>
          <w:b/>
          <w:i/>
        </w:rPr>
      </w:pPr>
      <w:bookmarkStart w:id="295" w:name="_Toc185595114"/>
      <w:r w:rsidRPr="00E8367F">
        <w:rPr>
          <w:b/>
          <w:i/>
        </w:rPr>
        <w:t>Φυσικοί πόροι</w:t>
      </w:r>
      <w:bookmarkEnd w:id="295"/>
    </w:p>
    <w:p w:rsidR="00F70384" w:rsidRPr="005C4A71" w:rsidRDefault="00E8367F" w:rsidP="00E8367F">
      <w:pPr>
        <w:pStyle w:val="NormalHanging12a"/>
        <w:widowControl/>
        <w:ind w:hanging="570"/>
      </w:pPr>
      <w:r w:rsidRPr="005C4A71">
        <w:t>105.</w:t>
      </w:r>
      <w:r w:rsidRPr="005C4A71">
        <w:tab/>
      </w:r>
      <w:r w:rsidR="00F70384" w:rsidRPr="005C4A71">
        <w:t>σημειώνει ότι ο προϋπολογισμός για τα προγράμματα στο πλαίσιο του τομέα 3 του ΠΔΠ «Φυσικοί πόροι» ανήλθε σε 59,5 δισεκατομμύρια EUR (31,1 % του προϋπολογισμού της Ένωσης), κατανεμημένα ως εξής: 65,0 % για τις άμεσες ενισχύσεις στο πλαίσιο του Ευρωπαϊκού Γεωργικού Ταμείου Εγγυήσεων (ΕΓΤΕ), 27,6 % για το Γεωργικό Ταμείο Αγροτικής Ανάπτυξης (ΕΓΤΑΑ), 4,2 % για τις δαπάνες που σχετίζονται με την αγορά στο πλαίσιο του Ευρωπαϊκού Γεωργικού Ταμείο Εγγυήσεων (ΕΓΤΕ), 1,9 % για τη θάλασσα και την αλιεία, 0,9 % για το περιβάλλον και το κλίμα (LIFE) και 0,4 % για άλλους τομείς·</w:t>
      </w:r>
    </w:p>
    <w:p w:rsidR="00F70384" w:rsidRPr="005C4A71" w:rsidRDefault="00E8367F" w:rsidP="00E8367F">
      <w:pPr>
        <w:pStyle w:val="NormalHanging12a"/>
        <w:widowControl/>
        <w:ind w:hanging="570"/>
      </w:pPr>
      <w:r w:rsidRPr="005C4A71">
        <w:t>106.</w:t>
      </w:r>
      <w:r w:rsidRPr="005C4A71">
        <w:tab/>
      </w:r>
      <w:r w:rsidR="00F70384" w:rsidRPr="005C4A71">
        <w:t>σημειώνει ότι το Ελεγκτικό Συνέδριο εξέτασε δείγμα 218 πράξεων που καλύπτουν ολόκληρο το φάσμα των δαπανών στο πλαίσιο του συγκεκριμένου τομέα του ΠΔΠ· σημειώνει ότι το Ελεγκτικό Συνέδριο εξέτασε επίσης τις πληροφορίες σχετικά με την κανονικότητα που περιέχονται στις ετήσιες εκθέσεις δραστηριοτήτων της Γενικής Διεύθυνσης Γεωργίας και Αγροτικής Ανάπτυξης (ΓΔ AGRI) και της Γενικής Διεύθυνσης Δράσης για το Κλίμα (ΓΔ CLIMA), καθώς και επιλεγμένα συστήματα σε 20 κράτη μέλη και το Ηνωμένο Βασίλειο· σημειώνει ότι το Ελεγκτικό Συνέδριο εκτιμά το επίπεδο σφάλματος για τον τομέα «Φυσικοί πόροι» σε 2,2 % (2,2 % το 2022) και ότι η πλειονότητα των σφαλμάτων που εντοπίστηκαν αφορούσαν πράξεις στον τομέα της αγροτικής ανάπτυξης·</w:t>
      </w:r>
    </w:p>
    <w:p w:rsidR="00F70384" w:rsidRPr="005C4A71" w:rsidRDefault="00E8367F" w:rsidP="00E8367F">
      <w:pPr>
        <w:pStyle w:val="NormalHanging12a"/>
        <w:widowControl/>
        <w:ind w:hanging="570"/>
      </w:pPr>
      <w:r w:rsidRPr="005C4A71">
        <w:t>107.</w:t>
      </w:r>
      <w:r w:rsidRPr="005C4A71">
        <w:tab/>
      </w:r>
      <w:r w:rsidR="00F70384" w:rsidRPr="005C4A71">
        <w:t>επισημαίνει, ωστόσο, ότι αυτό οφείλεται εν μέρει στην πολυπλοκότητα των περιβαλλοντικών συστημάτων στα προγράμματα αγροτικής ανάπτυξης και στο γνωστό πρόβλημα του κανονιστικού υπερθεματισμού σε εθνικό επίπεδο·</w:t>
      </w:r>
    </w:p>
    <w:p w:rsidR="00F70384" w:rsidRPr="005C4A71" w:rsidRDefault="00E8367F" w:rsidP="00E8367F">
      <w:pPr>
        <w:pStyle w:val="NormalHanging12a"/>
        <w:widowControl/>
        <w:ind w:hanging="570"/>
      </w:pPr>
      <w:r w:rsidRPr="005C4A71">
        <w:t>108.</w:t>
      </w:r>
      <w:r w:rsidRPr="005C4A71">
        <w:tab/>
      </w:r>
      <w:r w:rsidR="00F70384" w:rsidRPr="005C4A71">
        <w:t>σημειώνει, στο πλαίσιο αυτό, το χαμηλότερο από το αναμενόμενο ποσοστό εκτέλεσης της χρηματοδότησης του ΕΓΤΑΑ για την περίοδο 2023-2027, με ποσοστό απορρόφησης μόλις 1 % στο τέλος του 2023 και πληρωμές ύψους 0,7 δισεκατομμυρίων EUR, και αναμένει ότι το ποσοστό απορρόφησης θα αυξηθεί σημαντικά κατά τη διάρκεια της επόμενης περιόδου αναφοράς·</w:t>
      </w:r>
    </w:p>
    <w:p w:rsidR="00F70384" w:rsidRPr="005C4A71" w:rsidRDefault="00E8367F" w:rsidP="00E8367F">
      <w:pPr>
        <w:pStyle w:val="NormalHanging12a"/>
        <w:widowControl/>
        <w:ind w:hanging="570"/>
      </w:pPr>
      <w:r w:rsidRPr="005C4A71">
        <w:t>109.</w:t>
      </w:r>
      <w:r w:rsidRPr="005C4A71">
        <w:tab/>
      </w:r>
      <w:r w:rsidR="00F70384" w:rsidRPr="005C4A71">
        <w:t xml:space="preserve">σημειώνει ότι το Ελεγκτικό Συνέδριο εντόπισε 16 </w:t>
      </w:r>
      <w:proofErr w:type="spellStart"/>
      <w:r w:rsidR="00F70384" w:rsidRPr="005C4A71">
        <w:t>ποσοτικώς</w:t>
      </w:r>
      <w:proofErr w:type="spellEnd"/>
      <w:r w:rsidR="00F70384" w:rsidRPr="005C4A71">
        <w:t xml:space="preserve"> </w:t>
      </w:r>
      <w:proofErr w:type="spellStart"/>
      <w:r w:rsidR="00F70384" w:rsidRPr="005C4A71">
        <w:t>προσδιορίσιμα</w:t>
      </w:r>
      <w:proofErr w:type="spellEnd"/>
      <w:r w:rsidR="00F70384" w:rsidRPr="005C4A71">
        <w:t xml:space="preserve"> σφάλματα στην αγροτική ανάπτυξη, 15 σε άμεσες ενισχύσεις, τρία σε δαπάνες που σχετίζονται με μέτρα στήριξης της αγοράς και τρία σε δαπάνες εκτός ΚΓΠ· θεωρεί καθησυχαστικές τις εκτιμήσεις της Επιτροπής ότι τα περισσότερα σφάλματα αφορούν λάθη εκ παραδρομής, καθώς και τις ενέργειές της για την πρόληψη σφαλμάτων στο μέλλον·</w:t>
      </w:r>
    </w:p>
    <w:p w:rsidR="00F70384" w:rsidRPr="005C4A71" w:rsidRDefault="00E8367F" w:rsidP="00E8367F">
      <w:pPr>
        <w:pStyle w:val="NormalHanging12a"/>
        <w:widowControl/>
        <w:ind w:hanging="570"/>
      </w:pPr>
      <w:r w:rsidRPr="005C4A71">
        <w:t>110.</w:t>
      </w:r>
      <w:r w:rsidRPr="005C4A71">
        <w:tab/>
      </w:r>
      <w:r w:rsidR="00F70384" w:rsidRPr="005C4A71">
        <w:t>σημειώνει την κατηγοριοποίηση των σφαλμάτων από το Ελεγκτικό Συνέδριο, σύμφωνα με την οποία οι μη επιλέξιμες αιτήσεις αντιστοιχούν στο 35 % των σφαλμάτων, και τα διοικητικά σφάλματα και οι ανακριβείς πληροφορίες σχετικά με τις εκτάσεις ή τα ζώα στο 21 % και το 20 % αντίστοιχα· σημειώνει με ανησυχία, όπως και τα προηγούμενα έτη, ότι το Ελεγκτικό Συνέδριο διαπίστωσε σε αρκετές περιπτώσεις ότι οι αρχές των κρατών μελών και η Επιτροπή είχαν στη διάθεσή τους επαρκείς πληροφορίες ώστε να προληφθεί, να εντοπιστεί και να διορθωθεί το σφάλμα πριν από την έγκριση των δαπανών, και ότι, αν οι αρχές των κρατών μελών και η Επιτροπή είχαν χρησιμοποιήσει σωστά όλες τις πληροφορίες που είχαν στη διάθεσή τους, το εκτιμώμενο επίπεδο σφάλματος για αυτό το κεφάλαιο θα ήταν χαμηλότερο κατά 1,0 ποσοστιαία μονάδα·</w:t>
      </w:r>
    </w:p>
    <w:p w:rsidR="00F70384" w:rsidRPr="005C4A71" w:rsidRDefault="00E8367F" w:rsidP="00E8367F">
      <w:pPr>
        <w:pStyle w:val="NormalHanging12a"/>
        <w:widowControl/>
        <w:ind w:hanging="570"/>
      </w:pPr>
      <w:r w:rsidRPr="005C4A71">
        <w:t>111.</w:t>
      </w:r>
      <w:r w:rsidRPr="005C4A71">
        <w:tab/>
      </w:r>
      <w:r w:rsidR="00F70384" w:rsidRPr="005C4A71">
        <w:t>σημειώνει ότι το 2023 ήταν το πρώτο έτος του νέου μοντέλου υλοποίησης της ΚΓΠ για την περίοδο 2023-2027, το οποίο ενσωματώνει στοιχεία επιδόσεων, τα οποία συμφωνήθηκαν με τα κράτη μέλη στα στρατηγικά σχέδια, ως βάση για τις πληρωμές· σημειώνει ότι το 2023 αποτέλεσε μια συγκρατημένη αρχή για το νέο μοντέλο υλοποίησης, καθότι 63,65 εκατομμύρια EUR δηλώθηκαν βάσει των παραγόμενων εκροών και, ως εκ τούτου, υποβλήθηκαν σε «εκκαθάριση επιδόσεων» από τη ΓΔ AGRI, ενώ το συνολικό ποσό που δηλώθηκε στο πλαίσιο των στρατηγικών σχεδίων της ΚΓΠ για τις τομεακές παρεμβάσεις και την αγροτική ανάπτυξη ήταν 215,52 εκατομμύρια EUR· σημειώνει ότι το 2024 οι πληρωμές στο πλαίσιο του νέου μοντέλου υλοποίησης θα έχουν αυξηθεί σημαντικά· σημειώνει τις παρατηρήσεις του Ελεγκτικού Συνεδρίου όσον αφορά την επεξεργασία δεδομένων επιδόσεων για τις ετήσιες εκθέσεις επιδόσεων, ενώ τα κράτη μέλη βρίσκονται σε διαδικασία δημιουργίας συστημάτων και διεργασιών και ενίοτε συγκεντρώνουν τα δεδομένα με μη αυτοματοποιημένο τρόπο, με συναφείς κινδύνους για την αξιοπιστία των δεδομένων·</w:t>
      </w:r>
    </w:p>
    <w:p w:rsidR="00F70384" w:rsidRPr="005C4A71" w:rsidRDefault="00E8367F" w:rsidP="00E8367F">
      <w:pPr>
        <w:pStyle w:val="NormalHanging12a"/>
        <w:ind w:hanging="570"/>
      </w:pPr>
      <w:r w:rsidRPr="005C4A71">
        <w:t>112.</w:t>
      </w:r>
      <w:r w:rsidRPr="005C4A71">
        <w:tab/>
      </w:r>
      <w:r w:rsidR="00F70384" w:rsidRPr="005C4A71">
        <w:t xml:space="preserve">υπενθυμίζει τις διαμαρτυρίες των γεωργών σε ολόκληρη την Ευρώπη προς τα τέλη του 2023 και τις αρχές του 2024 και την αντίδραση της Επιτροπής με στόχο την απλούστευση, ιδίως για τους μικροκαλλιεργητές, και την ενίσχυση της διακριτικής ευχέρειας των κρατών μελών· τονίζει ότι η απλούστευση θα πρέπει να συμβαδίζει με τη χρηστή δημοσιονομική διαχείριση και να λαμβάνει υπόψη τις δεσμεύσεις της Ένωσης για το κλίμα· επικροτεί τη </w:t>
      </w:r>
      <w:proofErr w:type="spellStart"/>
      <w:r w:rsidR="00F70384" w:rsidRPr="005C4A71">
        <w:t>στοχευμένη</w:t>
      </w:r>
      <w:proofErr w:type="spellEnd"/>
      <w:r w:rsidR="00F70384" w:rsidRPr="005C4A71">
        <w:t xml:space="preserve"> προσέγγιση της Επιτροπής, ιδίως όσον αφορά τη διάκριση μεταξύ μεγέθους των γεωργικών εκμεταλλεύσεων, από άποψη γεωργικής έκτασης, και αριθμού των γεωργικών εκμεταλλεύσεων· προειδοποιεί ότι η διακριτική ευχέρεια που παρέχεται στα κράτη μέλη θα πρέπει επίσης να συνοδεύεται από ενδελεχή εποπτεία από την Επιτροπή·</w:t>
      </w:r>
    </w:p>
    <w:p w:rsidR="00F70384" w:rsidRPr="005C4A71" w:rsidRDefault="00E8367F" w:rsidP="00E8367F">
      <w:pPr>
        <w:pStyle w:val="Normal12a"/>
        <w:widowControl/>
        <w:autoSpaceDE w:val="0"/>
        <w:autoSpaceDN w:val="0"/>
        <w:adjustRightInd w:val="0"/>
        <w:ind w:left="567" w:hanging="570"/>
        <w:rPr>
          <w:szCs w:val="24"/>
        </w:rPr>
      </w:pPr>
      <w:r w:rsidRPr="005C4A71">
        <w:rPr>
          <w:szCs w:val="24"/>
        </w:rPr>
        <w:t>113.</w:t>
      </w:r>
      <w:r w:rsidRPr="005C4A71">
        <w:rPr>
          <w:szCs w:val="24"/>
        </w:rPr>
        <w:tab/>
      </w:r>
      <w:r w:rsidR="00F70384" w:rsidRPr="005C4A71">
        <w:t>υπενθυμίζει ότι τόσο η Επιτροπή όσο και τα κράτη μέλη έχουν ευθύνη για την αντιμετώπιση της απάτης στις δαπάνες της ΚΓΠ· εκφράζει, στο πλαίσιο αυτό, την ικανοποίησή του για το έργο που επιτελέστηκε όσον αφορά τις εκτιμήσεις κινδύνου απάτης και την επικαιροποίηση της στρατηγικής για την καταπολέμηση της απάτης από τη ΓΔ AGRI·</w:t>
      </w:r>
    </w:p>
    <w:p w:rsidR="00F70384" w:rsidRPr="005C4A71" w:rsidRDefault="00E8367F" w:rsidP="00E8367F">
      <w:pPr>
        <w:pStyle w:val="Normal12a"/>
        <w:widowControl/>
        <w:autoSpaceDE w:val="0"/>
        <w:autoSpaceDN w:val="0"/>
        <w:adjustRightInd w:val="0"/>
        <w:ind w:left="567" w:hanging="570"/>
        <w:rPr>
          <w:szCs w:val="24"/>
        </w:rPr>
      </w:pPr>
      <w:r w:rsidRPr="005C4A71">
        <w:rPr>
          <w:szCs w:val="24"/>
        </w:rPr>
        <w:t>114.</w:t>
      </w:r>
      <w:r w:rsidRPr="005C4A71">
        <w:rPr>
          <w:szCs w:val="24"/>
        </w:rPr>
        <w:tab/>
      </w:r>
      <w:r w:rsidR="00F70384" w:rsidRPr="005C4A71">
        <w:t>σημειώνει την ειδική έκθεση αριθ. 07/2024 του Ελεγκτικού Συνεδρίου σχετικά με τα συστήματα της Επιτροπής για την ανάκτηση παράτυπων δαπανών, καθώς και την απάντηση της Επιτροπής· σημειώνει την παρατήρηση του Ελεγκτικού Συνεδρίου ότι οι ανακτήσεις σχετικά με τις γεωργικές δαπάνες υπήρξαν σχετικά επιτυχείς, εν μέρει λόγω του λεγόμενου κανόνα 50-50, ο οποίος ενθάρρυνε τα κράτη μέλη να ανακτήσουν κονδύλια· σημειώνει ότι ο κανόνας αυτός δεν έχει διατηρηθεί στην ΚΓΠ της περιόδου 2023-2027, και επισημαίνει την προειδοποίηση του Ελεγκτικού Συνεδρίου ότι αυτό θα μπορούσε να οδηγήσει σε επιδείνωση του ποσοστού ανάκτησης των γεωργικών δαπανών·</w:t>
      </w:r>
    </w:p>
    <w:p w:rsidR="00F70384" w:rsidRPr="005C4A71" w:rsidRDefault="00E8367F" w:rsidP="00E8367F">
      <w:pPr>
        <w:pStyle w:val="NormalHanging12a"/>
        <w:ind w:hanging="570"/>
      </w:pPr>
      <w:r w:rsidRPr="005C4A71">
        <w:t>115.</w:t>
      </w:r>
      <w:r w:rsidRPr="005C4A71">
        <w:tab/>
      </w:r>
      <w:r w:rsidR="00F70384" w:rsidRPr="005C4A71">
        <w:t>σημειώνει την ειδική έκθεση αριθ. 20/2024 του Ελεγκτικού Συνεδρίου σχετικά με τα σχέδια της κοινής γεωργικής πολιτικής, καθώς και την απάντηση της Επιτροπής· τονίζει ότι είναι σημαντικό να διασφαλιστεί ότι παρέχονται όλα τα βασικά στοιχεία για την αξιολόγηση των επιδόσεων· θεωρεί ότι τα σχέδια πρέπει να λαμβάνουν υπόψη τις ιδιαίτερες περιστάσεις σε συγκεκριμένα κράτη μέλη και ότι, ως εκ τούτου, ένα ορισμένο επίπεδο απόκλισης είναι ακόμη και επιθυμητό, αλλά εκφράζει την ανησυχία του για το γεγονός ότι οι αποκλίσεις όσον αφορά τις φιλοδοξίες μπορεί να σημαίνουν ότι δεν υπάρχουν ίσοι όροι ανταγωνισμού για τους γεωργούς σε όλα τα κράτη μέλη· εκφράζει επίσης την απογοήτευσή του για τη διαπίστωση του Ελεγκτικού Συνεδρίου ότι, παρόλο που το νέο πλαίσιο παρακολούθησης έχει απλουστευθεί, οι στόχοι της ΚΓΠ στερούνται σαφήνειας και οι δείκτες επικεντρώνονται περισσότερο στις εκροές παρά στα αποτελέσματα, και ότι λείπουν σημαντικοί δείκτες αποτελεσμάτων· σημειώνει ότι το Ελεγκτικό Συνέδριο συνιστά στην Επιτροπή να προωθήσει την ανταλλαγή βέλτιστων πρακτικών στα σχέδια και να ενισχύσει το μελλοντικό πλαίσιο παρακολούθησης της ΚΓΠ·</w:t>
      </w:r>
    </w:p>
    <w:p w:rsidR="00F70384" w:rsidRPr="005C4A71" w:rsidRDefault="00E8367F" w:rsidP="00E8367F">
      <w:pPr>
        <w:pStyle w:val="NormalHanging12a"/>
        <w:widowControl/>
        <w:ind w:hanging="570"/>
      </w:pPr>
      <w:r w:rsidRPr="005C4A71">
        <w:t>116.</w:t>
      </w:r>
      <w:r w:rsidRPr="005C4A71">
        <w:tab/>
      </w:r>
      <w:r w:rsidR="00F70384" w:rsidRPr="005C4A71">
        <w:t>σημειώνει την ειδική έκθεση αριθ. 19/2024 του Ελεγκτικού Συνεδρίου για τη βιολογική γεωργία στην ΕΕ, καθώς και την απάντηση της Επιτροπής· εκφράζει για άλλη μια φορά την ανησυχία του για τη διαπίστωση του Ελεγκτικού Συνεδρίου ότι ένα αδύναμο στρατηγικό πλαίσιο και περιορισμοί σε σχέση με τα δεδομένα εμποδίζουν τη μέτρηση του αντίκτυπου της πολιτικής· θεωρεί ότι η αυξημένη εστίαση στις επιδόσεις και στον καθορισμό στόχων και δεικτών, καθώς και η σχετική παρακολούθηση των αποτελεσμάτων σε όλες τις πολιτικές της Ένωσης πρέπει να υποστηρίζονται από αντίστοιχη ενίσχυση της ικανότητας της Επιτροπής να καθορίζει πλαίσια επιδόσεων και να παρακολουθεί τις επιδόσεις·</w:t>
      </w:r>
    </w:p>
    <w:p w:rsidR="00F70384" w:rsidRPr="005C4A71" w:rsidRDefault="00E8367F" w:rsidP="00E8367F">
      <w:pPr>
        <w:pStyle w:val="NormalHanging12a"/>
        <w:widowControl/>
        <w:ind w:hanging="570"/>
      </w:pPr>
      <w:r w:rsidRPr="005C4A71">
        <w:t>117.</w:t>
      </w:r>
      <w:r w:rsidRPr="005C4A71">
        <w:tab/>
      </w:r>
      <w:r w:rsidR="00F70384" w:rsidRPr="005C4A71">
        <w:t xml:space="preserve">εκφράζει την ικανοποίησή του για την αύξηση της ανταγωνιστικότητας που επιτεύχθηκε μέσω μέτρων στήριξης της αγοράς στον </w:t>
      </w:r>
      <w:proofErr w:type="spellStart"/>
      <w:r w:rsidR="00F70384" w:rsidRPr="005C4A71">
        <w:t>αμπελοοινικό</w:t>
      </w:r>
      <w:proofErr w:type="spellEnd"/>
      <w:r w:rsidR="00F70384" w:rsidRPr="005C4A71">
        <w:t xml:space="preserve"> τομέα και ενθαρρύνει την Επιτροπή και τα κράτη μέλη να εντείνουν τις προσπάθειές τους για την αναπαραγωγή αυτής της επιτυχίας και σε άλλους τομείς·</w:t>
      </w:r>
    </w:p>
    <w:p w:rsidR="00F70384" w:rsidRPr="005C4A71" w:rsidRDefault="00E8367F" w:rsidP="00E8367F">
      <w:pPr>
        <w:pStyle w:val="NormalHanging12a"/>
        <w:ind w:hanging="570"/>
      </w:pPr>
      <w:r w:rsidRPr="005C4A71">
        <w:t>118.</w:t>
      </w:r>
      <w:r w:rsidRPr="005C4A71">
        <w:tab/>
      </w:r>
      <w:r w:rsidR="00F70384" w:rsidRPr="005C4A71">
        <w:t xml:space="preserve">υπενθυμίζει ότι η δημοκρατία και ο πλουραλισμός αποτελούν θεμελιώδεις αξίες της Ένωσης που κατοχυρώνονται στο άρθρο 2 ΣΕΕ· υπενθυμίζει περαιτέρω ότι, σύμφωνα με το άρθρο 11 ΣΕΕ, τα θεσμικά όργανα της Ένωσης παρέχουν στους πολίτες και στις αντιπροσωπευτικές ενώσεις τη δυνατότητα να γνωστοποιούν και να ανταλλάσσουν δημόσια τις απόψεις τους σε όλους τους τομείς δράσης της Ένωσης, προκειμένου να διατηρηθεί ανοικτός, διαφανής και τακτικός διάλογος· υπογραμμίζει ότι η διάκριση των εξουσιών μεταξύ των θεσμικών οργάνων, όπως ορίζεται στο άρθρο 13 ΣΕΕ, πρέπει πάντα να γίνεται σεβαστή και ότι τα θεσμικά όργανα της Ένωσης πρέπει να συνεργάζονται μεταξύ τους καλή τη </w:t>
      </w:r>
      <w:proofErr w:type="spellStart"/>
      <w:r w:rsidR="00F70384" w:rsidRPr="005C4A71">
        <w:t>πίστει</w:t>
      </w:r>
      <w:proofErr w:type="spellEnd"/>
      <w:r w:rsidR="00F70384" w:rsidRPr="005C4A71">
        <w:t>·</w:t>
      </w:r>
    </w:p>
    <w:p w:rsidR="00F70384" w:rsidRPr="005C4A71" w:rsidRDefault="00E8367F" w:rsidP="00E8367F">
      <w:pPr>
        <w:pStyle w:val="NormalHanging12a"/>
        <w:ind w:hanging="570"/>
      </w:pPr>
      <w:r w:rsidRPr="005C4A71">
        <w:t>119.</w:t>
      </w:r>
      <w:r w:rsidRPr="005C4A71">
        <w:tab/>
      </w:r>
      <w:r w:rsidR="00F70384" w:rsidRPr="005C4A71">
        <w:t>αναγνωρίζει τη σημασία του προγράμματος LIFE· υπενθυμίζει τις διατάξεις του κανονισμού LIFE+, συμπεριλαμβανομένων εκείνων που αφορούν τις επιχορηγήσεις λειτουργίας, τους όρους επιλεξιμότητας, τα κριτήρια ανάθεσης, τη συνολική χρηματοδότηση για την περίοδο 2021-2027 και την κατανομή των κονδυλίων στο πλαίσιο του προγράμματος·</w:t>
      </w:r>
    </w:p>
    <w:p w:rsidR="00F70384" w:rsidRPr="005C4A71" w:rsidRDefault="00E8367F" w:rsidP="00E8367F">
      <w:pPr>
        <w:pStyle w:val="NormalHanging12a"/>
        <w:ind w:hanging="570"/>
      </w:pPr>
      <w:r w:rsidRPr="005C4A71">
        <w:t>120.</w:t>
      </w:r>
      <w:r w:rsidRPr="005C4A71">
        <w:tab/>
      </w:r>
      <w:r w:rsidR="00F70384" w:rsidRPr="005C4A71">
        <w:t>σημειώνει ότι ορισμένα μέλη της Επιτροπής Ελέγχου του Προϋπολογισμού ζήτησαν πρόσβαση σε σειρά συμφωνιών επιχορήγησης στο πλαίσιο του προγράμματος LIFE, καθώς και σε άλλα χρηματοδοτικά προγράμματα της Ένωσης, και, έπειτα από διεξοδική εξέταση, εξέφρασαν ανησυχίες σχετικά με το περιεχόμενο αρκετών προγραμμάτων τον Φεβρουάριο του 2024· σημειώνει ότι η Επιτροπή, συμπεριλαμβανομένης της Υπηρεσίας Εσωτερικού Λογιστικού Ελέγχου (IAS), αρχικά δεν είχε αντιληφθεί κάποιο πρόβλημα, αλλά ενέκρινε σειρά μέτρων με στόχο την αντιμετώπιση των ανησυχιών· υπενθυμίζει τις γραπτές ερωτήσεις και ακροάσεις απαλλαγής με τον Γενικό Γραμματέα της Επιτροπής στις 5 Νοεμβρίου 2024, τους αρμόδιους Επιτρόπους για τον τομέα 3 του ΠΔΠ στις 12 Νοεμβρίου και τον Επίτροπο αρμόδιο για τον προϋπολογισμό και τη διοίκηση στις 9 Δεκεμβρίου 2024, όπου συζητήθηκαν οι ανησυχίες και η απάντηση της Επιτροπής·</w:t>
      </w:r>
    </w:p>
    <w:p w:rsidR="00F70384" w:rsidRPr="005C4A71" w:rsidRDefault="00E8367F" w:rsidP="00E8367F">
      <w:pPr>
        <w:pStyle w:val="NormalHanging12a"/>
        <w:ind w:hanging="570"/>
      </w:pPr>
      <w:r w:rsidRPr="005C4A71">
        <w:t>121.</w:t>
      </w:r>
      <w:r w:rsidRPr="005C4A71">
        <w:tab/>
      </w:r>
      <w:r w:rsidR="00F70384" w:rsidRPr="005C4A71">
        <w:t>σημειώνει τις ανησυχίες που εξέφρασαν ορισμένα μέλη της Επιτροπής Ελέγχου του Προϋπολογισμού ότι ορισμένες συμφωνίες επιχορήγησης μεταξύ του Εκτελεστικού Οργανισμού της Ευρωπαϊκής Ένωσης για το Κλίμα, τις Υποδομές και το Περιβάλλον (CINEA) και δικαιούχων, όπως οργανώσεις της κοινωνίας των πολιτών και ιδιωτικές εταιρείες, στο πλαίσιο του προγράμματος LIFE, περιλαμβάνουν «προγράμματα εργασίας» που περιέχουν λεπτομερείς δράσεις συνηγορίας προς τα θεσμικά όργανα της Ένωσης ή τους εκπροσώπους τους, καθώς και άλλες δράσεις που αφορούν συγκεκριμένες εμπορικές συμφωνίες τις οποίες διαπραγματευόταν η Ένωση, ή μέτρα επίλυσης διαφορών που έπρεπε να ληφθούν από τις αντίστοιχες οντότητες· αναγνωρίζει ότι αυτό θα μπορούσε δυνητικά να ερμηνευθεί ως παρέμβαση στις εσωτερικές διαδικασίες λήψης αποφάσεων των θεσμικών οργάνων της Ένωσης· σημειώνει ότι η Επιτροπή διενήργησε νομική ανάλυση των συμφωνιών επιχορήγησης για τις οποίες είχαν εκφράσει ανησυχίες ορισμένα μέλη της επιτροπής CONT, η οποία κατέληξε στο συμπέρασμα ότι δεν υπήρχαν στοιχεία που να αποδεικνύουν ότι οι οικείες οντότητες είχαν παραβιάσει τις συμβατικές τους υποχρεώσεις ή τις υποχρεώσεις που απορρέουν από τον κώδικα δεοντολογίας, αλλά παρ’ όλα αυτά ζήτησε από ορισμένους δικαιούχους να προβούν σε τροποποιήσεις των συμφωνιών επιχορήγησης που περιείχαν τις συγκεκριμένες διατάξεις που θα μπορούσαν ενδεχομένως να οδηγήσουν σε κίνδυνο δυσφήμισης· σημειώνει επιπλέον ότι όλες οι συμφωνίες επιχορήγησης περιλάμβαναν δήλωση αποποίησης ευθύνης στην οποία αναφέρεται ότι «οι απόψεις του δικαιούχου δεν αντιπροσωπεύουν με κανέναν τρόπο τις απόψεις της ΕΕ και ότι η χορηγούσα αρχή δεν μπορεί να θεωρηθεί υπεύθυνη γι’ αυτές»·</w:t>
      </w:r>
    </w:p>
    <w:p w:rsidR="00F70384" w:rsidRPr="005C4A71" w:rsidRDefault="00E8367F" w:rsidP="00E8367F">
      <w:pPr>
        <w:pStyle w:val="NormalHanging12a"/>
        <w:ind w:hanging="570"/>
      </w:pPr>
      <w:r w:rsidRPr="005C4A71">
        <w:t>122.</w:t>
      </w:r>
      <w:r w:rsidRPr="005C4A71">
        <w:tab/>
      </w:r>
      <w:r w:rsidR="00F70384" w:rsidRPr="005C4A71">
        <w:t>υπογραμμίζει ότι η χρηματοδότηση της Ένωσης δεν θα πρέπει να συμβάλλει στην υπονόμευση του κράτους δικαίου ούτε των αξιών στις οποίες βασίζεται η Ένωση· υπενθυμίζει τις διατάξεις του άρθρου 163 του δημοσιονομικού κανονισμού· θεωρεί ότι είναι εξαιρετικά σημαντικό να μην υπάρχει χρηματοδότηση χωρίς ιχνηλασιμότητα των κονδυλίων·</w:t>
      </w:r>
    </w:p>
    <w:p w:rsidR="00F70384" w:rsidRPr="005C4A71" w:rsidRDefault="00E8367F" w:rsidP="00E8367F">
      <w:pPr>
        <w:pStyle w:val="NormalHanging12a"/>
        <w:ind w:hanging="570"/>
      </w:pPr>
      <w:r w:rsidRPr="005C4A71">
        <w:t>123.</w:t>
      </w:r>
      <w:r w:rsidRPr="005C4A71">
        <w:tab/>
      </w:r>
      <w:r w:rsidR="00F70384" w:rsidRPr="005C4A71">
        <w:t>σημειώνει τα μέτρα που έλαβε η Επιτροπή για την αντιμετώπιση διαφόρων ισχυρισμών, τα οποία περιλάμβαναν την έκδοση κατευθυντήριων γραμμών για τις υπηρεσίες της Επιτροπής σχετικά με δραστηριότητες χρηματοδότησης που σχετίζονται με την ανάπτυξη, την εφαρμογή, την παρακολούθηση και την επιβολή της νομοθεσίας και της πολιτικής της Ένωσης, καθώς και τον έλεγχο των χαρτοφυλακίων συμβάσεων τους, προκειμένου να προσδιοριστεί ποιες συμφωνίες δεν ήταν σύμφωνες με τις κατευθυντήριες γραμμές· σημειώνει τα μέτρα που έχουν εγκριθεί μέχρι στιγμής από την Επιτροπή εν αναμονή των αποτελεσμάτων του ελέγχου των συμφωνιών επιχορήγησης με όλους τους δικαιούχους, η οποία ζητήθηκε από το συμβούλιο εσωτερικής διοίκησης της Επιτροπής·</w:t>
      </w:r>
    </w:p>
    <w:p w:rsidR="00F70384" w:rsidRPr="005C4A71" w:rsidRDefault="00E8367F" w:rsidP="00E8367F">
      <w:pPr>
        <w:pStyle w:val="NormalHanging12a"/>
        <w:ind w:hanging="570"/>
      </w:pPr>
      <w:r w:rsidRPr="005C4A71">
        <w:t>124.</w:t>
      </w:r>
      <w:r w:rsidRPr="005C4A71">
        <w:tab/>
      </w:r>
      <w:r w:rsidR="00F70384" w:rsidRPr="005C4A71">
        <w:t>επισημαίνει τη δομή λήψης αποφάσεων, μεταξύ άλλων όσον αφορά το συμβούλιο αξιολόγησης στο πλαίσιο του CINEA, για τη λήψη αποφάσεων σχετικά με τις συμβάσεις μεταξύ της Επιτροπής και των δικαιούχων· παροτρύνει την Επιτροπή να διασφαλίσει τη δομή λήψης αποφάσεων του CINEA όσον αφορά την ανάθεση συμβάσεων, ώστε αυτή να είναι πρακτική και να χαρακτηρίζεται από σαφή λογοδοσία και σαφείς αρμοδιότητες·</w:t>
      </w:r>
    </w:p>
    <w:p w:rsidR="00F70384" w:rsidRPr="005C4A71" w:rsidRDefault="00E8367F" w:rsidP="00E8367F">
      <w:pPr>
        <w:pStyle w:val="NormalHanging12a"/>
        <w:ind w:hanging="570"/>
      </w:pPr>
      <w:r w:rsidRPr="005C4A71">
        <w:t>125.</w:t>
      </w:r>
      <w:r w:rsidRPr="005C4A71">
        <w:tab/>
      </w:r>
      <w:r w:rsidR="00F70384" w:rsidRPr="005C4A71">
        <w:t>σημειώνει ότι ο εκτελεστικός οργανισμός διεξάγει ετήσιες ασκήσεις διαχείρισης κινδύνων από τη βάση προς την κορυφή και ότι κατά τις εν λόγω ασκήσεις διαχείρισης κινδύνων από τη βάση προς την κορυφή δεν εντοπίστηκαν κρίσιμοι κίνδυνοι· σημειώνει ότι, ανεξάρτητα από το χρηματοδοτικό πρόγραμμα, οι διαδικασίες αξιολόγησης θα πρέπει να επανεξετάζονται συνεχώς και να προσαρμόζονται, εάν χρειάζεται·</w:t>
      </w:r>
    </w:p>
    <w:p w:rsidR="00F70384" w:rsidRPr="005C4A71" w:rsidRDefault="00E8367F" w:rsidP="00E8367F">
      <w:pPr>
        <w:pStyle w:val="NormalHanging12a"/>
        <w:ind w:hanging="570"/>
      </w:pPr>
      <w:r w:rsidRPr="005C4A71">
        <w:t>126.</w:t>
      </w:r>
      <w:r w:rsidRPr="005C4A71">
        <w:tab/>
      </w:r>
      <w:r w:rsidR="00F70384" w:rsidRPr="005C4A71">
        <w:t>σημειώνει τις αναφορές στα μέσα ενημέρωσης σύμφωνα με τις οποίες η Πρόεδρος της Επιτροπής προσέλαβε έναν αμειβόμενο ειδικό σύμβουλο για την υποβολή έκθεσης σχετικά με τον «Στρατηγικό διάλογο για το μέλλον της γεωργίας της ΕΕ», ο οποίος έλαβε αμοιβή ίση με τον μισθό γενικού διευθυντή στην Επιτροπή· εκφράζει την ανησυχία του για την αμοιβή όλων των ειδικών συμβούλων και τη διακριτική ευχέρεια της Επιτροπής να αποφασίζει για αυτήν, γεγονός που δημιουργεί αυθαίρετες ανισότητες·</w:t>
      </w:r>
    </w:p>
    <w:p w:rsidR="00F70384" w:rsidRPr="005C4A71" w:rsidRDefault="00F70384" w:rsidP="00F70384">
      <w:pPr>
        <w:spacing w:after="240"/>
        <w:ind w:left="567" w:hanging="567"/>
        <w:rPr>
          <w:i/>
        </w:rPr>
      </w:pPr>
      <w:r w:rsidRPr="005C4A71">
        <w:rPr>
          <w:i/>
        </w:rPr>
        <w:t>Συστάσεις</w:t>
      </w:r>
    </w:p>
    <w:p w:rsidR="00F70384" w:rsidRPr="005C4A71" w:rsidRDefault="00E8367F" w:rsidP="00E8367F">
      <w:pPr>
        <w:spacing w:after="240"/>
        <w:ind w:left="567" w:hanging="570"/>
      </w:pPr>
      <w:r w:rsidRPr="005C4A71">
        <w:t>127.</w:t>
      </w:r>
      <w:r w:rsidRPr="005C4A71">
        <w:tab/>
      </w:r>
      <w:r w:rsidR="00F70384" w:rsidRPr="005C4A71">
        <w:t>καλεί την Επιτροπή:</w:t>
      </w:r>
    </w:p>
    <w:p w:rsidR="00F70384" w:rsidRPr="005C4A71" w:rsidRDefault="00F70384" w:rsidP="00F70384">
      <w:pPr>
        <w:spacing w:after="240"/>
        <w:ind w:left="1287" w:hanging="720"/>
        <w:contextualSpacing/>
        <w:rPr>
          <w:spacing w:val="-6"/>
        </w:rPr>
      </w:pPr>
      <w:r w:rsidRPr="005C4A71">
        <w:t>i)</w:t>
      </w:r>
      <w:r w:rsidRPr="005C4A71">
        <w:tab/>
        <w:t>να παρακολουθεί στενά την πρόοδο των κρατών μελών όσον αφορά την επεξεργασία των δεδομένων σχετικά με τις επιδόσεις και τη συγκέντρωση δεδομένων για την ετήσια έκθεση επιδόσεων, και να τηρεί ενήμερη την αρμόδια για την απαλλαγή αρχή σχετικά με ζητήματα που αφορούν την αξιοπιστία των δεδομένων σχετικά με τις επιδόσεις, ιδίως όταν πρόκειται για δεδομένα που έχουν συγκεντρωθεί με μη αυτοματοποιημένο τρόπο·</w:t>
      </w:r>
    </w:p>
    <w:p w:rsidR="00F70384" w:rsidRPr="005C4A71" w:rsidRDefault="00F70384" w:rsidP="00F70384">
      <w:pPr>
        <w:pStyle w:val="NormalHanging12a"/>
        <w:widowControl/>
        <w:ind w:left="1287" w:hanging="720"/>
        <w:rPr>
          <w:spacing w:val="-6"/>
          <w:szCs w:val="24"/>
        </w:rPr>
      </w:pPr>
      <w:proofErr w:type="spellStart"/>
      <w:r w:rsidRPr="005C4A71">
        <w:t>ii</w:t>
      </w:r>
      <w:proofErr w:type="spellEnd"/>
      <w:r w:rsidRPr="005C4A71">
        <w:t>)</w:t>
      </w:r>
      <w:r w:rsidRPr="005C4A71">
        <w:tab/>
        <w:t>να ενημερώσει την αρμόδια για την απαλλαγή αρχή για τους λόγους για τους οποίους το Ελεγκτικό Συνέδριο καταλήγει στο συμπέρασμα ότι επί σειρά ετών θα μπορούσαν να είχαν αποφευχθεί αρκετά σφάλματα, εάν η Επιτροπή και τα κράτη μέλη είχαν χρησιμοποιήσει όλες τις πληροφορίες που είχαν στη διάθεσή τους, καθώς και για τους λόγους για τους οποίους η Επιτροπή και τα κράτη μέλη δεν κατορθώνουν να αντιμετωπίσουν κατάλληλα το ζήτημα αυτό·</w:t>
      </w:r>
    </w:p>
    <w:p w:rsidR="00F70384" w:rsidRPr="005C4A71" w:rsidRDefault="00F70384" w:rsidP="00F70384">
      <w:pPr>
        <w:pStyle w:val="NormalHanging12a"/>
        <w:widowControl/>
        <w:ind w:left="1287" w:hanging="720"/>
      </w:pPr>
      <w:proofErr w:type="spellStart"/>
      <w:r w:rsidRPr="005C4A71">
        <w:t>iii</w:t>
      </w:r>
      <w:proofErr w:type="spellEnd"/>
      <w:r w:rsidRPr="005C4A71">
        <w:t>)</w:t>
      </w:r>
      <w:r w:rsidRPr="005C4A71">
        <w:tab/>
        <w:t>να εφαρμόσει τα διδάγματα που αντλήθηκαν, όσον αφορά τη μείωση του διοικητικού φόρτου, από την αντίδρασή της στις διαμαρτυρίες των γεωργών, σε μελλοντικές πρωτοβουλίες πολιτικής, λαμβάνοντας παράλληλα δεόντως υπόψη τον κίνδυνο κατάχρησης των κονδυλίων όταν περιορίζονται τα μέτρα ελέγχου, ή τον κίνδυνο υπερβολικών αποκλίσεων μεταξύ των κρατών μελών όταν γίνεται χρήση διακριτικής ευχέρειας χωρίς κατάλληλη εποπτεία·</w:t>
      </w:r>
    </w:p>
    <w:p w:rsidR="00F70384" w:rsidRPr="005C4A71" w:rsidRDefault="00F70384" w:rsidP="00F70384">
      <w:pPr>
        <w:pStyle w:val="NormalHanging12a"/>
        <w:widowControl/>
        <w:ind w:left="1287" w:hanging="720"/>
      </w:pPr>
      <w:r w:rsidRPr="005C4A71">
        <w:t>iv)</w:t>
      </w:r>
      <w:r w:rsidRPr="005C4A71">
        <w:tab/>
        <w:t>να τηρεί ενήμερη την αρμόδια για την απαλλαγή αρχή σχετικά με τα ποσοστά ανάκτησης των γεωργικών δαπανών, ιδίως εάν το ποσοστό επιδεινωθεί σε σύγκριση με το ποσοστό ανάκτησης στο πλαίσιο της προηγούμενης ΚΓΠ, και να αντιμετωπίζει γρήγορα τις αιτίες της επιδείνωσης, εξετάζοντας, μεταξύ άλλων, τη θέσπιση νέων κινήτρων προκειμένου οι αρχές των κρατών μελών να ανακτούν τα κονδύλια·</w:t>
      </w:r>
    </w:p>
    <w:p w:rsidR="00F70384" w:rsidRPr="005C4A71" w:rsidRDefault="00F70384" w:rsidP="00F70384">
      <w:pPr>
        <w:pStyle w:val="NormalHanging12a"/>
        <w:widowControl/>
        <w:ind w:left="1287" w:hanging="720"/>
      </w:pPr>
      <w:r w:rsidRPr="005C4A71">
        <w:t>v)</w:t>
      </w:r>
      <w:r w:rsidRPr="005C4A71">
        <w:tab/>
        <w:t>να αξιολογήσει τις διαφορές ως προς φιλοδοξία των στρατηγικών σχεδίων και να ενημερώσει την αρμόδια για την απαλλαγή αρχή κατά πόσον υπάρχουν αποκλίσεις μεταξύ των κρατών μελών οι οποίες απειλούν την ισότητα των όρων ανταγωνισμού για τους γεωργούς, και να αξιολογήσει τον τρόπο με τον οποίο η Επιτροπή αντιμετωπίζει τις εν λόγω διαφορές·</w:t>
      </w:r>
    </w:p>
    <w:p w:rsidR="00F70384" w:rsidRPr="005C4A71" w:rsidRDefault="00F70384" w:rsidP="00F70384">
      <w:pPr>
        <w:spacing w:after="240"/>
        <w:ind w:left="1287" w:hanging="720"/>
        <w:contextualSpacing/>
      </w:pPr>
      <w:proofErr w:type="spellStart"/>
      <w:r w:rsidRPr="005C4A71">
        <w:t>vi</w:t>
      </w:r>
      <w:proofErr w:type="spellEnd"/>
      <w:r w:rsidRPr="005C4A71">
        <w:t>)</w:t>
      </w:r>
      <w:r w:rsidRPr="005C4A71">
        <w:tab/>
        <w:t>να αξιοποιήσει καλύτερα τις ικανότητές της για να καθορίζει πλαίσια επιδόσεων, στόχους και δείκτες και για να εξασφαλίζει τη λογοδοσία όσων συμβάλλουν στα επιτεύγματα, είτε πρόκειται για κράτη μέλη είτε για δικαιούχους·</w:t>
      </w:r>
    </w:p>
    <w:p w:rsidR="00F70384" w:rsidRPr="005C4A71" w:rsidRDefault="00F70384" w:rsidP="00F70384">
      <w:pPr>
        <w:pStyle w:val="NormalHanging12a"/>
        <w:widowControl/>
        <w:ind w:left="1287" w:hanging="720"/>
      </w:pPr>
      <w:proofErr w:type="spellStart"/>
      <w:r w:rsidRPr="005C4A71">
        <w:t>vii</w:t>
      </w:r>
      <w:proofErr w:type="spellEnd"/>
      <w:r w:rsidRPr="005C4A71">
        <w:t>)</w:t>
      </w:r>
      <w:r w:rsidRPr="005C4A71">
        <w:tab/>
        <w:t xml:space="preserve">να </w:t>
      </w:r>
      <w:proofErr w:type="spellStart"/>
      <w:r w:rsidRPr="005C4A71">
        <w:t>επικαιροποιήσει</w:t>
      </w:r>
      <w:proofErr w:type="spellEnd"/>
      <w:r w:rsidRPr="005C4A71">
        <w:t xml:space="preserve"> τη στρατηγική της Επιτροπής για την καταπολέμηση της απάτης, ώστε να δοθεί προσοχή στην υποστήριξη και την προάσπιση του σαφούς διαχωρισμού της εκτελεστικής και της νομοθετικής εξουσίας στην Ένωση·</w:t>
      </w:r>
    </w:p>
    <w:p w:rsidR="00F70384" w:rsidRPr="005C4A71" w:rsidRDefault="00F70384" w:rsidP="00F70384">
      <w:pPr>
        <w:pStyle w:val="NormalHanging12a"/>
        <w:widowControl/>
        <w:ind w:left="1287" w:hanging="720"/>
      </w:pPr>
      <w:proofErr w:type="spellStart"/>
      <w:r w:rsidRPr="005C4A71">
        <w:t>viii</w:t>
      </w:r>
      <w:proofErr w:type="spellEnd"/>
      <w:r w:rsidRPr="005C4A71">
        <w:t>)</w:t>
      </w:r>
      <w:r w:rsidRPr="005C4A71">
        <w:tab/>
        <w:t>να διαθέτει σαφή και ολοκληρωμένη στρατηγική σε επίπεδο Επιτροπής σχετικά με τον τρόπο καλύτερης προστασίας των οικονομικών συμφερόντων της Ένωσης και να διασφαλίζει ότι τα κονδύλια της Ένωσης δαπανώνται για τους σκοπούς για τους οποίους προορίζονται, καθώς και να εφαρμόζει επιμελώς τις διατάξεις του δημοσιονομικού κανονισμού, μεταξύ άλλων διασφαλίζοντας ότι οι συμφωνίες επιχορήγησης μπορούν να ανασταλούν ή να καταγγελθούν όταν οι δικαιούχοι παραβιάζουν τη νομοθεσία της Ένωσης·</w:t>
      </w:r>
    </w:p>
    <w:p w:rsidR="00F70384" w:rsidRPr="005C4A71" w:rsidRDefault="00F70384" w:rsidP="00F70384">
      <w:pPr>
        <w:pStyle w:val="NormalHanging12a"/>
        <w:widowControl/>
        <w:ind w:left="1287" w:hanging="720"/>
      </w:pPr>
      <w:proofErr w:type="spellStart"/>
      <w:r w:rsidRPr="005C4A71">
        <w:t>ix</w:t>
      </w:r>
      <w:proofErr w:type="spellEnd"/>
      <w:r w:rsidRPr="005C4A71">
        <w:t>)</w:t>
      </w:r>
      <w:r w:rsidRPr="005C4A71">
        <w:tab/>
        <w:t>να διασφαλίζει τη δίκαιη κατανομή των κονδυλίων της Ένωσης στις ΟΚΠ ώστε να συμβάλουν σε μια πλουραλιστική και δυναμική κοινωνία·</w:t>
      </w:r>
    </w:p>
    <w:p w:rsidR="00F70384" w:rsidRPr="005C4A71" w:rsidRDefault="00F70384" w:rsidP="00F70384">
      <w:pPr>
        <w:pStyle w:val="NormalHanging12a"/>
        <w:widowControl/>
        <w:ind w:left="1287" w:hanging="720"/>
      </w:pPr>
      <w:r w:rsidRPr="005C4A71">
        <w:t>x)</w:t>
      </w:r>
      <w:r w:rsidRPr="005C4A71">
        <w:tab/>
        <w:t xml:space="preserve">να διασφαλίσει ότι οι κατευθυντήριες γραμμές της Επιτροπής που εγκρίθηκαν το 2024 εφαρμόζονται από όλους τους </w:t>
      </w:r>
      <w:proofErr w:type="spellStart"/>
      <w:r w:rsidRPr="005C4A71">
        <w:t>διατάκτες</w:t>
      </w:r>
      <w:proofErr w:type="spellEnd"/>
      <w:r w:rsidRPr="005C4A71">
        <w:t xml:space="preserve"> και, εάν χρειαστεί, να αναπτύξει περαιτέρω κατευθυντήριες γραμμές για την πλήρη ευθυγράμμιση των συμφωνιών επιχορήγησης με τις διατάξεις της Συνθήκης και την ισχύουσα νομοθεσία·</w:t>
      </w:r>
    </w:p>
    <w:p w:rsidR="00F70384" w:rsidRPr="005C4A71" w:rsidRDefault="00F70384" w:rsidP="00F70384">
      <w:pPr>
        <w:pStyle w:val="NormalHanging12a"/>
        <w:widowControl/>
        <w:ind w:left="1287" w:hanging="720"/>
      </w:pPr>
      <w:proofErr w:type="spellStart"/>
      <w:r w:rsidRPr="005C4A71">
        <w:t>xi</w:t>
      </w:r>
      <w:proofErr w:type="spellEnd"/>
      <w:r w:rsidRPr="005C4A71">
        <w:t>)</w:t>
      </w:r>
      <w:r w:rsidRPr="005C4A71">
        <w:tab/>
        <w:t>να θέσει στη διάθεση της αρμόδιας για την απαλλαγή αρχής τα αποτελέσματα του ελέγχου των συμφωνιών επιχορήγησης και άλλων συμβάσεων, προκειμένου να μπορέσει να αξιολογηθεί εάν η Επιτροπή ενδέχεται να εκτίθεται σε κίνδυνο δυσφήμισης·</w:t>
      </w:r>
    </w:p>
    <w:p w:rsidR="00F70384" w:rsidRPr="005C4A71" w:rsidRDefault="00F70384" w:rsidP="00F70384">
      <w:pPr>
        <w:pStyle w:val="NormalHanging12a"/>
        <w:widowControl/>
        <w:ind w:left="1287" w:hanging="720"/>
      </w:pPr>
      <w:proofErr w:type="spellStart"/>
      <w:r w:rsidRPr="005C4A71">
        <w:t>xii</w:t>
      </w:r>
      <w:proofErr w:type="spellEnd"/>
      <w:r w:rsidRPr="005C4A71">
        <w:t>)</w:t>
      </w:r>
      <w:r w:rsidRPr="005C4A71">
        <w:tab/>
        <w:t>να αντιμετωπίσει επαρκώς ζητήματα όπως η μεταπήδηση από τον δημόσιο στον ιδιωτικό τομέα, η διαφάνεια στη χρηματοδότηση και τις δωρεές, η καταπολέμηση της νομιμοποίησης εσόδων από παράνομες δραστηριότητες, ο περιορισμός των εξωτερικών παρεμβάσεων, η ανεξαρτησία από πολιτικές και οικονομικές επιρροές, η καταγγελία δυσλειτουργιών και οι διαφανείς δομές διακυβέρνησης, όσον αφορά όλες τις οντότητες που λαμβάνουν κονδύλια της Ένωσης·</w:t>
      </w:r>
    </w:p>
    <w:p w:rsidR="00F70384" w:rsidRPr="005C4A71" w:rsidRDefault="00F70384" w:rsidP="00F70384">
      <w:pPr>
        <w:pStyle w:val="NormalHanging12a"/>
        <w:widowControl/>
        <w:ind w:left="1287" w:hanging="720"/>
      </w:pPr>
      <w:proofErr w:type="spellStart"/>
      <w:r w:rsidRPr="005C4A71">
        <w:t>xiii</w:t>
      </w:r>
      <w:proofErr w:type="spellEnd"/>
      <w:r w:rsidRPr="005C4A71">
        <w:t>)</w:t>
      </w:r>
      <w:r w:rsidRPr="005C4A71">
        <w:tab/>
        <w:t>να επανεξετάσει το υπόδειγμα μνημονίων συνεννόησης μεταξύ της Επιτροπής και των εκτελεστικών οργανισμών, ώστε να διασφαλίζεται σαφέστερος καταμερισμός των αρμοδιοτήτων·</w:t>
      </w:r>
    </w:p>
    <w:p w:rsidR="00F70384" w:rsidRPr="005C4A71" w:rsidRDefault="00F70384" w:rsidP="00F70384">
      <w:pPr>
        <w:pStyle w:val="NormalHanging12a"/>
        <w:widowControl/>
        <w:ind w:left="1287" w:hanging="720"/>
      </w:pPr>
      <w:proofErr w:type="spellStart"/>
      <w:r w:rsidRPr="005C4A71">
        <w:t>xiv</w:t>
      </w:r>
      <w:proofErr w:type="spellEnd"/>
      <w:r w:rsidRPr="005C4A71">
        <w:t>)</w:t>
      </w:r>
      <w:r w:rsidRPr="005C4A71">
        <w:tab/>
        <w:t>να δώσει εντολή στη δομή λογιστικού ελέγχου να εξετάζει τις συμβάσεις με τους δικαιούχους και να επισημαίνει τις περιπτώσεις στις οποίες εντοπίζει συμβάσεις που δεν συνάδουν με τους ισχύοντες δημοσιονομικούς κανόνες·</w:t>
      </w:r>
    </w:p>
    <w:p w:rsidR="00F70384" w:rsidRPr="005C4A71" w:rsidRDefault="00F70384" w:rsidP="00F70384">
      <w:pPr>
        <w:pStyle w:val="NormalHanging12a"/>
        <w:widowControl/>
        <w:ind w:left="1287" w:hanging="720"/>
      </w:pPr>
      <w:proofErr w:type="spellStart"/>
      <w:r w:rsidRPr="005C4A71">
        <w:t>xv</w:t>
      </w:r>
      <w:proofErr w:type="spellEnd"/>
      <w:r w:rsidRPr="005C4A71">
        <w:t>)</w:t>
      </w:r>
      <w:r w:rsidRPr="005C4A71">
        <w:tab/>
        <w:t>να αναθέσει στην Υπηρεσία Εσωτερικού Λογιστικού Ελέγχου να επανεξετάζει τις συμβάσεις μεταξύ της Επιτροπής και των αποδεκτών επιχορήγησης, και συγκεκριμένα για να εντοπίζει περιεχόμενο που δεν συμμορφώνεται με τους ισχύοντες δημοσιονομικούς κανόνες στις δέσμες εργασιών·</w:t>
      </w:r>
    </w:p>
    <w:p w:rsidR="00F70384" w:rsidRPr="005C4A71" w:rsidRDefault="00F70384" w:rsidP="00F70384">
      <w:pPr>
        <w:pStyle w:val="NormalHanging12a"/>
        <w:widowControl/>
        <w:ind w:left="1287" w:hanging="720"/>
      </w:pPr>
      <w:proofErr w:type="spellStart"/>
      <w:r w:rsidRPr="005C4A71">
        <w:t>xvi</w:t>
      </w:r>
      <w:proofErr w:type="spellEnd"/>
      <w:r w:rsidRPr="005C4A71">
        <w:t>)</w:t>
      </w:r>
      <w:r w:rsidRPr="005C4A71">
        <w:tab/>
        <w:t>να αξιολογήσει τη δομή λήψης αποφάσεων στους τομείς της ανάθεσης συμβάσεων και να δώσει εντολή στις υπηρεσίες της Επιτροπής και στους εκτελεστικούς οργανισμούς να διενεργούν καλύτερους ελέγχους σχετικά με το περιεχόμενο των συμβάσεων σε όλα τα στάδια, μεταξύ άλλων διασφαλίζοντας ότι οι δέσμες εργασιών και οι βασικοί δείκτες επιδόσεων που απαριθμούνται από τους αιτούντες ευθυγραμμίζονται με τους στόχους των αντίστοιχων προγραμμάτων χρηματοδότησης·</w:t>
      </w:r>
    </w:p>
    <w:p w:rsidR="00F70384" w:rsidRPr="005C4A71" w:rsidRDefault="00F70384" w:rsidP="00F70384">
      <w:pPr>
        <w:pStyle w:val="NormalHanging12a"/>
        <w:widowControl/>
        <w:ind w:left="1287" w:hanging="720"/>
      </w:pPr>
      <w:proofErr w:type="spellStart"/>
      <w:r w:rsidRPr="005C4A71">
        <w:t>xvii</w:t>
      </w:r>
      <w:proofErr w:type="spellEnd"/>
      <w:r w:rsidRPr="005C4A71">
        <w:t>)</w:t>
      </w:r>
      <w:r w:rsidRPr="005C4A71">
        <w:tab/>
        <w:t>να υιοθετήσει μια ακριβέστερη κατηγοριοποίηση των οντοτήτων που απαριθμούνται στο σύστημα δημοσιονομικής διαφάνειας·</w:t>
      </w:r>
    </w:p>
    <w:p w:rsidR="00F70384" w:rsidRPr="005C4A71" w:rsidRDefault="00F70384" w:rsidP="00F70384">
      <w:pPr>
        <w:pStyle w:val="NormalHanging12a"/>
        <w:widowControl/>
        <w:ind w:left="1287" w:hanging="720"/>
      </w:pPr>
      <w:proofErr w:type="spellStart"/>
      <w:r w:rsidRPr="005C4A71">
        <w:t>xviii</w:t>
      </w:r>
      <w:proofErr w:type="spellEnd"/>
      <w:r w:rsidRPr="005C4A71">
        <w:t>)</w:t>
      </w:r>
      <w:r w:rsidRPr="005C4A71">
        <w:tab/>
        <w:t>να αναθεωρήσει τους κανόνες της για τους ειδικούς συμβούλους, προκειμένου να σταματήσει η αυθαίρετη επιλογή και αμοιβή τους·</w:t>
      </w:r>
    </w:p>
    <w:p w:rsidR="00F70384" w:rsidRPr="005C4A71" w:rsidRDefault="00F70384" w:rsidP="00F70384">
      <w:pPr>
        <w:pStyle w:val="NormalHanging12a"/>
        <w:widowControl/>
        <w:ind w:left="1287" w:hanging="720"/>
        <w:rPr>
          <w:color w:val="000000"/>
          <w:szCs w:val="24"/>
        </w:rPr>
      </w:pPr>
      <w:proofErr w:type="spellStart"/>
      <w:r w:rsidRPr="005C4A71">
        <w:t>xix</w:t>
      </w:r>
      <w:proofErr w:type="spellEnd"/>
      <w:r w:rsidRPr="005C4A71">
        <w:t>)</w:t>
      </w:r>
      <w:r w:rsidRPr="005C4A71">
        <w:tab/>
        <w:t>να ενισχύσει περαιτέρω την απλούστευση της εφαρμογής των προγραμμάτων και να συνεργαστεί στενά με τα κράτη μέλη για τον εντοπισμό βέλτιστων πρακτικών όσον αφορά την ψηφιοποίηση των πρακτικών και των διαδικασιών·</w:t>
      </w:r>
    </w:p>
    <w:p w:rsidR="00F70384" w:rsidRPr="005C4A71" w:rsidRDefault="00F70384" w:rsidP="00F70384">
      <w:pPr>
        <w:pStyle w:val="NormalHanging12a"/>
        <w:widowControl/>
        <w:ind w:left="1287" w:hanging="720"/>
      </w:pPr>
      <w:proofErr w:type="spellStart"/>
      <w:r w:rsidRPr="005C4A71">
        <w:t>xx</w:t>
      </w:r>
      <w:proofErr w:type="spellEnd"/>
      <w:r w:rsidRPr="005C4A71">
        <w:t>)</w:t>
      </w:r>
      <w:r w:rsidRPr="005C4A71">
        <w:tab/>
        <w:t>να βελτιώσει την ποιότητα του διαλόγου με τους γεωργούς από όλα τα κράτη μέλη·</w:t>
      </w:r>
    </w:p>
    <w:p w:rsidR="00F70384" w:rsidRPr="005C4A71" w:rsidRDefault="00F70384" w:rsidP="00F70384">
      <w:pPr>
        <w:pStyle w:val="NormalHanging12a"/>
        <w:widowControl/>
        <w:ind w:left="1287" w:hanging="720"/>
      </w:pPr>
      <w:proofErr w:type="spellStart"/>
      <w:r w:rsidRPr="005C4A71">
        <w:t>xxi</w:t>
      </w:r>
      <w:proofErr w:type="spellEnd"/>
      <w:r w:rsidRPr="005C4A71">
        <w:t>)</w:t>
      </w:r>
      <w:r w:rsidRPr="005C4A71">
        <w:tab/>
        <w:t>να αντιδρά ταχύτερα όταν επισημαίνονται στην Επιτροπή σοβαρές ανησυχίες της αρμόδιας για την απαλλαγή αρχής·</w:t>
      </w:r>
    </w:p>
    <w:p w:rsidR="00F70384" w:rsidRPr="005C4A71" w:rsidRDefault="00F70384" w:rsidP="00F70384">
      <w:pPr>
        <w:pStyle w:val="NormalHanging12a"/>
        <w:widowControl/>
        <w:ind w:left="1287" w:hanging="720"/>
      </w:pPr>
      <w:proofErr w:type="spellStart"/>
      <w:r w:rsidRPr="005C4A71">
        <w:t>xxii</w:t>
      </w:r>
      <w:proofErr w:type="spellEnd"/>
      <w:r w:rsidRPr="005C4A71">
        <w:t>)</w:t>
      </w:r>
      <w:r w:rsidRPr="005C4A71">
        <w:tab/>
        <w:t>να διενεργεί επαρκείς ελέγχους των οντοτήτων που είναι καταχωρισμένες στο Μητρώο Διαφάνειας, προκειμένου να διασφαλίζεται ότι καταχωρίζουν πλήρως τις δραστηριότητές τους στο Μητρώο·</w:t>
      </w:r>
    </w:p>
    <w:p w:rsidR="00F70384" w:rsidRPr="005C4A71" w:rsidRDefault="00F70384" w:rsidP="00F70384">
      <w:pPr>
        <w:pStyle w:val="NormalHanging12a"/>
        <w:widowControl/>
        <w:ind w:left="1287" w:hanging="720"/>
      </w:pPr>
      <w:proofErr w:type="spellStart"/>
      <w:r w:rsidRPr="005C4A71">
        <w:t>xxiii</w:t>
      </w:r>
      <w:proofErr w:type="spellEnd"/>
      <w:r w:rsidRPr="005C4A71">
        <w:t>)</w:t>
      </w:r>
      <w:r w:rsidRPr="005C4A71">
        <w:tab/>
        <w:t>να ορίζει σαφέστερα όρια αρμοδιότητας κατά την υλοποίηση συνεργατικών πλατφορμών·</w:t>
      </w:r>
    </w:p>
    <w:p w:rsidR="00F70384" w:rsidRPr="005C4A71" w:rsidRDefault="00F70384" w:rsidP="00F70384">
      <w:pPr>
        <w:pStyle w:val="NormalHanging12a"/>
        <w:widowControl/>
        <w:ind w:left="1287" w:hanging="720"/>
      </w:pPr>
      <w:proofErr w:type="spellStart"/>
      <w:r w:rsidRPr="005C4A71">
        <w:t>xxiv</w:t>
      </w:r>
      <w:proofErr w:type="spellEnd"/>
      <w:r w:rsidRPr="005C4A71">
        <w:t>)</w:t>
      </w:r>
      <w:r w:rsidRPr="005C4A71">
        <w:tab/>
        <w:t xml:space="preserve">να δώσει εντολή στο συμβούλιο εσωτερικής διοίκησης να υποβάλει στην Υπηρεσία Εσωτερικού Λογιστικού Ελέγχου ενοποιημένες πληροφορίες σχετικά με τον κατάλογο των κρίσιμων κινδύνων και να διασφαλίσει ότι οι εκτελεστικοί οργανισμοί αντιμετωπίζουν τους δυνητικούς κινδύνους, καθώς και να εξασφαλίσει τη διαφανή επιλογή ανεξάρτητων </w:t>
      </w:r>
      <w:proofErr w:type="spellStart"/>
      <w:r w:rsidRPr="005C4A71">
        <w:t>αξιολογητών</w:t>
      </w:r>
      <w:proofErr w:type="spellEnd"/>
      <w:r w:rsidRPr="005C4A71">
        <w:t xml:space="preserve"> ώστε να προλαμβάνονται συγκρούσεις συμφερόντων και να διασφαλίζεται η ανεξαρτησία τους·</w:t>
      </w:r>
    </w:p>
    <w:p w:rsidR="00F70384" w:rsidRPr="005C4A71" w:rsidRDefault="00F70384" w:rsidP="00F70384">
      <w:pPr>
        <w:pStyle w:val="NormalHanging12a"/>
        <w:widowControl/>
        <w:ind w:left="1287" w:hanging="720"/>
      </w:pPr>
      <w:proofErr w:type="spellStart"/>
      <w:r w:rsidRPr="005C4A71">
        <w:t>xxv</w:t>
      </w:r>
      <w:proofErr w:type="spellEnd"/>
      <w:r w:rsidRPr="005C4A71">
        <w:t>)</w:t>
      </w:r>
      <w:r w:rsidRPr="005C4A71">
        <w:tab/>
        <w:t>να δώσει εντολή σε όλες τις ΓΔ και τους εκτελεστικούς οργανισμούς να επανεξετάσουν την κατανομή των κονδυλίων που προορίζονται για τον λογιστικό έλεγχο, προκειμένου να εξασφαλιστούν επαρκείς πόροι·</w:t>
      </w:r>
    </w:p>
    <w:p w:rsidR="00F70384" w:rsidRPr="005C4A71" w:rsidRDefault="00F70384" w:rsidP="00F70384">
      <w:pPr>
        <w:pStyle w:val="NormalHanging12a"/>
        <w:widowControl/>
        <w:ind w:left="1287" w:hanging="720"/>
      </w:pPr>
      <w:proofErr w:type="spellStart"/>
      <w:r w:rsidRPr="005C4A71">
        <w:t>xxvi</w:t>
      </w:r>
      <w:proofErr w:type="spellEnd"/>
      <w:r w:rsidRPr="005C4A71">
        <w:t>)</w:t>
      </w:r>
      <w:r w:rsidRPr="005C4A71">
        <w:tab/>
        <w:t>να διασφαλίσει ότι οι προτάσεις για πολυετή προγράμματα εργασίας οποιουδήποτε χρηματοδοτικού μέσου της Ένωσης έχουν σαφείς κατευθυντήριες γραμμές σχετικά με τις δραστηριότητες που είναι επιλέξιμες για χρηματοδότηση, σαφέστερους κανόνες σχετικά με τον έλεγχο των αιτήσεων και το αποδεκτό περιεχόμενο, καθώς και σαφέστερες απαιτήσεις για τη διαφάνεια και την ιχνηλασιμότητα της χρήσης των κονδυλίων της Ένωσης, μεταξύ άλλων σε σχέση με τις απαιτήσεις δημοσιοποίησης στο πλαίσιο του Μητρώου Διαφάνειας της ΕΕ·</w:t>
      </w:r>
    </w:p>
    <w:p w:rsidR="00F70384" w:rsidRPr="005C4A71" w:rsidRDefault="00F70384" w:rsidP="00F70384">
      <w:pPr>
        <w:pStyle w:val="NormalHanging12a"/>
        <w:widowControl/>
        <w:ind w:left="1287" w:hanging="720"/>
      </w:pPr>
      <w:proofErr w:type="spellStart"/>
      <w:r w:rsidRPr="005C4A71">
        <w:t>xxvii</w:t>
      </w:r>
      <w:proofErr w:type="spellEnd"/>
      <w:r w:rsidRPr="005C4A71">
        <w:t>)</w:t>
      </w:r>
      <w:r w:rsidRPr="005C4A71">
        <w:tab/>
        <w:t>να διασφαλίσει ότι όλες οι συμφωνίες επιχορήγησης τηρούν τις αναγκαίες απαιτήσεις σχετικά με τη διαφάνεια, την ιχνηλασιμότητα και την προβολή των κονδυλίων·</w:t>
      </w:r>
    </w:p>
    <w:p w:rsidR="00F70384" w:rsidRPr="00E8367F" w:rsidRDefault="00F70384" w:rsidP="00F70384">
      <w:pPr>
        <w:spacing w:after="240"/>
        <w:rPr>
          <w:b/>
          <w:i/>
        </w:rPr>
      </w:pPr>
      <w:bookmarkStart w:id="296" w:name="_Toc185595115"/>
      <w:r w:rsidRPr="00E8367F">
        <w:rPr>
          <w:b/>
          <w:i/>
        </w:rPr>
        <w:t>Μετανάστευση και διαχείριση των συνόρων</w:t>
      </w:r>
      <w:bookmarkEnd w:id="296"/>
    </w:p>
    <w:p w:rsidR="00F70384" w:rsidRPr="005C4A71" w:rsidRDefault="00E8367F" w:rsidP="00E8367F">
      <w:pPr>
        <w:pStyle w:val="NormalHanging12a"/>
        <w:widowControl/>
        <w:ind w:hanging="570"/>
      </w:pPr>
      <w:r w:rsidRPr="005C4A71">
        <w:t>128.</w:t>
      </w:r>
      <w:r w:rsidRPr="005C4A71">
        <w:tab/>
      </w:r>
      <w:r w:rsidR="00F70384" w:rsidRPr="005C4A71">
        <w:t>σημειώνει ότι το 2023 ο προϋπολογισμός για τα προγράμματα στο πλαίσιο του τομέα 4 του ΠΔΠ «Μετανάστευση και διαχείριση των συνόρων» ανήλθε σε 2,7 δισεκατομμύρια EUR (1,4</w:t>
      </w:r>
      <w:r w:rsidR="0087261B">
        <w:t> </w:t>
      </w:r>
      <w:r w:rsidR="00F70384" w:rsidRPr="005C4A71">
        <w:t xml:space="preserve">% των δαπανών του προϋπολογισμού της Ένωσης), κατανεμημένα ως εξής: 1,2 δισεκατομμύρια (46,5 %) για τρεις αποκεντρωμένους οργανισμούς, τον Ευρωπαϊκό Οργανισμό </w:t>
      </w:r>
      <w:proofErr w:type="spellStart"/>
      <w:r w:rsidR="00F70384" w:rsidRPr="005C4A71">
        <w:t>Συνοριοφυλακής</w:t>
      </w:r>
      <w:proofErr w:type="spellEnd"/>
      <w:r w:rsidR="00F70384" w:rsidRPr="005C4A71">
        <w:t xml:space="preserve"> και Ακτοφυλακής (</w:t>
      </w:r>
      <w:proofErr w:type="spellStart"/>
      <w:r w:rsidR="00F70384" w:rsidRPr="005C4A71">
        <w:t>Frontex</w:t>
      </w:r>
      <w:proofErr w:type="spellEnd"/>
      <w:r w:rsidR="00F70384" w:rsidRPr="005C4A71">
        <w:t>), τον Οργανισμό της Ευρωπαϊκής Ένωσης για το Άσυλο (EUAA) και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F70384" w:rsidRPr="005C4A71">
        <w:t>eu</w:t>
      </w:r>
      <w:proofErr w:type="spellEnd"/>
      <w:r w:rsidR="00F70384" w:rsidRPr="005C4A71">
        <w:t>-LISA)· 1 δισεκατομμύριο (38,6 %) για το Ταμείο Ασύλου, Μετανάστευσης και Ένταξης (ΤΑΜΕ) και 0,4 δισεκατομμύρια (14,9 %) για το Ταμείο για την ολοκληρωμένη διαχείριση των συνόρων (ΤΟΔΣ)·</w:t>
      </w:r>
    </w:p>
    <w:p w:rsidR="00F70384" w:rsidRPr="005C4A71" w:rsidRDefault="00E8367F" w:rsidP="00E8367F">
      <w:pPr>
        <w:pStyle w:val="NormalHanging12a"/>
        <w:widowControl/>
        <w:ind w:hanging="570"/>
      </w:pPr>
      <w:r w:rsidRPr="005C4A71">
        <w:t>129.</w:t>
      </w:r>
      <w:r w:rsidRPr="005C4A71">
        <w:tab/>
      </w:r>
      <w:r w:rsidR="00F70384" w:rsidRPr="005C4A71">
        <w:t>σημειώνει ότι το 2023 σημαντικό μέρος των δαπανών στο πλαίσιο του τομέα 4 του ΠΔΠ αφορούσε και πάλι την ολοκλήρωση έργων που απομένουν από το ΠΔΠ 2014-2020· σημειώνει ότι το 18 % των εθνικών προγραμμάτων του ΤΑΜΕ για την περίοδο 2014-2020 δεν είχε δηλωθεί στο τέλος του 2023 και ότι οι τελευταίοι ετήσιοι λογαριασμοί και η αίτηση πληρωμής του τελικού υπολοίπου για τα εν λόγω κονδύλια θα παρασχεθούν από τα κράτη μέλη στο πλαίσιο της δέσμης κλεισίματος το αργότερο έως τις 31 Δεκεμβρίου 2024·</w:t>
      </w:r>
    </w:p>
    <w:p w:rsidR="00F70384" w:rsidRPr="005C4A71" w:rsidRDefault="00E8367F" w:rsidP="00E8367F">
      <w:pPr>
        <w:pStyle w:val="NormalHanging12a"/>
        <w:widowControl/>
        <w:ind w:hanging="570"/>
      </w:pPr>
      <w:r w:rsidRPr="005C4A71">
        <w:t>130.</w:t>
      </w:r>
      <w:r w:rsidRPr="005C4A71">
        <w:tab/>
      </w:r>
      <w:r w:rsidR="00F70384" w:rsidRPr="005C4A71">
        <w:t>σημειώνει ότι το Ελεγκτικό Συνέδριο εξέτασε δείγμα 23 πράξεων, το οποίο δεν είναι αρκετά μεγάλο ώστε να είναι αντιπροσωπευτικό των δαπανών στο πλαίσιο των τομέων 4 και 5 του ΠΔΠ και δεν μπορεί επομένως να παράσχει χωριστή εκτίμηση του ποσοστού σφάλματος για τους εν λόγω τομείς· σημειώνει επίσης ότι τα αποτελέσματα του ελέγχου του Ελεγκτικού Συνεδρίου δείχνουν ότι οι δαπάνες στο πλαίσιο των τομέων 4 και 5 του ΠΔΠ επηρεάζονται από ζητήματα επιλεξιμότητας και σύναψης συμβάσεων και ότι πρόκειται για τομέα υψηλού κινδύνου (7 από τις 23 πράξεις που ελέγχθηκαν, δηλαδή το 30,4</w:t>
      </w:r>
      <w:r w:rsidR="0087261B">
        <w:t> </w:t>
      </w:r>
      <w:r w:rsidR="00F70384" w:rsidRPr="005C4A71">
        <w:t xml:space="preserve">%, περιείχαν σφάλματα)· εκφράζει την ανησυχία του για το γεγονός ότι το Ελεγκτικό Συνέδριο εντόπισε τέσσερα </w:t>
      </w:r>
      <w:proofErr w:type="spellStart"/>
      <w:r w:rsidR="00F70384" w:rsidRPr="005C4A71">
        <w:t>προσδιορίσιμα</w:t>
      </w:r>
      <w:proofErr w:type="spellEnd"/>
      <w:r w:rsidR="00F70384" w:rsidRPr="005C4A71">
        <w:t xml:space="preserve"> </w:t>
      </w:r>
      <w:proofErr w:type="spellStart"/>
      <w:r w:rsidR="00F70384" w:rsidRPr="005C4A71">
        <w:t>ποσοτικώς</w:t>
      </w:r>
      <w:proofErr w:type="spellEnd"/>
      <w:r w:rsidR="00F70384" w:rsidRPr="005C4A71">
        <w:t xml:space="preserve"> σφάλματα που είχαν δημοσιονομικές επιπτώσεις στα ποσά που καταλογίστηκαν στον προϋπολογισμό της Ένωσης, καθώς και ακόμη δέκα περιπτώσεις μη συμμόρφωσης με τις νομικές και δημοσιονομικές διατάξεις (οι οποίες δεν είχαν άμεσες δημοσιονομικές επιπτώσεις στον προϋπολογισμό της Ένωσης)· καλεί επομένως το Ελεγκτικό Συνέδριο να παράσχει σαφή εκτίμηση του ποσοστού σφάλματος για τον τομέα 4· σημειώνει ότι η Επιτροπή καταλήγει στο συμπέρασμα ότι ο κίνδυνος κατά την πληρωμή το 2023 είναι 1,1</w:t>
      </w:r>
      <w:r w:rsidR="0087261B">
        <w:t> </w:t>
      </w:r>
      <w:r w:rsidR="00F70384" w:rsidRPr="005C4A71">
        <w:t>% για τις δαπάνες για τη μετανάστευση και τη διαχείριση των συνόρων·</w:t>
      </w:r>
    </w:p>
    <w:p w:rsidR="00F70384" w:rsidRPr="005C4A71" w:rsidRDefault="00E8367F" w:rsidP="00E8367F">
      <w:pPr>
        <w:pStyle w:val="NormalHanging12a"/>
        <w:widowControl/>
        <w:ind w:hanging="570"/>
      </w:pPr>
      <w:r w:rsidRPr="005C4A71">
        <w:t>131.</w:t>
      </w:r>
      <w:r w:rsidRPr="005C4A71">
        <w:tab/>
      </w:r>
      <w:r w:rsidR="00F70384" w:rsidRPr="005C4A71">
        <w:t>σημειώνει ότι η Επιτροπή αποδέχθηκε τη σύσταση που διατύπωσε το Ελεγκτικό Συνέδριο στην ετήσια έκθεσή του για το 2023, να παρέχεται περαιτέρω καθοδήγηση σχετικά με τους εφαρμοστέους κανόνες στις αρχές των κρατών μελών που είναι αρμόδιες για την υλοποίηση της χρηματοδότησης από τη ΓΔ HOME μέσω επιμερισμένης διαχείρισης· εκφράζει τη λύπη του για το γεγονός ότι η Επιτροπή δεν έχει ακόμη εφαρμόσει πλήρως τις προηγούμενες συστάσεις του Ελεγκτικού Συνεδρίου που επρόκειτο να υλοποιηθούν έως το τέλος του 2023· σημειώνει ότι η ΓΔ HOME προβαίνει σε επαναξιολόγηση της μεθοδολογίας της για τους εκ των προτέρων ελέγχους, προκειμένου να διασφαλίσει την τήρηση των κανόνων που ισχύουν για τις επιχορηγήσεις μετά το 2021, και ότι κατά την εν λόγω επαναξιολόγηση θα ληφθούν επίσης υπόψη οι σχετικές συστάσεις του Ελεγκτικού Συνεδρίου και εκείνες που διατυπώθηκαν κατά τον έλεγχο από την IAS σχετικά με την ετοιμότητα για το κλείσιμο δράσεων και προγραμμάτων που χρηματοδοτούνται στο πλαίσιο του Ταμείου Εσωτερικής Ασφάλειας (ΤΕΑ) και του ΤΑΜΕ 2014-2020 μέσω άμεσης και επιμερισμένης διαχείρισης·</w:t>
      </w:r>
    </w:p>
    <w:p w:rsidR="00F70384" w:rsidRPr="005C4A71" w:rsidRDefault="00E8367F" w:rsidP="00E8367F">
      <w:pPr>
        <w:pStyle w:val="NormalHanging12a"/>
        <w:widowControl/>
        <w:ind w:hanging="570"/>
      </w:pPr>
      <w:r w:rsidRPr="005C4A71">
        <w:t>132.</w:t>
      </w:r>
      <w:r w:rsidRPr="005C4A71">
        <w:tab/>
      </w:r>
      <w:r w:rsidR="00F70384" w:rsidRPr="005C4A71">
        <w:t>σημειώνει με ανησυχία ότι δύο επιφυλάξεις σχετικά με τη δήλωση διασφάλισης διατυπώθηκαν στην ετήσια έκθεση δραστηριοτήτων της ΓΔ HOME για το 2023 και ότι μία επιφύλαξη αφορά την εφαρμογή του ΤΑΜΕ και του ΤΕΑ 2014-2020 σε αρκετά κράτη μέλη και η άλλη αφορά την εφαρμογή του Μέσου για τη Διαχείριση των Συνόρων και τις Θεωρήσεις (ΜΔΣΘ) 2021-2027 σε ένα κράτος μέλος· εκφράζει την ικανοποίησή του για τη δέσμευση της Επιτροπής να λάβει διορθωτικά μέτρα για τα υποκείμενα ζητήματα που κατέστησαν αναγκαία τη διατύπωση επιφυλάξεων·</w:t>
      </w:r>
    </w:p>
    <w:p w:rsidR="00F70384" w:rsidRPr="005C4A71" w:rsidRDefault="00E8367F" w:rsidP="00E8367F">
      <w:pPr>
        <w:pStyle w:val="NormalHanging12a"/>
        <w:widowControl/>
        <w:ind w:hanging="570"/>
      </w:pPr>
      <w:r w:rsidRPr="005C4A71">
        <w:t>133.</w:t>
      </w:r>
      <w:r w:rsidRPr="005C4A71">
        <w:tab/>
      </w:r>
      <w:r w:rsidR="00F70384" w:rsidRPr="005C4A71">
        <w:t>εκφράζει την ικανοποίησή του για την πρόοδο που εντόπισε το Ελεγκτικό Συνέδριο στην επανεξέταση των προπαρασκευαστικών εργασιών που πραγματοποίησαν πέντε ελεγκτικές αρχές των κρατών μελών όσον αφορά τη διαχείριση της μετάβασης των κονδυλίων του ΤΑΜΕ, του ΜΔΣΘ και του ΤΕΑ στον ΚΚΔ του ΠΔΠ 2021-2027· παρατηρεί ότι οι εν λόγω ελεγκτικές αρχές ανέφεραν στο Ελεγκτικό Συνέδριο ότι η στήριξη και η καθοδήγηση που τους παρείχε η ΓΔ HOME ήταν ικανοποιητικές· σημειώνει με ανησυχία ότι, κατά τον χρόνο του ελέγχου του Ελεγκτικού Συνεδρίου, τέσσερις από τις πέντε ελεγκτικές αρχές των κρατών μελών δεν είχαν οριστικοποιήσει τις στρατηγικές ελέγχου τους·</w:t>
      </w:r>
    </w:p>
    <w:p w:rsidR="00F70384" w:rsidRPr="005C4A71" w:rsidRDefault="00E8367F" w:rsidP="00E8367F">
      <w:pPr>
        <w:pStyle w:val="NormalHanging12a"/>
        <w:ind w:hanging="570"/>
      </w:pPr>
      <w:r w:rsidRPr="005C4A71">
        <w:t>134.</w:t>
      </w:r>
      <w:r w:rsidRPr="005C4A71">
        <w:tab/>
      </w:r>
      <w:r w:rsidR="00F70384" w:rsidRPr="005C4A71">
        <w:t>σημειώνει την έγκριση του νέου συμφώνου για τη μετανάστευση και το άσυλο· εκφράζει την ικανοποίησή του για το γεγονός ότι κατά την ενδιάμεση αναθεώρηση του ΠΔΠ 2021-2027 διατέθηκαν επιπλέον 2 δισεκατομμύρια EUR για τη μετανάστευση και τη διαχείριση των συνόρων για την περίοδο 2024-2027, προκειμένου να αντιμετωπιστούν οι αυξανόμενες προκλήσεις σε σχέση με τη μετανάστευση και τη διαχείριση των συνόρων που απορρέουν από το τρέχον γεωπολιτικό πλαίσιο· σημειώνει, ωστόσο, ότι ενδέχεται να χρειαστούν πρόσθετα κονδύλια προκειμένου να διασφαλιστεί η πλήρης εφαρμογή του συμφώνου· ζητεί την ταχεία εφαρμογή του συμφώνου στα κράτη μέλη·</w:t>
      </w:r>
    </w:p>
    <w:p w:rsidR="00F70384" w:rsidRPr="005C4A71" w:rsidRDefault="00E8367F" w:rsidP="00E8367F">
      <w:pPr>
        <w:pStyle w:val="NormalHanging12a"/>
        <w:ind w:hanging="570"/>
      </w:pPr>
      <w:r w:rsidRPr="005C4A71">
        <w:t>135.</w:t>
      </w:r>
      <w:r w:rsidRPr="005C4A71">
        <w:tab/>
      </w:r>
      <w:r w:rsidR="00F70384" w:rsidRPr="005C4A71">
        <w:t xml:space="preserve">τονίζει ότι η διασφάλιση των εξωτερικών συνόρων της Ένωσης αποτελεί πυλώνα του νέου συμφώνου για τη μετανάστευση και το άσυλο· σημειώνει με ανησυχία ότι η Επιτροπή ανέφερε ότι ο αριθμός των αντικανονικών διελεύσεων των συνόρων στην Ένωση αυξήθηκε το 2023 σε 380 000, έναντι 330 000 το 2022· παρατηρεί ότι το ΜΔΣΘ μπορεί να στηρίξει τα κράτη μέλη πρώτης γραμμής προκειμένου να εξασφαλιστεί ότι διαθέτουν πόρους για υποδομές, μέσα και εγκαταστάσεις που απαιτούνται για την προστασία των εξωτερικών συνόρων της Ένωσης, συμπεριλαμβανομένων των βελτιώσεων της ηλεκτρονικής ασφάλειας των συνόρων και άλλων εργαλείων για την επιτήρηση των συνόρων, όπως προβλέπεται στο παράρτημα III του κανονισμού ΜΔΣΘ· σημειώνει τα συμπεράσματα του Ευρωπαϊκού Συμβουλίου της 9ης Φεβρουαρίου 2023 ότι η Ένωση θα εντείνει τη δράση της για την πρόληψη των αντικανονικών αναχωρήσεων και της απώλειας ανθρώπινων ζωών, για τη μείωση της πίεσης στα σύνορα της Ένωσης και στις ικανότητες υποδοχής, για την καταπολέμηση των διακινητών και για την αύξηση των επιστροφών· υπογραμμίζει την ανάγκη καλύτερης προστασίας των ευάλωτων ατόμων από τα δίκτυα παράνομης διακίνησης και εμπορίας ανθρώπων και αντιμετώπισης των αρνητικών επιπτώσεων της </w:t>
      </w:r>
      <w:proofErr w:type="spellStart"/>
      <w:r w:rsidR="00F70384" w:rsidRPr="005C4A71">
        <w:t>εργαλειοποίησης</w:t>
      </w:r>
      <w:proofErr w:type="spellEnd"/>
      <w:r w:rsidR="00F70384" w:rsidRPr="005C4A71">
        <w:t xml:space="preserve"> των μεταναστών στο πλαίσιο υβριδικών επιθέσεων, ιδίως από </w:t>
      </w:r>
      <w:proofErr w:type="spellStart"/>
      <w:r w:rsidR="00F70384" w:rsidRPr="005C4A71">
        <w:t>φιλορωσικές</w:t>
      </w:r>
      <w:proofErr w:type="spellEnd"/>
      <w:r w:rsidR="00F70384" w:rsidRPr="005C4A71">
        <w:t xml:space="preserve"> δυνάμεις, καθώς και από το καθεστώς της Λευκορωσίας·</w:t>
      </w:r>
    </w:p>
    <w:p w:rsidR="00F70384" w:rsidRPr="005C4A71" w:rsidRDefault="00E8367F" w:rsidP="00E8367F">
      <w:pPr>
        <w:pStyle w:val="NormalHanging12a"/>
        <w:ind w:hanging="570"/>
      </w:pPr>
      <w:r w:rsidRPr="005C4A71">
        <w:t>136.</w:t>
      </w:r>
      <w:r w:rsidRPr="005C4A71">
        <w:tab/>
      </w:r>
      <w:r w:rsidR="00F70384" w:rsidRPr="005C4A71">
        <w:t>υπενθυμίζει ότι, σύμφωνα με τον κανονισμό (ΕΕ) 2021/1060, τα κράτη μέλη και η Επιτροπή πρέπει να διασφαλίζουν τον σεβασμό των θεμελιωδών δικαιωμάτων και τη συμμόρφωση με τον Χάρτη των Θεμελιωδών Δικαιωμάτων της Ευρωπαϊκής Ένωσης κατά την εκτέλεση των κονδυλίων της Ένωσης·</w:t>
      </w:r>
    </w:p>
    <w:p w:rsidR="00F70384" w:rsidRPr="005C4A71" w:rsidRDefault="00E8367F" w:rsidP="00E8367F">
      <w:pPr>
        <w:pStyle w:val="NormalHanging12a"/>
        <w:ind w:hanging="570"/>
      </w:pPr>
      <w:r w:rsidRPr="005C4A71">
        <w:t>137.</w:t>
      </w:r>
      <w:r w:rsidRPr="005C4A71">
        <w:tab/>
      </w:r>
      <w:r w:rsidR="00F70384" w:rsidRPr="005C4A71">
        <w:t>σημειώνει το συμπέρασμα του Ελεγκτικού Συνεδρίου ότι το ΤΑΜΕ για την περίοδο 2014-2020 είχε επιδόσεις χαμηλότερες από τις προσδοκώμενες όσον αφορά τη διευκόλυνση της επιστροφής των μεταναστών· σημειώνει επίσης ότι το Ελεγκτικό Συνέδριο και η Επιτροπή συμφωνούν πως η πρόοδος στον τομέα αυτό επηρεάστηκε ιδιαίτερα από τους ταξιδιωτικούς περιορισμούς σε σχέση με την πανδημία COVID-19· σημειώνει περαιτέρω ότι το 2023 η στήριξη από το ΤΑΜΕ για μέτρα επιστροφής ανήλθε σε 29,8 εκατομμύρια EUR· θεωρεί ότι η Επιτροπή πρέπει να καταβάλει εντονότερες προσπάθειες προκειμένου να βοηθήσει τα κράτη μέλη στην αντιμετώπιση της αντικανονικής διέλευσης των συνόρων και στην επιτυχή εφαρμογή των επιστροφών υπηκόων τρίτων χωρών, καθώς και στην ένταξη των νόμιμων μεταναστών· προσβλέπει στη λήψη ενοποιημένων πληροφοριών το 2025 σχετικά με την πρόοδο στον τομέα αυτό μέσω της εκ των υστέρων αξιολόγησης του ΤΑΜΕ για την περίοδο 2014-2020· τονίζει ότι η Επιτροπή θα πρέπει να συνεχίσει να αναλαμβάνει δράση για τη μετανάστευση και το άσυλο στο πλαίσιο της εξωτερικής δράσης, μεταξύ άλλων βάσει της προσέγγισης «Ομάδα Ευρώπη», ενώ παράλληλα θα πρέπει να ενισχυθεί η διαφάνεια όσον αφορά τον προγραμματισμό και την εκτέλεση των ενωσιακών κονδυλίων εσωτερικών υποθέσεων σε τρίτες χώρες και να διασφαλίζεται ο ρόλος του Κοινοβουλίου·</w:t>
      </w:r>
    </w:p>
    <w:p w:rsidR="00F70384" w:rsidRPr="005C4A71" w:rsidRDefault="00F70384" w:rsidP="00F70384">
      <w:pPr>
        <w:spacing w:after="240"/>
        <w:ind w:left="567" w:hanging="567"/>
        <w:rPr>
          <w:i/>
        </w:rPr>
      </w:pPr>
      <w:r w:rsidRPr="005C4A71">
        <w:rPr>
          <w:i/>
        </w:rPr>
        <w:t>Συστάσεις</w:t>
      </w:r>
    </w:p>
    <w:p w:rsidR="00F70384" w:rsidRPr="005C4A71" w:rsidRDefault="00E8367F" w:rsidP="00E8367F">
      <w:pPr>
        <w:pStyle w:val="NormalHanging12a"/>
        <w:widowControl/>
        <w:ind w:hanging="570"/>
      </w:pPr>
      <w:r w:rsidRPr="005C4A71">
        <w:t>138.</w:t>
      </w:r>
      <w:r w:rsidRPr="005C4A71">
        <w:tab/>
      </w:r>
      <w:r w:rsidR="00F70384" w:rsidRPr="005C4A71">
        <w:t>καλεί την Επιτροπή:</w:t>
      </w:r>
    </w:p>
    <w:p w:rsidR="00F70384" w:rsidRPr="005C4A71" w:rsidRDefault="00F70384" w:rsidP="00F70384">
      <w:pPr>
        <w:pStyle w:val="NormalHanging12a"/>
        <w:widowControl/>
        <w:ind w:left="1287" w:hanging="720"/>
      </w:pPr>
      <w:r w:rsidRPr="005C4A71">
        <w:t>i)</w:t>
      </w:r>
      <w:r w:rsidRPr="005C4A71">
        <w:tab/>
        <w:t>να εξετάσει ενδελεχώς και εγκαίρως τις συστάσεις του Ελεγκτικού Συνεδρίου και να κοινοποιήσει την αναθεωρημένη μεθοδολογία της ΓΔ HOME για τους εκ των υστέρων ελέγχους, μόλις ολοκληρωθεί, στην αρμόδια για την απαλλαγή αρχή·</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συνεχίσει να στηρίζει τις διαχειριστικές και ελεγκτικές αρχές των κρατών μελών προκειμένου να οριστικοποιήσουν εγκαίρως τις στρατηγικές ελέγχου τους για τα κονδύλια του ΠΔΠ 2021-2027, δίνοντας ιδιαίτερη προσοχή σε ζητήματα επιλεξιμότητας και σύναψης συμβάσεων, καθώς και σε όλες τις άλλες επαναλαμβανόμενες διαπιστώσεις του Ελεγκτικού Συνεδρίου·</w:t>
      </w:r>
    </w:p>
    <w:p w:rsidR="00F70384" w:rsidRPr="005C4A71" w:rsidRDefault="00F70384" w:rsidP="00F70384">
      <w:pPr>
        <w:pStyle w:val="NormalHanging12a"/>
        <w:widowControl/>
        <w:ind w:left="1287" w:hanging="720"/>
      </w:pPr>
      <w:bookmarkStart w:id="297" w:name="_Toc185595116"/>
      <w:proofErr w:type="spellStart"/>
      <w:r w:rsidRPr="005C4A71">
        <w:t>iii</w:t>
      </w:r>
      <w:proofErr w:type="spellEnd"/>
      <w:r w:rsidRPr="005C4A71">
        <w:t>)</w:t>
      </w:r>
      <w:r w:rsidRPr="005C4A71">
        <w:tab/>
        <w:t>να λάβει μέτρα για τη βελτίωση των επιδόσεων των χρηματοδοτούμενων από την Ένωση δράσεων όσον αφορά την αποτελεσματική επιστροφή και την καταπολέμηση της αντικανονικής μετανάστευσης, διασφαλίζοντας παράλληλα τον πλήρη σεβασμό της ενωσιακής νομοθεσίας και των θεμελιωδών αξιών της Ένωσης·</w:t>
      </w:r>
    </w:p>
    <w:p w:rsidR="00F70384" w:rsidRPr="005C4A71" w:rsidRDefault="00F70384" w:rsidP="00F70384">
      <w:pPr>
        <w:pStyle w:val="NormalHanging12a"/>
        <w:widowControl/>
        <w:ind w:left="1287" w:hanging="720"/>
      </w:pPr>
      <w:r w:rsidRPr="005C4A71">
        <w:t>iv)</w:t>
      </w:r>
      <w:r w:rsidRPr="005C4A71">
        <w:tab/>
        <w:t>να αναλάβει δράση για να ενισχύσει την αποτελεσματικότητα των ενωσιακών δαπανών για την προστασία και τη διαχείριση των εξωτερικών συνόρων της Ευρωπαϊκής Ένωσης·</w:t>
      </w:r>
    </w:p>
    <w:p w:rsidR="00F70384" w:rsidRPr="005C4A71" w:rsidRDefault="00F70384" w:rsidP="00F70384">
      <w:pPr>
        <w:pStyle w:val="NormalHanging12a"/>
        <w:widowControl/>
        <w:ind w:left="1287" w:hanging="720"/>
      </w:pPr>
      <w:r w:rsidRPr="005C4A71">
        <w:t>v)</w:t>
      </w:r>
      <w:r w:rsidRPr="005C4A71">
        <w:tab/>
        <w:t>να παρακολουθεί, να συνδράμει και να ελέγχει την έγκαιρη πρόοδο των διοικητικών, επιχειρησιακών και νομικών μέτρων που απαιτούνται από τα κράτη μέλη και τους οργανισμούς της Ένωσης για την πλήρη εφαρμογή του νέου συμφώνου για τη μετανάστευση και το άσυλο έως το 2026·</w:t>
      </w:r>
    </w:p>
    <w:p w:rsidR="00F70384" w:rsidRPr="005C4A71" w:rsidRDefault="00F70384" w:rsidP="00F70384">
      <w:pPr>
        <w:pStyle w:val="NormalHanging12a"/>
        <w:widowControl/>
        <w:ind w:left="1287" w:hanging="720"/>
      </w:pPr>
      <w:proofErr w:type="spellStart"/>
      <w:r w:rsidRPr="005C4A71">
        <w:t>vi</w:t>
      </w:r>
      <w:proofErr w:type="spellEnd"/>
      <w:r w:rsidRPr="005C4A71">
        <w:t>)</w:t>
      </w:r>
      <w:r w:rsidRPr="005C4A71">
        <w:tab/>
        <w:t>να ενισχύσει τη διαφάνεια του προγραμματισμού και της εκτέλεσης των ενωσιακών κονδυλίων εσωτερικών υποθέσεων σε τρίτες χώρες, εξασφαλίζοντας παράλληλα τον ρόλο του Κοινοβουλίου στη διασφάλιση του δημοκρατικού ελέγχου των δαπανών της Ένωσης·</w:t>
      </w:r>
    </w:p>
    <w:p w:rsidR="00F70384" w:rsidRPr="005C4A71" w:rsidRDefault="00F70384" w:rsidP="00F70384">
      <w:pPr>
        <w:pStyle w:val="NormalHanging12a"/>
        <w:widowControl/>
        <w:ind w:left="1287" w:hanging="720"/>
      </w:pPr>
      <w:proofErr w:type="spellStart"/>
      <w:r w:rsidRPr="005C4A71">
        <w:t>vii</w:t>
      </w:r>
      <w:proofErr w:type="spellEnd"/>
      <w:r w:rsidRPr="005C4A71">
        <w:t>)</w:t>
      </w:r>
      <w:r w:rsidRPr="005C4A71">
        <w:tab/>
        <w:t>να αξιολογεί συνεχώς, κατά την εκτέλεση του προϋπολογισμού της Ένωσης, τη συμμόρφωση με τον Χάρτη των Θεμελιωδών Δικαιωμάτων και τις αξίες της Ένωσης που κατοχυρώνονται στο άρθρο 2 ΣΕΕ, σύμφωνα με το άρθρο 6 του δημοσιονομικού κανονισμού·</w:t>
      </w:r>
    </w:p>
    <w:p w:rsidR="00F70384" w:rsidRPr="00E8367F" w:rsidRDefault="00F70384" w:rsidP="00F70384">
      <w:pPr>
        <w:spacing w:after="240"/>
        <w:rPr>
          <w:b/>
          <w:i/>
        </w:rPr>
      </w:pPr>
      <w:r w:rsidRPr="00E8367F">
        <w:rPr>
          <w:b/>
          <w:i/>
        </w:rPr>
        <w:t>Ασφάλεια και άμυνα</w:t>
      </w:r>
      <w:bookmarkEnd w:id="297"/>
    </w:p>
    <w:p w:rsidR="00F70384" w:rsidRPr="005C4A71" w:rsidRDefault="00E8367F" w:rsidP="00E8367F">
      <w:pPr>
        <w:pStyle w:val="NormalHanging12a"/>
        <w:widowControl/>
        <w:ind w:hanging="570"/>
      </w:pPr>
      <w:r w:rsidRPr="005C4A71">
        <w:t>139.</w:t>
      </w:r>
      <w:r w:rsidRPr="005C4A71">
        <w:tab/>
      </w:r>
      <w:r w:rsidR="00F70384" w:rsidRPr="005C4A71">
        <w:t>σημειώνει ότι το 2023 ο προϋπολογισμός για τα προγράμματα στο πλαίσιο του τομέα 5 του ΠΔΠ «Ασφάλεια και άμυνα» ανήλθε σε 1,4 δισεκατομμύρια EUR (0,7</w:t>
      </w:r>
      <w:r w:rsidR="0087261B">
        <w:t> </w:t>
      </w:r>
      <w:r w:rsidR="00F70384" w:rsidRPr="005C4A71">
        <w:t>% των δαπανών του προϋπολογισμού της Ένωσης), κατανεμημένα ως εξής: 500 εκατομμύρια (38,4 %) για το Ευρωπαϊκό Ταμείο Άμυνας, 300 εκατομμύρια (19 %) για τη στρατιωτική κινητικότητα, 200 εκατομμύρια (17,1 %) για τους αποκεντρωμένους οργανισμούς, και συγκεκριμένα το Ευρωπαϊκό Κέντρο Παρακολούθησης Ναρκωτικών και Τοξικομανίας (ΕΚΠΝΤ), την Ευρωπόλ και τον Οργανισμό της Ευρωπαϊκής Ένωσης για την Κατάρτιση στον Τομέα της Επιβολής του Νόμου (CEPOL), 200 εκατομμύρια (13,1 %) για το ΤΕΑ και 200 εκατομμύρια (12,4 %) για την πυρηνική ασφάλεια, τον παροπλισμό και άλλους τομείς·</w:t>
      </w:r>
    </w:p>
    <w:p w:rsidR="00F70384" w:rsidRPr="005C4A71" w:rsidRDefault="00E8367F" w:rsidP="00E8367F">
      <w:pPr>
        <w:pStyle w:val="NormalHanging12a"/>
        <w:widowControl/>
        <w:ind w:hanging="570"/>
      </w:pPr>
      <w:r w:rsidRPr="005C4A71">
        <w:t>140.</w:t>
      </w:r>
      <w:r w:rsidRPr="005C4A71">
        <w:tab/>
      </w:r>
      <w:r w:rsidR="00F70384" w:rsidRPr="005C4A71">
        <w:t>σημειώνει ότι το 2023 σημαντικό μέρος των δαπανών στο πλαίσιο του τομέα 5 του ΠΔΠ αφορούσε και πάλι την ολοκλήρωση έργων που απομένουν από το ΠΔΠ 2014-2020· σημειώνει ότι το 25 % των εθνικών προγραμμάτων του ΤΕΑ για την περίοδο 2014-2020 δεν είχε δηλωθεί στο τέλος του 2023 και ότι οι τελευταίοι ετήσιοι λογαριασμοί και η αίτηση πληρωμής του τελικού υπολοίπου για τα εν λόγω κονδύλια θα παρασχεθούν από τα κράτη μέλη στο πλαίσιο της δέσμης κλεισίματος το αργότερο έως τις 31 Δεκεμβρίου 2024·</w:t>
      </w:r>
    </w:p>
    <w:p w:rsidR="00F70384" w:rsidRPr="005C4A71" w:rsidRDefault="00E8367F" w:rsidP="00E8367F">
      <w:pPr>
        <w:pStyle w:val="NormalHanging12a"/>
        <w:widowControl/>
        <w:ind w:hanging="570"/>
      </w:pPr>
      <w:r w:rsidRPr="005C4A71">
        <w:t>141.</w:t>
      </w:r>
      <w:r w:rsidRPr="005C4A71">
        <w:tab/>
      </w:r>
      <w:r w:rsidR="00F70384" w:rsidRPr="005C4A71">
        <w:t>σημειώνει με ανησυχία ότι, για τους λόγους που εξηγούνται στην ενότητα σχετικά με τη μετανάστευση και τη διαχείριση των συνόρων, το Ελεγκτικό Συνέδριο δεν μπορεί να παράσχει χωριστή εκτίμηση του ποσοστού σφάλματος για τον τομέα 5 του ΠΔΠ «Ασφάλεια και άμυνα» και ότι, με βάση τα αποτελέσματα του ελέγχου του, το Ελεγκτικό Συνέδριο θεωρεί ότι οι δαπάνες από τον εν λόγω τομέα είναι υψηλού κινδύνου· καλεί επομένως το Ελεγκτικό Συνέδριο να παράσχει εκτίμηση του ποσοστού σφάλματος και για τον τομέα αυτόν· σημειώνει ότι η Επιτροπή καταλήγει στο συμπέρασμα ότι το 2023 ο κίνδυνος κατά την πληρωμή ήταν 0,5 % για τις δαπάνες για την ασφάλεια και την άμυνα·</w:t>
      </w:r>
    </w:p>
    <w:p w:rsidR="00F70384" w:rsidRPr="005C4A71" w:rsidRDefault="00E8367F" w:rsidP="00E8367F">
      <w:pPr>
        <w:pStyle w:val="NormalHanging12a"/>
        <w:widowControl/>
        <w:ind w:hanging="570"/>
      </w:pPr>
      <w:r w:rsidRPr="005C4A71">
        <w:t>142.</w:t>
      </w:r>
      <w:r w:rsidRPr="005C4A71">
        <w:tab/>
      </w:r>
      <w:r w:rsidR="00F70384" w:rsidRPr="005C4A71">
        <w:t>παρατηρεί ότι η Επιτροπή δεν έχει αποδεχθεί τη σύσταση του Ελεγκτικού Συνεδρίου να ελέγχει και να τεκμηριώνει προσεκτικά τις τεχνικές πτυχές των αιτήσεων επιχορήγησης στρατιωτικής κινητικότητας στον μηχανισμό «Συνδέοντας την Ευρώπη» (ΜΣΕ) κατά τη διάρκεια της διαδικασίας επιχορήγησης, και ότι η Επιτροπή θεωρεί πως οι υφιστάμενες διαδικασίες της διασφαλίζουν ήδη τον έλεγχο του κατά πόσον τα έργα υποδομών διπλής χρήσης πληρούν τις προϋποθέσεις επιλεξιμότητας·</w:t>
      </w:r>
    </w:p>
    <w:p w:rsidR="00F70384" w:rsidRPr="005C4A71" w:rsidRDefault="00E8367F" w:rsidP="00E8367F">
      <w:pPr>
        <w:pStyle w:val="NormalHanging12a"/>
        <w:ind w:hanging="570"/>
      </w:pPr>
      <w:r w:rsidRPr="005C4A71">
        <w:t>143.</w:t>
      </w:r>
      <w:r w:rsidRPr="005C4A71">
        <w:tab/>
      </w:r>
      <w:r w:rsidR="00F70384" w:rsidRPr="005C4A71">
        <w:t xml:space="preserve">υπενθυμίζει την εξαιρετικά ασταθή γεωπολιτική κατάσταση στις γειτονικές χώρες της Ένωσης, η οποία συνεπάγεται μεγαλύτερες προκλήσεις στον τομέα της ασφάλειας και της άμυνας, συμπεριλαμβανομένων των υβριδικών απειλών, και επομένως μεγαλύτερες επενδυτικές ανάγκες στον τομέα της ασφάλειας, της άμυνας και της ετοιμότητας, από την έναρξη του επιθετικού πολέμου της Ρωσίας κατά της Ουκρανίας· </w:t>
      </w:r>
      <w:proofErr w:type="spellStart"/>
      <w:r w:rsidR="00F70384" w:rsidRPr="005C4A71">
        <w:t>εφιστά</w:t>
      </w:r>
      <w:proofErr w:type="spellEnd"/>
      <w:r w:rsidR="00F70384" w:rsidRPr="005C4A71">
        <w:t xml:space="preserve"> την προσοχή στο γεγονός ότι ο τομέας 5 του ΠΔΠ, ο οποίος είναι αφιερωμένος στην ασφάλεια και την άμυνα, είναι ο μικρότερος από όλους τους τομείς του ΠΔΠ και εκφράζει τη λύπη του για το γεγονός ότι ο τρέχων προϋπολογισμός της Ένωσης για τη διασφάλιση της ασφάλειας και της άμυνας των πολιτών της δεν είναι αντίστοιχος των προκλήσεων που πρέπει να αντιμετωπιστούν βραχυπρόθεσμα ή μακροπρόθεσμα· σημειώνει ότι το 2023 η χρηματοδότηση της Ένωσης για τη στήριξη της αμυντικής βιομηχανίας προήλθε αποκλειστικά από το Ευρωπαϊκό Ταμείο Άμυνας· υπενθυμίζει τον ρόλο που διαδραματίζει το Ευρωπαϊκό Ταμείο Άμυνας στη στήριξη της ευρωπαϊκής τεχνολογικής εμπειρογνωσίας σε αναδυόμενες και ανατρεπτικές τεχνολογίες· εκφράζει την ικανοποίησή του για το γεγονός ότι οι προτάσεις που υποβλήθηκαν για τις προσκλήσεις του Ευρωπαϊκού Ταμείου Άμυνας το 2023 αυξήθηκαν κατά 72</w:t>
      </w:r>
      <w:r w:rsidR="0087261B">
        <w:t> </w:t>
      </w:r>
      <w:r w:rsidR="00F70384" w:rsidRPr="005C4A71">
        <w:t>% σε σύγκριση με το προηγούμενο έτος, γεγονός που καταδεικνύει το ισχυρό και συνεχώς αυξανόμενο ενδιαφέρον των φορέων της ευρωπαϊκής αμυντικής βιομηχανίας και των ερευνητικών οργανισμών για το Ευρωπαϊκό Ταμείο Άμυνας και την υψηλή ζήτηση για χρηματοδότηση στον τομέα αυτό· σημειώνει ότι, στο πλαίσιο των προσκλήσεων υποβολής προτάσεων του 2023, η Ένωση δέσμευσε 1,15 δισεκατομμύρια EUR για 61 έργα έρευνας και ανάπτυξης στον τομέα της άμυνας, προς όφελος 581 νομικών οντοτήτων από 26 κράτη μέλη και τη Νορβηγία· σημειώνει ότι σε κάθε έργο συμμετέχουν κατά μέσο όρο 17 οντότητες από οκτώ διαφορετικά κράτη μέλη και τη Νορβηγία· υπογραμμίζει τη σημασία των ίσων όρων ανταγωνισμού για τη στήριξη της διασυνοριακής συνεργασίας για την έρευνα και ανάπτυξη στον τομέα της άμυνας·</w:t>
      </w:r>
    </w:p>
    <w:p w:rsidR="00F70384" w:rsidRPr="005C4A71" w:rsidRDefault="00E8367F" w:rsidP="00E8367F">
      <w:pPr>
        <w:pStyle w:val="NormalHanging12a"/>
        <w:ind w:hanging="570"/>
      </w:pPr>
      <w:r w:rsidRPr="005C4A71">
        <w:t>144.</w:t>
      </w:r>
      <w:r w:rsidRPr="005C4A71">
        <w:tab/>
      </w:r>
      <w:r w:rsidR="00F70384" w:rsidRPr="005C4A71">
        <w:t>επικροτεί τις δράσεις της Επιτροπής για την ενίσχυση της στήριξης των ΜΜΕ στον τομέα της άμυνας, και εκφράζει ιδίως την ικανοποίησή του για το γεγονός ότι το ενωσιακό πρόγραμμα καινοτομίας στον τομέα της άμυνας (EUDIS), το οποίο παρέχει ευρύ φάσμα μέσων προσαρμοσμένων στη στήριξη των ΜΜΕ εντός του αμυντικού οικοσυστήματος, τέθηκε σε πλήρη λειτουργία το 2023, με τη διάθεση 224 εκατομμυρίων EUR από τον προϋπολογισμό του Ευρωπαϊκού Ταμείου Άμυνας· εκτιμά, επιπλέον, τον ρόλο της πριμοδότησης ΜΜΕ στο πλαίσιο του Ευρωπαϊκού Ταμείου Άμυνας στη διευκόλυνση της πρόσβασης μικρότερων φορέων καινοτομίας και παραγόντων στις εφοδιαστικές αλυσίδες στον τομέα της άμυνας· σημειώνει ότι στις προσκλήσεις υποβολής προτάσεων του Ευρωπαϊκού Ταμείου Άμυνας για το 2023, το 42 % των οντοτήτων που επιλέχθηκαν για χρηματοδότηση ήταν ΜΜΕ, ποσοστό αυξημένο σε σύγκριση με το 2022 (38,2 %), και ότι το 18 % της συνολικής διαθέσιμης χρηματοδότησης μέσω των προσκλήσεων υποβολής προτάσεων του Ευρωπαϊκού Ταμείου Άμυνας διατίθεται σε ΜΜΕ·</w:t>
      </w:r>
    </w:p>
    <w:p w:rsidR="00F70384" w:rsidRPr="005C4A71" w:rsidRDefault="00E8367F" w:rsidP="00E8367F">
      <w:pPr>
        <w:pStyle w:val="NormalHanging12a"/>
        <w:ind w:hanging="570"/>
      </w:pPr>
      <w:r w:rsidRPr="005C4A71">
        <w:t>145.</w:t>
      </w:r>
      <w:r w:rsidRPr="005C4A71">
        <w:tab/>
      </w:r>
      <w:r w:rsidR="00F70384" w:rsidRPr="005C4A71">
        <w:t>υπενθυμίζει ότι η προπαρασκευαστική ενέργεια για την έρευνα στον τομέα της άμυνας (PADR) ήταν πρόδρομο πρόγραμμα του Ευρωπαϊκού Ταμείου Άμυνας με προϋπολογισμό 90 εκατομμυρίων EUR που χρηματοδότησε 18 ερευνητικά έργα επιλεγέντα μετά από προσκλήσεις υποβολής προτάσεων κατά τα έτη 2017 έως 2019· υπενθυμίζει επίσης ότι το Ελεγκτικό Συνέδριο, στην ειδική έκθεσή του αριθ. 10/2023 με τίτλο «Προπαρασκευαστική ενέργεια για την έρευνα στον τομέα της άμυνας», παρατήρησε ότι η Ένωση εξακολουθούσε να μη διαθέτει μακροπρόθεσμη στρατηγική για τα έργα στο πλαίσιο του Ευρωπαϊκού Ταμείου Άμυνας, ιδίως όσον αφορά τον αντίκτυπο, την πρόσθετη έρευνα, την ανάπτυξη, την κατασκευή και τις δημόσιες συμβάσεις· εκφράζει την ικανοποίησή του για το γεγονός ότι η Επιτροπή έχει αποδεχθεί όλες τις συστάσεις του Ελεγκτικού Συνεδρίου και έχει επιβεβαιώσει ότι η εφαρμογή τους βρίσκεται σε εξέλιξη· χαιρετίζει, στο πλαίσιο αυτό, την έγκριση από την Επιτροπή μιας στρατηγικής για την ευρωπαϊκή αμυντική βιομηχανία (EDIS) και τη νομοθετική πρόταση για τη θέσπιση του προγράμματος για την ευρωπαϊκή αμυντική βιομηχανία (EDIP), καθώς και τη δέσμευσή της για τη δημιουργία του Ευρωπαϊκού Ταμείου Άμυνας· ωστόσο, δεδομένης της γεωπολιτικής πραγματικότητας που αντιμετωπίζει η Ένωση, εκφράζει την ανησυχία του για το γεγονός ότι η πλήρης εφαρμογή των συστάσεων του Ελεγκτικού Συνεδρίου αναμένεται μόλις το 2026·</w:t>
      </w:r>
    </w:p>
    <w:p w:rsidR="00F70384" w:rsidRPr="005C4A71" w:rsidRDefault="00E8367F" w:rsidP="00E8367F">
      <w:pPr>
        <w:pStyle w:val="NormalHanging12a"/>
        <w:widowControl/>
        <w:ind w:hanging="570"/>
      </w:pPr>
      <w:r w:rsidRPr="005C4A71">
        <w:t>146.</w:t>
      </w:r>
      <w:r w:rsidRPr="005C4A71">
        <w:tab/>
      </w:r>
      <w:r w:rsidR="00F70384" w:rsidRPr="005C4A71">
        <w:t>υπενθυμίζει τις παρατηρήσεις του Ελεγκτικού Συνεδρίου στην ειδική έκθεσή του αριθ. 10/2023 σχετικά με την περιορισμένη διαθεσιμότητα ανθρώπινων πόρων στην Επιτροπή και τον επακόλουθο κίνδυνο για το Ευρωπαϊκό Ταμείο Άμυνας· σημειώνει ότι ο αυξανόμενος αριθμός προτάσεων προς αξιολόγηση και έργων προς διαχείριση συνεπάγεται σημαντική πίεση για τους ανθρώπινους πόρους· σημειώνει περαιτέρω το μεγάλο ποσοστό αποσπασμένων εθνικών εμπειρογνωμόνων (17 %) μεταξύ του προσωπικού της ΓΔ DEFIS το 2023 και την πρόθεση της ΓΔ DEFIS να ενισχύσει το προσωπικό της με την επιλογή υπαλλήλων μέσω εξειδικευμένων διαγωνισμών EPSO στον τομέα του διαστήματος και της άμυνας, για τους οποίους οι πίνακες επιτυχόντων οριστικοποιήθηκαν τον Νοέμβριο του 2023·</w:t>
      </w:r>
    </w:p>
    <w:p w:rsidR="00F70384" w:rsidRDefault="00E8367F" w:rsidP="00E8367F">
      <w:pPr>
        <w:pStyle w:val="NormalHanging12a"/>
        <w:ind w:hanging="570"/>
      </w:pPr>
      <w:r>
        <w:t>147.</w:t>
      </w:r>
      <w:r>
        <w:tab/>
      </w:r>
      <w:r w:rsidR="00F70384" w:rsidRPr="005C4A71">
        <w:t xml:space="preserve">σημειώνει ότι η εφαρμογή του «σχεδίου δράσης για τη στρατιωτική κινητικότητα 2.0» βρίσκεται σε εξέλιξη, με τη διάθεση 1,74 δισεκατομμυρίων EUR για έργα υποδομών μεταφορών διπλής χρήσης στο πλαίσιο του μηχανισμού «Συνδέοντας την Ευρώπη» (ΜΣΕ) κατά την περίοδο 2021-2027· σημειώνει ότι, μέχρι στιγμής, η Ένωση έχει συγχρηματοδοτήσει 95 έργα στρατιωτικής κινητικότητας σε 21 κράτη μέλη και ότι 94 από τα έργα αυτά βρίσκονται ακόμη σε εξέλιξη και τα περισσότερα από αυτά αναμένεται να ολοκληρωθούν μεταξύ 2026 και 2027· σημειώνει με ανησυχία ότι, μετά από τρεις προσκλήσεις υποβολής προτάσεων που διοργανώθηκαν το 2021, το 2022 και το 2023, το σύνολο του κονδυλίου για τη στρατιωτική κινητικότητα στο πλαίσιο του ΜΣΕ για την τρέχουσα περίοδο προγραμματισμού έχει ήδη εξαντληθεί· θεωρεί ότι, μολονότι η ταχεία διάθεση του προϋπολογισμού μέσω της </w:t>
      </w:r>
      <w:proofErr w:type="spellStart"/>
      <w:r w:rsidR="00F70384" w:rsidRPr="005C4A71">
        <w:t>εμπροσθοβαρούς</w:t>
      </w:r>
      <w:proofErr w:type="spellEnd"/>
      <w:r w:rsidR="00F70384" w:rsidRPr="005C4A71">
        <w:t xml:space="preserve"> διάθεσης ποσών στις προσκλήσεις υποβολής προτάσεων του 2022 και του 2023 ανταποκρίθηκε στην ανάγκη να ληφθεί υπόψη η εξέλιξη της κατάστασης της ασφάλειας στην Ευρώπη μετά τον επιθετικό πόλεμο της Ρωσίας κατά της Ουκρανίας, είχε ταυτόχρονα ως αποτέλεσμα η χρηματοδότηση της Ένωσης να είναι ασταθής και απρόβλεπτη, με αποτέλεσμα να δημιουργηθεί ένα κενό άνω των τεσσάρων ετών, κατά το οποίο δεν υπάρχουν πλέον κονδύλια της Ένωσης για προσκλήσεις στρατιωτικής κινητικότητας για τη χρηματοδότηση έργων υποδομών διπλής χρήσης, έως το ΠΔΠ για την περίοδο μετά το 2027· υπενθυμίζει τα συμπεράσματα του Ελεγκτικού Συνεδρίου στην ειδική έκθεσή του αριθ. 04/2025, σύμφωνα με τα οποία το σχέδιο δράσης δεν βασίστηκε σε επαρκώς στέρεα θεμέλια και η πρόοδος προς την επίτευξη του στόχου του, δηλαδή η εξασφάλιση ταχείας και απρόσκοπτης μετακίνησης προσωπικού, υλικού και περιουσιακών στοιχείων σε σύντομο χρονικό διάστημα και σε μεγάλη κλίμακα, ποικίλλει λόγω αδυναμιών στον σχεδιασμό και εναπομενόντων εμποδίων στην εφαρμογή· σημειώνει ότι η Επιτροπή θεωρεί ότι απαιτούνται περισσότερες ενέργειες για την ενίσχυση των διαδρόμων υποδομών μεταφορών διπλής χρήσης, μεταξύ άλλων όσον αφορά ρυθμιστικά ζητήματα, όπως οι διαδικασίες χορήγησης άδειας διασυνοριακής μετακίνησης· σημειώνει την παρατήρηση του Ελεγκτικού Συνεδρίου ότι η Επιτροπή δεν είχε διενεργήσει αξιόπιστη αξιολόγηση της συνολικής χρηματοδότησης που απαιτείται για να καταστεί εφικτή η επίτευξη των στόχων της· εκφράζει τη λύπη του για το γεγονός ότι μόνο 300 εκατομμύρια EUR δαπανήθηκαν για τη στρατιωτική κινητικότητα το 2023, καθώς και την ανησυχία του για το γεγονός ότι οι προσκλήσεις υποβολής προτάσεων στο πλαίσιο του κονδυλίου για τη στρατιωτική κινητικότητα παρουσίασαν τετραπλάσια κάλυψη σε σχέση με τους διατιθέμενους πόρους, γεγονός που καταδεικνύει το αυξημένο ενδιαφέρον μεταξύ των κρατών μελών και των δικαιούχων έργων·</w:t>
      </w:r>
    </w:p>
    <w:p w:rsidR="001B5954" w:rsidRDefault="00E8367F" w:rsidP="00E8367F">
      <w:pPr>
        <w:pStyle w:val="NormalHanging12a"/>
        <w:ind w:hanging="570"/>
      </w:pPr>
      <w:r>
        <w:t>148.</w:t>
      </w:r>
      <w:r>
        <w:tab/>
      </w:r>
      <w:r w:rsidR="001B5954" w:rsidRPr="001B5954">
        <w:t>εκφράζει τη βαθιά του ανησυχία για την απόφαση της Επιτροπής να προχωρήσει στην έγκριση της πρωτοβουλίας «</w:t>
      </w:r>
      <w:proofErr w:type="spellStart"/>
      <w:r w:rsidR="001B5954" w:rsidRPr="001B5954">
        <w:t>rearm</w:t>
      </w:r>
      <w:proofErr w:type="spellEnd"/>
      <w:r w:rsidR="001B5954" w:rsidRPr="001B5954">
        <w:t xml:space="preserve"> EU» χωρίς προηγούμενη διαβούλευση με το Ευρωπαϊκό Κοινοβούλιο· εκφράζει τη λύπη του για το γεγονός ότι μια τέτοια απόφαση παρακάμπτει την αρχή της θεσμικής ισορροπίας και υπονομεύει τον ρόλο του Κοινοβουλίου ως </w:t>
      </w:r>
      <w:proofErr w:type="spellStart"/>
      <w:r w:rsidR="001B5954" w:rsidRPr="001B5954">
        <w:t>συννομοθέτη</w:t>
      </w:r>
      <w:proofErr w:type="spellEnd"/>
      <w:r w:rsidR="001B5954" w:rsidRPr="001B5954">
        <w:t xml:space="preserve"> στη διαμόρφωση στρατηγικών και δημοσιονομικών προτεραιοτήτων· παροτρύνει την Επιτροπή να μην δρομολογεί σημαντικά μέσα πολιτικής που επηρεάζουν τη χρηματοοικονομική και στρατηγική αρχιτεκτονική της Ένωσης χωρίς να διασφαλίζει τον πλήρη σεβασμό των προνομίων του Κοινοβουλίου·</w:t>
      </w:r>
    </w:p>
    <w:p w:rsidR="001B5954" w:rsidRPr="005C4A71" w:rsidRDefault="00E8367F" w:rsidP="00E8367F">
      <w:pPr>
        <w:pStyle w:val="NormalHanging12a"/>
        <w:ind w:hanging="570"/>
      </w:pPr>
      <w:r w:rsidRPr="005C4A71">
        <w:t>149.</w:t>
      </w:r>
      <w:r w:rsidRPr="005C4A71">
        <w:tab/>
      </w:r>
      <w:r w:rsidR="001B5954" w:rsidRPr="001B5954">
        <w:t>σημειώνει ότι το Ευρωπαϊκό Κοινοβούλιο έχει καλέσει την Ένωση και τα κράτη μέλη της να θεσπίσουν ένα νομικό πλαίσιο που θα επιτρέπει τον χαρακτηρισμό της Ρωσίας ως κράτους-χορηγού της τρομοκρατίας·</w:t>
      </w:r>
    </w:p>
    <w:p w:rsidR="00F70384" w:rsidRPr="005C4A71" w:rsidRDefault="00F70384" w:rsidP="00F70384">
      <w:pPr>
        <w:spacing w:after="240"/>
        <w:ind w:left="567" w:hanging="567"/>
        <w:rPr>
          <w:i/>
        </w:rPr>
      </w:pPr>
      <w:r w:rsidRPr="005C4A71">
        <w:rPr>
          <w:i/>
        </w:rPr>
        <w:t>Συστάσεις</w:t>
      </w:r>
    </w:p>
    <w:p w:rsidR="00F70384" w:rsidRPr="005C4A71" w:rsidRDefault="00E8367F" w:rsidP="00E8367F">
      <w:pPr>
        <w:pStyle w:val="NormalHanging12a"/>
        <w:widowControl/>
        <w:ind w:hanging="570"/>
      </w:pPr>
      <w:r w:rsidRPr="005C4A71">
        <w:t>150.</w:t>
      </w:r>
      <w:r w:rsidRPr="005C4A71">
        <w:tab/>
      </w:r>
      <w:r w:rsidR="00F70384" w:rsidRPr="005C4A71">
        <w:t>καλεί την Επιτροπή:</w:t>
      </w:r>
    </w:p>
    <w:p w:rsidR="00F70384" w:rsidRPr="005C4A71" w:rsidRDefault="00F70384" w:rsidP="00F70384">
      <w:pPr>
        <w:pStyle w:val="NormalHanging12a"/>
        <w:widowControl/>
        <w:ind w:left="1287" w:hanging="720"/>
      </w:pPr>
      <w:r w:rsidRPr="005C4A71">
        <w:t>i)</w:t>
      </w:r>
      <w:r w:rsidRPr="005C4A71">
        <w:tab/>
        <w:t>να αναπτύξει, το συντομότερο δυνατόν, μια πιο μακροπρόθεσμη στρατηγική για το Ευρωπαϊκό Ταμείο Άμυνας, με βάση την εμπειρία από την προπαρασκευαστική ενέργεια για την έρευνα στον τομέα της άμυνας (PADR) και τις συστάσεις του Ελεγκτικού Συνεδρίου·</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διασφαλίσει την παροχή επαρκών πόρων για την ενίσχυση της αμυντικής συνεργασίας της Ένωσης, βραχυπρόθεσμα μέσω του σχεδίου προϋπολογισμού του 2026 και της έγκαιρης πρόσληψης εξειδικευμένου προσωπικού, και μεσοπρόθεσμα μέσω της πρότασης της Επιτροπής για το επόμενο ΠΔΠ·</w:t>
      </w:r>
    </w:p>
    <w:p w:rsidR="00F70384" w:rsidRPr="005C4A71" w:rsidRDefault="00F70384" w:rsidP="00F70384">
      <w:pPr>
        <w:pStyle w:val="NormalHanging12a"/>
        <w:widowControl/>
        <w:ind w:left="1287" w:hanging="720"/>
      </w:pPr>
      <w:bookmarkStart w:id="298" w:name="_Toc185595117"/>
      <w:proofErr w:type="spellStart"/>
      <w:r w:rsidRPr="005C4A71">
        <w:t>iii</w:t>
      </w:r>
      <w:proofErr w:type="spellEnd"/>
      <w:r w:rsidRPr="005C4A71">
        <w:t>)</w:t>
      </w:r>
      <w:r w:rsidRPr="005C4A71">
        <w:tab/>
        <w:t>να ενισχύσει περαιτέρω τη στρατιωτική κινητικότητα στην Ένωση αυξάνοντας σημαντικά τη διαθέσιμη χρηματοδότηση για τη βελτίωση των διαδρόμων υποδομών μεταφορών διπλής χρήσης και αναλαμβάνοντας δράση για την εξάλειψη των διοικητικών, διαδικαστικών και κανονιστικών φραγμών στις διασυνοριακές στρατιωτικές μετακινήσεις, δίνοντας παράλληλα προτεραιότητα στην ενωσιακή χρηματοδότηση για έργα που ανταποκρίνονται καλύτερα στο τρέχον ευρωπαϊκό τοπίο απειλών, λαμβανομένων υπόψη των διαπιστώσεων και των συστάσεων του Ελεγκτικού Συνεδρίου στην ειδική έκθεση αριθ. 04/2025·</w:t>
      </w:r>
    </w:p>
    <w:p w:rsidR="00F70384" w:rsidRPr="005C4A71" w:rsidRDefault="00F70384" w:rsidP="00F70384">
      <w:pPr>
        <w:pStyle w:val="NormalHanging12a"/>
        <w:widowControl/>
        <w:ind w:left="1287" w:hanging="720"/>
      </w:pPr>
      <w:r w:rsidRPr="005C4A71">
        <w:t>iv)</w:t>
      </w:r>
      <w:r w:rsidRPr="005C4A71">
        <w:tab/>
        <w:t>να λάβει μέτρα για να διασφαλίσει τη δέουσα επιμέλεια σε σχέση με τα κριτήρια για έργα υποδομών στρατιωτικής κινητικότητας διπλής χρήσης, σύμφωνα με τη σύσταση του Ελεγκτικού Συνεδρίου·</w:t>
      </w:r>
    </w:p>
    <w:p w:rsidR="00F70384" w:rsidRPr="00E8367F" w:rsidRDefault="00F70384" w:rsidP="00F70384">
      <w:pPr>
        <w:spacing w:after="240"/>
        <w:rPr>
          <w:b/>
          <w:i/>
        </w:rPr>
      </w:pPr>
      <w:r w:rsidRPr="00E8367F">
        <w:rPr>
          <w:b/>
          <w:i/>
        </w:rPr>
        <w:t>Γειτονικές χώρες και υπόλοιπος κόσμος</w:t>
      </w:r>
      <w:bookmarkEnd w:id="298"/>
    </w:p>
    <w:p w:rsidR="00F70384" w:rsidRPr="005C4A71" w:rsidRDefault="00E8367F" w:rsidP="00E8367F">
      <w:pPr>
        <w:pStyle w:val="NormalHanging12a"/>
        <w:widowControl/>
        <w:ind w:hanging="570"/>
      </w:pPr>
      <w:r w:rsidRPr="005C4A71">
        <w:t>151.</w:t>
      </w:r>
      <w:r w:rsidRPr="005C4A71">
        <w:tab/>
      </w:r>
      <w:r w:rsidR="00F70384" w:rsidRPr="005C4A71">
        <w:t>σημειώνει ότι ο προϋπολογισμός για τα προγράμματα στο πλαίσιο του τομέα 6 του ΠΔΠ « Γειτονικές χώρες και υπόλοιπος κόσμος » ανήλθε σε 15,2 δισεκατομμύρια EUR (7,4</w:t>
      </w:r>
      <w:r w:rsidR="0087261B">
        <w:t> </w:t>
      </w:r>
      <w:r w:rsidR="00F70384" w:rsidRPr="005C4A71">
        <w:t>% του προϋπολογισμού της Ένωσης), κατανεμημένα ως εξής: 63,4</w:t>
      </w:r>
      <w:r w:rsidR="0087261B">
        <w:t> </w:t>
      </w:r>
      <w:r w:rsidR="00F70384" w:rsidRPr="005C4A71">
        <w:t>% για τον Μηχανισμό Γειτονίας, Ανάπτυξης και Διεθνούς Συνεργασίας – Παγκόσμια Ευρώπη (NDICI-</w:t>
      </w:r>
      <w:proofErr w:type="spellStart"/>
      <w:r w:rsidR="00F70384" w:rsidRPr="005C4A71">
        <w:t>Global</w:t>
      </w:r>
      <w:proofErr w:type="spellEnd"/>
      <w:r w:rsidR="00F70384" w:rsidRPr="005C4A71">
        <w:t xml:space="preserve"> Europe), 16,4</w:t>
      </w:r>
      <w:r w:rsidR="0087261B">
        <w:t> </w:t>
      </w:r>
      <w:r w:rsidR="00F70384" w:rsidRPr="005C4A71">
        <w:t>% για την ανθρωπιστική βοήθεια (HUMA), 16</w:t>
      </w:r>
      <w:r w:rsidR="0087261B">
        <w:t> </w:t>
      </w:r>
      <w:r w:rsidR="00F70384" w:rsidRPr="005C4A71">
        <w:t xml:space="preserve">% για την </w:t>
      </w:r>
      <w:proofErr w:type="spellStart"/>
      <w:r w:rsidR="00F70384" w:rsidRPr="005C4A71">
        <w:t>προενταξιακή</w:t>
      </w:r>
      <w:proofErr w:type="spellEnd"/>
      <w:r w:rsidR="00F70384" w:rsidRPr="005C4A71">
        <w:t xml:space="preserve"> βοήθεια (ΜΠΒ ΙΙΙ) και 4,2</w:t>
      </w:r>
      <w:r w:rsidR="0087261B">
        <w:t> </w:t>
      </w:r>
      <w:r w:rsidR="00F70384" w:rsidRPr="005C4A71">
        <w:t>% για άλλες δράσεις και προγράμματα· σημειώνει ότι, συνολικά, οι πληρωμές για τον τομέα «Γειτονικές χώρες και υπόλοιπος κόσμος» ανήλθαν σε 15,2 δισεκατομμύρια το 2023, ποσό που αντιπροσωπεύει περίπου το 8 % των συνολικών δαπανών της Ένωσης, εξαιρουμένου του ΜΑΑ·</w:t>
      </w:r>
    </w:p>
    <w:p w:rsidR="00F70384" w:rsidRPr="005C4A71" w:rsidRDefault="00E8367F" w:rsidP="00E8367F">
      <w:pPr>
        <w:pStyle w:val="NormalHanging12a"/>
        <w:widowControl/>
        <w:ind w:hanging="570"/>
      </w:pPr>
      <w:r w:rsidRPr="005C4A71">
        <w:t>152.</w:t>
      </w:r>
      <w:r w:rsidRPr="005C4A71">
        <w:tab/>
      </w:r>
      <w:r w:rsidR="00F70384" w:rsidRPr="005C4A71">
        <w:t xml:space="preserve">σημειώνει ότι το Ελεγκτικό Συνέδριο εξέτασε δείγμα 72 πράξεων, το οποίο δεν είναι επαρκώς αντιπροσωπευτικό των δαπανών στο πλαίσιο του συγκεκριμένου τομέα του ΠΔΠ και δεν μπορεί επομένως να παράσχει εκτίμηση του ποσοστού σφάλματος· λαμβάνοντας υπόψη ότι τα αποτελέσματα του ελέγχου του Ελεγκτικού Συνεδρίου δείχνουν ότι πρόκειται για τομέα υψηλού κινδύνου (37 από τις 72 πράξεις που ελέγχθηκαν, δηλαδή το 51,4 %, περιείχαν σφάλματα), καλεί το Ελεγκτικό Συνέδριο να παράσχει σαφή εκτίμηση του ποσοστού σφάλματος για το κεφάλαιο αυτό· σημειώνει ότι το Ελεγκτικό Συνέδριο εντόπισε 31 σφάλματα που είχαν δημοσιονομικές επιπτώσεις στον προϋπολογισμό της Ένωσης, και τα οποία αφορούσαν μη επιλέξιμους δικαιούχους, μη επιλέξιμα έξοδα, μη </w:t>
      </w:r>
      <w:proofErr w:type="spellStart"/>
      <w:r w:rsidR="00F70384" w:rsidRPr="005C4A71">
        <w:t>πραγματοποιηθείσες</w:t>
      </w:r>
      <w:proofErr w:type="spellEnd"/>
      <w:r w:rsidR="00F70384" w:rsidRPr="005C4A71">
        <w:t xml:space="preserve"> δαπάνες και παραβιάσεις των κανόνων για τις δημόσιες συμβάσεις, τομείς που θα μπορούσαν να υποδεικνύουν κινδύνους αναξιόπιστης λειτουργίας των μηχανισμών ελέγχου·</w:t>
      </w:r>
    </w:p>
    <w:p w:rsidR="00F70384" w:rsidRPr="005C4A71" w:rsidRDefault="00E8367F" w:rsidP="00E8367F">
      <w:pPr>
        <w:pStyle w:val="NormalHanging12a"/>
        <w:widowControl/>
        <w:ind w:hanging="570"/>
      </w:pPr>
      <w:r w:rsidRPr="005C4A71">
        <w:t>153.</w:t>
      </w:r>
      <w:r w:rsidRPr="005C4A71">
        <w:tab/>
      </w:r>
      <w:r w:rsidR="00F70384" w:rsidRPr="005C4A71">
        <w:t>σημειώνει, επιπλέον, ότι το Ελεγκτικό Συνέδριο εντόπισε 19 περιπτώσεις μη συμμόρφωσης με τις νομικές και δημοσιονομικές διατάξεις, καμία από τις οποίες δεν είχε άμεσες δημοσιονομικές επιπτώσεις στον προϋπολογισμό της Ένωσης, και οι οποίες περιλάμβαναν ζητήματα όπως η ασαφής κατανομή του κόστους, η μη συμμόρφωση με τους κανόνες προβολής και η ανεπαρκής τεκμηρίωση·</w:t>
      </w:r>
    </w:p>
    <w:p w:rsidR="00F70384" w:rsidRPr="005C4A71" w:rsidRDefault="00E8367F" w:rsidP="00E8367F">
      <w:pPr>
        <w:pStyle w:val="NormalHanging12a"/>
        <w:widowControl/>
        <w:ind w:hanging="570"/>
      </w:pPr>
      <w:r w:rsidRPr="005C4A71">
        <w:t>154.</w:t>
      </w:r>
      <w:r w:rsidRPr="005C4A71">
        <w:tab/>
      </w:r>
      <w:r w:rsidR="00F70384" w:rsidRPr="005C4A71">
        <w:t>εκφράζει την ανησυχία του για το γεγονός ότι το Ελεγκτικό Συνέδριο διαπίστωσε σημαντική μη συμμόρφωση με τους κανόνες προβολής σε χρηματοδοτούμενο από την ΕΕ έργο υπό έμμεση διαχείριση από τη ΓΔ NEAR, το οποίο αφορούσε συμφωνία συνεισφοράς ύψους 21,2 εκατομμυρίων EUR που υπεγράφη με διεθνή οργανισμό σε έργο στο πλαίσιο του οποίου στόχος ήταν η στήριξη των χωρών της ανατολικής εταιρικής σχέσης στην αντιμετώπιση της πανδημίας COVID-19· σημειώνει ότι το Ελεγκτικό Συνέδριο διαπίστωσε ότι τα περισσότερα πιστοποιητικά που εκδόθηκαν για τις δωρεές που έλεγξε επ’ </w:t>
      </w:r>
      <w:proofErr w:type="spellStart"/>
      <w:r w:rsidR="00F70384" w:rsidRPr="005C4A71">
        <w:t>ουδενί</w:t>
      </w:r>
      <w:proofErr w:type="spellEnd"/>
      <w:r w:rsidR="00F70384" w:rsidRPr="005C4A71">
        <w:t xml:space="preserve"> τρόπω αναγνώριζαν ότι ο δωρισθείς ιατρικός εξοπλισμός είχε χρηματοδοτηθεί από την Ένωση· υπενθυμίζει ότι οι δικαιούχοι των κονδυλίων της Ένωσης υποχρεούνται να προβάλλουν σαφώς το γεγονός ότι η υλοποιούμενη δράση χρηματοδοτείται ή συγχρηματοδοτείται από την Ένωση· σημειώνει τις απαντήσεις της Επιτροπής ότι συζητά νέες κατευθυντήριες γραμμές επικοινωνίας και προβολής με τα Ηνωμένα Έθνη για τη μείωση των κινδύνων σφαλμάτων όσον αφορά τη συμμόρφωση με τους κανόνες προβολής·</w:t>
      </w:r>
    </w:p>
    <w:p w:rsidR="00F70384" w:rsidRPr="005C4A71" w:rsidRDefault="00E8367F" w:rsidP="00E8367F">
      <w:pPr>
        <w:pStyle w:val="NormalHanging12a"/>
        <w:widowControl/>
        <w:ind w:hanging="570"/>
      </w:pPr>
      <w:r w:rsidRPr="005C4A71">
        <w:t>155.</w:t>
      </w:r>
      <w:r w:rsidRPr="005C4A71">
        <w:tab/>
      </w:r>
      <w:r w:rsidR="00F70384" w:rsidRPr="005C4A71">
        <w:t xml:space="preserve">εκφράζει την ανησυχία του για το γεγονός ότι το Ελεγκτικό Συνέδριο, στο πλαίσιο του ελέγχου ΤΠ που διενήργησε σχετικά με τη συνιστώσα του συστήματος πληροφοριών OPSYS για τη διαχείριση της πρόσβασης και των δικαιωμάτων των χρηστών, διαπίστωσε τρεις αδυναμίες, μεταξύ των οποίων i) ότι η Γενική Διεύθυνση Διεθνών Εταιρικών Σχέσεων (ΓΔ INTPA) δεν είχε τυποποιήσει διαδικασία για τη χορήγηση και την κατάργηση δικαιωμάτων πρόσβασης για τους διαχειριστές συστημάτων και τους τυπικούς χρήστες· </w:t>
      </w:r>
      <w:proofErr w:type="spellStart"/>
      <w:r w:rsidR="00F70384" w:rsidRPr="005C4A71">
        <w:t>ii</w:t>
      </w:r>
      <w:proofErr w:type="spellEnd"/>
      <w:r w:rsidR="00F70384" w:rsidRPr="005C4A71">
        <w:t xml:space="preserve">) τέσσερις περιπτώσεις στις οποίες οι τυπικοί χρήστες είχαν περισσότερα δικαιώματα πρόσβασης από όσα χρειάζονταν για τα καθήκοντά τους, γεγονός που δεν συνάδει με τα πρότυπα ΤΠ της Επιτροπής· και </w:t>
      </w:r>
      <w:proofErr w:type="spellStart"/>
      <w:r w:rsidR="00F70384" w:rsidRPr="005C4A71">
        <w:t>iii</w:t>
      </w:r>
      <w:proofErr w:type="spellEnd"/>
      <w:r w:rsidR="00F70384" w:rsidRPr="005C4A71">
        <w:t>) ότι η ΓΔ INTPA δεν διαχειριζόταν όλους τους λογαριασμούς διαχειριστή που ανήκουν στο προσωπικό άλλων γενικών διευθύνσεων· εκφράζει την ανησυχία του για το γεγονός ότι οι αδυναμίες αυτές αυξάνουν τους κινδύνους τόσο της ακατάλληλης πρόσβασης στο σύστημα όσο και της μη συμμόρφωσης με τους κανόνες και τις διαδικασίες για την υλοποίηση έργων εξωτερικής δράσης, ενώ επίσης υπονομεύουν την ακεραιότητα των διαδικασιών και των δεδομένων του συστήματος·</w:t>
      </w:r>
    </w:p>
    <w:p w:rsidR="00F70384" w:rsidRPr="005C4A71" w:rsidRDefault="00E8367F" w:rsidP="00E8367F">
      <w:pPr>
        <w:pStyle w:val="NormalHanging12a"/>
        <w:widowControl/>
        <w:ind w:hanging="570"/>
      </w:pPr>
      <w:r w:rsidRPr="005C4A71">
        <w:t>156.</w:t>
      </w:r>
      <w:r w:rsidRPr="005C4A71">
        <w:tab/>
      </w:r>
      <w:r w:rsidR="00F70384" w:rsidRPr="005C4A71">
        <w:t>σημειώνει ότι η Επιτροπή έχει εντείνει την επικοινωνία με διεθνείς οργανισμούς, με στόχο την ευαισθητοποίηση σχετικά με την ανάγκη να διασφαλίζεται ότι οι ελεγκτές του Ελεγκτικού Συνεδρίου θα έχουν πλήρη πρόσβαση σε έγγραφα κατά τον λογιστικό έλεγχο έργων που χρηματοδοτούνται από την Ένωση, και επισημαίνει ότι η Επιτροπή έχει υποστηρίξει πρωτοβουλίες για την εξεύρεση μόνιμων λύσεων στα ζητήματα της πρόσβασης σε έγγραφα και της διατήρησής τους· σημειώνει, ωστόσο, ότι η Επιτροπή αναγνωρίζει πως, παρά τις προσπάθειες, εξακολουθούν να υφίστανται ορισμένοι περιορισμοί όσον αφορά την πρόσβαση σε έγγραφα λόγω των υφιστάμενων νομικών πλαισίων των εταίρων υλοποίησης, κάτι το οποίο δεν αναμένεται να αλλάξει στο εγγύς μέλλον·</w:t>
      </w:r>
    </w:p>
    <w:p w:rsidR="00F70384" w:rsidRPr="005C4A71" w:rsidRDefault="00E8367F" w:rsidP="00E8367F">
      <w:pPr>
        <w:pStyle w:val="NormalHanging12a"/>
        <w:widowControl/>
        <w:ind w:hanging="570"/>
      </w:pPr>
      <w:r w:rsidRPr="005C4A71">
        <w:t>157.</w:t>
      </w:r>
      <w:r w:rsidRPr="005C4A71">
        <w:tab/>
      </w:r>
      <w:r w:rsidR="00F70384" w:rsidRPr="005C4A71">
        <w:t xml:space="preserve">παροτρύνει την Επιτροπή να ενισχύσει την προσέγγιση που βασίζεται στην </w:t>
      </w:r>
      <w:proofErr w:type="spellStart"/>
      <w:r w:rsidR="00F70384" w:rsidRPr="005C4A71">
        <w:t>αιρεσιμότητα</w:t>
      </w:r>
      <w:proofErr w:type="spellEnd"/>
      <w:r w:rsidR="00F70384" w:rsidRPr="005C4A71">
        <w:t xml:space="preserve"> όσον αφορά το κράτος δικαίου στο πλαίσιο του Μηχανισμού </w:t>
      </w:r>
      <w:proofErr w:type="spellStart"/>
      <w:r w:rsidR="00F70384" w:rsidRPr="005C4A71">
        <w:t>Προενταξιακής</w:t>
      </w:r>
      <w:proofErr w:type="spellEnd"/>
      <w:r w:rsidR="00F70384" w:rsidRPr="005C4A71">
        <w:t xml:space="preserve"> Βοήθειας (ΜΠΒ) ΙΙΙ, προκειμένου ο μηχανισμός να υπηρετεί τον σκοπό του, που είναι η αποτελεσματική προετοιμασία των υπό ένταξη χωρών ώστε να πληρούν τις προϋποθέσεις για να γίνουν κράτη μέλη της Ένωσης· επαναλαμβάνει τις εκκλήσεις του προς την Επιτροπή να εφαρμόσει τις συστάσεις της ειδικής έκθεσης αριθ. 01/2022 του Ελεγκτικού Συνεδρίου, προκειμένου να διασφαλιστεί ο ουσιαστικός αντίκτυπος της χρηματοδοτικής βοήθειας της Ένωσης για τη στήριξη του κράτους δικαίου στα Δυτικά Βαλκάνια, ιδίως με την εκπόνηση κατευθυντήριων γραμμών σχετικά με την εφαρμογή των διατάξεων που αφορούν θέματα προσαρμογής και προϋποθέσεων βάσει του ΜΠΒ ΙΙΙ·</w:t>
      </w:r>
    </w:p>
    <w:p w:rsidR="00F70384" w:rsidRPr="005C4A71" w:rsidRDefault="00E8367F" w:rsidP="00E8367F">
      <w:pPr>
        <w:pStyle w:val="NormalHanging12a"/>
        <w:ind w:hanging="570"/>
      </w:pPr>
      <w:r w:rsidRPr="005C4A71">
        <w:t>158.</w:t>
      </w:r>
      <w:r w:rsidRPr="005C4A71">
        <w:tab/>
      </w:r>
      <w:r w:rsidR="00F70384" w:rsidRPr="005C4A71">
        <w:t xml:space="preserve">τονίζει ότι η Ένωση δεν θα πρέπει σε καμία περίπτωση να χρηματοδοτεί —άμεσα ή έμμεσα— την τρομοκρατία και, επομένως, δεν θα πρέπει να υποστηρίζει καμία οντότητα που συνδέεται με τη </w:t>
      </w:r>
      <w:proofErr w:type="spellStart"/>
      <w:r w:rsidR="00F70384" w:rsidRPr="005C4A71">
        <w:t>Χαμάς</w:t>
      </w:r>
      <w:proofErr w:type="spellEnd"/>
      <w:r w:rsidR="00F70384" w:rsidRPr="005C4A71">
        <w:t xml:space="preserve"> ή οποιαδήποτε άλλη τρομοκρατική ή εξτρεμιστική οργάνωση· σημειώνει ότι, για τον σκοπό αυτό, είναι θεμιτό και αναγκαίο να είναι σε θέση να γνωρίζει και να προσδιορίζει σαφώς όλους τους τελικούς δικαιούχους της ευρωπαϊκής βοήθειας σε τρίτες χώρες· τονίζει ότι πρέπει να υπάρχει αυστηρός έλεγχος της διανομής και της χρήσης της βοήθειας, προκειμένου να προλαμβάνεται η κατάχρηση κονδυλίων·</w:t>
      </w:r>
    </w:p>
    <w:p w:rsidR="00F70384" w:rsidRPr="005C4A71" w:rsidRDefault="00E8367F" w:rsidP="00E8367F">
      <w:pPr>
        <w:pStyle w:val="NormalHanging12a"/>
        <w:ind w:hanging="570"/>
      </w:pPr>
      <w:r w:rsidRPr="005C4A71">
        <w:t>159.</w:t>
      </w:r>
      <w:r w:rsidRPr="005C4A71">
        <w:tab/>
      </w:r>
      <w:r w:rsidR="00F70384" w:rsidRPr="005C4A71">
        <w:t xml:space="preserve">σημειώνει με λύπη ότι η Ευρωπαϊκή Επιτροπή χρηματοδότησε το Ισλαμικό Πανεπιστήμιο Επιστημών και Τεχνολογίας του </w:t>
      </w:r>
      <w:proofErr w:type="spellStart"/>
      <w:r w:rsidR="00F70384" w:rsidRPr="005C4A71">
        <w:t>Gaziantep</w:t>
      </w:r>
      <w:proofErr w:type="spellEnd"/>
      <w:r w:rsidR="00F70384" w:rsidRPr="005C4A71">
        <w:t xml:space="preserve">, το οποίο έχει αποδειχτεί ότι διατηρεί δεσμούς με την τρομοκρατική οργάνωση </w:t>
      </w:r>
      <w:proofErr w:type="spellStart"/>
      <w:r w:rsidR="00F70384" w:rsidRPr="005C4A71">
        <w:t>Χαμάς</w:t>
      </w:r>
      <w:proofErr w:type="spellEnd"/>
      <w:r w:rsidR="00F70384" w:rsidRPr="005C4A71">
        <w:t>· καλεί την Επιτροπή να διακόψει όλους τους δεσμούς με αυτό το πανεπιστήμιο και άλλα πανεπιστήμια που συνδέονται με τρομοκρατικές οργανώσεις·</w:t>
      </w:r>
    </w:p>
    <w:p w:rsidR="00F70384" w:rsidRPr="005C4A71" w:rsidRDefault="00E8367F" w:rsidP="00E8367F">
      <w:pPr>
        <w:pStyle w:val="NormalHanging12a"/>
        <w:ind w:hanging="570"/>
      </w:pPr>
      <w:r w:rsidRPr="005C4A71">
        <w:t>160.</w:t>
      </w:r>
      <w:r w:rsidRPr="005C4A71">
        <w:tab/>
      </w:r>
      <w:r w:rsidR="00F70384" w:rsidRPr="005C4A71">
        <w:t>παροτρύνει την Επιτροπή, στο πλαίσιο της παροχής ενισχυμένης στήριξης και ανθρωπιστικής βοήθειας στον παλαιστινιακό πληθυσμό, να αξιοποιεί πλήρως έμπιστους εταίρους, όπως ο ΠΟΥ, το WFP, η UNICEF ή διάφορες οργανώσεις της Ερυθράς Ημισελήνου· υπενθυμίζει ότι είναι σημαντικό για την Επιτροπή να διασφαλίζεται ο ανεξάρτητος έλεγχος της UNRWA από εξωτερικούς εμπειρογνώμονες, το Ελεγκτικό Συνέδριο και έμπειρους διεθνείς εταίρους·</w:t>
      </w:r>
    </w:p>
    <w:p w:rsidR="00F70384" w:rsidRPr="005C4A71" w:rsidRDefault="00E8367F" w:rsidP="00E8367F">
      <w:pPr>
        <w:pStyle w:val="NormalHanging12a"/>
        <w:ind w:hanging="570"/>
      </w:pPr>
      <w:r w:rsidRPr="005C4A71">
        <w:t>161.</w:t>
      </w:r>
      <w:r w:rsidRPr="005C4A71">
        <w:tab/>
      </w:r>
      <w:r w:rsidR="00F70384" w:rsidRPr="005C4A71">
        <w:t xml:space="preserve">σημειώνει ότι η Επιτροπή συνεργάζεται τους τελευταίους μήνες με την UNRWA για την ενίσχυση των διαδικασιών για τη διασφάλιση της ουδετερότητας και των συστημάτων ελέγχου στην υπηρεσία, σύμφωνα με τα πορίσματα των ερευνών του Γραφείου υπηρεσιών εσωτερικού ελέγχου των Ηνωμένων Εθνών (OIOS) σχετικά με τους ισχυρισμούς για συμμετοχή 19 υπαλλήλων της στην επίθεση της 7ης Οκτωβρίου 2023, και για την παρακολούθηση της εφαρμογής του σχεδίου δράσης που υπέβαλε η UNRWA σχετικά με την εφαρμογή των συστάσεων της ανεξάρτητης ομάδας εξέτασης υπό την ηγεσία της πρώην Υπουργού Εξωτερικών της Γαλλίας κ. </w:t>
      </w:r>
      <w:proofErr w:type="spellStart"/>
      <w:r w:rsidR="00F70384" w:rsidRPr="005C4A71">
        <w:t>Colonna</w:t>
      </w:r>
      <w:proofErr w:type="spellEnd"/>
      <w:r w:rsidR="00F70384" w:rsidRPr="005C4A71">
        <w:t xml:space="preserve">, με στόχο να ενισχυθεί ο έλεγχος και η εποπτεία· σημειώνει ότι η Επιτροπή επανεξέτασε την απόφαση χρηματοδότησης της Ένωσης, του 2024, για την UNRWA και ότι, μετά από ανταλλαγή επιστολών μεταξύ του Επιτρόπου </w:t>
      </w:r>
      <w:proofErr w:type="spellStart"/>
      <w:r w:rsidR="00F70384" w:rsidRPr="005C4A71">
        <w:t>Várhelyi</w:t>
      </w:r>
      <w:proofErr w:type="spellEnd"/>
      <w:r w:rsidR="00F70384" w:rsidRPr="005C4A71">
        <w:t xml:space="preserve"> και του Γενικού Επιτρόπου </w:t>
      </w:r>
      <w:proofErr w:type="spellStart"/>
      <w:r w:rsidR="00F70384" w:rsidRPr="005C4A71">
        <w:t>Lazzarini</w:t>
      </w:r>
      <w:proofErr w:type="spellEnd"/>
      <w:r w:rsidR="00F70384" w:rsidRPr="005C4A71">
        <w:t xml:space="preserve"> της UNRWA, τον Απρίλιο του 2024, η Ένωση κατέληξε σε συμφωνία σχετικά με την υπό όρους βοήθεια της Ένωσης προς την UNRWA, η οποία συνδέεται με μια σειρά οροσήμων σε σχέση με τρεις άξονες εργασίας, που περιλαμβάνουν έλεγχο του προσωπικού της UNRWA, λογιστικό έλεγχο εκ μέρους της Ένωσης, καθώς και ενίσχυση της Υπηρεσίας Εσωτερικών Ερευνών και Δεοντολογίας· σημειώνει την επανέναρξη της βοήθειας της Ένωσης·</w:t>
      </w:r>
    </w:p>
    <w:p w:rsidR="00F70384" w:rsidRPr="005C4A71" w:rsidRDefault="00E8367F" w:rsidP="00E8367F">
      <w:pPr>
        <w:pStyle w:val="NormalHanging12a"/>
        <w:ind w:hanging="570"/>
      </w:pPr>
      <w:r w:rsidRPr="005C4A71">
        <w:t>162.</w:t>
      </w:r>
      <w:r w:rsidRPr="005C4A71">
        <w:tab/>
      </w:r>
      <w:r w:rsidR="00F70384" w:rsidRPr="005C4A71">
        <w:t xml:space="preserve">υπενθυμίζει ότι είναι αναγκαίο η Παλαιστινιακή Αρχή να αφαιρέσει όλο το εκπαιδευτικό υλικό και περιεχόμενο που δεν συμμορφώνονται με τα πρότυπα της UNESCO έως το επόμενο σχολικό έτος, ιδίως δε εκείνα που περιέχουν αντισημιτισμό, όπως ορίζεται στην εγκεκριμένη από την Ένωση ταξινόμηση της Διεθνούς συμμαχίας για τη μνήμη του Ολοκαυτώματος, καθώς και υποκίνηση βίας, ρητορική μίσους και εξύμνηση της τρομοκρατίας· υπενθυμίζει τις διατάξεις προηγούμενων ψηφισμάτων απαλλαγής· τονίζει ότι η χρηματοδοτική στήριξη από την Ένωση προς την Παλαιστινιακή Αρχή στον τομέα της εκπαίδευσης θα πρέπει να παρέχεται υπό την προϋπόθεση ότι το περιεχόμενο των σχολικών βιβλίων ευθυγραμμίζεται με τα πρότυπα της UNESCO, ότι θα διαγραφούν όλες οι αντισημιτικές αναφορές, και ότι θα εξαλειφθούν τα παραδείγματα που υποκινούν το μίσος και τη βία, όπως ζητήθηκε επανειλημμένα στα ψηφίσματα που συνοδεύουν τις αποφάσεις απαλλαγής· υπενθυμίζει τα πορίσματα της έκθεσης του Ινστιτούτου </w:t>
      </w:r>
      <w:proofErr w:type="spellStart"/>
      <w:r w:rsidR="00F70384" w:rsidRPr="005C4A71">
        <w:t>Georg</w:t>
      </w:r>
      <w:proofErr w:type="spellEnd"/>
      <w:r w:rsidR="00F70384" w:rsidRPr="005C4A71">
        <w:t xml:space="preserve"> </w:t>
      </w:r>
      <w:proofErr w:type="spellStart"/>
      <w:r w:rsidR="00F70384" w:rsidRPr="005C4A71">
        <w:t>Eckert</w:t>
      </w:r>
      <w:proofErr w:type="spellEnd"/>
      <w:r w:rsidR="00F70384" w:rsidRPr="005C4A71">
        <w:t xml:space="preserve"> που χρηματοδοτήθηκε από την Ένωση, η οποία αποκάλυψε μια σύνθετη εικόνα στα σχολικά βιβλία· σημειώνει ότι η Ένωση δεν χρηματοδοτεί τα παλαιστινιακά βιβλία και ότι ούτε αυτά αποτελούν ευθύνη της UNRWA, η οποία, ωστόσο, επανεξετάζει όλα τα </w:t>
      </w:r>
      <w:proofErr w:type="spellStart"/>
      <w:r w:rsidR="00F70384" w:rsidRPr="005C4A71">
        <w:t>εκδοθέντα</w:t>
      </w:r>
      <w:proofErr w:type="spellEnd"/>
      <w:r w:rsidR="00F70384" w:rsidRPr="005C4A71">
        <w:t xml:space="preserve"> σχολικά βιβλία για την αντιμετώπιση τυχόν προβληματικού περιεχομένου· επισημαίνει ότι η Επιτροπή θα προβεί σε διεξοδικό έλεγχο για να εξασφαλίσει ότι δεν διατίθενται κονδύλια της Ένωσης, άμεσα ή έμμεσα, για τη σύνταξη, τη διδασκαλία ή την προβολή τέτοιου εκπαιδευτικού υλικού σε παιδιά της Παλαιστίνης, συμπεριλαμβανομένου εκείνου που παρέχεται από οργανώσεις των Ηνωμένων Εθνών·</w:t>
      </w:r>
    </w:p>
    <w:p w:rsidR="00F70384" w:rsidRPr="005C4A71" w:rsidRDefault="00E8367F" w:rsidP="00E8367F">
      <w:pPr>
        <w:pStyle w:val="NormalHanging12a"/>
        <w:widowControl/>
        <w:ind w:hanging="570"/>
      </w:pPr>
      <w:r w:rsidRPr="005C4A71">
        <w:t>163.</w:t>
      </w:r>
      <w:r w:rsidRPr="005C4A71">
        <w:tab/>
      </w:r>
      <w:r w:rsidR="00F70384" w:rsidRPr="005C4A71">
        <w:t>σημειώνει ότι η ΓΔ NEAR αναγνώρισε στην ετήσια έκθεση δραστηριοτήτων της για το 2023 ότι τα έργα στο Κίεβο δέχθηκαν τακτικές επισκέψεις, αλλά σε άλλες περιοχές της Ουκρανίας η επιτόπια παρακολούθηση και οι επισκέψεις έργων περιορίστηκαν για λόγους ασφαλείας· σημειώνει επίσης ότι οι περιορισμοί όσον αφορά την επαρκή παρακολούθηση των έργων στην Ουκρανία οδήγησαν σε ανανεωμένη επιφύλαξη στην ετήσια έκθεση δραστηριοτήτων της ΓΔ NEAR για το 2023 και ότι εφαρμόζονται διορθωτικά μέτρα, όπως η παρακολούθηση της προόδου όσον αφορά την υλοποίηση των έργων μέσω ελέγχων εγγράφων, εξ αποστάσεως λύσεων και συνεργασίας με πάροχο υπηρεσιών·</w:t>
      </w:r>
    </w:p>
    <w:p w:rsidR="00F70384" w:rsidRPr="005C4A71" w:rsidRDefault="00E8367F" w:rsidP="00E8367F">
      <w:pPr>
        <w:pStyle w:val="NormalHanging12a"/>
        <w:widowControl/>
        <w:ind w:hanging="570"/>
        <w:rPr>
          <w:b/>
          <w:i/>
        </w:rPr>
      </w:pPr>
      <w:bookmarkStart w:id="299" w:name="_Toc185595118"/>
      <w:r w:rsidRPr="005C4A71">
        <w:t>164.</w:t>
      </w:r>
      <w:r w:rsidRPr="005C4A71">
        <w:tab/>
      </w:r>
      <w:r w:rsidR="00F70384" w:rsidRPr="005C4A71">
        <w:t xml:space="preserve">εκφράζει την ικανοποίησή του για το γεγονός ότι η OLAF παρέχει </w:t>
      </w:r>
      <w:proofErr w:type="spellStart"/>
      <w:r w:rsidR="00F70384" w:rsidRPr="005C4A71">
        <w:t>στοχευμένη</w:t>
      </w:r>
      <w:proofErr w:type="spellEnd"/>
      <w:r w:rsidR="00F70384" w:rsidRPr="005C4A71">
        <w:t xml:space="preserve"> βοήθεια στις αρχές για την καταπολέμηση της απάτης, και υποστηρίζει την προσχώρηση της Ουκρανίας στο πρόγραμμα της Ένωσης για την καταπολέμηση της απάτης· σημειώνει ότι η συμφωνία-πλαίσιο για το Μέσο Διευκόλυνσης για την Ουκρανία, η οποία τέθηκε σε ισχύ τον Ιούνιο του 2024, προβλέπει νομικά δεσμευτικές ρυθμίσεις για τη διαχείριση, τον έλεγχο, την εποπτεία, την παρακολούθηση, την αξιολόγηση, την υποβολή εκθέσεων και τον λογιστικό έλεγχο των κονδυλίων στο πλαίσιο του Μέσου Διευκόλυνσης, καθώς και μέτρα για την πρόληψη, τη διερεύνηση και την αντιμετώπιση παρατυπιών, περιστατικών απάτης και διαφθοράς, και συγκρούσεων συμφερόντων, καθώς και διατάξεις σχετικά με τους ρόλους της OLAF και της Ευρωπαϊκής Εισαγγελίας· εκφράζει, επιπλέον, την ικανοποίησή του για το γεγονός ότι, σύμφωνα με το άρθρο 36 του κανονισμού για το Μέσο Διευκόλυνσης για την Ουκρανία, η Επιτροπή συγκρότησε τον Ιούνιο του 2024 ελεγκτική επιτροπή, με αποστολή να επικουρεί την Επιτροπή στην αξιολόγηση της αποτελεσματικότητας των συστημάτων διαχείρισης και ελέγχου της Ουκρανίας όσον αφορά τα κονδύλια που παρέχονται στο πλαίσιο του Μέσου Διευκόλυνσης και στην καταπολέμηση της κακοδιαχείρισης της ενωσιακής χρηματοδότησης στο πλαίσιο του Μέσου Διευκόλυνσης για την Ουκρανία· καλεί την Επιτροπή να ενημερώνει τακτικά το Ευρωπαϊκό Κοινοβούλιο σχετικά με τις δραστηριότητες και τα πορίσματα της ελεγκτικής επιτροπής, προκειμένου να διασφαλίζεται η απαιτούμενη κοινοβουλευτική εποπτεία·</w:t>
      </w:r>
    </w:p>
    <w:p w:rsidR="00F70384" w:rsidRPr="005C4A71" w:rsidRDefault="00E8367F" w:rsidP="00E8367F">
      <w:pPr>
        <w:pStyle w:val="NormalHanging12a"/>
        <w:ind w:hanging="570"/>
      </w:pPr>
      <w:r w:rsidRPr="005C4A71">
        <w:t>165.</w:t>
      </w:r>
      <w:r w:rsidRPr="005C4A71">
        <w:tab/>
      </w:r>
      <w:r w:rsidR="00F70384" w:rsidRPr="005C4A71">
        <w:t>σημειώνει με ανησυχία τις πρόσφατες αναφορές σχετικά με τα πορίσματα ενός σχεδίου έκθεσης ελέγχου που εκπονήθηκε με δαπάνη της Επιτροπής και αφορά τη Γραμματεία του Οργανισμού Κρατών της Αφρικής, της Καραϊβικής και του Ειρηνικού (ΟΚΑΚΕ), οι οποίες κάνουν λόγο για υποψίες απάτης, μη καταβληθέντες μισθούς και περαιτέρω υποχρεώσεις· σημειώνει ότι, σύμφωνα με τις αναφορές, η Επιτροπή συνεισέφερε 3,7 εκατομμύρια EUR στη Γραμματεία το 2023 και προσπαθεί να ανακτήσει 3,6 εκατομμύρια EUR από τον Μάρτιο του 2024· ζητεί από την Επιτροπή να διασφαλίσει πλήρη διαφάνεια και λογοδοσία, να παράσχει πρόσβαση στην έκθεση ελέγχου και να ενημερώσει τα μέλη του Κοινοβουλίου σχετικά με τα συγκεκριμένα μέτρα που έχουν ληφθεί·</w:t>
      </w:r>
    </w:p>
    <w:p w:rsidR="00F70384" w:rsidRPr="005C4A71" w:rsidRDefault="00E8367F" w:rsidP="00E8367F">
      <w:pPr>
        <w:pStyle w:val="NormalHanging12a"/>
        <w:ind w:hanging="570"/>
      </w:pPr>
      <w:r w:rsidRPr="005C4A71">
        <w:t>166.</w:t>
      </w:r>
      <w:r w:rsidRPr="005C4A71">
        <w:tab/>
      </w:r>
      <w:r w:rsidR="00F70384" w:rsidRPr="005C4A71">
        <w:t>καλεί την Επιτροπή, σύμφωνα με τις συστάσεις του Ελεγκτικού Συνεδρίου στη γνωμοδότησή του 03/2024, να ενσωματώσει στη νέα νομοθετική πρόταση για το ΠΔΠ τις συστάσεις της εγγύησης εξωτερικής δράσης που συμπληρώνουν την αξιολόγηση της Επιτροπής, συμπεριλαμβανομένης της αυξημένης χρήσης συνδυασμού (επιχορηγήσεων) σε λιγότερο ανεπτυγμένες χώρες, σε ευάλωτες χώρες ή σε χώρες που πλήττονται από συγκρούσεις και σε ενεργό συντονισμό με συμφεροντούχους όπως η κοινωνία των πολιτών·</w:t>
      </w:r>
    </w:p>
    <w:p w:rsidR="00F70384" w:rsidRPr="005C4A71" w:rsidRDefault="00E8367F" w:rsidP="00E8367F">
      <w:pPr>
        <w:pStyle w:val="NormalHanging12a"/>
        <w:ind w:hanging="570"/>
      </w:pPr>
      <w:r w:rsidRPr="005C4A71">
        <w:t>167.</w:t>
      </w:r>
      <w:r w:rsidRPr="005C4A71">
        <w:tab/>
      </w:r>
      <w:r w:rsidR="00F70384" w:rsidRPr="005C4A71">
        <w:t xml:space="preserve">εκφράζει την ανησυχία του για το γεγονός ότι κατά τη διάθεση των πόρων του ΕΤΒΑ+ στο πλαίσιο του νέου ευέλικτου κονδυλίου «Στήριξη των επενδύσεων» ευνοούνται οι </w:t>
      </w:r>
      <w:proofErr w:type="spellStart"/>
      <w:r w:rsidR="00F70384" w:rsidRPr="005C4A71">
        <w:t>δικαιούχες</w:t>
      </w:r>
      <w:proofErr w:type="spellEnd"/>
      <w:r w:rsidR="00F70384" w:rsidRPr="005C4A71">
        <w:t xml:space="preserve"> χώρες στις οποίες οι επενδύσεις της </w:t>
      </w:r>
      <w:proofErr w:type="spellStart"/>
      <w:r w:rsidR="00F70384" w:rsidRPr="005C4A71">
        <w:t>Global</w:t>
      </w:r>
      <w:proofErr w:type="spellEnd"/>
      <w:r w:rsidR="00F70384" w:rsidRPr="005C4A71">
        <w:t xml:space="preserve"> </w:t>
      </w:r>
      <w:proofErr w:type="spellStart"/>
      <w:r w:rsidR="00F70384" w:rsidRPr="005C4A71">
        <w:t>Gateway</w:t>
      </w:r>
      <w:proofErr w:type="spellEnd"/>
      <w:r w:rsidR="00F70384" w:rsidRPr="005C4A71">
        <w:t xml:space="preserve"> είναι ευκολότερο να υλοποιηθούν, εις βάρος των λιγότερο ανεπτυγμένων χωρών, των ευάλωτων χωρών και των χωρών που πλήττονται από συγκρούσεις· ζητεί να υποβάλλονται στοιχεία σχετικά με τον όγκο των ποσών του ΕΤΒΑ+ που κατανέμονται και αποτελούν αντικείμενο συμβάσεων στις εν λόγω χώρες, καθώς και να υπάρχει διαφάνεια σχετικά με τον τρόπο με τον οποίο τηρείται η ποσόστωση των χορηγήσεων στις ΛΑΧ εντός των πολυετών ενδεικτικών προγραμμάτων (ΠΕΠ) ανά χώρα στο πλαίσιο των κατανομών των περιφερειακών ΠΕΠ·</w:t>
      </w:r>
    </w:p>
    <w:p w:rsidR="00F70384" w:rsidRPr="005C4A71" w:rsidRDefault="00E8367F" w:rsidP="00E8367F">
      <w:pPr>
        <w:pStyle w:val="NormalHanging12a"/>
        <w:ind w:hanging="570"/>
      </w:pPr>
      <w:r w:rsidRPr="005C4A71">
        <w:t>168.</w:t>
      </w:r>
      <w:r w:rsidRPr="005C4A71">
        <w:tab/>
      </w:r>
      <w:r w:rsidR="00F70384" w:rsidRPr="005C4A71">
        <w:t xml:space="preserve">μολονότι αναγνωρίζει τη στρατηγική </w:t>
      </w:r>
      <w:proofErr w:type="spellStart"/>
      <w:r w:rsidR="00F70384" w:rsidRPr="005C4A71">
        <w:t>Global</w:t>
      </w:r>
      <w:proofErr w:type="spellEnd"/>
      <w:r w:rsidR="00F70384" w:rsidRPr="005C4A71">
        <w:t xml:space="preserve"> </w:t>
      </w:r>
      <w:proofErr w:type="spellStart"/>
      <w:r w:rsidR="00F70384" w:rsidRPr="005C4A71">
        <w:t>Gateway</w:t>
      </w:r>
      <w:proofErr w:type="spellEnd"/>
      <w:r w:rsidR="00F70384" w:rsidRPr="005C4A71">
        <w:t xml:space="preserve"> ως συντονισμένη απάντηση της Ένωσης στις παγκόσμιες προκλήσεις, επαναλαμβάνει ότι οι δράσεις που φέρνουν σε επαφή δημόσιες και ιδιωτικές επενδύσεις πρέπει πάντα να καθοδηγούνται από το νομικό πλαίσιο, όπως προβλέπεται από τον κανονισμό ΜΓΑΔΣ, το θεματολόγιο για το 2030, και τις ανάγκες των χωρών εταίρων, όπως κοινοποιούνται μέσω έντιμου διαλόγου σε ισότιμο επίπεδο· εκφράζει την ανησυχία του για τις ασυνέπειες που περιβάλλουν τα προγράμματα της </w:t>
      </w:r>
      <w:proofErr w:type="spellStart"/>
      <w:r w:rsidR="00F70384" w:rsidRPr="005C4A71">
        <w:t>Global</w:t>
      </w:r>
      <w:proofErr w:type="spellEnd"/>
      <w:r w:rsidR="00F70384" w:rsidRPr="005C4A71">
        <w:t xml:space="preserve"> </w:t>
      </w:r>
      <w:proofErr w:type="spellStart"/>
      <w:r w:rsidR="00F70384" w:rsidRPr="005C4A71">
        <w:t>Gateway</w:t>
      </w:r>
      <w:proofErr w:type="spellEnd"/>
      <w:r w:rsidR="00F70384" w:rsidRPr="005C4A71">
        <w:t xml:space="preserve">· ζητεί, ως εκ τούτου, βελτιωμένη διαφάνεια, δημοκρατική λογοδοσία, ισχυρούς μηχανισμούς παρακολούθησης και αξιολόγησης στις πρωτοβουλίες </w:t>
      </w:r>
      <w:proofErr w:type="spellStart"/>
      <w:r w:rsidR="00F70384" w:rsidRPr="005C4A71">
        <w:t>Global</w:t>
      </w:r>
      <w:proofErr w:type="spellEnd"/>
      <w:r w:rsidR="00F70384" w:rsidRPr="005C4A71">
        <w:t xml:space="preserve"> </w:t>
      </w:r>
      <w:proofErr w:type="spellStart"/>
      <w:r w:rsidR="00F70384" w:rsidRPr="005C4A71">
        <w:t>Gateway</w:t>
      </w:r>
      <w:proofErr w:type="spellEnd"/>
      <w:r w:rsidR="00F70384" w:rsidRPr="005C4A71">
        <w:t xml:space="preserve"> και «Ομάδα Ευρώπη»· ζητεί μια κεντρική, προσβάσιμη στο κοινό πλατφόρμα, η οποία θα επικαιροποιείται τακτικά, για τη λεπτομερή παρουσίαση των έργων της </w:t>
      </w:r>
      <w:proofErr w:type="spellStart"/>
      <w:r w:rsidR="00F70384" w:rsidRPr="005C4A71">
        <w:t>Global</w:t>
      </w:r>
      <w:proofErr w:type="spellEnd"/>
      <w:r w:rsidR="00F70384" w:rsidRPr="005C4A71">
        <w:t xml:space="preserve"> </w:t>
      </w:r>
      <w:proofErr w:type="spellStart"/>
      <w:r w:rsidR="00F70384" w:rsidRPr="005C4A71">
        <w:t>Gateway</w:t>
      </w:r>
      <w:proofErr w:type="spellEnd"/>
      <w:r w:rsidR="00F70384" w:rsidRPr="005C4A71">
        <w:t>, συμπεριλαμβανομένων των στόχων, των πηγών χρηματοδότησης, των εταίρων υλοποίησης και των αναμενόμενων αποτελεσμάτων τους·</w:t>
      </w:r>
    </w:p>
    <w:p w:rsidR="00F70384" w:rsidRPr="00E8367F" w:rsidRDefault="00F70384" w:rsidP="00F70384">
      <w:pPr>
        <w:spacing w:after="240"/>
        <w:rPr>
          <w:b/>
          <w:i/>
        </w:rPr>
      </w:pPr>
      <w:r w:rsidRPr="00E8367F">
        <w:rPr>
          <w:b/>
          <w:i/>
        </w:rPr>
        <w:t>Ευρωπαϊκό Ταμείο Ανάπτυξης (ΕΤΑ)</w:t>
      </w:r>
      <w:bookmarkEnd w:id="299"/>
    </w:p>
    <w:p w:rsidR="00F70384" w:rsidRPr="005C4A71" w:rsidRDefault="00E8367F" w:rsidP="00E8367F">
      <w:pPr>
        <w:pStyle w:val="NormalHanging12a"/>
        <w:widowControl/>
        <w:ind w:hanging="570"/>
      </w:pPr>
      <w:r w:rsidRPr="005C4A71">
        <w:t>169.</w:t>
      </w:r>
      <w:r w:rsidRPr="005C4A71">
        <w:tab/>
      </w:r>
      <w:r w:rsidR="00F70384" w:rsidRPr="005C4A71">
        <w:t>σημειώνει ότι, για τον έλεγχο της κανονικότητας των πράξεων, το Ελεγκτικό Συνέδριο εξέτασε δείγμα 140 πράξεων, που αντιπροσωπεύουν το πλήρες φάσμα των δαπανών από τα ΕΤΑ· σημειώνει ακόμη ότι το δείγμα περιλάμβανε 31 πράξεις που αφορούσαν το ευρωπαϊκό καταπιστευματικό ταμείο έκτακτης ανάγκης για την Αφρική, 87 πράξεις που είχαν εγκριθεί από 14 αντιπροσωπείες της ΕΕ</w:t>
      </w:r>
      <w:r w:rsidR="00F70384" w:rsidRPr="005C4A71">
        <w:rPr>
          <w:vertAlign w:val="superscript"/>
        </w:rPr>
        <w:footnoteReference w:id="120"/>
      </w:r>
      <w:r w:rsidR="00F70384" w:rsidRPr="005C4A71">
        <w:t xml:space="preserve"> και 19 πληρωμές που είχαν εγκριθεί από τις κεντρικές υπηρεσίες της Επιτροπής·</w:t>
      </w:r>
    </w:p>
    <w:p w:rsidR="00F70384" w:rsidRPr="005C4A71" w:rsidRDefault="00E8367F" w:rsidP="00E8367F">
      <w:pPr>
        <w:pStyle w:val="NormalHanging12a"/>
        <w:widowControl/>
        <w:ind w:hanging="570"/>
      </w:pPr>
      <w:r w:rsidRPr="005C4A71">
        <w:t>170.</w:t>
      </w:r>
      <w:r w:rsidRPr="005C4A71">
        <w:tab/>
      </w:r>
      <w:r w:rsidR="00F70384" w:rsidRPr="005C4A71">
        <w:t xml:space="preserve">διαπιστώνει με ανησυχία ότι από τις 140 πράξεις που εξετάστηκαν, οι 62 (44,3 %) περιείχαν σφάλματα, σε σύγκριση με 57 (40,7 %) το 2022 για τον ίδιο αριθμό πράξεων· τονίζει, επιπλέον, ότι το Ελεγκτικό Συνέδριο </w:t>
      </w:r>
      <w:proofErr w:type="spellStart"/>
      <w:r w:rsidR="00F70384" w:rsidRPr="005C4A71">
        <w:t>ποσοτικοποίησε</w:t>
      </w:r>
      <w:proofErr w:type="spellEnd"/>
      <w:r w:rsidR="00F70384" w:rsidRPr="005C4A71">
        <w:t xml:space="preserve"> 52 σφάλματα (48 το 2022), βάσει των οποίων εκτίμησε το επίπεδο σφάλματος για το οικονομικό έτος 2023 σε 8,9 % (7,1 % το 2022)·</w:t>
      </w:r>
    </w:p>
    <w:p w:rsidR="00F70384" w:rsidRPr="005C4A71" w:rsidRDefault="00E8367F" w:rsidP="00E8367F">
      <w:pPr>
        <w:pStyle w:val="NormalHanging12a"/>
        <w:widowControl/>
        <w:ind w:hanging="570"/>
      </w:pPr>
      <w:r w:rsidRPr="005C4A71">
        <w:t>171.</w:t>
      </w:r>
      <w:r w:rsidRPr="005C4A71">
        <w:tab/>
      </w:r>
      <w:r w:rsidR="00F70384" w:rsidRPr="005C4A71">
        <w:t>επισημαίνει με ανησυχία ότι τα τρία συνηθέστερα είδη σφαλμάτων κατά το οικονομικό έτος 2023 αφορούσαν δαπάνες που δεν πραγματοποιήθηκαν (45 % έναντι 51 % το 2022), απουσία βασικών δικαιολογητικών εγγράφων (31 % έναντι 7 % το 2022) και μη επιλέξιμες δαπάνες (23 % έναντι 24 % το 2022)·</w:t>
      </w:r>
    </w:p>
    <w:p w:rsidR="00F70384" w:rsidRPr="005C4A71" w:rsidRDefault="00E8367F" w:rsidP="00E8367F">
      <w:pPr>
        <w:pStyle w:val="NormalHanging12a"/>
        <w:widowControl/>
        <w:ind w:hanging="570"/>
      </w:pPr>
      <w:r w:rsidRPr="005C4A71">
        <w:t>172.</w:t>
      </w:r>
      <w:r w:rsidRPr="005C4A71">
        <w:tab/>
      </w:r>
      <w:r w:rsidR="00F70384" w:rsidRPr="005C4A71">
        <w:t xml:space="preserve">σημειώνει τις απαντήσεις της Επιτροπής στις γραπτές ερωτήσεις προς την επίτροπο </w:t>
      </w:r>
      <w:proofErr w:type="spellStart"/>
      <w:r w:rsidR="00F70384" w:rsidRPr="005C4A71">
        <w:t>Jutta</w:t>
      </w:r>
      <w:proofErr w:type="spellEnd"/>
      <w:r w:rsidR="00F70384" w:rsidRPr="005C4A71">
        <w:t xml:space="preserve"> </w:t>
      </w:r>
      <w:proofErr w:type="spellStart"/>
      <w:r w:rsidR="00F70384" w:rsidRPr="005C4A71">
        <w:t>Urpilainen</w:t>
      </w:r>
      <w:proofErr w:type="spellEnd"/>
      <w:r w:rsidR="00F70384" w:rsidRPr="005C4A71">
        <w:t xml:space="preserve"> και τον επίτροπο </w:t>
      </w:r>
      <w:proofErr w:type="spellStart"/>
      <w:r w:rsidR="00F70384" w:rsidRPr="005C4A71">
        <w:t>Oliver</w:t>
      </w:r>
      <w:proofErr w:type="spellEnd"/>
      <w:r w:rsidR="00F70384" w:rsidRPr="005C4A71">
        <w:t xml:space="preserve"> </w:t>
      </w:r>
      <w:proofErr w:type="spellStart"/>
      <w:r w:rsidR="00F70384" w:rsidRPr="005C4A71">
        <w:t>Varhelyi</w:t>
      </w:r>
      <w:proofErr w:type="spellEnd"/>
      <w:r w:rsidR="00F70384" w:rsidRPr="005C4A71">
        <w:t xml:space="preserve"> ότι το 2023 περίπου το 45 % του συνολικού σφάλματος οφείλεται σε υπερβάλλουσα εκκαθάριση, πρακτική βάσει της οποίας οι μη </w:t>
      </w:r>
      <w:proofErr w:type="spellStart"/>
      <w:r w:rsidR="00F70384" w:rsidRPr="005C4A71">
        <w:t>πραγματοποιηθείσες</w:t>
      </w:r>
      <w:proofErr w:type="spellEnd"/>
      <w:r w:rsidR="00F70384" w:rsidRPr="005C4A71">
        <w:t xml:space="preserve"> δαπάνες περιλαμβάνονται στους λογαριασμούς ως </w:t>
      </w:r>
      <w:proofErr w:type="spellStart"/>
      <w:r w:rsidR="00F70384" w:rsidRPr="005C4A71">
        <w:t>πραγματοποιηθείσες</w:t>
      </w:r>
      <w:proofErr w:type="spellEnd"/>
      <w:r w:rsidR="00F70384" w:rsidRPr="005C4A71">
        <w:t xml:space="preserve"> δαπάνες, γεγονός που συνεπάγεται ότι τα σφάλματα αυτά είναι προσωρινά, καθώς δεν θα υφίστανται πλέον μετά τις τελικές εκκαθαρίσεις· σημειώνει, επιπλέον, ότι, για να μειωθούν αυτά τα προσωρινά σφάλματα, η Επιτροπή ζήτησε από τους εταίρους της να επανεξετάσουν τα υποδείγματά τους για την υποβολή στοιχείων, ώστε να καταστεί δυνατός ο ευκολότερος εντοπισμός των δαπανών που πραγματοποιήθηκαν, και ότι η ΓΔ INTPA συγκρότησε ειδική ομάδα εργασίας για τον έλεγχο της συμμόρφωσης των σχετικών οργανισμών μέσω ενός πλαισίου διαχείρισης κινδύνων· σημειώνει επίσης ότι η ΓΔ INTPA επανεξετάζει επί του παρόντος τη στρατηγική ελέγχου της, μεταξύ άλλων προκειμένου να προσδιορίσει τον τρόπο με τον οποίο μπορούν να ενισχυθούν οι εκ των προτέρων έλεγχοι και να βελτιωθεί η υποβολή στοιχείων στην Επιτροπή από τους οργανισμούς που αξιολογούνται κατά πυλώνες· καλεί την Επιτροπή να ενημερώσει την αρμόδια για την απαλλαγή αρχή σχετικά με τα αποτελέσματα των ενεργειών αυτών·</w:t>
      </w:r>
    </w:p>
    <w:p w:rsidR="00F70384" w:rsidRPr="005C4A71" w:rsidRDefault="00E8367F" w:rsidP="00E8367F">
      <w:pPr>
        <w:pStyle w:val="NormalHanging12a"/>
        <w:widowControl/>
        <w:ind w:hanging="570"/>
      </w:pPr>
      <w:r w:rsidRPr="005C4A71">
        <w:t>173.</w:t>
      </w:r>
      <w:r w:rsidRPr="005C4A71">
        <w:tab/>
      </w:r>
      <w:r w:rsidR="00F70384" w:rsidRPr="005C4A71">
        <w:t>σημειώνει ότι τα αναμενόμενα αποτελέσματα της εν εξελίξει επανεξέτασης της στρατηγικής ελέγχου της ΓΔ INTPA περιλαμβάνουν την ενίσχυση της καθοδήγησης σχετικά με τη χρηματοοικονομική αναφορά, καθώς και σχετικά με ενισχυμένους εκ των προτέρων ελέγχους, ώστε να αποφεύγονται σφάλματα, μεταξύ άλλων όσον αφορά την υπερβάλλουσα εκκαθάριση· καλεί την Επιτροπή να ενημερώσει την αρμόδια για την απαλλαγή αρχή σχετικά με τα επανορθωτικά μέτρα που ελήφθησαν μετά την ολοκλήρωση της επανεξέτασης αυτής·</w:t>
      </w:r>
    </w:p>
    <w:p w:rsidR="00F70384" w:rsidRPr="005C4A71" w:rsidRDefault="00E8367F" w:rsidP="00E8367F">
      <w:pPr>
        <w:pStyle w:val="NormalHanging12a"/>
        <w:widowControl/>
        <w:ind w:hanging="570"/>
      </w:pPr>
      <w:r w:rsidRPr="005C4A71">
        <w:t>174.</w:t>
      </w:r>
      <w:r w:rsidRPr="005C4A71">
        <w:tab/>
      </w:r>
      <w:r w:rsidR="00F70384" w:rsidRPr="005C4A71">
        <w:t>εκφράζει την ανησυχία του διότι, όπως και τα προηγούμενα έτη, ορισμένοι διεθνείς οργανισμοί παρείχαν περιορισμένη μόνο πρόσβαση σε έγγραφα (παραδείγματος χάριν σε μορφή μόνο για ανάγνωση), κάτι που αποτέλεσε πρόσκομμα για τον σχεδιασμό, την εκτέλεση και την αξιολόγηση της ποιότητας του ελέγχου του Ελεγκτικού Συνεδρίου και οδήγησε σε καθυστερήσεις· σημειώνει ότι ζητήματα λογιστικών και άλλων ελέγχων συζητήθηκαν επανειλημμένα με οντότητες του ΟΗΕ, μεταξύ άλλων στο πλαίσιο κοινών συνεδριάσεων των τεχνικών ομάδων αναφοράς και της σχετικής ομάδας εργασίας της χρηματοδοτικής και διοικητικής συμφωνίας-πλαισίου ΕΕ-ΟΗΕ (FAFA)· σημειώνει ακόμη ότι η Επιτροπή συνεργάζεται με τους οικείους διεθνείς οργανισμούς και έχει εντείνει την επικοινωνία μαζί τους σχετικά με την πρόσβαση του Ελεγκτικού Συνεδρίου στα έγγραφα· ενθαρρύνει, όπως και τα προηγούμενα έτη, την Επιτροπή να εντείνει τις προσπάθειες αυτές·</w:t>
      </w:r>
    </w:p>
    <w:p w:rsidR="00F70384" w:rsidRPr="005C4A71" w:rsidRDefault="00E8367F" w:rsidP="00E8367F">
      <w:pPr>
        <w:pStyle w:val="NormalHanging12a"/>
        <w:widowControl/>
        <w:ind w:hanging="570"/>
        <w:rPr>
          <w:szCs w:val="24"/>
        </w:rPr>
      </w:pPr>
      <w:r w:rsidRPr="005C4A71">
        <w:rPr>
          <w:szCs w:val="24"/>
        </w:rPr>
        <w:t>175.</w:t>
      </w:r>
      <w:r w:rsidRPr="005C4A71">
        <w:rPr>
          <w:szCs w:val="24"/>
        </w:rPr>
        <w:tab/>
      </w:r>
      <w:r w:rsidR="00F70384" w:rsidRPr="005C4A71">
        <w:t>τονίζει ότι, σύμφωνα με την αξιολόγηση του Ελεγκτικού Συνεδρίου, η μελέτη για το εναπομένον ποσοστό σφάλματος (ΕΠΣ) δεν συνιστά ανάληψη υποχρέωσης παροχής διασφάλισης ούτε έλεγχο, βασίζεται δε στη μεθοδολογία και το εγχειρίδιο για το ΕΠΣ που παρέχει η ΓΔ INTPA· σημειώνει ότι η ΓΔ INTPA διευκρινίζει πως η μελέτη για το ΕΠΣ προορίζεται να αποτελέσει βασικό δείκτη για τις εκτιμώμενες δημοσιονομικές επιπτώσεις των εναπομενόντων σφαλμάτων, δηλαδή μετρά τη σωστή λειτουργία του συστήματος εσωτερικού ελέγχου και, επομένως, καταδεικνύει τη διορθωτική ικανότητα της Επιτροπής· τονίζει ότι, όπως και τα προηγούμενα έτη, το Ελεγκτικό Συνέδριο διαπίστωσε ελλείψεις στη μελέτη· σημειώνει ακόμη τη γνώμη του Ελεγκτικού Συνεδρίου, όπως και κατά τα προηγούμενα έτη, ότι η μεθοδολογία για το ΕΠΣ επιτρέπει στον ανάδοχο να βασίζεται εξ ολοκλήρου στα αποτελέσματα των ελέγχων της ΓΔ INTPA, και ότι η εξάρτηση από τις εργασίες άλλων ελεγκτών αντιβαίνει στον σκοπό της μελέτης για το ΕΠΣ· τονίζει τη διαπίστωση του Ελεγκτικού Συνεδρίου ότι στις περιπτώσεις κατά τις οποίες οι προηγούμενοι αυτοί έλεγχοι είχαν διενεργηθεί βάσει της χρηματοδοτικής και διοικητικής συμφωνίας-πλαισίου μεταξύ της Ευρωπαϊκής Επιτροπής και των Ηνωμένων Εθνών, ο ανάδοχος δεν ήταν πάντοτε σε θέση να διενεργήσει πρόσθετες ελεγκτικές δοκιμασίες επαλήθευσης, δεδομένου ότι η εν λόγω συμφωνία περιορίζει τα δικαιώματα επαλήθευσης της Επιτροπής· επισημαίνει την απάντηση της Επιτροπής με την οποία αναγνωρίζει τους περιορισμούς όσον αφορά τους ελέγχους που ορίζονται στη χρηματοδοτική και διοικητική συμφωνία-πλαίσιο· παροτρύνει την Επιτροπή να αναζητήσει εφαρμόσιμες λύσεις για την επίλυση αυτού του ζητήματος·</w:t>
      </w:r>
    </w:p>
    <w:p w:rsidR="00F70384" w:rsidRPr="005C4A71" w:rsidRDefault="00E8367F" w:rsidP="00E8367F">
      <w:pPr>
        <w:pStyle w:val="NormalHanging12a"/>
        <w:ind w:hanging="570"/>
      </w:pPr>
      <w:r w:rsidRPr="005C4A71">
        <w:t>176.</w:t>
      </w:r>
      <w:r w:rsidRPr="005C4A71">
        <w:tab/>
      </w:r>
      <w:r w:rsidR="00F70384" w:rsidRPr="005C4A71">
        <w:t xml:space="preserve">υπενθυμίζει ότι δύο καταπιστευματικά ταμεία της ΕΕ δημιουργήθηκαν στο πλαίσιο των ΕΤΑ· υπενθυμίζει ότι το καταπιστευματικό ταμείο της ΕΕ για την Αφρική έχει κινητοποιήσει πάνω από 5 δισεκατομμύρια EUR, εκ των οποίων το 88 % των συνεισφορών (4,4 δισεκατομμύρια EUR) προέρχονται από το ΕΤΑ και τον προϋπολογισμό της Ένωσης· εκφράζει τη λύπη του για το γεγονός ότι, παρά τα διάφορα αιτήματα του Κοινοβουλίου, η διαδικασία διαχείρισης και διάθεσης αυτών των κονδυλίων εξακολουθεί να μην είναι διαφανής· εκφράζει την ανησυχία του για τα πορίσματα του Ελεγκτικού Συνεδρίου στην ειδική έκθεσή του αριθ. 17/2024 με τίτλο «Καταπιστευματικό ταμείο της ΕΕ για την Αφρική: Παρά τις νέες προσεγγίσεις, η στήριξη εξακολουθεί να μην είναι επαρκώς </w:t>
      </w:r>
      <w:proofErr w:type="spellStart"/>
      <w:r w:rsidR="00F70384" w:rsidRPr="005C4A71">
        <w:t>στοχευμένη</w:t>
      </w:r>
      <w:proofErr w:type="spellEnd"/>
      <w:r w:rsidR="00F70384" w:rsidRPr="005C4A71">
        <w:t>»· σημειώνει ότι, παρά την καινοτόμο προσέγγιση για τον εντοπισμό των κινδύνων για τα ανθρώπινα δικαιώματα σε ένα δύσκολο περιβάλλον, οι κίνδυνοι αυτοί δεν αντιμετωπίστηκαν πλήρως, και ότι το Ελεγκτικό Συνέδριο διαπίστωσε πως η αξιολόγηση των δυνητικών κινδύνων για τα ανθρώπινα δικαιώματα δεν ήταν ολοκληρωμένη· υπενθυμίζει ότι, κατά το Ελεγκτικό Συνέδριο, η Επιτροπή δεν είναι σε θέση να προσδιορίσει και να παρουσιάσει στοιχεία σχετικά με τις πλέον αποδοτικές και αποτελεσματικές προσεγγίσεις για τη μείωση της αντικανονικής μετανάστευσης και των αναγκαστικών εκτοπισμών στην Αφρική· εκφράζει τη λύπη του για το γεγονός ότι το νέο σύστημα παρακολούθησης συγκεντρώνει πληροφορίες από όλα τα έργα του καταπιστευματικού ταμείου της ΕΕ, αλλά πάσχει από προβλήματα σε σχέση με την ακρίβεια των δεδομένων· σημειώνει ότι το καταπιστευματικό ταμείο της ΕΕ για την Αφρική πρόκειται να καταργηθεί σταδιακά το 2025·</w:t>
      </w:r>
    </w:p>
    <w:p w:rsidR="00F70384" w:rsidRPr="005C4A71" w:rsidRDefault="00F70384" w:rsidP="00F70384">
      <w:pPr>
        <w:spacing w:after="240"/>
        <w:ind w:left="567" w:hanging="567"/>
        <w:jc w:val="both"/>
        <w:rPr>
          <w:i/>
          <w:szCs w:val="24"/>
        </w:rPr>
      </w:pPr>
      <w:r w:rsidRPr="005C4A71">
        <w:rPr>
          <w:i/>
        </w:rPr>
        <w:t>Συστάσεις</w:t>
      </w:r>
    </w:p>
    <w:p w:rsidR="00F70384" w:rsidRPr="005C4A71" w:rsidRDefault="00E8367F" w:rsidP="00E8367F">
      <w:pPr>
        <w:pStyle w:val="NormalHanging12a"/>
        <w:widowControl/>
        <w:ind w:hanging="570"/>
        <w:rPr>
          <w:szCs w:val="24"/>
        </w:rPr>
      </w:pPr>
      <w:r w:rsidRPr="005C4A71">
        <w:rPr>
          <w:szCs w:val="24"/>
        </w:rPr>
        <w:t>177.</w:t>
      </w:r>
      <w:r w:rsidRPr="005C4A71">
        <w:rPr>
          <w:szCs w:val="24"/>
        </w:rPr>
        <w:tab/>
      </w:r>
      <w:r w:rsidR="00F70384" w:rsidRPr="005C4A71">
        <w:t>καλεί την Επιτροπή να λάβει μέτρα σύμφωνα με τις συστάσεις του Ελεγκτικού Συνεδρίου:</w:t>
      </w:r>
    </w:p>
    <w:p w:rsidR="00F70384" w:rsidRPr="005C4A71" w:rsidRDefault="00F70384" w:rsidP="00F70384">
      <w:pPr>
        <w:spacing w:after="240"/>
        <w:ind w:left="1287" w:hanging="720"/>
        <w:contextualSpacing/>
        <w:rPr>
          <w:spacing w:val="-6"/>
          <w:szCs w:val="24"/>
        </w:rPr>
      </w:pPr>
      <w:r w:rsidRPr="005C4A71">
        <w:t>i)</w:t>
      </w:r>
      <w:r w:rsidRPr="005C4A71">
        <w:tab/>
        <w:t>όσον αφορά το σύστημα εφαρμογής OPSYS, να τυποποιήσει και να ενισχύσει τη διαδικασία χορήγησης και κατάργησης δικαιωμάτων πρόσβασης για τους διαχειριστές συστημάτων και τους τυπικούς χρήστες, να βελτιώσει την ποιότητα του νέου λογισμικού και να διαθέσει τους πόρους που απαιτούνται για την ενίσχυση της ωριμότητας και της ανθεκτικότητάς του·</w:t>
      </w:r>
    </w:p>
    <w:p w:rsidR="00F70384" w:rsidRPr="005C4A71" w:rsidRDefault="00F70384" w:rsidP="00F70384">
      <w:pPr>
        <w:pStyle w:val="NormalHanging12a"/>
        <w:widowControl/>
        <w:ind w:left="1287" w:hanging="720"/>
        <w:rPr>
          <w:szCs w:val="24"/>
        </w:rPr>
      </w:pPr>
      <w:proofErr w:type="spellStart"/>
      <w:r w:rsidRPr="005C4A71">
        <w:t>ii</w:t>
      </w:r>
      <w:proofErr w:type="spellEnd"/>
      <w:r w:rsidRPr="005C4A71">
        <w:t>)</w:t>
      </w:r>
      <w:r w:rsidRPr="005C4A71">
        <w:tab/>
        <w:t>να ενισχύσει τις κατευθυντήριες γραμμές και τους ελέγχους ώστε να διασφαλίζεται ότι οι οργανισμοί που εκτελούν συμβάσεις υπό έμμεση διαχείριση, συμπεριλαμβανομένων των διεθνών οργανισμών, των διεθνών χρηματοπιστωτικών ιδρυμάτων και των κρατικών υπηρεσιών, συμμορφώνονται με τους κανόνες προβολής·</w:t>
      </w:r>
    </w:p>
    <w:p w:rsidR="00F70384" w:rsidRPr="005C4A71" w:rsidRDefault="00F70384" w:rsidP="00F70384">
      <w:pPr>
        <w:pStyle w:val="NormalHanging12a"/>
        <w:widowControl/>
        <w:ind w:left="1287" w:hanging="720"/>
        <w:rPr>
          <w:szCs w:val="24"/>
        </w:rPr>
      </w:pPr>
      <w:proofErr w:type="spellStart"/>
      <w:r w:rsidRPr="005C4A71">
        <w:t>iii</w:t>
      </w:r>
      <w:proofErr w:type="spellEnd"/>
      <w:r w:rsidRPr="005C4A71">
        <w:t>)</w:t>
      </w:r>
      <w:r w:rsidRPr="005C4A71">
        <w:tab/>
        <w:t>να συνεχίσει να εντείνει την επικοινωνία της με διεθνείς οργανισμούς προκειμένου να παρέχει στο Ελεγκτικό Συνέδριο πλήρη, απεριόριστη και έγκαιρη πρόσβαση —και όχι απλώς σε μορφή μόνο για ανάγνωση— στα έγγραφα που είναι αναγκαία για την άσκηση των καθηκόντων του σύμφωνα με τη ΣΛΕΕ·</w:t>
      </w:r>
    </w:p>
    <w:p w:rsidR="00F70384" w:rsidRPr="005C4A71" w:rsidRDefault="00F70384" w:rsidP="00F70384">
      <w:pPr>
        <w:pStyle w:val="NormalHanging12a"/>
        <w:widowControl/>
        <w:ind w:left="1287" w:hanging="720"/>
        <w:rPr>
          <w:szCs w:val="24"/>
        </w:rPr>
      </w:pPr>
      <w:r w:rsidRPr="005C4A71">
        <w:t>iv)</w:t>
      </w:r>
      <w:r w:rsidRPr="005C4A71">
        <w:tab/>
        <w:t>να εφαρμόζει επαρκή μέτρα προληπτικού και κατασταλτικού ελέγχου σε ασταθείς ζώνες ή ζώνες συγκρούσεων, ώστε να διασφαλίζονται ο κατάλληλος έλεγχος της χρήσης των κονδυλίων της Ένωσης και η ύπαρξη τρόπων ανάκτησης των κονδυλίων της ΕΕ·</w:t>
      </w:r>
    </w:p>
    <w:p w:rsidR="00F70384" w:rsidRPr="005C4A71" w:rsidRDefault="00F70384" w:rsidP="00F70384">
      <w:pPr>
        <w:pStyle w:val="NormalHanging12a"/>
        <w:widowControl/>
        <w:ind w:left="1287" w:hanging="720"/>
        <w:rPr>
          <w:szCs w:val="24"/>
        </w:rPr>
      </w:pPr>
      <w:r w:rsidRPr="005C4A71">
        <w:t>v)</w:t>
      </w:r>
      <w:r w:rsidRPr="005C4A71">
        <w:tab/>
        <w:t>να λάβει μέτρα για τη βελτίωση των συστημάτων ελέγχου όσον αφορά την εκκαθάριση των προχρηματοδοτήσεων που καταβάλλονται σε διεθνείς οργανισμούς·</w:t>
      </w:r>
    </w:p>
    <w:p w:rsidR="00F70384" w:rsidRPr="005C4A71" w:rsidRDefault="00F70384" w:rsidP="00F70384">
      <w:pPr>
        <w:pStyle w:val="NormalHanging12a"/>
        <w:widowControl/>
        <w:ind w:left="1287" w:hanging="720"/>
        <w:rPr>
          <w:szCs w:val="24"/>
        </w:rPr>
      </w:pPr>
      <w:proofErr w:type="spellStart"/>
      <w:r w:rsidRPr="005C4A71">
        <w:t>vi</w:t>
      </w:r>
      <w:proofErr w:type="spellEnd"/>
      <w:r w:rsidRPr="005C4A71">
        <w:t>)</w:t>
      </w:r>
      <w:r w:rsidRPr="005C4A71">
        <w:tab/>
        <w:t>να ενισχύσει τους εκ των προτέρων ελέγχους που εφαρμόζει πριν από την έγκριση των δαπανών·</w:t>
      </w:r>
    </w:p>
    <w:p w:rsidR="00F70384" w:rsidRPr="005C4A71" w:rsidRDefault="00E8367F" w:rsidP="00E8367F">
      <w:pPr>
        <w:pStyle w:val="NormalHanging12a"/>
        <w:widowControl/>
        <w:ind w:hanging="570"/>
        <w:rPr>
          <w:szCs w:val="24"/>
        </w:rPr>
      </w:pPr>
      <w:r w:rsidRPr="005C4A71">
        <w:rPr>
          <w:szCs w:val="24"/>
        </w:rPr>
        <w:t>178.</w:t>
      </w:r>
      <w:r w:rsidRPr="005C4A71">
        <w:rPr>
          <w:szCs w:val="24"/>
        </w:rPr>
        <w:tab/>
      </w:r>
      <w:r w:rsidR="00F70384" w:rsidRPr="005C4A71">
        <w:t>καλεί, επιπλέον, την Επιτροπή:</w:t>
      </w:r>
    </w:p>
    <w:p w:rsidR="00F70384" w:rsidRPr="005C4A71" w:rsidRDefault="00F70384" w:rsidP="00F70384">
      <w:pPr>
        <w:pStyle w:val="NormalHanging12a"/>
        <w:widowControl/>
        <w:ind w:left="1287" w:hanging="720"/>
      </w:pPr>
      <w:r w:rsidRPr="005C4A71">
        <w:t>i)</w:t>
      </w:r>
      <w:r w:rsidRPr="005C4A71">
        <w:tab/>
        <w:t>να παρακολουθεί αυστηρά μέσω όλων των διαθέσιμων μηχανισμών και να συνεργάζεται με την UNRWA για την υλοποίηση όλων των δράσεων που έχουν συμφωνηθεί, ώστε να διασφαλιστεί ότι η UNRWA λειτουργεί σε πλήρη συμμόρφωση με τις ανθρωπιστικές αρχές και την ουδετερότητα, μεταξύ άλλων στην επικείμενη κοινή δήλωση ΕΕ-UNRWA και στις επικείμενες αποφάσεις χρηματοδότησης για υπό όρους βοήθεια της Ένωσης·</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διασφαλίσει ότι όλες οι συμβάσεις που αφορούν κονδύλια της Ένωσης σέβονται πλήρως την ισχύουσα νομοθεσία της Ένωσης, μεταξύ άλλων σε σχέση με τη λογοδοσία, τη διαφάνεια και τη χρηστή δημοσιονομική διαχείριση, κάτι το οποίο πρέπει να περιλαμβάνει την επαλήθευση ότι δεν υπάρχουν υπεργολάβοι, φυσικά πρόσωπα, αποδέκτες χρηματοδοτικής στήριξης προς τρίτους, ή συμμετέχοντες σε εργαστήρια και/ή προγράμματα κατάρτισης που υπόκεινται σε περιοριστικά μέτρα της Ένωσης ή εμπλέκονται στη χρηματοδότηση της τρομοκρατίας ή τρομοκρατικών πράξεων, καθώς και άλλων πράξεων μίσους και υποκίνησης μίσους·</w:t>
      </w:r>
    </w:p>
    <w:p w:rsidR="00F70384" w:rsidRPr="005C4A71" w:rsidRDefault="00F70384" w:rsidP="00F70384">
      <w:pPr>
        <w:pStyle w:val="NormalHanging12a"/>
        <w:widowControl/>
        <w:ind w:left="1287" w:hanging="720"/>
      </w:pPr>
      <w:proofErr w:type="spellStart"/>
      <w:r w:rsidRPr="005C4A71">
        <w:t>iii</w:t>
      </w:r>
      <w:proofErr w:type="spellEnd"/>
      <w:r w:rsidRPr="005C4A71">
        <w:t>)</w:t>
      </w:r>
      <w:r w:rsidRPr="005C4A71">
        <w:tab/>
        <w:t>να αυξήσει την τεκμηριωμένη στόχευση των γεωγραφικών περιοχών και των δικαιούχων και να βελτιώσει την ακρίβεια των αναφερόμενων επιτευγμάτων της μελλοντικής αναπτυξιακής δράσης, μεταξύ άλλων μέσω του Μηχανισμού Γειτονίας, Ανάπτυξης και Διεθνούς Συνεργασίας — Η Ευρώπη στον κόσμο·</w:t>
      </w:r>
    </w:p>
    <w:p w:rsidR="00F70384" w:rsidRPr="00E8367F" w:rsidRDefault="00F70384" w:rsidP="00F70384">
      <w:pPr>
        <w:spacing w:after="240"/>
        <w:rPr>
          <w:b/>
          <w:i/>
        </w:rPr>
      </w:pPr>
      <w:bookmarkStart w:id="300" w:name="_Toc185595119"/>
      <w:r w:rsidRPr="00E8367F">
        <w:rPr>
          <w:b/>
          <w:i/>
        </w:rPr>
        <w:t>Ευρωπαϊκή δημόσια διοίκηση</w:t>
      </w:r>
      <w:bookmarkEnd w:id="300"/>
    </w:p>
    <w:p w:rsidR="00F70384" w:rsidRPr="005C4A71" w:rsidRDefault="00E8367F" w:rsidP="00E8367F">
      <w:pPr>
        <w:pStyle w:val="NormalHanging12a"/>
        <w:widowControl/>
        <w:ind w:hanging="573"/>
      </w:pPr>
      <w:r w:rsidRPr="005C4A71">
        <w:t>179.</w:t>
      </w:r>
      <w:r w:rsidRPr="005C4A71">
        <w:tab/>
      </w:r>
      <w:r w:rsidR="00F70384" w:rsidRPr="005C4A71">
        <w:t>σημειώνει ότι η Επιτροπή είναι άμεσα υπεύθυνη για την εκτέλεση του 59,1 % του συνολικού διοικητικού προϋπολογισμού της Ένωσης, ποσοστό που αντιστοιχεί σε 7,2 δισεκατομμύρια EUR· σημειώνει περαιτέρω ότι το 70 % των διοικητικών δαπανών αφορά ανθρώπινους πόρους, συμπεριλαμβανομένων των συντάξεων, ενώ το υπόλοιπο καλύπτει κυρίως δαπάνες που σχετίζονται με κτίρια, εξοπλισμό, ενέργεια, επικοινωνίες και ΤΠ· σημειώνει με ικανοποίηση ότι και για το 2023 το Ελεγκτικό Συνέδριο καταλήγει στο συμπέρασμα ότι συγκεκριμένος τομέας δαπανών είναι χαμηλού κινδύνου·</w:t>
      </w:r>
    </w:p>
    <w:p w:rsidR="00F70384" w:rsidRPr="005C4A71" w:rsidRDefault="00E8367F" w:rsidP="00E8367F">
      <w:pPr>
        <w:pStyle w:val="NormalHanging12a"/>
        <w:widowControl/>
        <w:ind w:hanging="573"/>
      </w:pPr>
      <w:r w:rsidRPr="005C4A71">
        <w:t>180.</w:t>
      </w:r>
      <w:r w:rsidRPr="005C4A71">
        <w:tab/>
      </w:r>
      <w:r w:rsidR="00F70384" w:rsidRPr="005C4A71">
        <w:t xml:space="preserve">σημειώνει ότι, κατά τη διάρκεια του 2023, 2152 δημόσιοι υπάλληλοι αποχώρησαν από την Επιτροπή κυρίως λόγω συνταξιοδότησης, παραίτησης ή λήξης των </w:t>
      </w:r>
      <w:proofErr w:type="spellStart"/>
      <w:r w:rsidR="00F70384" w:rsidRPr="005C4A71">
        <w:t>συμβάσεών</w:t>
      </w:r>
      <w:proofErr w:type="spellEnd"/>
      <w:r w:rsidR="00F70384" w:rsidRPr="005C4A71">
        <w:t xml:space="preserve"> τους· σημειώνει ότι αυτό αντιπροσωπεύει σχετικά υψηλό ποσοστό εναλλαγής προσωπικού, κάτι το οποίο παρέχει στην Επιτροπή πολλές δυνατότητες να αντιμετωπίσει τις επίμονες ανισορροπίες όσον αφορά τη γεωγραφική εκπροσώπηση σε όλες τις υπηρεσίες·</w:t>
      </w:r>
    </w:p>
    <w:p w:rsidR="00F70384" w:rsidRPr="005C4A71" w:rsidRDefault="00E8367F" w:rsidP="00E8367F">
      <w:pPr>
        <w:pStyle w:val="NormalHanging12a"/>
        <w:widowControl/>
        <w:ind w:hanging="573"/>
      </w:pPr>
      <w:r w:rsidRPr="005C4A71">
        <w:t>181.</w:t>
      </w:r>
      <w:r w:rsidRPr="005C4A71">
        <w:tab/>
      </w:r>
      <w:r w:rsidR="00F70384" w:rsidRPr="005C4A71">
        <w:t>ενθαρρύνει την Επιτροπή, από κοινού με την EPSO, να διασφαλίσουν τη δημιουργία των αναγκαίων τεχνικών συστημάτων το συντομότερο δυνατόν και την επιτάχυνση των διαδικασιών προκειμένου η Επιτροπή και τα άλλα θεσμικά όργανα της Ένωσης να μπορούν να βασίζονται στην EPSO για την επιλογή υποψηφίων με υψηλά προσόντα και κίνητρα για όλα τα είδη θέσεων εργασίας στα θεσμικά όργανα·</w:t>
      </w:r>
    </w:p>
    <w:p w:rsidR="00F70384" w:rsidRPr="005C4A71" w:rsidRDefault="00E8367F" w:rsidP="00E8367F">
      <w:pPr>
        <w:pStyle w:val="NormalHanging12a"/>
        <w:ind w:hanging="573"/>
      </w:pPr>
      <w:r w:rsidRPr="005C4A71">
        <w:t>182.</w:t>
      </w:r>
      <w:r w:rsidRPr="005C4A71">
        <w:tab/>
      </w:r>
      <w:r w:rsidR="00F70384" w:rsidRPr="005C4A71">
        <w:t>εκφράζει την ικανοποίησή του για το γεγονός ότι η εκπροσώπηση των γυναικών σε διευθυντικές θέσεις αυξήθηκε από 46,1</w:t>
      </w:r>
      <w:r w:rsidR="0087261B">
        <w:t> </w:t>
      </w:r>
      <w:r w:rsidR="00F70384" w:rsidRPr="005C4A71">
        <w:t>% τον Δεκέμβριο του 2022 σε 47,8</w:t>
      </w:r>
      <w:r w:rsidR="0087261B">
        <w:t> </w:t>
      </w:r>
      <w:r w:rsidR="00F70384" w:rsidRPr="005C4A71">
        <w:t>% τον Δεκέμβριο του 2023· ενθαρρύνει την Επιτροπή να συνεχίσει να εστιάζει στη διασφάλιση και τη διατήρηση της ισόρροπης εκπροσώπησης των φύλων σε όλα τα επίπεδα διοίκησης·</w:t>
      </w:r>
    </w:p>
    <w:p w:rsidR="00F70384" w:rsidRPr="005C4A71" w:rsidRDefault="00E8367F" w:rsidP="00E8367F">
      <w:pPr>
        <w:pStyle w:val="NormalHanging12a"/>
        <w:ind w:hanging="573"/>
      </w:pPr>
      <w:r w:rsidRPr="005C4A71">
        <w:t>183.</w:t>
      </w:r>
      <w:r w:rsidRPr="005C4A71">
        <w:tab/>
      </w:r>
      <w:r w:rsidR="00F70384" w:rsidRPr="005C4A71">
        <w:t>σημειώνει με ικανοποίηση ότι η Επιτροπή έχει εφαρμόσει πολιτικές για τη βελτίωση της ισορροπίας μεταξύ επαγγελματικής και ιδιωτικής ζωής, και της ευημερίας του προσωπικού, συμπεριλαμβανομένου του δικαιώματος στην αποσύνδεση· επικροτεί, ταυτόχρονα, το γεγονός ότι εγκρίθηκε μια νέα απόφαση σχετικά με την πρόληψη και την καταπολέμηση της παρενόχλησης, η οποία καθορίζει τη θέση του επικεφαλής εμπιστευτικού συμβούλου ως βασικού προσώπου για την καταπολέμηση της παρενόχλησης· τονίζει την ανάγκη να διατεθούν για τη θέση αυτή οι απαιτούμενοι πόροι για την αποτελεσματική εκτέλεση των πολλαπλών και απαιτητικών καθηκόντων·</w:t>
      </w:r>
    </w:p>
    <w:p w:rsidR="00F70384" w:rsidRPr="005C4A71" w:rsidRDefault="00E8367F" w:rsidP="00E8367F">
      <w:pPr>
        <w:pStyle w:val="NormalHanging12a"/>
        <w:ind w:hanging="573"/>
      </w:pPr>
      <w:r w:rsidRPr="005C4A71">
        <w:t>184.</w:t>
      </w:r>
      <w:r w:rsidRPr="005C4A71">
        <w:tab/>
      </w:r>
      <w:r w:rsidR="00F70384" w:rsidRPr="005C4A71">
        <w:t>αναγνωρίζει την πρόοδο της Επιτροπής όσον αφορά τη στελέχωση των βρεφονηπιακών σταθμών με εσωτερικό προσωπικό·</w:t>
      </w:r>
    </w:p>
    <w:p w:rsidR="00F70384" w:rsidRPr="005C4A71" w:rsidRDefault="00E8367F" w:rsidP="00E8367F">
      <w:pPr>
        <w:pStyle w:val="NormalHanging12a"/>
        <w:widowControl/>
        <w:ind w:hanging="573"/>
      </w:pPr>
      <w:r w:rsidRPr="005C4A71">
        <w:t>185.</w:t>
      </w:r>
      <w:r w:rsidRPr="005C4A71">
        <w:tab/>
      </w:r>
      <w:r w:rsidR="00F70384" w:rsidRPr="005C4A71">
        <w:t>σημειώνει με ικανοποίηση ότι η Επιτροπή εξέδωσε επικαιροποιημένες εκδόσεις των κατευθυντήριων γραμμών σχετικά με τα δεοντολογικά πρότυπα για τη συμμετοχή των μελών της Ευρωπαϊκής Επιτροπής στην προεκλογική εκστρατεία για το Ευρωπαϊκό Κοινοβούλιο, και των κατευθυντήριων γραμμών για τη συμμετοχή των μελών της Επιτροπής σε προεκλογικές εκστρατείες σε επίπεδο κρατών μελών· επαινεί περαιτέρω το γεγονός ότι, τον Μάρτιο του 2023, η Επιτροπή ενέκρινε τους αναγκαίους ενισχυμένους κανόνες σχετικά με τις αποστολές και το κόστος που καταβάλλουν τρίτοι·</w:t>
      </w:r>
    </w:p>
    <w:p w:rsidR="001B5954" w:rsidRPr="005C4A71" w:rsidRDefault="00E8367F" w:rsidP="00E8367F">
      <w:pPr>
        <w:pStyle w:val="NormalHanging12a"/>
        <w:widowControl/>
        <w:ind w:hanging="570"/>
      </w:pPr>
      <w:r w:rsidRPr="005C4A71">
        <w:t>186.</w:t>
      </w:r>
      <w:r w:rsidRPr="005C4A71">
        <w:tab/>
      </w:r>
      <w:r w:rsidR="00F70384" w:rsidRPr="005C4A71">
        <w:t>τονίζει την ανάγκη να διασφαλιστεί ότι όλα τα θεσμικά όργανα της Ένωσης στο Λουξεμβούργο μπορούν να προσελκύσουν προσωπικό για όλα τα είδη σταδιοδρομίας και θέσεων εργασίας· σημειώνει ότι, ιδίως για τους υπαλλήλους χαμηλότερων μισθολογικών βαθμών, το Λουξεμβούργο μπορεί να αποτελεί λιγότερο ελκυστική επιλογή λόγω του κόστους διαβίωσης· σημειώνει ότι, με τη συμφωνία για τον προϋπολογισμό του 2025, έγινε το πρώτο βήμα με τη θέσπιση ειδικού επιδόματος στέγασης για το προσωπικό χαμηλότερων βαθμών που εργάζεται στα θεσμικά όργανα της Ένωσης στο Λουξεμβούργο·</w:t>
      </w:r>
    </w:p>
    <w:p w:rsidR="00F70384" w:rsidRPr="005C4A71" w:rsidRDefault="00E8367F" w:rsidP="00E8367F">
      <w:pPr>
        <w:pStyle w:val="NormalHanging12a"/>
        <w:widowControl/>
        <w:ind w:hanging="573"/>
      </w:pPr>
      <w:r w:rsidRPr="005C4A71">
        <w:t>187.</w:t>
      </w:r>
      <w:r w:rsidRPr="005C4A71">
        <w:tab/>
      </w:r>
      <w:r w:rsidR="00F70384" w:rsidRPr="005C4A71">
        <w:t>σημειώνει ότι η Επιτροπή έχει τον φιλόδοξο στόχο να μειώσει το συνολικό εμβαδόν των γραφείων της κατά 25 % και τον αριθμό των κτιρίων κατά 50 % έως το 2030 σε σύγκριση με το 2020· σημειώνει ότι η αθροιστική μείωση του συνολικού εμβαδού ανήλθε σε λίγο πάνω από 83 000 m² το 2023, δηλαδή σε 11 %· εκφράζει την ικανοποίησή του για το γεγονός ότι ο στόχος αυτός αποτελεί σημαντικό στοιχείο για να επιτύχει η Επιτροπή ουδέτερο ισοζύγιο άνθρακα και να μειώσει το διοικητικό κόστος· τονίζει ότι είναι σημαντικό η μείωση του αριθμού των κτιρίων και του εμβαδού των γραφείων και η επακόλουθη ανάπτυξη συνεργατικών χώρων εργασίας και άλλες σημαντικές διοικητικές αλλαγές να πραγματοποιηθούν σε στενή συνεργασία με το προσωπικό·</w:t>
      </w:r>
    </w:p>
    <w:p w:rsidR="00F70384" w:rsidRPr="005C4A71" w:rsidRDefault="00E8367F" w:rsidP="00E8367F">
      <w:pPr>
        <w:pStyle w:val="NormalHanging12a"/>
        <w:ind w:hanging="573"/>
      </w:pPr>
      <w:r w:rsidRPr="005C4A71">
        <w:t>188.</w:t>
      </w:r>
      <w:r w:rsidRPr="005C4A71">
        <w:tab/>
      </w:r>
      <w:r w:rsidR="00F70384" w:rsidRPr="005C4A71">
        <w:t xml:space="preserve">εκφράζει την ανησυχία του για τις σοβαρές καθυστερήσεις, έως και 6 μηνών, που αντιμετωπίζουν οι δημόσιοι υπάλληλοι σε όλα τα θεσμικά όργανα όταν λαμβάνουν τις επιστροφές των δαπανών υγειονομικής περίθαλψης στο πλαίσιο του συστήματος ασφάλισης υγείας των θεσμικών οργάνων· εκφράζει επίσης την ανησυχία του για την ανεπαρκή μεταχείριση των δημοσίων υπαλλήλων και των βουλευτών του ΕΚ με </w:t>
      </w:r>
      <w:proofErr w:type="spellStart"/>
      <w:r w:rsidR="00F70384" w:rsidRPr="005C4A71">
        <w:t>αυτοάνοσες</w:t>
      </w:r>
      <w:proofErr w:type="spellEnd"/>
      <w:r w:rsidR="00F70384" w:rsidRPr="005C4A71">
        <w:t xml:space="preserve"> νόσους, νευρολογικές διαταραχές, ΧΑΠ (χρόνια αποφρακτική πνευμονοπάθεια), μακρόχρονη COVID, μη διαγνωσμένες και σπάνιες ασθένειες, από το σύστημα ασφάλισης ασθενείας των θεσμικών οργάνων· σημειώνει ότι οι ασθενείς με αυτά τα συμπτώματα συχνά δεν αποζημιώνονται για τις διαγνωστικές τους εξετάσεις·</w:t>
      </w:r>
    </w:p>
    <w:p w:rsidR="00F70384" w:rsidRPr="005C4A71" w:rsidRDefault="00E8367F" w:rsidP="00E8367F">
      <w:pPr>
        <w:pStyle w:val="NormalHanging12a"/>
        <w:ind w:hanging="573"/>
      </w:pPr>
      <w:r w:rsidRPr="005C4A71">
        <w:t>189.</w:t>
      </w:r>
      <w:r w:rsidRPr="005C4A71">
        <w:tab/>
      </w:r>
      <w:r w:rsidR="00F70384" w:rsidRPr="005C4A71">
        <w:t xml:space="preserve">σημειώνει ότι το 2023 η </w:t>
      </w:r>
      <w:proofErr w:type="spellStart"/>
      <w:r w:rsidR="00F70384" w:rsidRPr="005C4A71">
        <w:t>Διαμεσολαβήτρια</w:t>
      </w:r>
      <w:proofErr w:type="spellEnd"/>
      <w:r w:rsidR="00F70384" w:rsidRPr="005C4A71">
        <w:t xml:space="preserve"> κίνησε 398 έρευνες σχετικά με την Επιτροπή· σημειώνει περαιτέρω ότι, κατά τη διάρκεια του 2023, η Επιτροπή δέχθηκε 187 αποφάσεις για περάτωση χωρίς παρατηρήσεις και 17 αποφάσεις σχετικά με κακοδιοίκηση· σημειώνει με ανησυχία ότι η </w:t>
      </w:r>
      <w:proofErr w:type="spellStart"/>
      <w:r w:rsidR="00F70384" w:rsidRPr="005C4A71">
        <w:t>Διαμεσολαβήτρια</w:t>
      </w:r>
      <w:proofErr w:type="spellEnd"/>
      <w:r w:rsidR="00F70384" w:rsidRPr="005C4A71">
        <w:t xml:space="preserve"> λαμβάνει πολλές καταγγελίες πολιτών σχετικά με ακραίες καθυστερήσεις στην παραχώρηση πρόσβασης σε ζητούμενα έγγραφα από την Επιτροπή, και ενθαρρύνει την Επιτροπή να προσπαθήσει να επιταχύνει τη διεκπεραίωση των αιτημάτων αυτών και να μειώσει περαιτέρω τον αριθμό των αποφάσεων σχετικά με κακοδιοίκηση και να θεσπίσει σαφείς κανόνες σχετικά με την πρόσβαση σε όλα τα είδη γραπτών κειμένων, είτε αυτά βρίσκονται σε έντυπη μορφή ή σε μορφή ηλεκτρονικού ταχυδρομείου ή γραπτού μηνύματος είτε σε οποιαδήποτε άλλη μορφή επικοινωνίας που αποτελεί μέρος μιας διοικητικής διαδικασίας που σχετίζεται με τις πολιτικές ή τις αποφάσεις της Επιτροπής· σημειώνει ότι από τις εννέα έρευνες που σχετίζονται με την Επιτροπή και ολοκληρώθηκαν από την OLAF το 2023, επτά περατώθηκαν με συστάσεις· καλεί την Επιτροπή να διασφαλίσει τη διαφάνεια και τη λογοδοσία κατά τη συνέχεια που δίνεται σε αυτές τις περιπτώσεις·</w:t>
      </w:r>
    </w:p>
    <w:p w:rsidR="00F70384" w:rsidRPr="005C4A71" w:rsidRDefault="00E8367F" w:rsidP="00E8367F">
      <w:pPr>
        <w:pStyle w:val="NormalHanging12a"/>
        <w:ind w:hanging="573"/>
      </w:pPr>
      <w:r w:rsidRPr="005C4A71">
        <w:t>190.</w:t>
      </w:r>
      <w:r w:rsidRPr="005C4A71">
        <w:tab/>
      </w:r>
      <w:r w:rsidR="00F70384" w:rsidRPr="005C4A71">
        <w:t>εκφράζει τη βαθιά του ανησυχία για το γεγονός ότι υπήρξαν καταγγελίες για διαφθορά που συνδέονται με την Επιτροπή· εκφράζει, ταυτόχρονα, τη λύπη του για το γεγονός ότι έχουν διατυπωθεί καταγγελίες σχετικά με αξιωματούχους της Επιτροπής που εικάζεται ότι αποδέχθηκαν δώρα από χώρα με την οποία η Ένωση διαπραγματευόταν συμφωνία· τονίζει την ανάγκη για σαφή και συστηματική προσέγγιση ώστε να διασφαλιστεί ότι όλες οι υποθέσεις της OLAF που αφορούν σχετικά δυνητικά ποινικά αδικήματα παραπέμπονται αμέσως στην Ευρωπαϊκή Εισαγγελία και στις αρμόδιες εθνικές αρχές· καλεί την Επιτροπή να ενισχύσει τους σχετικούς κανόνες και διαδικασίες προκειμένου να διασφαλιστεί ότι όλες οι υποθέσεις αντιμετωπίζονται με αυστηρό, ορθό και αποτελεσματικό τρόπο·</w:t>
      </w:r>
    </w:p>
    <w:p w:rsidR="00F70384" w:rsidRDefault="00E8367F" w:rsidP="00E8367F">
      <w:pPr>
        <w:pStyle w:val="NormalHanging12a"/>
        <w:ind w:hanging="573"/>
      </w:pPr>
      <w:r>
        <w:t>191.</w:t>
      </w:r>
      <w:r>
        <w:tab/>
      </w:r>
      <w:r w:rsidR="00F70384" w:rsidRPr="005C4A71">
        <w:t xml:space="preserve">σημειώνει ότι πολύ λίγες περιπτώσεις ψυχολογικής και σεξουαλικής παρενόχλησης έχουν αναγνωριστεί ως τέτοιες τα τελευταία χρόνια και εκφράζει την ανησυχία του για το γεγονός ότι αυτό μπορεί να υποδηλώνει την ύπαρξη τυφλών σημείων στην </w:t>
      </w:r>
      <w:proofErr w:type="spellStart"/>
      <w:r w:rsidR="00F70384" w:rsidRPr="005C4A71">
        <w:t>οργανωσιακή</w:t>
      </w:r>
      <w:proofErr w:type="spellEnd"/>
      <w:r w:rsidR="00F70384" w:rsidRPr="005C4A71">
        <w:t xml:space="preserve"> νοοτροπία της Επιτροπής, δεδομένου του σημαντικού αριθμού υπαλλήλων του θεσμικού οργάνου·</w:t>
      </w:r>
    </w:p>
    <w:p w:rsidR="00E8367F" w:rsidRPr="005C4A71" w:rsidRDefault="00E8367F" w:rsidP="00E8367F">
      <w:pPr>
        <w:pStyle w:val="NormalHanging12a"/>
        <w:ind w:hanging="573"/>
      </w:pPr>
      <w:r w:rsidRPr="005C4A71">
        <w:t>192.</w:t>
      </w:r>
      <w:r w:rsidRPr="005C4A71">
        <w:tab/>
      </w:r>
      <w:r w:rsidRPr="001B5954">
        <w:t>εκφράζει τη βαθιά του ανησυχία σχετικά με τις αναφορές για εν εξελίξει έρευνα στην οποία εμπλέκεται ο πρώην επίτροπος Δικαιοσύνης, ο οποίος εικάζεται ότι συμμετείχε, κατά τη διάρκεια της θητείας του, σε δραστηριότητες νομιμοποίησης εσόδων από παράνομες δραστηριότητες που αφορούν κεφάλαια άγνωστης προέλευσης· καλεί την Επιτροπή να συνεργαστεί πλήρως με τις βελγικές αρχές και να διευκρινίσει επειγόντως κατά πόσον οι δραστηριότητες αυτές συνδέονταν καθ’ οιονδήποτε τρόπο με τα επίσημα καθήκοντά του εντός της Επιτροπής·</w:t>
      </w:r>
    </w:p>
    <w:p w:rsidR="00F70384" w:rsidRPr="005C4A71" w:rsidRDefault="00E8367F" w:rsidP="00E8367F">
      <w:pPr>
        <w:pStyle w:val="NormalHanging12a"/>
        <w:ind w:hanging="573"/>
      </w:pPr>
      <w:r w:rsidRPr="005C4A71">
        <w:t>193.</w:t>
      </w:r>
      <w:r w:rsidRPr="005C4A71">
        <w:tab/>
      </w:r>
      <w:r w:rsidR="00F70384" w:rsidRPr="005C4A71">
        <w:t>ζητεί από την Επιτροπή να δίνει προτεραιότητα σε μόνιμους υπαλλήλους αντί εξωτερικών συμβούλων και συμβασιούχων υπαλλήλων, προκειμένου να διασφαλίζονται ποιοτικές συνθήκες εργασίας και να αποτρέπεται η απώλεια γνώσης και εμπειρίας· ζητεί να δοθεί ευελιξία στις ΓΔ με υψηλό ποσοστό αποσπασμένων εθνικών εμπειρογνωμόνων (ΑΕΕ) στον πίνακα προσωπικού να μετατρέπουν τις θέσεις ΑΕΕ σε θέσεις έκτακτων υπαλλήλων, με στόχο τη διασφάλιση καλύτερης διατήρησης εμπειρογνωσίας, επιχειρησιακής λειτουργικότητας και επιχειρησιακής συνέχειας· εμμένει περαιτέρω στην αποφυγή της εξωτερικής ανάθεσης καθηκόντων σε γραφεία συμβούλων όταν υπάρχει διαθέσιμη τεχνογνωσία εντός του οργάνου·</w:t>
      </w:r>
    </w:p>
    <w:p w:rsidR="00F70384" w:rsidRPr="005C4A71" w:rsidRDefault="00E8367F" w:rsidP="00E8367F">
      <w:pPr>
        <w:pStyle w:val="NormalHanging12a"/>
        <w:ind w:hanging="573"/>
      </w:pPr>
      <w:r w:rsidRPr="005C4A71">
        <w:t>194.</w:t>
      </w:r>
      <w:r w:rsidRPr="005C4A71">
        <w:tab/>
      </w:r>
      <w:r w:rsidR="00F70384" w:rsidRPr="005C4A71">
        <w:t>σημειώνει ότι, τα τελευταία χρόνια, η Επιτροπή αναθέτει ολοένα και περισσότερο εκτιμήσεις επιπτώσεων σε εξωτερικές εταιρείες, εγείροντας ανησυχίες σχετικά με πιθανές συγκρούσεις συμφερόντων· καλεί την Επιτροπή να ενισχύσει τις διατάξεις για την πρόληψη πιθανών συγκρούσεων συμφερόντων και να παράσχει καλύτερη καθοδήγηση στο προσωπικό που χειρίζεται τις διαδικασίες δημόσιων συμβάσεων για συμβάσεις υπηρεσιών που σχετίζονται με πολιτικές·</w:t>
      </w:r>
    </w:p>
    <w:p w:rsidR="00F70384" w:rsidRPr="005C4A71" w:rsidRDefault="00E8367F" w:rsidP="00E8367F">
      <w:pPr>
        <w:pStyle w:val="NormalHanging12a"/>
        <w:ind w:hanging="573"/>
      </w:pPr>
      <w:r w:rsidRPr="005C4A71">
        <w:t>195.</w:t>
      </w:r>
      <w:r w:rsidRPr="005C4A71">
        <w:tab/>
      </w:r>
      <w:r w:rsidR="00F70384" w:rsidRPr="005C4A71">
        <w:t>εκφράζει τη λύπη του για την κατασκοπεία που εικάζεται ότι οργάνωσε η ουγγρική κυβέρνηση εις βάρος του προσωπικού της OLAF κατά τη διάρκεια ερευνητικής αποστολής· ζητεί την ταχεία θέσπιση ισχυρών μέτρων προστασίας για τη διασφάλιση του θεσμικού προσωπικού της Ένωσης που βρίσκεται σε αποστολή στα κράτη μέλη και για την πρόληψη τυχόν παραβιάσεων·</w:t>
      </w:r>
    </w:p>
    <w:p w:rsidR="00F70384" w:rsidRPr="005C4A71" w:rsidRDefault="00E8367F" w:rsidP="00E8367F">
      <w:pPr>
        <w:pStyle w:val="NormalHanging12a"/>
        <w:ind w:hanging="573"/>
      </w:pPr>
      <w:r w:rsidRPr="005C4A71">
        <w:t>196.</w:t>
      </w:r>
      <w:r w:rsidRPr="005C4A71">
        <w:tab/>
      </w:r>
      <w:r w:rsidR="00F70384" w:rsidRPr="005C4A71">
        <w:t>εκφράζει την ικανοποίησή του για την έναρξη ισχύος του κανονισμού (ΕΕ) 2023/2841</w:t>
      </w:r>
      <w:r w:rsidR="00F70384" w:rsidRPr="005C4A71">
        <w:rPr>
          <w:rStyle w:val="FootnoteReference"/>
        </w:rPr>
        <w:footnoteReference w:id="121"/>
      </w:r>
      <w:r w:rsidR="00F70384" w:rsidRPr="005C4A71">
        <w:t>· σημειώνει τις επενδύσεις στην κυβερνοασφάλεια, συμπεριλαμβανομένων 30 εκατομμυρίων EUR που διατίθενται για την ενίσχυση της ψηφιακής ασφάλειας στην Επιτροπή· καλεί την Επιτροπή να καταβάλει κάθε δυνατή προσπάθεια για την περαιτέρω ανάπτυξη μιας νοοτροπίας κυβερνοασφάλειας, προωθώντας την κατάρτιση και την ευαισθητοποίηση εντός του θεσμικού οργάνου της Ένωσης· τονίζει ότι είναι σημαντικό να συνεχιστεί η πραγματοποίηση κατάλληλων επενδύσεων στον τομέα της κυβερνοασφάλειας για την επίτευξη του πιο μακροπρόθεσμου ενδεικτικού στόχου της τάξης τουλάχιστον του 10 % των συνολικών δαπανών ΤΠ·</w:t>
      </w:r>
    </w:p>
    <w:p w:rsidR="00F70384" w:rsidRPr="00E8367F" w:rsidRDefault="00E8367F" w:rsidP="00E8367F">
      <w:pPr>
        <w:spacing w:after="240"/>
        <w:ind w:left="567" w:hanging="573"/>
        <w:rPr>
          <w:i/>
          <w:szCs w:val="24"/>
        </w:rPr>
      </w:pPr>
      <w:r w:rsidRPr="00C474CB">
        <w:rPr>
          <w:szCs w:val="24"/>
        </w:rPr>
        <w:t>197.</w:t>
      </w:r>
      <w:r w:rsidRPr="00C474CB">
        <w:rPr>
          <w:szCs w:val="24"/>
        </w:rPr>
        <w:tab/>
      </w:r>
      <w:r w:rsidR="00F70384" w:rsidRPr="005C4A71">
        <w:t>τονίζει εκ νέου την ανησυχία του για το γεγονός ότι εξακολουθούν να μην έχουν αντιμετωπιστεί επαρκώς οι σημαντικοί κίνδυνοι που σχετίζονται με την ασφάλεια και την προστασία του μητρώου και του μηχανισμού λειτουργίας του συστήματος της Ένωσης για την εμπορία δικαιωμάτων εκπομπής αερίων του θερμοκηπίου έναντι κυβερνοεπιθέσεων· επισημαίνει ότι το ζήτημα αυτό έχει επισημανθεί στις ετήσιες εκθέσεις δραστηριοτήτων (ΕΕΔ) από το 2010, με επιφυλάξεις που διατυπώθηκαν σε κάθε έκθεση· σημειώνει ότι η ανησυχία αυτή τονίζεται για άλλη μια φορά στην ετήσια έκθεση δραστηριοτήτων της Γενικής Διεύθυνσης Δράσης για το Κλίμα για το 2023, γεγονός που υποδηλώνει περαιτέρω ότι εξακολουθεί να μη δίνεται προτεραιότητα στην ασφάλεια του συστήματος·</w:t>
      </w:r>
    </w:p>
    <w:p w:rsidR="00F70384" w:rsidRPr="005C4A71" w:rsidRDefault="00F70384" w:rsidP="00F70384">
      <w:pPr>
        <w:spacing w:after="240"/>
        <w:ind w:left="567" w:hanging="567"/>
        <w:jc w:val="both"/>
        <w:rPr>
          <w:i/>
        </w:rPr>
      </w:pPr>
      <w:r w:rsidRPr="005C4A71">
        <w:rPr>
          <w:i/>
        </w:rPr>
        <w:t>Ευρωπαϊκά Σχολεία</w:t>
      </w:r>
    </w:p>
    <w:p w:rsidR="00F70384" w:rsidRPr="005C4A71" w:rsidRDefault="00E8367F" w:rsidP="00E8367F">
      <w:pPr>
        <w:pStyle w:val="NormalHanging12a"/>
        <w:widowControl/>
        <w:ind w:hanging="570"/>
      </w:pPr>
      <w:r w:rsidRPr="005C4A71">
        <w:t>198.</w:t>
      </w:r>
      <w:r w:rsidRPr="005C4A71">
        <w:tab/>
      </w:r>
      <w:r w:rsidR="00F70384" w:rsidRPr="005C4A71">
        <w:t>σημειώνει ότι ο συνολικός προϋπολογισμός των Ευρωπαϊκών Σχολείων για το 2023 ανήλθε σε 417,5 εκατομμύρια EUR, ποσό το οποίο καλύφθηκε κυρίως από την Επιτροπή, άλλα θεσμικά όργανα της Ένωσης, τα κράτη μέλη και τα δίδακτρα που καταβάλλουν οι γονείς· σημειώνει περαιτέρω ότι σχεδόν το 80 % του προϋπολογισμού αφορούσε δαπάνες προσωπικού·</w:t>
      </w:r>
    </w:p>
    <w:p w:rsidR="00F70384" w:rsidRPr="005C4A71" w:rsidRDefault="00E8367F" w:rsidP="00E8367F">
      <w:pPr>
        <w:pStyle w:val="NormalHanging12a"/>
        <w:widowControl/>
        <w:ind w:hanging="570"/>
      </w:pPr>
      <w:r w:rsidRPr="005C4A71">
        <w:t>199.</w:t>
      </w:r>
      <w:r w:rsidRPr="005C4A71">
        <w:tab/>
      </w:r>
      <w:r w:rsidR="00F70384" w:rsidRPr="005C4A71">
        <w:t>σημειώνει με ικανοποίηση ότι το Ελεγκτικό Συνέδριο είναι σε θέση να συμπεράνει ότι δεν υπέπεσε στην αντίληψή του κανένα στοιχείο βάσει του οποίου να πρέπει να θεωρήσει ότι οι ενοποιημένοι λογαριασμοί για το 2023 δεν καταρτίστηκαν, από κάθε ουσιώδη πλευρά, σύμφωνα με τα διεθνή λογιστικά πρότυπα του δημόσιου τομέα·</w:t>
      </w:r>
    </w:p>
    <w:p w:rsidR="00F70384" w:rsidRPr="005C4A71" w:rsidRDefault="00E8367F" w:rsidP="00E8367F">
      <w:pPr>
        <w:pStyle w:val="NormalHanging12a"/>
        <w:widowControl/>
        <w:ind w:hanging="570"/>
      </w:pPr>
      <w:r w:rsidRPr="005C4A71">
        <w:t>200.</w:t>
      </w:r>
      <w:r w:rsidRPr="005C4A71">
        <w:tab/>
      </w:r>
      <w:r w:rsidR="00F70384" w:rsidRPr="005C4A71">
        <w:t>παρατηρεί ότι το Ελεγκτικό Συνέδριο εντόπισε ορισμένες συστηματικές ή επαναλαμβανόμενες αδυναμίες στις πληρωμές και τις σχετικές διαδικασίες ανθρώπινων πόρων και σύναψης συμβάσεων, μεταξύ των οποίων ανεπαρκής επαλήθευση των αποδεικτικών στοιχείων που επηρεάζει την κανονικότητα ορισμένων διαδικασιών ανθρώπινων πόρων και πληρωμών·</w:t>
      </w:r>
    </w:p>
    <w:p w:rsidR="00F70384" w:rsidRPr="005C4A71" w:rsidRDefault="00E8367F" w:rsidP="00E8367F">
      <w:pPr>
        <w:pStyle w:val="NormalHanging12a"/>
        <w:widowControl/>
        <w:ind w:hanging="570"/>
      </w:pPr>
      <w:r w:rsidRPr="005C4A71">
        <w:t>201.</w:t>
      </w:r>
      <w:r w:rsidRPr="005C4A71">
        <w:tab/>
      </w:r>
      <w:r w:rsidR="00F70384" w:rsidRPr="005C4A71">
        <w:t>καλεί, ειδικότερα, την Επιτροπή:</w:t>
      </w:r>
    </w:p>
    <w:p w:rsidR="00F70384" w:rsidRPr="005C4A71" w:rsidRDefault="00F70384" w:rsidP="00F70384">
      <w:pPr>
        <w:pStyle w:val="NormalHanging12a"/>
        <w:widowControl/>
        <w:ind w:left="1287" w:hanging="720"/>
      </w:pPr>
      <w:r w:rsidRPr="005C4A71">
        <w:t>i)</w:t>
      </w:r>
      <w:r w:rsidRPr="005C4A71">
        <w:tab/>
        <w:t>να διασφαλίσει ότι τα θεσμικά όργανα της Ένωσης μπορούν να βασίζονται στην EPSO για την αποτελεσματική οργάνωση και ολοκλήρωση των διαδικασιών επιλογής προσωπικού και άλλων διαδικασιών που σχετίζονται με το προσωπικό, προκειμένου τα θεσμικά όργανα της Ένωσης να μπορούν να καλύπτουν τις κενές τους θέσεις με υποψηφίους που έχουν επαρκώς υψηλά προσόντα και κίνητρα·</w:t>
      </w:r>
    </w:p>
    <w:p w:rsidR="00F70384" w:rsidRPr="005C4A71" w:rsidRDefault="00F70384" w:rsidP="00F70384">
      <w:pPr>
        <w:pStyle w:val="NormalHanging12a"/>
        <w:widowControl/>
        <w:ind w:left="1287" w:hanging="720"/>
      </w:pPr>
      <w:proofErr w:type="spellStart"/>
      <w:r w:rsidRPr="005C4A71">
        <w:t>ii</w:t>
      </w:r>
      <w:proofErr w:type="spellEnd"/>
      <w:r w:rsidRPr="005C4A71">
        <w:t>)</w:t>
      </w:r>
      <w:r w:rsidRPr="005C4A71">
        <w:tab/>
        <w:t>να διερευνήσει όλες τις δυνατότητες διόρθωσης σημαντικών γεωγραφικών ανισορροπιών και ανισορροπιών μεταξύ των φύλων σε διάφορες κατηγορίες προσωπικού·</w:t>
      </w:r>
    </w:p>
    <w:p w:rsidR="00F70384" w:rsidRPr="005C4A71" w:rsidRDefault="00F70384" w:rsidP="00F70384">
      <w:pPr>
        <w:pStyle w:val="NormalHanging12a"/>
        <w:widowControl/>
        <w:ind w:left="1287" w:hanging="720"/>
      </w:pPr>
      <w:proofErr w:type="spellStart"/>
      <w:r w:rsidRPr="005C4A71">
        <w:t>iii</w:t>
      </w:r>
      <w:proofErr w:type="spellEnd"/>
      <w:r w:rsidRPr="005C4A71">
        <w:t>)</w:t>
      </w:r>
      <w:r w:rsidRPr="005C4A71">
        <w:tab/>
        <w:t>να συνεχίσει να επεξεργάζεται μέτρα που θα διασφαλίσουν ότι τα θεσμικά όργανα της Ένωσης που εδρεύουν στο Λουξεμβούργο θα μπορούν να συνεχίσουν να προσελκύουν προσωπικό με υψηλά προσόντα για όλα τα είδη θέσεων εργασίας·</w:t>
      </w:r>
    </w:p>
    <w:p w:rsidR="00F70384" w:rsidRPr="005C4A71" w:rsidRDefault="00F70384" w:rsidP="00F70384">
      <w:pPr>
        <w:pStyle w:val="NormalHanging12a"/>
        <w:widowControl/>
        <w:ind w:left="1287" w:hanging="720"/>
      </w:pPr>
      <w:r w:rsidRPr="005C4A71">
        <w:t>iv)</w:t>
      </w:r>
      <w:r w:rsidRPr="005C4A71">
        <w:tab/>
        <w:t>να διασφαλίσει ότι η ανάπτυξη συνεργατικών χώρων εργασίας και άλλες σημαντικές διοικητικές αλλαγές πραγματοποιούνται σε στενή συνεργασία με το προσωπικό·</w:t>
      </w:r>
    </w:p>
    <w:p w:rsidR="00F70384" w:rsidRPr="005C4A71" w:rsidRDefault="00F70384" w:rsidP="00F70384">
      <w:pPr>
        <w:pStyle w:val="NormalHanging12a"/>
        <w:widowControl/>
        <w:ind w:left="1287" w:hanging="720"/>
      </w:pPr>
      <w:r w:rsidRPr="005C4A71">
        <w:t>v)</w:t>
      </w:r>
      <w:r w:rsidRPr="005C4A71">
        <w:tab/>
        <w:t>να αυξήσει το προσωπικό που επεξεργάζεται τις αιτήσεις επιστροφής εξόδων στο πλαίσιο του συστήματος ασφάλισης υγείας, να βελτιώσει την κατάρτιση του προσωπικού και να εξασφαλίσει καλύτερο λογισμικό ΤΠ για την ταχύτερη διεκπεραίωση των αιτήσεων·</w:t>
      </w:r>
    </w:p>
    <w:p w:rsidR="00F70384" w:rsidRPr="005C4A71" w:rsidRDefault="00F70384" w:rsidP="00F70384">
      <w:pPr>
        <w:pStyle w:val="NormalHanging12a"/>
        <w:widowControl/>
        <w:ind w:left="1287" w:hanging="720"/>
      </w:pPr>
      <w:proofErr w:type="spellStart"/>
      <w:r w:rsidRPr="005C4A71">
        <w:t>vi</w:t>
      </w:r>
      <w:proofErr w:type="spellEnd"/>
      <w:r w:rsidRPr="005C4A71">
        <w:t>)</w:t>
      </w:r>
      <w:r w:rsidRPr="005C4A71">
        <w:tab/>
        <w:t>να ενεργήσει ως πρότυπο, ιδίως για τις ασθένειες που δεν εμπίπτουν στους κλασικούς τομείς και τις σπάνιες νόσους· παροτρύνει την Επιτροπή να διευρύνει τις τεχνικές γνώσεις και τον χειρισμό αυτών των υποθέσεων· παροτρύνει την Επιτροπή να επεκτείνει τον κατάλογο των εξετάσεων που είναι επιλέξιμες για επιστροφή εξόδων, ώστε να περιλαμβάνει μεγαλύτερο εύρος εργαστηριακών εξετάσεων και άλλων διαγνωστικών διαδικασιών και εξετάσεων καθώς και θεραπειών· παροτρύνει την Επιτροπή να αντιμετωπίσει το ζήτημα αυτό χωρίς καθυστέρηση·</w:t>
      </w:r>
    </w:p>
    <w:p w:rsidR="00F70384" w:rsidRPr="005C4A71" w:rsidRDefault="00F70384" w:rsidP="00F70384">
      <w:pPr>
        <w:pStyle w:val="NormalHanging12a"/>
        <w:widowControl/>
        <w:ind w:left="1287" w:hanging="720"/>
      </w:pPr>
      <w:proofErr w:type="spellStart"/>
      <w:r w:rsidRPr="005C4A71">
        <w:t>vii</w:t>
      </w:r>
      <w:proofErr w:type="spellEnd"/>
      <w:r w:rsidRPr="005C4A71">
        <w:t>)</w:t>
      </w:r>
      <w:r w:rsidRPr="005C4A71">
        <w:tab/>
        <w:t>να διασφαλίσει την ταχεία θέσπιση ισχυρών προστατευτικών μηχανισμών για το θεσμικό προσωπικό της Ένωσης που βρίσκεται σε αποστολή στα κράτη μέλη και σε τρίτες χώρες, διασφαλίζοντας τα δικαιώματά του·</w:t>
      </w:r>
    </w:p>
    <w:p w:rsidR="00F70384" w:rsidRPr="005C4A71" w:rsidRDefault="00F70384" w:rsidP="00F70384">
      <w:pPr>
        <w:pStyle w:val="NormalHanging12a"/>
        <w:widowControl/>
        <w:ind w:left="1287" w:hanging="720"/>
      </w:pPr>
      <w:proofErr w:type="spellStart"/>
      <w:r w:rsidRPr="005C4A71">
        <w:t>viii</w:t>
      </w:r>
      <w:proofErr w:type="spellEnd"/>
      <w:r w:rsidRPr="005C4A71">
        <w:t>)</w:t>
      </w:r>
      <w:r w:rsidRPr="005C4A71">
        <w:tab/>
        <w:t>να στηρίξει τα Ευρωπαϊκά Σχολεία ώστε να εφαρμόσουν, το συντομότερο δυνατόν, τις συστάσεις του Ελεγκτικού Συνεδρίου από προηγούμενα έτη και τη σύσταση στο πλαίσιο της έκθεσης για το οικονομικό έτος 2023, με την οποία ζητείται από τα σχολεία να διενεργούν συστηματικούς ελέγχους των αποδεικτικών στοιχείων σχετικά με τα επιδόματα που καταβάλλονται στο αποσπασμένο προσωπικό·</w:t>
      </w:r>
    </w:p>
    <w:p w:rsidR="00F70384" w:rsidRPr="005C4A71" w:rsidRDefault="00F70384" w:rsidP="00F70384">
      <w:pPr>
        <w:pStyle w:val="NormalHanging12a"/>
        <w:widowControl/>
        <w:ind w:left="1287" w:hanging="720"/>
      </w:pPr>
      <w:proofErr w:type="spellStart"/>
      <w:r w:rsidRPr="005C4A71">
        <w:t>ix</w:t>
      </w:r>
      <w:proofErr w:type="spellEnd"/>
      <w:r w:rsidRPr="005C4A71">
        <w:t>)</w:t>
      </w:r>
      <w:r w:rsidRPr="005C4A71">
        <w:tab/>
        <w:t>να εκπονήσει έκθεση στην οποία να αναλύονται οι λόγοι για τους οποίους η συντριπτική πλειονότητα των καταγγελιών για παρενόχληση (αιτήσεις συνδρομής) στην Επιτροπή απορρίπτονται, οι περισσότερες από αυτές χωρίς καν να κινηθεί διοικητική έρευνα, και να προτείνεται τρόπος για την αντιμετώπιση αυτής της δυσλειτουργίας της επίσημης διαδικασίας·</w:t>
      </w:r>
    </w:p>
    <w:p w:rsidR="00740869" w:rsidRDefault="00F70384" w:rsidP="00F70384">
      <w:pPr>
        <w:pStyle w:val="NormalHanging12a"/>
        <w:widowControl/>
        <w:ind w:left="1287" w:hanging="720"/>
        <w:sectPr w:rsidR="00740869" w:rsidSect="005C4A71">
          <w:footnotePr>
            <w:numRestart w:val="eachPage"/>
          </w:footnotePr>
          <w:endnotePr>
            <w:numFmt w:val="decimal"/>
          </w:endnotePr>
          <w:pgSz w:w="11906" w:h="16838" w:code="9"/>
          <w:pgMar w:top="1134" w:right="1418" w:bottom="1418" w:left="1418" w:header="1134" w:footer="567" w:gutter="0"/>
          <w:cols w:space="720"/>
          <w:noEndnote/>
          <w:docGrid w:linePitch="326"/>
        </w:sectPr>
      </w:pPr>
      <w:r w:rsidRPr="005C4A71">
        <w:t>x)</w:t>
      </w:r>
      <w:r w:rsidRPr="005C4A71">
        <w:tab/>
        <w:t xml:space="preserve">να διασφαλίσει ότι, από το 2025, οι αιτήσεις συνδρομής σε υποθέσεις παρενόχλησης θα διεκπεραιώνονται με κατάλληλη διοικητική έρευνα από την Υπηρεσία Ερευνών και Πειθαρχικών Κυρώσεων (IDOC) ή την OLAF, ώστε να διασφαλίζεται ότι οι </w:t>
      </w:r>
      <w:proofErr w:type="spellStart"/>
      <w:r w:rsidRPr="005C4A71">
        <w:t>παρενοχλούντες</w:t>
      </w:r>
      <w:proofErr w:type="spellEnd"/>
      <w:r w:rsidRPr="005C4A71">
        <w:t xml:space="preserve"> λογοδοτούν και τιμωρούνται αναλογικά προς τα παραπτώματά τους·</w:t>
      </w:r>
    </w:p>
    <w:p w:rsidR="00F70384" w:rsidRPr="005C4A71" w:rsidRDefault="00F70384" w:rsidP="00F70384">
      <w:pPr>
        <w:pStyle w:val="PageHeadingNoLeader"/>
        <w:numPr>
          <w:ilvl w:val="0"/>
          <w:numId w:val="0"/>
        </w:numPr>
        <w:tabs>
          <w:tab w:val="left" w:pos="720"/>
        </w:tabs>
        <w:ind w:left="720" w:hanging="720"/>
        <w:jc w:val="left"/>
      </w:pPr>
      <w:bookmarkStart w:id="301" w:name="_Toc185595120"/>
      <w:bookmarkStart w:id="302" w:name="_Toc187930961"/>
      <w:bookmarkStart w:id="303" w:name="_Toc187931136"/>
      <w:bookmarkStart w:id="304" w:name="_Toc187931167"/>
      <w:bookmarkStart w:id="305" w:name="_Toc187931191"/>
      <w:bookmarkStart w:id="306" w:name="_Toc187931585"/>
      <w:bookmarkStart w:id="307" w:name="_Toc187932882"/>
      <w:bookmarkStart w:id="308" w:name="_Toc187932922"/>
      <w:bookmarkStart w:id="309" w:name="_Toc187932946"/>
      <w:bookmarkStart w:id="310" w:name="_Toc187933261"/>
      <w:bookmarkStart w:id="311" w:name="_Toc187933747"/>
      <w:bookmarkStart w:id="312" w:name="_Toc187934017"/>
      <w:bookmarkStart w:id="313" w:name="_Toc187934049"/>
      <w:bookmarkStart w:id="314" w:name="_Toc187934398"/>
      <w:bookmarkStart w:id="315" w:name="_Toc187934422"/>
      <w:bookmarkStart w:id="316" w:name="_Toc187934446"/>
      <w:bookmarkStart w:id="317" w:name="_Toc187934470"/>
      <w:bookmarkStart w:id="318" w:name="_Toc187935537"/>
      <w:bookmarkStart w:id="319" w:name="_Toc187935561"/>
      <w:bookmarkStart w:id="320" w:name="_Toc187935592"/>
      <w:bookmarkStart w:id="321" w:name="_Toc187935616"/>
      <w:bookmarkStart w:id="322" w:name="_Toc187935888"/>
      <w:bookmarkStart w:id="323" w:name="_Toc187935912"/>
      <w:bookmarkStart w:id="324" w:name="_Toc187935936"/>
      <w:bookmarkStart w:id="325" w:name="_Toc187935960"/>
      <w:bookmarkStart w:id="326" w:name="_Toc188368529"/>
      <w:bookmarkStart w:id="327" w:name="_Toc188369633"/>
      <w:bookmarkStart w:id="328" w:name="_Toc188369957"/>
      <w:bookmarkStart w:id="329" w:name="_Toc194661963"/>
      <w:bookmarkStart w:id="330" w:name="_Toc194661996"/>
      <w:bookmarkStart w:id="331" w:name="_Toc194662067"/>
      <w:bookmarkStart w:id="332" w:name="_Toc194662156"/>
      <w:bookmarkStart w:id="333" w:name="_Toc194665324"/>
      <w:bookmarkStart w:id="334" w:name="_Toc194665621"/>
      <w:bookmarkStart w:id="335" w:name="_Toc195009289"/>
      <w:bookmarkStart w:id="336" w:name="_Toc195010059"/>
      <w:bookmarkStart w:id="337" w:name="_Toc195010222"/>
      <w:bookmarkStart w:id="338" w:name="_Toc195010774"/>
      <w:bookmarkStart w:id="339" w:name="_Toc195012311"/>
      <w:bookmarkStart w:id="340" w:name="_Toc195012489"/>
      <w:bookmarkStart w:id="341" w:name="_Toc195014832"/>
      <w:bookmarkStart w:id="342" w:name="_Toc195015158"/>
      <w:bookmarkStart w:id="343" w:name="_Toc195015891"/>
      <w:bookmarkStart w:id="344" w:name="_Toc195015979"/>
      <w:bookmarkStart w:id="345" w:name="_Toc195018606"/>
      <w:bookmarkStart w:id="346" w:name="_Toc195018638"/>
      <w:bookmarkStart w:id="347" w:name="_Toc195021471"/>
      <w:bookmarkStart w:id="348" w:name="_Toc195021495"/>
      <w:bookmarkStart w:id="349" w:name="_Toc195021519"/>
      <w:bookmarkStart w:id="350" w:name="_Toc195023445"/>
      <w:bookmarkStart w:id="351" w:name="_Toc195024252"/>
      <w:bookmarkStart w:id="352" w:name="_Toc195024276"/>
      <w:bookmarkStart w:id="353" w:name="_Toc195024591"/>
      <w:bookmarkStart w:id="354" w:name="_Toc195024615"/>
      <w:bookmarkStart w:id="355" w:name="_Toc195025608"/>
      <w:bookmarkStart w:id="356" w:name="_Toc195025638"/>
      <w:bookmarkStart w:id="357" w:name="_Toc195025666"/>
      <w:bookmarkStart w:id="358" w:name="_Toc195025690"/>
      <w:bookmarkStart w:id="359" w:name="_Toc195025765"/>
      <w:bookmarkStart w:id="360" w:name="_Toc195025791"/>
      <w:bookmarkStart w:id="361" w:name="_Toc195027960"/>
      <w:bookmarkStart w:id="362" w:name="_Toc195027992"/>
      <w:bookmarkStart w:id="363" w:name="_Toc195088893"/>
      <w:bookmarkStart w:id="364" w:name="_Toc195088919"/>
      <w:bookmarkStart w:id="365" w:name="_Toc195096127"/>
      <w:bookmarkStart w:id="366" w:name="_Toc195096309"/>
      <w:bookmarkStart w:id="367" w:name="_Toc195102369"/>
      <w:bookmarkStart w:id="368" w:name="_Toc195102420"/>
      <w:bookmarkStart w:id="369" w:name="_Toc195102447"/>
      <w:bookmarkStart w:id="370" w:name="_Toc195102474"/>
      <w:bookmarkStart w:id="371" w:name="_Toc195102932"/>
      <w:bookmarkStart w:id="372" w:name="_Toc195102960"/>
      <w:bookmarkStart w:id="373" w:name="_Toc195102988"/>
      <w:bookmarkStart w:id="374" w:name="_Toc195103016"/>
      <w:bookmarkStart w:id="375" w:name="_Toc195103045"/>
      <w:bookmarkStart w:id="376" w:name="_Toc195103074"/>
      <w:bookmarkStart w:id="377" w:name="_Toc195103103"/>
      <w:bookmarkStart w:id="378" w:name="_Toc195103133"/>
      <w:bookmarkStart w:id="379" w:name="_Toc195103163"/>
      <w:bookmarkStart w:id="380" w:name="_Toc195103193"/>
      <w:bookmarkStart w:id="381" w:name="_Toc195103224"/>
      <w:bookmarkStart w:id="382" w:name="_Toc195103255"/>
      <w:bookmarkStart w:id="383" w:name="_Toc195103286"/>
      <w:bookmarkStart w:id="384" w:name="_Toc195103318"/>
      <w:bookmarkStart w:id="385" w:name="_Toc195103350"/>
      <w:bookmarkStart w:id="386" w:name="_Toc195103523"/>
      <w:bookmarkStart w:id="387" w:name="_Toc195103556"/>
      <w:bookmarkStart w:id="388" w:name="_Toc195103589"/>
      <w:bookmarkStart w:id="389" w:name="_Toc195103622"/>
      <w:bookmarkStart w:id="390" w:name="_Toc195103656"/>
      <w:bookmarkStart w:id="391" w:name="_Toc195103690"/>
      <w:bookmarkStart w:id="392" w:name="_Toc195103724"/>
      <w:bookmarkStart w:id="393" w:name="_Toc195103759"/>
      <w:bookmarkStart w:id="394" w:name="_Toc195103794"/>
      <w:bookmarkStart w:id="395" w:name="_Toc195103829"/>
      <w:bookmarkStart w:id="396" w:name="_Toc195103865"/>
      <w:bookmarkStart w:id="397" w:name="_Toc195103901"/>
      <w:bookmarkStart w:id="398" w:name="_Toc195103937"/>
      <w:bookmarkStart w:id="399" w:name="_Toc195103974"/>
      <w:bookmarkStart w:id="400" w:name="_Toc195104011"/>
      <w:bookmarkStart w:id="401" w:name="_Toc195104048"/>
      <w:bookmarkStart w:id="402" w:name="_Toc195104085"/>
      <w:bookmarkStart w:id="403" w:name="_Toc195105227"/>
      <w:bookmarkStart w:id="404" w:name="_Toc195105264"/>
      <w:bookmarkStart w:id="405" w:name="_Toc195105301"/>
      <w:bookmarkStart w:id="406" w:name="_Toc195106717"/>
      <w:bookmarkStart w:id="407" w:name="_Toc195111033"/>
      <w:bookmarkStart w:id="408" w:name="_Toc195113779"/>
      <w:bookmarkStart w:id="409" w:name="_Toc195113819"/>
      <w:bookmarkStart w:id="410" w:name="_Toc195115094"/>
      <w:bookmarkStart w:id="411" w:name="_Toc195115131"/>
      <w:bookmarkStart w:id="412" w:name="_Toc195178401"/>
      <w:bookmarkStart w:id="413" w:name="_Toc195178437"/>
      <w:bookmarkStart w:id="414" w:name="_Toc195178577"/>
      <w:bookmarkStart w:id="415" w:name="_Toc195179101"/>
      <w:bookmarkStart w:id="416" w:name="_Toc195182063"/>
      <w:bookmarkStart w:id="417" w:name="_Toc195182100"/>
      <w:bookmarkStart w:id="418" w:name="_Toc195182137"/>
      <w:bookmarkStart w:id="419" w:name="_Toc195197845"/>
      <w:bookmarkStart w:id="420" w:name="_Toc195199139"/>
      <w:bookmarkStart w:id="421" w:name="_Toc195199393"/>
      <w:bookmarkStart w:id="422" w:name="_Toc195199831"/>
      <w:bookmarkStart w:id="423" w:name="_Toc195199868"/>
      <w:bookmarkStart w:id="424" w:name="_Toc195202128"/>
      <w:bookmarkStart w:id="425" w:name="_Toc195202165"/>
      <w:bookmarkStart w:id="426" w:name="_Toc195202931"/>
      <w:bookmarkStart w:id="427" w:name="_Toc195202968"/>
      <w:bookmarkStart w:id="428" w:name="_Toc195203379"/>
      <w:bookmarkStart w:id="429" w:name="_Toc195203416"/>
      <w:bookmarkStart w:id="430" w:name="_Toc195257657"/>
      <w:bookmarkStart w:id="431" w:name="_Toc195257758"/>
      <w:bookmarkStart w:id="432" w:name="_Toc195257795"/>
      <w:bookmarkStart w:id="433" w:name="_Toc195257832"/>
      <w:bookmarkStart w:id="434" w:name="_Toc195257870"/>
      <w:bookmarkStart w:id="435" w:name="_Toc195257908"/>
      <w:bookmarkStart w:id="436" w:name="_Toc195257976"/>
      <w:bookmarkStart w:id="437" w:name="_Toc195258021"/>
      <w:bookmarkStart w:id="438" w:name="_Toc195258059"/>
      <w:bookmarkStart w:id="439" w:name="_Toc195258097"/>
      <w:bookmarkStart w:id="440" w:name="_Toc195258135"/>
      <w:bookmarkStart w:id="441" w:name="_Toc195258173"/>
      <w:bookmarkStart w:id="442" w:name="_Toc195258719"/>
      <w:bookmarkStart w:id="443" w:name="_Toc195258757"/>
      <w:bookmarkStart w:id="444" w:name="_Toc195258795"/>
      <w:bookmarkStart w:id="445" w:name="_Toc195258833"/>
      <w:bookmarkStart w:id="446" w:name="_Toc195258871"/>
      <w:bookmarkStart w:id="447" w:name="_Toc195258909"/>
      <w:bookmarkStart w:id="448" w:name="_Toc195258947"/>
      <w:bookmarkStart w:id="449" w:name="_Toc195258985"/>
      <w:bookmarkStart w:id="450" w:name="_Toc195259023"/>
      <w:bookmarkStart w:id="451" w:name="_Toc195259061"/>
      <w:bookmarkStart w:id="452" w:name="_Toc195259099"/>
      <w:bookmarkStart w:id="453" w:name="_Toc195259137"/>
      <w:bookmarkStart w:id="454" w:name="_Toc195263152"/>
      <w:bookmarkStart w:id="455" w:name="_Toc195263241"/>
      <w:bookmarkStart w:id="456" w:name="_Toc195263278"/>
      <w:bookmarkStart w:id="457" w:name="_Toc195263329"/>
      <w:bookmarkStart w:id="458" w:name="_Toc195263366"/>
      <w:bookmarkStart w:id="459" w:name="_Toc195263762"/>
      <w:bookmarkStart w:id="460" w:name="_Toc195263861"/>
      <w:bookmarkStart w:id="461" w:name="_Toc195263898"/>
      <w:bookmarkStart w:id="462" w:name="_Toc195263935"/>
      <w:bookmarkStart w:id="463" w:name="_Toc195709910"/>
      <w:bookmarkStart w:id="464" w:name="_Toc195710125"/>
      <w:bookmarkStart w:id="465" w:name="_Toc195710192"/>
      <w:bookmarkStart w:id="466" w:name="_Toc195710288"/>
      <w:bookmarkStart w:id="467" w:name="_Toc195711097"/>
      <w:bookmarkStart w:id="468" w:name="_Toc195711134"/>
      <w:bookmarkStart w:id="469" w:name="_Toc195711180"/>
      <w:bookmarkStart w:id="470" w:name="_Toc195711431"/>
      <w:bookmarkStart w:id="471" w:name="_Toc195711468"/>
      <w:bookmarkStart w:id="472" w:name="_Toc195718919"/>
      <w:bookmarkStart w:id="473" w:name="_Toc195718955"/>
      <w:bookmarkStart w:id="474" w:name="_Toc195719693"/>
      <w:bookmarkStart w:id="475" w:name="_Toc195719773"/>
      <w:bookmarkStart w:id="476" w:name="_Toc196303411"/>
      <w:bookmarkStart w:id="477" w:name="_Toc196306263"/>
      <w:bookmarkStart w:id="478" w:name="_Toc196306352"/>
      <w:bookmarkStart w:id="479" w:name="_Toc196306389"/>
      <w:bookmarkStart w:id="480" w:name="_Toc196311179"/>
      <w:bookmarkStart w:id="481" w:name="_Toc196311400"/>
      <w:bookmarkStart w:id="482" w:name="_Toc196311439"/>
      <w:bookmarkStart w:id="483" w:name="_Toc196311968"/>
      <w:bookmarkStart w:id="484" w:name="_Toc196312005"/>
      <w:bookmarkStart w:id="485" w:name="_Toc196312598"/>
      <w:bookmarkStart w:id="486" w:name="_Toc196312635"/>
      <w:bookmarkStart w:id="487" w:name="_Toc196312743"/>
      <w:bookmarkStart w:id="488" w:name="_Toc196312837"/>
      <w:bookmarkStart w:id="489" w:name="_Toc196318421"/>
      <w:bookmarkStart w:id="490" w:name="_Toc196318710"/>
      <w:bookmarkStart w:id="491" w:name="_Toc196318746"/>
      <w:bookmarkStart w:id="492" w:name="_Toc196319618"/>
      <w:bookmarkStart w:id="493" w:name="_Toc196376765"/>
      <w:bookmarkStart w:id="494" w:name="_Toc196377183"/>
      <w:bookmarkStart w:id="495" w:name="_Toc196377208"/>
      <w:bookmarkStart w:id="496" w:name="_Toc196824417"/>
      <w:bookmarkStart w:id="497" w:name="_Toc196824454"/>
      <w:bookmarkStart w:id="498" w:name="_Toc196824493"/>
      <w:bookmarkStart w:id="499" w:name="_Toc196824536"/>
      <w:bookmarkStart w:id="500" w:name="_Toc196824573"/>
      <w:bookmarkStart w:id="501" w:name="_Toc196824759"/>
      <w:bookmarkStart w:id="502" w:name="_Toc196825064"/>
      <w:bookmarkStart w:id="503" w:name="_Toc196825101"/>
      <w:r w:rsidRPr="005C4A71">
        <w:t>ΚΕΦΑΛΑΙΟ II – Μηχανισμός Ανάκαμψης και Ανθεκτικότητας (ΜΑΑ)</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rsidR="00F70384" w:rsidRPr="005C4A71" w:rsidRDefault="00F70384" w:rsidP="00F70384">
      <w:pPr>
        <w:spacing w:after="240"/>
        <w:ind w:left="567" w:hanging="567"/>
        <w:textAlignment w:val="baseline"/>
        <w:rPr>
          <w:szCs w:val="24"/>
        </w:rPr>
      </w:pPr>
      <w:r w:rsidRPr="005C4A71">
        <w:rPr>
          <w:i/>
          <w:shd w:val="clear" w:color="auto" w:fill="FFFFFF"/>
        </w:rPr>
        <w:t>Γενικές παρατηρήσεις</w:t>
      </w:r>
    </w:p>
    <w:p w:rsidR="00F70384" w:rsidRPr="005C4A71" w:rsidRDefault="00E8367F" w:rsidP="00E8367F">
      <w:pPr>
        <w:pStyle w:val="NormalHanging12a"/>
        <w:ind w:left="709" w:hanging="570"/>
      </w:pPr>
      <w:r w:rsidRPr="005C4A71">
        <w:t>202.</w:t>
      </w:r>
      <w:r w:rsidRPr="005C4A71">
        <w:tab/>
      </w:r>
      <w:r w:rsidR="00F70384" w:rsidRPr="005C4A71">
        <w:t>σημειώνει ότι το 2023 αναθεωρήθηκαν 27 σχέδια ανάκαμψης και ανθεκτικότητας (ΣΑΑ) και ότι οι αναθεωρήσεις αυτές είχαν αντίκτυπο στον ρυθμό υλοποίησης των υφιστάμενων σχεδίων, προκαλώντας καθυστερήσεις· σημειώνει ταυτόχρονα ότι οι πολιτικές προτεραιότητες στα κράτη μέλη μπορεί να αλλάξουν· σημειώνει ότι οι αυξημένες τιμές της ενέργειας, ο υψηλός πληθωρισμός και οι διαταραχές στην αλυσίδα εφοδιασμού που προκλήθηκαν από τον απρόκλητο επιθετικό πόλεμο της Ρωσίας κατά της Ουκρανίας και, σε ορισμένες περιπτώσεις, φυσικές καταστροφές, συνέβαλαν στην αναθεώρηση των ΣΑΑ· υπογραμμίζει ότι οι καθυστερήσεις που προκλήθηκαν από τις αναθεωρήσεις των ΣΑΑ προστέθηκαν στις ήδη υφιστάμενες καθυστερήσεις, όπως καταδεικνύεται από τις σημαντικές διαφορές μεταξύ του προβλεπόμενου χρονοδιαγράμματος των αιτήσεων πληρωμής και της πραγματικής διαβίβασης των εν λόγω αιτήσεων από τα κράτη μέλη στην Επιτροπή· εξακολουθεί να ανησυχεί για τον κίνδυνο ελλιπούς υλοποίησης και μη επίτευξης των οροσήμων και των στόχων που έχουν συμφωνηθεί στα ΣΑΑ· τονίζει την ανάγκη για ενισχυμένους μηχανισμούς παρακολούθησης προκειμένου να διασφαλιστεί ότι οι καθυστερήσεις δεν επηρεάζουν δυσανάλογα τα βασικά έργα·</w:t>
      </w:r>
    </w:p>
    <w:p w:rsidR="00F70384" w:rsidRPr="005C4A71" w:rsidRDefault="00E8367F" w:rsidP="00E8367F">
      <w:pPr>
        <w:pStyle w:val="NormalHanging12a"/>
        <w:ind w:left="709" w:hanging="570"/>
      </w:pPr>
      <w:r w:rsidRPr="005C4A71">
        <w:t>203.</w:t>
      </w:r>
      <w:r w:rsidRPr="005C4A71">
        <w:tab/>
      </w:r>
      <w:r w:rsidR="00F70384" w:rsidRPr="005C4A71">
        <w:t>σημειώνει ότι θα πρέπει να υπάρχει σαφής θεματική σύνδεση μεταξύ μεταρρυθμίσεων και επενδύσεων και ότι, σε ορισμένες περιπτώσεις, ενδέχεται να υπάρξει μεγάλη καθυστέρηση μεταξύ της κατάρτισης των εθνικών σχεδίων ανάκαμψης και της ολοκλήρωσης των οροσήμων και των στόχων· εκφράζει τη λύπη του για το γεγονός ότι ο σχεδιασμός του ΜΑΑ δεν παρέχει επαρκή ευελιξία για την ταχεία αντιμετώπιση αναδυόμενων κρίσεων·</w:t>
      </w:r>
    </w:p>
    <w:p w:rsidR="00F70384" w:rsidRPr="005C4A71" w:rsidRDefault="00E8367F" w:rsidP="00E8367F">
      <w:pPr>
        <w:pStyle w:val="NormalHanging12a"/>
        <w:widowControl/>
        <w:ind w:left="709" w:hanging="570"/>
      </w:pPr>
      <w:r w:rsidRPr="005C4A71">
        <w:t>204.</w:t>
      </w:r>
      <w:r w:rsidRPr="005C4A71">
        <w:tab/>
      </w:r>
      <w:proofErr w:type="spellStart"/>
      <w:r w:rsidR="00F70384" w:rsidRPr="005C4A71">
        <w:t>εφιστά</w:t>
      </w:r>
      <w:proofErr w:type="spellEnd"/>
      <w:r w:rsidR="00F70384" w:rsidRPr="005C4A71">
        <w:t>, με μεγάλη ανησυχία, την προσοχή στη δήλωση του Προέδρου του Ελεγκτικού Συνεδρίου, ο οποίος υποστηρίζει ότι περίπου οι μισές εκταμιεύσεις του ΜΑΑ δεν είχαν φτάσει στην πραγματική οικονομία, και διερωτάται αν οι υπόλοιπες εκταμιεύσεις ενδέχεται να έχουν χρησιμοποιηθεί είτε για την υποκατάσταση επαναλαμβανόμενων δημοσιονομικών δαπανών είτε για τη δημιουργία κέρδους για τα κράτη μέλη από τα αυξημένα επιτόκια·</w:t>
      </w:r>
    </w:p>
    <w:p w:rsidR="00F70384" w:rsidRPr="005C4A71" w:rsidRDefault="00E8367F" w:rsidP="00E8367F">
      <w:pPr>
        <w:pStyle w:val="NormalHanging12a"/>
        <w:ind w:left="709" w:hanging="570"/>
      </w:pPr>
      <w:r w:rsidRPr="005C4A71">
        <w:t>205.</w:t>
      </w:r>
      <w:r w:rsidRPr="005C4A71">
        <w:tab/>
      </w:r>
      <w:r w:rsidR="00F70384" w:rsidRPr="005C4A71">
        <w:t>υπενθυμίζει ότι ο ΜΑΑ είναι ένα προσωρινό μέσο ανάκαμψης που βασίζεται στις επιδόσεις, δηλαδή οι πληρωμές συνδέονται με την ικανοποιητική εκπλήρωση ορόσημων και στόχων που συνδέονται με μεταρρυθμίσεις και επενδύσεις οι οποίες περιλαμβάνονται στα εθνικά σχέδια ανάκαμψης και ανθεκτικότητας· τονίζει ότι η αποτελεσματικότητα του ΜΑΑ πρέπει να αξιολογείται όσον αφορά όχι μόνο την εκταμίευση αλλά και την ικανότητά του να επιφέρει απτές, μακροπρόθεσμες βελτιώσεις σε σχέση με τις επιπτώσεις της πανδημίας· υπενθυμίζει ότι στον κανονισμό ΜΑΑ δεν υπάρχει ορισμός της «ικανοποιητικής εκπλήρωσης οροσήμων και στόχων»· υπενθυμίζει ότι κάθε εθνικό σχέδιο θα πρέπει να αντιμετωπίζει αποτελεσματικά όλες τις προκλήσεις ή σημαντικό μέρος των προκλήσεων που εντοπίζονται στο Ευρωπαϊκό Εξάμηνο, ιδίως τις ειδικές ανά χώρα συστάσεις που εγκρίνει το Συμβούλιο· σημειώνει το γεγονός ότι, χάρη στον ΜΑΑ, το ποσοστό των ειδικών ανά χώρα συστάσεων με πρόοδο αυξήθηκε κατά 17 % μεταξύ 2021 και 2023·</w:t>
      </w:r>
    </w:p>
    <w:p w:rsidR="00F70384" w:rsidRPr="005C4A71" w:rsidRDefault="00E8367F" w:rsidP="00E8367F">
      <w:pPr>
        <w:pStyle w:val="NormalHanging12a"/>
        <w:ind w:left="709" w:hanging="570"/>
      </w:pPr>
      <w:r w:rsidRPr="005C4A71">
        <w:t>206.</w:t>
      </w:r>
      <w:r w:rsidRPr="005C4A71">
        <w:tab/>
      </w:r>
      <w:r w:rsidR="00F70384" w:rsidRPr="005C4A71">
        <w:t>σημειώνει ότι, το 2023, η Επιτροπή εκταμίευσε συνολικά 75 δισεκατομμύρια EUR και πρόσθετες πληρωμές προχρηματοδότησης ύψους 7,1 δισεκατομμυρίων EUR, με αποτέλεσμα οι συνολικές εκταμιεύσεις έως το τέλος του 2023 να ανέρχονται σε 220,8 δισεκατομμύρια EUR, ποσό που κατανέμεται σε 141,6 δισεκατομμύρια EUR σε επιχορηγήσεις (40 % των συνολικού ποσού 357 δισεκατομμυρίων EUR για επιχορηγήσεις στο πλαίσιο του κονδυλίου του Μηχανισμού Ανάκαμψης και Ανθεκτικότητας (ΜΑΑ)) και 79,2 δισεκατομμύρια EUR σε δάνεια (27 % του συνολικού ποσού 291 δισεκατομμυρίων EUR για δάνεια στο πλαίσιο του κονδυλίου του ΜΑΑ)· ζητεί να οριστούν λεπτομερείς απαιτήσεις υποβολής εκθέσεων σχετικά με τον τρόπο με τον οποίο τα κράτη μέλη κατανέμουν τα κονδύλια, ώστε να αποτρέπεται η υποκατάσταση επαναλαμβανόμενων δημοσιονομικών δαπανών και να διασφαλίζεται ότι τα κονδύλια φτάνουν στους προβλεπόμενους δικαιούχους·</w:t>
      </w:r>
    </w:p>
    <w:p w:rsidR="00F70384" w:rsidRPr="005C4A71" w:rsidRDefault="00F70384" w:rsidP="00F70384">
      <w:pPr>
        <w:spacing w:after="240"/>
        <w:ind w:left="567" w:hanging="567"/>
        <w:jc w:val="both"/>
        <w:rPr>
          <w:i/>
        </w:rPr>
      </w:pPr>
      <w:r w:rsidRPr="005C4A71">
        <w:rPr>
          <w:i/>
        </w:rPr>
        <w:t>Παρατηρήσεις του Ελεγκτικού Συνεδρίου</w:t>
      </w:r>
    </w:p>
    <w:p w:rsidR="00F70384" w:rsidRPr="005C4A71" w:rsidRDefault="00E8367F" w:rsidP="00E8367F">
      <w:pPr>
        <w:pStyle w:val="NormalHanging12a"/>
        <w:ind w:hanging="570"/>
      </w:pPr>
      <w:r w:rsidRPr="005C4A71">
        <w:t>207.</w:t>
      </w:r>
      <w:r w:rsidRPr="005C4A71">
        <w:tab/>
      </w:r>
      <w:r w:rsidR="00F70384" w:rsidRPr="005C4A71">
        <w:t>σημειώνει ότι το Ελεγκτικό Συνέδριο εξέδωσε γνώμη με επιφύλαξη σχετικά με τη νομιμότητα και κανονικότητα των δαπανών του ΜΑΑ το 2023· εκφράζει την ανησυχία του διότι το Ελεγκτικό Συνέδριο κατέληξε στο συμπέρασμα ότι 7 από τις 23 πληρωμές του ΜΑΑ που πραγματοποιήθηκαν το 2023 επηρεάστηκαν από ποσοτικές διαπιστώσεις και ότι 6 από τις πληρωμές αυτές επηρεάστηκαν από ουσιώδες σφάλμα· σημειώνει ότι, κατά τη γνώμη του Ελεγκτικού Συνεδρίου, εκτός από τα εν λόγω ζητήματα, οι δαπάνες του ΜΑΑ που εγκρίθηκαν στους λογαριασμούς για το οικονομικό έτος 2023 είναι, από κάθε ουσιώδη πλευρά, νόμιμες και κανονικές· σημειώνει ότι η φύση του μοντέλου δαπανών του ΜΑΑ βασίζεται στις αξιολογήσεις των οροσήμων και των στόχων που πρέπει να διενεργήσει η Επιτροπή· σημειώνει ότι το 2023 το Ελεγκτικό Συνέδριο έλεγξε 452 ορόσημα και στόχους που περιλαμβάνονταν σε 23 πληρωμές επιχορηγήσεων και δεν παρέχει ποσοστό σφάλματος, λόγω της φύσης του μοντέλου δαπανών του ΜΑΑ, αλλά εκτιμά ότι οι ελάχιστες δημοσιονομικές επιπτώσεις των διαπιστώσεών του υπερβαίνουν το όριο σημαντικότητας· είναι πεπεισμένο ότι τα κράτη μέλη θα πρέπει επίσης να φέρουν ευθύνη για τα σφάλματα που εντοπίζονται μετά την εκταμίευση·</w:t>
      </w:r>
    </w:p>
    <w:p w:rsidR="00F70384" w:rsidRPr="005C4A71" w:rsidRDefault="00E8367F" w:rsidP="00E8367F">
      <w:pPr>
        <w:pStyle w:val="NormalHanging12a"/>
        <w:ind w:hanging="570"/>
      </w:pPr>
      <w:r w:rsidRPr="005C4A71">
        <w:t>208.</w:t>
      </w:r>
      <w:r w:rsidRPr="005C4A71">
        <w:tab/>
      </w:r>
      <w:r w:rsidR="00F70384" w:rsidRPr="005C4A71">
        <w:t>εκφράζει τη βαθιά ανησυχία του για το γεγονός ότι το Ελεγκτικό Συνέδριο δεν ήταν σε θέση να επαληθεύσει τις πραγματικές δημοσιονομικές επιπτώσεις των εσφαλμένων ή μη επιλέξιμων πληρωμών στο πλαίσιο του ΜΑΑ λόγω των εγγενών περιορισμών του μοντέλου αξιολόγησης βάσει οροσήμων και στόχων· καλεί την Επιτροπή να αναπτύξει μια διαφανέστερη μεθοδολογία παρακολούθησης των σφαλμάτων για την πρόληψη της εσφαλμένης κατανομής και της αναποτελεσματικότητας·</w:t>
      </w:r>
    </w:p>
    <w:p w:rsidR="00F70384" w:rsidRPr="005C4A71" w:rsidRDefault="00E8367F" w:rsidP="00E8367F">
      <w:pPr>
        <w:pStyle w:val="NormalHanging12a"/>
        <w:ind w:hanging="570"/>
      </w:pPr>
      <w:r w:rsidRPr="005C4A71">
        <w:t>209.</w:t>
      </w:r>
      <w:r w:rsidRPr="005C4A71">
        <w:tab/>
      </w:r>
      <w:r w:rsidR="00F70384" w:rsidRPr="005C4A71">
        <w:t xml:space="preserve">σημειώνει ότι το Ελεγκτικό Συνέδριο έλεγξε 325 από τα 542 ορόσημα και 127 από τους 135 στόχους που περιλαμβάνονταν στις αιτήσεις πληρωμής για επιχορηγήσεις του 2023· εκφράζει τη λύπη του για το γεγονός ότι το Ελεγκτικό Συνέδριο θεωρεί ότι 16 ορόσημα και στόχοι επηρεάστηκαν από προβλήματα κανονικότητας (2,4% του συνόλου)· εκφράζει την ανησυχία του για το γεγονός ότι το Ελεγκτικό Συνέδριο θεωρεί ότι οι απαιτήσεις δεν είχαν εκπληρωθεί ικανοποιητικά για επτά ορόσημα και στόχους σε έξι πληρωμές, αλλά η Επιτροπή πραγματοποίησε παρ’ όλα αυτά τις αντίστοιχες πληρωμές· σημειώνει ότι τα συμπεράσματα του Ελεγκτικού Συνεδρίου βασίζονται σε εκτεταμένες ελεγκτικές εργασίες και εκφράζει τη λύπη του για το γεγονός ότι η Επιτροπή αμφισβητεί ορισμένα από τα συμπεράσματα του Ελεγκτικού Συνεδρίου· σημειώνει ότι όλες οι πληρωμές του ΜΑΑ πρέπει να αξιολογούνται με βάση το πλαίσιο που κοινοποιείται και εφαρμόζεται από την Επιτροπή, η οποία πρέπει να λαμβάνει υπόψη για κάθε πληρωμή τη γνώμη της Οικονομικής και Δημοσιονομικής Επιτροπής και τον έλεγχο από εμπειρογνώμονες των κρατών μελών στο πλαίσιο της διαδικασίας </w:t>
      </w:r>
      <w:proofErr w:type="spellStart"/>
      <w:r w:rsidR="00F70384" w:rsidRPr="005C4A71">
        <w:t>επιτροπολογίας</w:t>
      </w:r>
      <w:proofErr w:type="spellEnd"/>
      <w:r w:rsidR="00F70384" w:rsidRPr="005C4A71">
        <w:t xml:space="preserve">· ζητεί από την Επιτροπή να διασφαλίσει ότι όλες οι αμφισβητούμενες πληρωμές που σχετίζονται με μη ικανοποιητικώς </w:t>
      </w:r>
      <w:proofErr w:type="spellStart"/>
      <w:r w:rsidR="00F70384" w:rsidRPr="005C4A71">
        <w:t>εκπληρωθέντα</w:t>
      </w:r>
      <w:proofErr w:type="spellEnd"/>
      <w:r w:rsidR="00F70384" w:rsidRPr="005C4A71">
        <w:t xml:space="preserve"> ορόσημα και στόχους υπόκεινται σε ανεξάρτητη εξωτερική αξιολόγηση προκειμένου να ενισχυθεί η εμπιστοσύνη του κοινού στη διαδικασία· συνιστά τη θέσπιση συστημάτων παρακολούθησης σε πραγματικό χρόνο των εκταμιεύσεων και των δαπανών για την πρόληψη της εσφαλμένης διάθεσης κονδυλίων στο πλαίσιο του ΜΑΑ και του ΠΔΠ·</w:t>
      </w:r>
    </w:p>
    <w:p w:rsidR="00F70384" w:rsidRPr="005C4A71" w:rsidRDefault="00E8367F" w:rsidP="00E8367F">
      <w:pPr>
        <w:pStyle w:val="NormalHanging12a"/>
        <w:ind w:hanging="570"/>
      </w:pPr>
      <w:r w:rsidRPr="005C4A71">
        <w:t>210.</w:t>
      </w:r>
      <w:r w:rsidRPr="005C4A71">
        <w:tab/>
      </w:r>
      <w:r w:rsidR="00F70384" w:rsidRPr="005C4A71">
        <w:t xml:space="preserve">σημειώνει με ιδιαίτερη ανησυχία ότι το Ελεγκτικό Συνέδριο εντόπισε εννέα πιθανές περιπτώσεις μη επιλέξιμων ορόσημων και στόχων που συνδέονται με τη συνέχιση </w:t>
      </w:r>
      <w:proofErr w:type="spellStart"/>
      <w:r w:rsidR="00F70384" w:rsidRPr="005C4A71">
        <w:t>προϋπάρχοντος</w:t>
      </w:r>
      <w:proofErr w:type="spellEnd"/>
      <w:r w:rsidR="00F70384" w:rsidRPr="005C4A71">
        <w:t xml:space="preserve"> έργου που είτε ξεκίνησε πριν από την περίοδο επιλεξιμότητας είτε υποκαθιστούσε επαναλαμβανόμενες εθνικές δημοσιονομικές δαπάνες· εκφράζει τη λύπη του για την έλλειψη σαφήνειας στον κανονισμό ΜΑΑ και δεν συμμερίζεται την ερμηνεία της Επιτροπής ότι η περίοδος επιλεξιμότητας αφορά μόνο την ημερομηνία έναρξης των εργασιών για ένα συγκεκριμένο έργο και όχι την έναρξη του προπαρασκευαστικού ή προκαταρκτικού σταδίου· εκφράζει τη λύπη του για το γεγονός ότι η άποψη αυτή είχε ως αποτέλεσμα να συμπεριληφθούν στα ΣΑΑ μέτρα που είχαν προγραμματιστεί πριν από την περίοδο επιλεξιμότητας του ΜΑΑ, και αναγνωρίζει ότι κάθε μέτρο πρέπει να σέβεται το πεδίο εφαρμογής, τους στόχους και τις προϋποθέσεις επιλεξιμότητας που ορίζονται στον κανονισμό ΜΑΑ· καλεί την Επιτροπή να εφαρμόσει αυστηρότερους μηχανισμούς επαλήθευσης για την πρόληψη της συμπερίληψης </w:t>
      </w:r>
      <w:proofErr w:type="spellStart"/>
      <w:r w:rsidR="00F70384" w:rsidRPr="005C4A71">
        <w:t>προϋπαρχόντων</w:t>
      </w:r>
      <w:proofErr w:type="spellEnd"/>
      <w:r w:rsidR="00F70384" w:rsidRPr="005C4A71">
        <w:t xml:space="preserve"> έργων που δεν παρέχουν προστιθέμενη αξία στο πλαίσιο του ΜΑΑ·</w:t>
      </w:r>
    </w:p>
    <w:p w:rsidR="00F70384" w:rsidRPr="005C4A71" w:rsidRDefault="00E8367F" w:rsidP="00E8367F">
      <w:pPr>
        <w:pStyle w:val="NormalHanging12a"/>
        <w:widowControl/>
        <w:ind w:hanging="570"/>
      </w:pPr>
      <w:r w:rsidRPr="005C4A71">
        <w:t>211.</w:t>
      </w:r>
      <w:r w:rsidRPr="005C4A71">
        <w:tab/>
      </w:r>
      <w:r w:rsidR="00F70384" w:rsidRPr="005C4A71">
        <w:t>υπενθυμίζει ότι τα κονδύλια του ΜΑΑ δεν χρησιμοποιούνται για την αντικατάσταση επαναλαμβανόμενων δαπανών του προϋπολογισμού παρά μόνο σε δεόντως αιτιολογημένες περιπτώσεις· εκφράζει επίσης την ανησυχία του για τις διαπιστώσεις του Ελεγκτικού Συνεδρίου σύμφωνα με τις οποίες ορισμένα ορόσημα και στόχοι που υποκαθιστούσαν επαναλαμβανόμενες εθνικές δημοσιονομικές δαπάνες δεν αιτιολογούνταν επαρκώς στα ΣΑΑ·</w:t>
      </w:r>
    </w:p>
    <w:p w:rsidR="00F70384" w:rsidRPr="005C4A71" w:rsidRDefault="00E8367F" w:rsidP="00E8367F">
      <w:pPr>
        <w:pStyle w:val="NormalHanging12a"/>
        <w:ind w:hanging="570"/>
      </w:pPr>
      <w:r w:rsidRPr="005C4A71">
        <w:t>212.</w:t>
      </w:r>
      <w:r w:rsidRPr="005C4A71">
        <w:tab/>
      </w:r>
      <w:r w:rsidR="00F70384" w:rsidRPr="005C4A71">
        <w:t>σημειώνει με ανησυχία τη διαπίστωση του Ελεγκτικού Συνεδρίου ότι ο δανεισμός για το NGEU μπορεί να υπερδιπλασιαστεί μέχρι το 2026, ενώ ο μεγάλος όγκος των αποπληρωμών μετατίθεται σε μελλοντικά ΠΔΠ· υπενθυμίζει ότι η αποπληρωμή των δανείων του NGEU πρέπει να αρχίσει πριν από το τέλος του 2027, εφόσον υπάρχουν ακόμη διαθέσιμες αχρησιμοποίητες πιστώσεις στη γραμμή του προϋπολογισμού που προορίζεται για την κάλυψη των χρηματοδοτικών εξόδων του NGEU, και να έχει ολοκληρωθεί το αργότερο μέχρι το 2058· σημειώνει ότι το άνοιγμα του προϋπολογισμού της Ένωσης που καταγράφηκε στο τέλος του 2023 αναμένεται να αυξηθεί το 2024 και το 2025, κυρίως λόγω των δανείων του ΜΑΑ· εκφράζει την ανησυχία του για το γεγονός ότι δυνητικές μεταβολές των συνθηκών της αγοράς μπορούν να έχουν ως συνέπεια υψηλότερο κόστος δανεισμού, το οποίο, όσον αφορά το χρέος του NGEU για επιχορηγήσεις, θα βαρύνει αναγκαστικά τον προϋπολογισμό της Ένωσης· εκφράζει την ανησυχία του για το γεγονός ότι μέχρι σήμερα δεν υπάρχει ακόμη σχέδιο αποπληρωμής για το κοινό χρέος του NGEU, και το χρέος της Ένωσης εξακολουθεί να αυξάνεται, με μεγάλο μέρος της αύξησης αυτής να αποδίδεται στο προσωρινό μέσο ανάκαμψης NGEU· εκφράζει την ανησυχία του για το γεγονός ότι η αύξηση του χρέους και η επακόλουθη αύξηση του κόστους των τόκων θα έχουν μακροπρόθεσμες επιπτώσεις στη δημοσιονομική σταθερότητα της Ένωσης, οδηγώντας ενδεχομένως σε μεγαλύτερη οικονομική πίεση και μειωμένη ικανότητα ανταπόκρισης σε μελλοντικές προκλήσεις ή επενδύσεων σε βασικούς στρατηγικούς τομείς·</w:t>
      </w:r>
    </w:p>
    <w:p w:rsidR="00F70384" w:rsidRPr="005C4A71" w:rsidRDefault="00E8367F" w:rsidP="00E8367F">
      <w:pPr>
        <w:pStyle w:val="NormalHanging12a"/>
        <w:widowControl/>
        <w:ind w:hanging="570"/>
      </w:pPr>
      <w:r w:rsidRPr="005C4A71">
        <w:t>213.</w:t>
      </w:r>
      <w:r w:rsidRPr="005C4A71">
        <w:tab/>
      </w:r>
      <w:r w:rsidR="00F70384" w:rsidRPr="005C4A71">
        <w:t>σημειώνει τη διαπίστωση του Ελεγκτικού Συνεδρίου ότι οι πληρωμές από τον ΜΑΑ ήταν χαμηλότερες από τις αναμενόμενες το 2023· τονίζει ότι το Ελεγκτικό Συνέδριο έχει επικρίνει την αργή εκταμίευση και απορρόφηση των κονδυλίων του ΜΑΑ· εκφράζει την ανησυχία του για τις διαπιστώσεις του Ελεγκτικού Συνεδρίου στην ειδική έκθεση αριθ. 13/2024 ότι η απορρόφηση των κονδυλίων του ΜΑΑ έχει σημειώσει πρόοδο με ορισμένες καθυστερήσεις, ότι τα κράτη μέλη ενδέχεται να μην είναι σε θέση να ολοκληρώσουν όλα τα μέτρα στο τέλος της περιόδου εφαρμογής του ΜΑΑ παρότι έχει ήδη καταβληθεί για αυτά σημαντικό μέρος των κονδυλίων, και ότι το δεύτερο ήμισυ της περιόδου εφαρμογής του ΜΑΑ είναι πιο απαιτητικό λόγω της αύξησης του αριθμού των ορόσημων και στόχων, της μετάβασης από τις μεταρρυθμίσεις στις επενδύσεις και του πιο προχωρημένου σταδίου υλοποίησης, καθώς και λόγω του υψηλού ποσοστού των μέτρων που πρόκειται να ολοκληρωθούν το τελευταίο έτος·</w:t>
      </w:r>
    </w:p>
    <w:p w:rsidR="00F70384" w:rsidRPr="005C4A71" w:rsidRDefault="00E8367F" w:rsidP="00E8367F">
      <w:pPr>
        <w:pStyle w:val="NormalHanging12a"/>
        <w:widowControl/>
        <w:ind w:hanging="570"/>
      </w:pPr>
      <w:r w:rsidRPr="005C4A71">
        <w:t>214.</w:t>
      </w:r>
      <w:r w:rsidRPr="005C4A71">
        <w:tab/>
      </w:r>
      <w:r w:rsidR="00F70384" w:rsidRPr="005C4A71">
        <w:t xml:space="preserve">σημειώνει, αντιθέτως, ότι, σύμφωνα με την Επιτροπή, η επίτευξη των ορόσημων και στόχων βρίσκεται σε γενικές γραμμές σε καλό δρόμο, καθώς έως τις 31 Αυγούστου 2024, πάνω από το 40 % των διαθέσιμων κονδυλίων του ΜΑΑ είχε εκταμιευθεί στα κράτη μέλη, με την εκταμίευση επιχορηγήσεων να φτάνει το 48 % και τα δάνεια να υπερβαίνουν ελαφρώς το 30 %· σημειώνει ότι ο ρυθμός των αιτήσεων πληρωμής έχει επίσης επιταχυνθεί από το δεύτερο εξάμηνο του 2023, καθώς η αναθεώρηση των ΣΑΑ που συνδέεται με την εισαγωγή των κεφαλαίων για το </w:t>
      </w:r>
      <w:proofErr w:type="spellStart"/>
      <w:r w:rsidR="00F70384" w:rsidRPr="005C4A71">
        <w:t>REPowerEU</w:t>
      </w:r>
      <w:proofErr w:type="spellEnd"/>
      <w:r w:rsidR="00F70384" w:rsidRPr="005C4A71">
        <w:t xml:space="preserve"> ολοκληρώθηκε το 2023·</w:t>
      </w:r>
    </w:p>
    <w:p w:rsidR="00F70384" w:rsidRPr="005C4A71" w:rsidRDefault="00E8367F" w:rsidP="00E8367F">
      <w:pPr>
        <w:pStyle w:val="NormalHanging12a"/>
        <w:ind w:hanging="570"/>
      </w:pPr>
      <w:r w:rsidRPr="005C4A71">
        <w:t>215.</w:t>
      </w:r>
      <w:r w:rsidRPr="005C4A71">
        <w:tab/>
      </w:r>
      <w:r w:rsidR="00F70384" w:rsidRPr="005C4A71">
        <w:t>σημειώνει τις διαπιστώσεις του Ελεγκτικού Συνεδρίου στην ειδική έκθεση αριθ. 13/2024, σύμφωνα με τις οποίες οι πρόσθετοι λόγοι για την αργή απορρόφηση περιλάμβαναν μέτρα που δεν ήταν κατάλληλα για το χρονοδιάγραμμα του ΜΑΑ και υποεκτίμηση του χρόνου που απαιτείται για την εφαρμογή τους (λόγω των κανόνων για τις δημόσιες συμβάσεις και τις κρατικές ενισχύσεις), καθώς και αβεβαιότητες σχετικά με τους κανόνες εφαρμογής και τον τρόπο με τον οποίο θα πρέπει να εφαρμόζονται, συμπεριλαμβανομένης της έλλειψης καθοδήγησης σχετικά με την αρχή της «μη πρόκλησης σημαντικής βλάβης» και τον τρόπο με τον οποίο μπορεί αυτή να τηρηθεί·</w:t>
      </w:r>
    </w:p>
    <w:p w:rsidR="00F70384" w:rsidRPr="005C4A71" w:rsidRDefault="00E8367F" w:rsidP="00E8367F">
      <w:pPr>
        <w:pStyle w:val="NormalHanging12a"/>
        <w:ind w:hanging="570"/>
      </w:pPr>
      <w:r w:rsidRPr="005C4A71">
        <w:t>216.</w:t>
      </w:r>
      <w:r w:rsidRPr="005C4A71">
        <w:tab/>
      </w:r>
      <w:r w:rsidR="00F70384" w:rsidRPr="005C4A71">
        <w:t>εκφράζει την έντονη ανησυχία του για την παρατήρηση του Ελεγκτικού Συνεδρίου σχετικά με επίμονες αδυναμίες στην εφαρμογή των συστημάτων ελέγχου των κρατών μελών, καθώς αυτό θέτει σε κίνδυνο τη διαθεσιμότητα πλήρων και ακριβών δεδομένων στα οποία βασίζονται οι αιτήσεις πληρωμής, την πρόσβαση σε αυτές τις αιτήσεις για σκοπούς ελέγχου και την αποτελεσματική λειτουργία των συστημάτων ελέγχου των κρατών μελών για την προστασία των οικονομικών συμφερόντων της Ένωσης· υπενθυμίζει ότι, σύμφωνα με τον κανονισμό ΜΑΑ, τα συστήματα ελέγχου των κρατών μελών αναμένεται να διαδραματίσουν καίριο ρόλο στην αποτελεσματική προστασία των οικονομικών συμφερόντων της ΕΕ· παροτρύνει την Επιτροπή να αναλαμβάνει αποφασιστική και ταχεία δράση όποτε είναι αναγκαίο, συμπεριλαμβανομένης της επιβολής δημοσιονομικών διορθώσεων, και να αξιοποιεί πλήρως τις διατάξεις του κανονισμού ΜΑΑ εάν εξακολουθούν να υπάρχουν ελλείψεις στα συστήματα ελέγχου των κρατών μελών·</w:t>
      </w:r>
    </w:p>
    <w:p w:rsidR="00F70384" w:rsidRPr="005C4A71" w:rsidRDefault="00E8367F" w:rsidP="00E8367F">
      <w:pPr>
        <w:pStyle w:val="NormalHanging12a"/>
        <w:widowControl/>
        <w:ind w:hanging="570"/>
      </w:pPr>
      <w:r w:rsidRPr="005C4A71">
        <w:t>217.</w:t>
      </w:r>
      <w:r w:rsidRPr="005C4A71">
        <w:tab/>
      </w:r>
      <w:r w:rsidR="00F70384" w:rsidRPr="005C4A71">
        <w:t xml:space="preserve">εκφράζει την ανησυχία του για τις διαπιστώσεις του Ελεγκτικού Συνεδρίου στην ειδική έκθεση αριθ. 22/2024 με τίτλο «Διπλή χρηματοδότηση από τον προϋπολογισμό της ΕΕ: Τα συστήματα δικλίδων δεν διαθέτουν ουσιώδη στοιχεία για τον μετριασμό του αυξημένου κινδύνου που απορρέει από το μη βασιζόμενο στις δαπάνες μοντέλο του ΜΑΑ»· επισημαίνει ότι τα κράτη μέλη μπορούν να προτείνουν τα λεγόμενα «μέτρα μηδενικού κόστους», δηλαδή μέτρα που εκτιμάται ότι δεν έχουν κόστος που πρέπει να καλυφθεί από τον ΜΑΑ, και για τα οποία δεν πραγματοποιούνται καθόλου έλεγχοι για διπλή χρηματοδότηση, καθώς η Επιτροπή θεωρεί ότι τα μέτρα για τα οποία δεν χορηγούνται κονδύλια από τον ΜΑΑ δεν παρουσιάζουν κίνδυνο από την άποψη αυτή· σημειώνει επίσης με ανησυχία τις διαπιστώσεις του Ελεγκτικού Συνεδρίου ότι, από τη σκοπιά των κρατών μελών, τα πολλά επίπεδα διακυβέρνησης που εμπλέκονται, μεταξύ άλλων σε εθνικό, περιφερειακό ή δημοτικό επίπεδο, δυσχεραίνουν σε μεγάλο βαθμό τον συντονισμό και την εποπτεία· εκφράζει την ανησυχία του για το γεγονός ότι, όταν διενεργούνται έλεγχοι, i) πραγματοποιούνται σε ένα πολύ περίπλοκο περιβάλλον με διαφορετικά εργαλεία ΤΠ τα οποία συχνά δεν χρησιμοποιούνται με </w:t>
      </w:r>
      <w:proofErr w:type="spellStart"/>
      <w:r w:rsidR="00F70384" w:rsidRPr="005C4A71">
        <w:t>διαλειτουργικό</w:t>
      </w:r>
      <w:proofErr w:type="spellEnd"/>
      <w:r w:rsidR="00F70384" w:rsidRPr="005C4A71">
        <w:t xml:space="preserve"> τρόπο, ενώ τα δεδομένα συχνά δεν καταγράφονται με τυποποιημένο τρόπο, με αποτέλεσμα ο έλεγχος για διπλή χρηματοδότηση να μπορεί να πραγματοποιηθεί μόνο με μη αυτόματους </w:t>
      </w:r>
      <w:proofErr w:type="spellStart"/>
      <w:r w:rsidR="00F70384" w:rsidRPr="005C4A71">
        <w:t>διασταυρωτικούς</w:t>
      </w:r>
      <w:proofErr w:type="spellEnd"/>
      <w:r w:rsidR="00F70384" w:rsidRPr="005C4A71">
        <w:t xml:space="preserve"> ελέγχους σε όλες τις βάσεις δεδομένων, και </w:t>
      </w:r>
      <w:proofErr w:type="spellStart"/>
      <w:r w:rsidR="00F70384" w:rsidRPr="005C4A71">
        <w:t>ii</w:t>
      </w:r>
      <w:proofErr w:type="spellEnd"/>
      <w:r w:rsidR="00F70384" w:rsidRPr="005C4A71">
        <w:t>) τα συστήματα ελέγχου των κρατών μελών βασίζονται σε μεγάλο βαθμό σε υπεύθυνες δηλώσεις των αποδεκτών κονδυλίων της Ένωσης· σημειώνει, ωστόσο, ότι το Ελεγκτικό Συνέδριο δεν εντόπισε καμία περίπτωση διπλής χρηματοδότησης·</w:t>
      </w:r>
    </w:p>
    <w:p w:rsidR="00F70384" w:rsidRPr="005C4A71" w:rsidRDefault="00E8367F" w:rsidP="00E8367F">
      <w:pPr>
        <w:pStyle w:val="NormalHanging12a"/>
        <w:ind w:hanging="570"/>
      </w:pPr>
      <w:r w:rsidRPr="005C4A71">
        <w:t>218.</w:t>
      </w:r>
      <w:r w:rsidRPr="005C4A71">
        <w:tab/>
      </w:r>
      <w:r w:rsidR="00F70384" w:rsidRPr="005C4A71">
        <w:t>σημειώνει την παρατήρηση της Επιτροπής ότι, σύμφωνα με τον κανονισμό ΜΑΑ, η διπλή χρηματοδότηση συνδέεται ρητά με το δημοσιονομικό κόστος και, ως εκ τούτου, δεν μπορεί να υπάρξει διπλή χρηματοδότηση εάν το κράτος μέλος δεν έχει υποβάλει εκτίμηση κόστους σε σχέση με συγκεκριμένο μέτρο στο πλαίσιο του εθνικού του σχεδίου· σημειώνει ότι η Επιτροπή υπογραμμίζει πως οι μεταρρυθμίσεις χωρίς κόστος δεν αυξάνουν το χρηματοδοτικό κονδύλιο, όμως αποτελούν βασικά κριτήρια για τη θετική αξιολόγηση των ΣΑΑ από την Επιτροπή, καθώς και για την πλήρη εφαρμογή τους όσον αφορά τις σχετικές πληρωμές· επισημαίνει ότι η Επιτροπή, λίγο μετά το επιτόπιο ελεγκτικό έργο του Ελεγκτικού Συνεδρίου, αναγνώρισε ότι είχε εντοπίσει τις δύο πρώτες πιθανές περιπτώσεις διπλής χρηματοδότησης·</w:t>
      </w:r>
    </w:p>
    <w:p w:rsidR="00F70384" w:rsidRPr="005C4A71" w:rsidRDefault="00E8367F" w:rsidP="00E8367F">
      <w:pPr>
        <w:pStyle w:val="NormalHanging12a"/>
        <w:ind w:hanging="570"/>
      </w:pPr>
      <w:r w:rsidRPr="005C4A71">
        <w:t>219.</w:t>
      </w:r>
      <w:r w:rsidRPr="005C4A71">
        <w:tab/>
      </w:r>
      <w:r w:rsidR="00F70384" w:rsidRPr="005C4A71">
        <w:t xml:space="preserve">υπενθυμίζει ότι το άρθρο 9 του κανονισμού ΜΑΑ θεσπίζει ως βασικές αρχές την </w:t>
      </w:r>
      <w:proofErr w:type="spellStart"/>
      <w:r w:rsidR="00F70384" w:rsidRPr="005C4A71">
        <w:t>προσθετικότητα</w:t>
      </w:r>
      <w:proofErr w:type="spellEnd"/>
      <w:r w:rsidR="00F70384" w:rsidRPr="005C4A71">
        <w:t xml:space="preserve"> και τη συμπληρωματικότητα μεταξύ των προγραμμάτων και των μέσων χρηματοδότησης της Ένωσης· πιστεύει ότι, για να τηρηθούν αυτές οι αρχές αλλά να αποφευχθεί ο κίνδυνος διπλής χρηματοδότησης, τα ίδια μέτρα που περιλαμβάνονται ήδη σε άλλα εθνικά σχέδια που λαμβάνουν χρηματοδότηση από την Ένωση (π.χ. συνοχή, γεωργία κ.λπ.) θα πρέπει είτε να περιλαμβάνονται στα ΣΑΑ είτε να περιγράφονται πιο αναλυτικά, ακόμη και αν δεν συνεπάγονται κανένα κόστος, προς αποφυγή της διπλής χρηματοδότησης· υπογραμμίζει ότι, λόγω του διαφορετικού μοντέλου εφαρμογής, ενδέχεται να είναι δυσκολότερο να προσδιοριστεί η διπλή χρηματοδότηση μεταξύ του ΜΑΑ και άλλων χρηματοδοτικών μέσων της Ένωσης, και παροτρύνει την Επιτροπή να επαγρυπνεί και να ενεργεί για τον εντοπισμό τυχόν περιπτώσεων διπλής χρηματοδότησης·</w:t>
      </w:r>
    </w:p>
    <w:p w:rsidR="00F70384" w:rsidRPr="005C4A71" w:rsidRDefault="00E8367F" w:rsidP="00E8367F">
      <w:pPr>
        <w:pStyle w:val="NormalHanging12a"/>
        <w:ind w:hanging="570"/>
      </w:pPr>
      <w:r w:rsidRPr="005C4A71">
        <w:t>220.</w:t>
      </w:r>
      <w:r w:rsidRPr="005C4A71">
        <w:tab/>
      </w:r>
      <w:r w:rsidR="00F70384" w:rsidRPr="005C4A71">
        <w:t>εκφράζει τη λύπη του για την έλλειψη επαρκών διασφαλίσεων για την πρόληψη της διπλής χρηματοδότησης έργων στο πλαίσιο τόσο του ΜΑΑ όσο και άλλων χρηματοδοτικών μέσων της Ένωσης· ζητεί ένα αυτοματοποιημένο σύστημα διασταυρούμενων ελέγχων μεταξύ του ΜΑΑ και των ταμείων συνοχής, της κοινής γεωργικής πολιτικής και άλλων χρηματοδοτικών προγραμμάτων της Ένωσης για τον εντοπισμό και την εξάλειψη των διπλών αιτήσεων·</w:t>
      </w:r>
    </w:p>
    <w:p w:rsidR="00F70384" w:rsidRPr="005C4A71" w:rsidRDefault="00E8367F" w:rsidP="00E8367F">
      <w:pPr>
        <w:pStyle w:val="NormalHanging12a"/>
        <w:ind w:hanging="570"/>
        <w:rPr>
          <w:b/>
          <w:i/>
        </w:rPr>
      </w:pPr>
      <w:r w:rsidRPr="005C4A71">
        <w:t>221.</w:t>
      </w:r>
      <w:r w:rsidRPr="005C4A71">
        <w:tab/>
      </w:r>
      <w:r w:rsidR="00F70384" w:rsidRPr="005C4A71">
        <w:t>εκφράζει την ανησυχία του για τη διαπίστωση του Ελεγκτικού Συνεδρίου στην επισκόπηση 01/2023: «Η χρηματοδότηση της ΕΕ μέσω της πολιτικής συνοχής και του ΜΑΑ: συγκριτική ανάλυση» ότι η αναφορά περιπτώσεων απάτης που αφορούν δαπάνες του ΜΑΑ εξακολουθεί να μην πραγματοποιείται με τυποποιημένη προσέγγιση με ισχυρό συντονισμό και συνεργασία μεταξύ των κρατών μελών, τα οποία υποχρεούνται να αναφέρουν περιπτώσεις εικαζόμενης απάτης όχι σε ένα ενιαίο σύστημα ΤΠ, αλλά στη διαχειριστική δήλωση που συνοδεύει κάθε αίτηση πληρωμής, μολονότι ορισμένα κράτη μέλη έχουν αναφέρει περιπτώσεις και εκτός των διαχειριστικών δηλώσεων· εκφράζει τη λύπη του για το γεγονός ότι δεν υπάρχουν σαφείς κατευθυντήριες γραμμές σχετικά με τον ακριβή χρόνο κατά τον οποίο πρέπει να αναφέρεται μια περίπτωση εικαζόμενης απάτης, με το αν υπάρχει όριο πέραν του οποίου επιβάλλεται η αναφορά ή σχετικά με το ποιο τυποποιημένο σύνολο πληροφοριών πρέπει να αναφέρεται σε κάθε περίπτωση και ποια διορθωτικά μέτρα πρέπει να λαμβάνονται· υποστηρίζει επίσης το αίτημα του Ελεγκτικού Συνεδρίου προς την Επιτροπή, στο πλαίσιο της ίδιας επισκόπησης 01/2023, να λάβει επαρκή διασφάλιση από τα κράτη μέλη σχετικά με την αποτελεσματικότητα των εθνικών συστημάτων για την πρόληψη, τον εντοπισμό και την αντιμετώπιση της απάτης, της διαφθοράς και των συγκρούσεων συμφερόντων·</w:t>
      </w:r>
    </w:p>
    <w:p w:rsidR="00F70384" w:rsidRPr="005C4A71" w:rsidRDefault="00E8367F" w:rsidP="00E8367F">
      <w:pPr>
        <w:pStyle w:val="NormalHanging12a"/>
        <w:ind w:hanging="570"/>
      </w:pPr>
      <w:r w:rsidRPr="005C4A71">
        <w:t>222.</w:t>
      </w:r>
      <w:r w:rsidRPr="005C4A71">
        <w:tab/>
      </w:r>
      <w:r w:rsidR="00F70384" w:rsidRPr="005C4A71">
        <w:t>εκφράζει την ανησυχία του για το γεγονός ότι το 2023 η Επιτροπή χρειάστηκε να θεσπίσει 10 πρόσθετα ορόσημα ελέγχου για επτά κράτη μέλη για την αντιμετώπιση των αδυναμιών που εντοπίστηκαν στα συστήματα ελέγχου τους· υπενθυμίζει και υποστηρίζει την εκτίμηση του Ελεγκτικού Συνεδρίου, σύμφωνα με το οποίο η θέσπιση των οροσήμων ελέγχου σημαίνει ότι τα συστήματα των κρατών μελών δεν ήταν πλήρως λειτουργικά όταν άρχισαν να εφαρμόζονται τα σχέδια, με αποτέλεσμα να τίθενται σε σοβαρό κίνδυνο η κανονικότητα των δαπανών του ΜΑΑ και η προστασία των οικονομικών συμφερόντων·</w:t>
      </w:r>
    </w:p>
    <w:p w:rsidR="00F70384" w:rsidRPr="005C4A71" w:rsidRDefault="00E8367F" w:rsidP="00E8367F">
      <w:pPr>
        <w:pStyle w:val="NormalHanging12a"/>
        <w:ind w:hanging="570"/>
      </w:pPr>
      <w:r w:rsidRPr="005C4A71">
        <w:t>223.</w:t>
      </w:r>
      <w:r w:rsidRPr="005C4A71">
        <w:tab/>
      </w:r>
      <w:r w:rsidR="00F70384" w:rsidRPr="005C4A71">
        <w:t>εκφράζει τη λύπη του για τα πορίσματα της ειδικής έκθεσης 26/2023 του Ελεγκτικού Συνεδρίου, σύμφωνα με τα οποία αρκετοί τομείς πολιτικής στον πυλώνα του ΜΑΑ που περιέχουν πολιτικές για την υγεία δεν διαθέτουν αντίστοιχο κοινό δείκτη για τη μέτρηση της προόδου· εκφράζει την ανησυχία του για το γεγονός ότι αυτό εμποδίζει την ορθή παρακολούθηση και κατανόηση της προόδου που σημειώνεται προς την επίτευξη των οροσήμων και των στόχων που συνδέονται με τις πολιτικές για την υγεία·</w:t>
      </w:r>
    </w:p>
    <w:p w:rsidR="00F70384" w:rsidRPr="005C4A71" w:rsidRDefault="00E8367F" w:rsidP="00E8367F">
      <w:pPr>
        <w:pStyle w:val="NormalHanging12a"/>
        <w:widowControl/>
        <w:ind w:hanging="570"/>
      </w:pPr>
      <w:r w:rsidRPr="005C4A71">
        <w:t>224.</w:t>
      </w:r>
      <w:r w:rsidRPr="005C4A71">
        <w:tab/>
      </w:r>
      <w:r w:rsidR="00F70384" w:rsidRPr="005C4A71">
        <w:t>εκφράζει την ικανοποίησή του για το γεγονός ότι, το 2023, η Επιτροπή σημείωσε πρόοδο όσον αφορά την εξάλειψη κάθε πιθανότητας παρερμηνείας των αριθμητικών στοιχείων του πίνακα αποτελεσμάτων για την ανάκαμψη και την ανθεκτικότητα, καθώς και για το γεγονός ότι στον πίνακα αποτελεσμάτων υλοποιήθηκε περαιτέρω η σχετική σύσταση του Ελεγκτικού Συνεδρίου για βελτίωση της παρουσίασης των δεδομένων που εμφανίζονται στον πίνακα αποτελεσμάτων και για βελτίωση των εξηγήσεων όσον αφορά τους περιορισμούς του, ιδίως με την καλύτερη επεξήγηση των υποκείμενων μεθοδολογιών και τη ρητή δήλωση, κατά περίπτωση, ότι τα δεδομένα αποτελούν εκτιμήσεις·</w:t>
      </w:r>
    </w:p>
    <w:p w:rsidR="00F70384" w:rsidRPr="005C4A71" w:rsidRDefault="00F70384" w:rsidP="00F70384">
      <w:pPr>
        <w:spacing w:after="240"/>
        <w:ind w:left="567" w:hanging="567"/>
        <w:jc w:val="both"/>
        <w:rPr>
          <w:i/>
        </w:rPr>
      </w:pPr>
      <w:r w:rsidRPr="005C4A71">
        <w:rPr>
          <w:i/>
        </w:rPr>
        <w:t>Λογιστικός και άλλος έλεγχος</w:t>
      </w:r>
    </w:p>
    <w:p w:rsidR="00F70384" w:rsidRPr="005C4A71" w:rsidRDefault="00E8367F" w:rsidP="00E8367F">
      <w:pPr>
        <w:pStyle w:val="NormalHanging12a"/>
        <w:widowControl/>
        <w:ind w:hanging="570"/>
      </w:pPr>
      <w:r w:rsidRPr="005C4A71">
        <w:t>225.</w:t>
      </w:r>
      <w:r w:rsidRPr="005C4A71">
        <w:tab/>
      </w:r>
      <w:r w:rsidR="00F70384" w:rsidRPr="005C4A71">
        <w:t xml:space="preserve">εκφράζει την ικανοποίησή του για το γεγονός ότι, με βάση τις συστάσεις του Ελεγκτικού Συνεδρίου και την πείρα που αποκτήθηκε, η Επιτροπή δημοσίευσε, το 2023, τρία μεθοδολογικά σημειώματα για την αποσαφήνιση της εφαρμογής του κανονισμού ΜΑΑ, που περιλαμβάνουν το πλαίσιό της για i) την αξιολόγηση της ικανοποιητικής εκπλήρωσης των ορόσημων και στόχων, μετά τη διενέργεια αξιολόγησης, και </w:t>
      </w:r>
      <w:proofErr w:type="spellStart"/>
      <w:r w:rsidR="00F70384" w:rsidRPr="005C4A71">
        <w:t>ii</w:t>
      </w:r>
      <w:proofErr w:type="spellEnd"/>
      <w:r w:rsidR="00F70384" w:rsidRPr="005C4A71">
        <w:t>) την εφαρμογή των διατάξεων που σχετίζονται με την αντιστροφή των ορόσημων και στόχων, καθώς και μεθοδολογία για τον καθορισμό του ποσού που πρέπει να ανασταλεί σε περίπτωση μη ικανοποιητικής εκπλήρωσης ενός ορόσημου ή στόχου· λαμβάνει υπό σημείωση τις επικαιροποιημένες κατευθυντήριες γραμμές σχετικά με τα ΣΑΑ, που εγκρίθηκαν στις 19 Ιουλίου 2024, οι οποίες παρέχουν πρόσθετη καθοδήγηση για τη διασφάλιση της διαρκούς επάρκειας των ελέγχων για τον εντοπισμό και την αποφυγή κάθε κινδύνου διπλής χρηματοδότησης, καθώς και τη μεθοδολογία για τις μειώσεις και τις ανακτήσεις στο πλαίσιο του ΜΑΑ σύμφωνα με το άρθρο 24 παράγραφος 8 του κανονισμού ΜΑΑ·</w:t>
      </w:r>
    </w:p>
    <w:p w:rsidR="00F70384" w:rsidRPr="005C4A71" w:rsidRDefault="00E8367F" w:rsidP="00E8367F">
      <w:pPr>
        <w:pStyle w:val="NormalHanging12a"/>
        <w:ind w:hanging="570"/>
      </w:pPr>
      <w:r w:rsidRPr="005C4A71">
        <w:t>226.</w:t>
      </w:r>
      <w:r w:rsidRPr="005C4A71">
        <w:tab/>
      </w:r>
      <w:r w:rsidR="00F70384" w:rsidRPr="005C4A71">
        <w:t>καλεί την Επιτροπή να αυξήσει τον αριθμό των κατασταλτικών ελέγχων και των επιτόπιων επιθεωρήσεων για έργα που χρηματοδοτούνται από τον ΜΑΑ, ιδίως σε τομείς υψηλού κινδύνου, όπως οι ψηφιακές υποδομές και η ενέργεια, στους οποίους έχουν εντοπιστεί σημαντικές παρατυπίες σε προηγούμενα χρηματοδοτικά προγράμματα της Ένωσης·</w:t>
      </w:r>
    </w:p>
    <w:p w:rsidR="00F70384" w:rsidRPr="005C4A71" w:rsidRDefault="00E8367F" w:rsidP="00E8367F">
      <w:pPr>
        <w:pStyle w:val="NormalHanging12a"/>
        <w:ind w:hanging="570"/>
      </w:pPr>
      <w:r w:rsidRPr="005C4A71">
        <w:t>227.</w:t>
      </w:r>
      <w:r w:rsidRPr="005C4A71">
        <w:tab/>
      </w:r>
      <w:r w:rsidR="00F70384" w:rsidRPr="005C4A71">
        <w:t xml:space="preserve">προειδοποιεί ότι η συμπερίληψη </w:t>
      </w:r>
      <w:proofErr w:type="spellStart"/>
      <w:r w:rsidR="00F70384" w:rsidRPr="005C4A71">
        <w:t>προϋπαρχόντων</w:t>
      </w:r>
      <w:proofErr w:type="spellEnd"/>
      <w:r w:rsidR="00F70384" w:rsidRPr="005C4A71">
        <w:t xml:space="preserve"> έργων και η υποκατάσταση επαναλαμβανόμενων δημοσιονομικών δαπανών στο πλαίσιο του ΜΑΑ υπονομεύει την αρχή της </w:t>
      </w:r>
      <w:proofErr w:type="spellStart"/>
      <w:r w:rsidR="00F70384" w:rsidRPr="005C4A71">
        <w:t>προσθετικότητας</w:t>
      </w:r>
      <w:proofErr w:type="spellEnd"/>
      <w:r w:rsidR="00F70384" w:rsidRPr="005C4A71">
        <w:t>, μετατρέποντας ουσιαστικά το μέσο σε μηχανισμό έμμεσης χρηματοδότησης των τακτικών προϋπολογισμών των κρατών μελών, αντί να προωθεί πραγματική ανάκαμψη και ανθεκτικότητα μετά την κρίση· ζητεί να διενεργηθεί επειγόντως επανεξέταση προκειμένου να αποφευχθεί η περαιτέρω αποδυνάμωση του σκοπού του ΜΑΑ·</w:t>
      </w:r>
    </w:p>
    <w:p w:rsidR="00F70384" w:rsidRPr="005C4A71" w:rsidRDefault="00E8367F" w:rsidP="00E8367F">
      <w:pPr>
        <w:pStyle w:val="NormalHanging12a"/>
        <w:ind w:hanging="570"/>
      </w:pPr>
      <w:r w:rsidRPr="005C4A71">
        <w:t>228.</w:t>
      </w:r>
      <w:r w:rsidRPr="005C4A71">
        <w:tab/>
      </w:r>
      <w:r w:rsidR="00F70384" w:rsidRPr="005C4A71">
        <w:t xml:space="preserve">ζητεί να αναληφθεί πιο αποφασιστική δράση τόσο από την Επιτροπή όσο και από τα κράτη μέλη για τον εντοπισμό παρατυπιών κατά τη χρήση των κονδυλίων του ΜΑΑ και την ανάκτηση των </w:t>
      </w:r>
      <w:proofErr w:type="spellStart"/>
      <w:r w:rsidR="00F70384" w:rsidRPr="005C4A71">
        <w:t>αχρεωστήτως</w:t>
      </w:r>
      <w:proofErr w:type="spellEnd"/>
      <w:r w:rsidR="00F70384" w:rsidRPr="005C4A71">
        <w:t xml:space="preserve"> καταβληθέντων ποσών·</w:t>
      </w:r>
    </w:p>
    <w:p w:rsidR="00F70384" w:rsidRPr="005C4A71" w:rsidRDefault="00E8367F" w:rsidP="00E8367F">
      <w:pPr>
        <w:pStyle w:val="NormalHanging12a"/>
        <w:widowControl/>
        <w:ind w:hanging="570"/>
      </w:pPr>
      <w:r w:rsidRPr="005C4A71">
        <w:t>229.</w:t>
      </w:r>
      <w:r w:rsidRPr="005C4A71">
        <w:tab/>
      </w:r>
      <w:r w:rsidR="00F70384" w:rsidRPr="005C4A71">
        <w:t>εκφράζει την ανησυχία του για την απάντηση του Ελεγκτικού Συνεδρίου στις απαντήσεις της Επιτροπής σχετικά με την ύπαρξη κενού διασφάλισης σε επίπεδο Ένωσης όσον αφορά τη συμμόρφωση με τους ενωσιακούς και εθνικούς κανόνες για τις δημόσιες συμβάσεις και τις κρατικές ενισχύσεις· σημειώνει ότι η Επιτροπή υποστηρίζει ότι η διασφάλιση που παρέχει η ΓΔ ECFIN καλύπτει την αποτελεσματικότητα των ελέγχων των κρατών μελών όσον αφορά τη συμμόρφωση με τους κανόνες για τις δημόσιες συμβάσεις και τις κρατικές ενισχύσεις· τονίζει, ωστόσο, ότι, ενώ η ετήσια έκθεση δραστηριοτήτων της ΓΔ ECFIN αναφέρεται σε αξιολογήσεις της Επιτροπής σχετικά με την ύπαρξη και την αποτελεσματικότητα των ελέγχων των κρατών μελών, δεν υπάρχει συμπέρασμα σχετικά με την αποτελεσματικότητά τους· εκφράζει την ανησυχία του για το γεγονός ότι, σύμφωνα με το Ελεγκτικό Συνέδριο, αυτό συνιστά σημαντικό περιορισμό του πεδίου εφαρμογής της δήλωσης διασφάλισης της Επιτροπής, γεγονός που σημαίνει ότι η Επιτροπή εξακολουθεί να μην παρέχει πλήρη διασφάλιση σχετικά με το κατά πόσον οι δαπάνες του ΜΑΑ —τις οποίες διαχειρίζεται άμεσα η Επιτροπή— συμμορφώνονται με τους κανόνες·</w:t>
      </w:r>
    </w:p>
    <w:p w:rsidR="00F70384" w:rsidRPr="005C4A71" w:rsidRDefault="00E8367F" w:rsidP="00E8367F">
      <w:pPr>
        <w:pStyle w:val="NormalHanging12a"/>
        <w:ind w:hanging="570"/>
      </w:pPr>
      <w:r w:rsidRPr="005C4A71">
        <w:t>230.</w:t>
      </w:r>
      <w:r w:rsidRPr="005C4A71">
        <w:tab/>
      </w:r>
      <w:r w:rsidR="00F70384" w:rsidRPr="005C4A71">
        <w:t>τονίζει ότι οι καθυστερήσεις στην εκταμίευση και την απορρόφηση των κονδυλίων του ΜΑΑ όχι μόνο επιβραδύνουν την οικονομική ανάκαμψη, αλλά δημιουργούν επίσης σημαντικούς κινδύνους για χαμηλής ποιότητας δαπάνες της τελευταίας στιγμής προς το τέλος της περιόδου του ΜΑΑ· καλεί την Επιτροπή να θεσπίσει αυστηρότερες ενδιάμεσες αξιολογήσεις, προκειμένου να προλαμβάνονται βεβιασμένες ενέργειες λόγω του κανόνα της «απώλειας σε περίπτωση μη χρήσης», οι οποίες ενδέχεται να οδηγούν σε σπατάλη και εσφαλμένη διάθεση κονδυλίων·</w:t>
      </w:r>
    </w:p>
    <w:p w:rsidR="00F70384" w:rsidRPr="005C4A71" w:rsidRDefault="00E8367F" w:rsidP="00E8367F">
      <w:pPr>
        <w:pStyle w:val="NormalHanging12a"/>
        <w:ind w:hanging="570"/>
      </w:pPr>
      <w:r w:rsidRPr="005C4A71">
        <w:t>231.</w:t>
      </w:r>
      <w:r w:rsidRPr="005C4A71">
        <w:tab/>
      </w:r>
      <w:r w:rsidR="00F70384" w:rsidRPr="005C4A71">
        <w:t>σημειώνει με σοβαρή ανησυχία ότι κράτη μέλη ενδέχεται να παραιτούνται στρατηγικά από τις τελικές αιτήσεις πληρωμής τους για να αποφεύγουν την εκπλήρωση πολιτικά ευαίσθητων οροσήμων και στόχων και, κατ’ επέκταση, την υλοποίηση αναγκαίων αλλά μη δημοφιλών μεταρρυθμίσεων· καλεί την Επιτροπή να θεσπίσει οικονομικές κυρώσεις για την ελλιπή εφαρμογή του ΜΑΑ, ώστε να αποτραπεί η χειραγώγηση της δομής πληρωμών·</w:t>
      </w:r>
    </w:p>
    <w:p w:rsidR="00F70384" w:rsidRPr="005C4A71" w:rsidRDefault="00E8367F" w:rsidP="00E8367F">
      <w:pPr>
        <w:pStyle w:val="NormalHanging12a"/>
        <w:widowControl/>
        <w:ind w:hanging="570"/>
      </w:pPr>
      <w:r w:rsidRPr="005C4A71">
        <w:t>232.</w:t>
      </w:r>
      <w:r w:rsidRPr="005C4A71">
        <w:tab/>
      </w:r>
      <w:r w:rsidR="00F70384" w:rsidRPr="005C4A71">
        <w:t>σημειώνει ότι οι απαντήσεις της Επιτροπής ότι επέκτεινε το εύρος των ελεγκτικών εργασιών της πέραν αυτού που απαιτείται από τον κανονισμό ΜΑΑ, προκειμένου να επαληθεύσει εάν οι διαδικασίες ελέγχου που εφαρμόζονται στα κράτη μέλη παρέχουν την αναγκαία διασφάλιση ότι τα κράτη μέλη επαληθεύουν τακτικά και αποτελεσματικά τη συμμόρφωση με τους κανόνες για τις δημόσιες συμβάσεις και τις κρατικές ενισχύσεις και την επιλεξιμότητα για τα μέτρα ΜΑΑ, αλλά διαφωνεί με τη γνώμη της Επιτροπής ότι τα συμπεράσματα της ετήσιας έκθεσης δραστηριοτήτων της ΓΔ ECFIN καλύπτουν το πεδίο αυτό·</w:t>
      </w:r>
    </w:p>
    <w:p w:rsidR="00F70384" w:rsidRPr="005C4A71" w:rsidRDefault="00E8367F" w:rsidP="00E8367F">
      <w:pPr>
        <w:pStyle w:val="NormalHanging12a"/>
        <w:widowControl/>
        <w:ind w:hanging="570"/>
      </w:pPr>
      <w:r w:rsidRPr="005C4A71">
        <w:t>233.</w:t>
      </w:r>
      <w:r w:rsidRPr="005C4A71">
        <w:tab/>
      </w:r>
      <w:r w:rsidR="00F70384" w:rsidRPr="005C4A71">
        <w:t>σημειώνει με ανησυχία ότι, όπως δήλωσε η Επιτροπή στην ενδιάμεση αξιολόγηση του ΜΑΑ της 21ης Φεβρουαρίου 2024, η πλειονότητα των κρατών μελών θεωρεί ότι η μεθοδολογία αναστολής πληρωμών παραμένει ασαφής όσον αφορά τις μεταρρυθμίσεις λόγω της διακριτικής ευχέρειας που έχει η Επιτροπή κατά την εφαρμογή της μεθοδολογίας· παροτρύνει την Επιτροπή να αναθεωρήσει τη μεθοδολογία αυτή ώστε να μην υπάρχουν δύο μέτρα και δύο σταθμά κατά την εφαρμογή της·</w:t>
      </w:r>
    </w:p>
    <w:p w:rsidR="00F70384" w:rsidRPr="005C4A71" w:rsidRDefault="00E8367F" w:rsidP="00E8367F">
      <w:pPr>
        <w:pStyle w:val="NormalHanging12a"/>
        <w:widowControl/>
        <w:ind w:hanging="570"/>
      </w:pPr>
      <w:r w:rsidRPr="005C4A71">
        <w:t>234.</w:t>
      </w:r>
      <w:r w:rsidRPr="005C4A71">
        <w:tab/>
      </w:r>
      <w:r w:rsidR="00F70384" w:rsidRPr="005C4A71">
        <w:t xml:space="preserve">σημειώνει ότι η Υπηρεσία Εσωτερικού Λογιστικού Ελέγχου της Επιτροπής, στο πλαίσιο του λογιστικού ελέγχου σε σχέση με τους εκ των προτέρων ελέγχους των αιτήσεων πληρωμής του ΜΑΑ που διενεργήθηκαν το 2023, εντόπισε ένα πολύ σημαντικό ζήτημα σύμφωνα με το οποίο η ΓΔ ECFIN, σε συνεργασία με την ειδική ομάδα για την ανάκαμψη και την ανθεκτικότητα, θα πρέπει να αναπτύξει περαιτέρω και να τυποποιήσει τις υφιστάμενες κατευθυντήριες γραμμές για τις περιπτώσεις στις οποίες η ΓΔ ECFIN ζητεί από τα κράτη μέλη να αναλάβουν πρόσθετες δεσμεύσεις σχετικά με τα μέτρα που απορρέουν από ορόσημα λογιστικών και άλλων ελέγχων, και συγκεκριμένα οι κατευθυντήριες γραμμές θα πρέπει να καθορίζουν i) τον τρόπο με τον οποίο η ΓΔ ECFIN θα πρέπει να παρακολουθεί την εκπλήρωση της επίσημης επιβεβαίωσης της δέσμευσης του κράτους μέλους, </w:t>
      </w:r>
      <w:proofErr w:type="spellStart"/>
      <w:r w:rsidR="00F70384" w:rsidRPr="005C4A71">
        <w:t>ii</w:t>
      </w:r>
      <w:proofErr w:type="spellEnd"/>
      <w:r w:rsidR="00F70384" w:rsidRPr="005C4A71">
        <w:t xml:space="preserve">) τα κριτήρια για τον καθορισμό των προθεσμιών εντός των οποίων τα κράτη μέλη πρέπει να εκπληρώσουν τις δεσμεύσεις και </w:t>
      </w:r>
      <w:proofErr w:type="spellStart"/>
      <w:r w:rsidR="00F70384" w:rsidRPr="005C4A71">
        <w:t>iii</w:t>
      </w:r>
      <w:proofErr w:type="spellEnd"/>
      <w:r w:rsidR="00F70384" w:rsidRPr="005C4A71">
        <w:t>) τις σχέσεις μεταξύ του «πλαισίου δεσμεύσεων», του «πλαισίου για την αξιολόγηση των ορόσημων και στόχων στο πλαίσιο του κανονισμού ΜΑΑ» και της «αντιστροφής των ορόσημων και στόχων στο πλαίσιο του μηχανισμού»·</w:t>
      </w:r>
    </w:p>
    <w:p w:rsidR="00F70384" w:rsidRPr="005C4A71" w:rsidRDefault="00E8367F" w:rsidP="00E8367F">
      <w:pPr>
        <w:pStyle w:val="NormalHanging12a"/>
        <w:widowControl/>
        <w:ind w:hanging="570"/>
      </w:pPr>
      <w:r w:rsidRPr="005C4A71">
        <w:t>235.</w:t>
      </w:r>
      <w:r w:rsidRPr="005C4A71">
        <w:tab/>
      </w:r>
      <w:r w:rsidR="00F70384" w:rsidRPr="005C4A71">
        <w:t>σημειώνει ότι η Επιτροπή ελέγχει κατά τη διάρκεια των λογιστικών ελέγχων για την «προστασία των οικονομικών συμφερόντων της Ένωσης» ότι τα κράτη μέλη διαθέτουν σαφή και κωδικοποιημένη διαδικασία για τη διαβίβαση υποθέσεων απάτης, διαφθοράς, σύγκρουσης συμφερόντων και διπλής χρηματοδότησης σε όλες τις αρμόδιες αρχές, συμπεριλαμβανομένης της Ευρωπαϊκής Εισαγγελίας, κατά περίπτωση·</w:t>
      </w:r>
    </w:p>
    <w:p w:rsidR="00F70384" w:rsidRPr="005C4A71" w:rsidRDefault="00E8367F" w:rsidP="00E8367F">
      <w:pPr>
        <w:pStyle w:val="NormalHanging12a"/>
        <w:ind w:hanging="570"/>
      </w:pPr>
      <w:r w:rsidRPr="005C4A71">
        <w:t>236.</w:t>
      </w:r>
      <w:r w:rsidRPr="005C4A71">
        <w:tab/>
      </w:r>
      <w:r w:rsidR="00F70384" w:rsidRPr="005C4A71">
        <w:t>εκφράζει την ανησυχία του για το γεγονός ότι το Ελεγκτικό Συνέδριο αναφέρει στις ετήσιες εκθέσεις του ότι, έως το τέλος του 2023, η Ευρωπαϊκή Εισαγγελία είχε 206 ενεργές έρευνες σχετικά με κονδύλια που χρησιμοποιήθηκαν για την εφαρμογή μέτρων του ΜΑΑ και εκτίμησε τις πιθανές ζημίες σε ποσό που υπερβαίνει τα 1,8 δισεκατομμύρια EUR (όσον αφορά τόσο την εθνική όσο και την ενωσιακή χρηματοδότηση)· σημειώνει ότι οι 206 ανοικτές έρευνες αφορούν δέκα κράτη μέλη, με το 75 % περίπου του συνόλου των υποθέσεων να αφορούν μία χώρα· εκφράζει την ανησυχία του για το γεγονός ότι, στο τέλος του 2023, οι διαχειριστικές δηλώσεις των κρατών μελών δεν είχαν αναφέρει καμία μεμονωμένη περίπτωση εντοπισμού εικαζόμενης απάτης, γεγονός που σημαίνει ότι καμία από τις εκκρεμείς υποθέσεις της Ευρωπαϊκής Εισαγγελίας δεν είχε αναφερθεί από τα ίδια τα κράτη μέλη, γεγονός που δημιουργεί αμφιβολίες σχετικά με την ικανότητα των κρατών μελών να εντοπίζουν και να καταπολεμούν τις απάτες· τονίζει ότι, ενώ δεν έχει ολοκληρωθεί ακόμη καμία έρευνα, τα αριθμητικά στοιχεία που παρουσίασε η Ευρωπαϊκή Εισαγγελία επιβεβαιώνουν ότι ο κίνδυνος απάτης υπάρχει στον ΜΑΑ και ότι θέτουν υπό αμφισβήτηση την αξιοπιστία των δηλώσεων διαχείρισης των κρατών μελών όσον αφορά την αναφορά περιπτώσεων απάτης που εντοπίστηκαν και τα διορθωτικά μέτρα που ελήφθησαν· ζητεί την επείγουσα ενίσχυση των μηχανισμών εντοπισμού της απάτης, συμπεριλαμβανομένης της υποχρεωτικής εκτίμησης του κινδύνου απάτης για όλα τα έργα μεγάλης κλίμακας στο πλαίσιο του ΜΑΑ· καλεί την Επιτροπή να διασφαλίσει ότι η Ευρωπαϊκή Εισαγγελία διαθέτει επαρκείς πόρους για τη διερεύνηση υποθέσεων απάτης που σχετίζονται με δαπάνες του ΜΑΑ, δεδομένου του αυξανόμενου αριθμού ερευνών και των υψηλών εκτιμώμενων ζημιών·</w:t>
      </w:r>
    </w:p>
    <w:p w:rsidR="00F70384" w:rsidRPr="005C4A71" w:rsidRDefault="00E8367F" w:rsidP="00E8367F">
      <w:pPr>
        <w:pStyle w:val="NormalHanging12a"/>
        <w:ind w:hanging="570"/>
      </w:pPr>
      <w:r w:rsidRPr="005C4A71">
        <w:t>237.</w:t>
      </w:r>
      <w:r w:rsidRPr="005C4A71">
        <w:tab/>
      </w:r>
      <w:r w:rsidR="00F70384" w:rsidRPr="005C4A71">
        <w:t>προειδοποιεί ότι εξακολουθεί να μην είναι επαρκής η αναφορά περιπτώσεων απάτης στο πλαίσιο του ΜΑΑ από τα ίδια τα κράτη μέλη, γεγονός που δημιουργεί μια παραπλανητική εικόνα οικονομικής ακεραιότητας·</w:t>
      </w:r>
    </w:p>
    <w:p w:rsidR="00F70384" w:rsidRPr="005C4A71" w:rsidRDefault="00E8367F" w:rsidP="00E8367F">
      <w:pPr>
        <w:pStyle w:val="NormalHanging12a"/>
        <w:ind w:hanging="570"/>
      </w:pPr>
      <w:r w:rsidRPr="005C4A71">
        <w:t>238.</w:t>
      </w:r>
      <w:r w:rsidRPr="005C4A71">
        <w:tab/>
      </w:r>
      <w:r w:rsidR="00F70384" w:rsidRPr="005C4A71">
        <w:t>εκφράζει τη βαθιά λύπη του για την έλλειψη διαφάνειας στην αναφορά περιπτώσεων απάτης που συνδέεται με κονδύλια του ΜΑΑ και επιμένει ότι όλα τα κράτη μέλη πρέπει να συμμορφώνονται με τις τυποποιημένες υποχρεώσεις αναφοράς και να χρησιμοποιούν το σύστημα διαχείρισης παρατυπιών (IMS)·</w:t>
      </w:r>
    </w:p>
    <w:p w:rsidR="00F70384" w:rsidRPr="005C4A71" w:rsidRDefault="00E8367F" w:rsidP="00E8367F">
      <w:pPr>
        <w:pStyle w:val="NormalHanging12a"/>
        <w:widowControl/>
        <w:ind w:hanging="570"/>
      </w:pPr>
      <w:r w:rsidRPr="005C4A71">
        <w:t>239.</w:t>
      </w:r>
      <w:r w:rsidRPr="005C4A71">
        <w:tab/>
      </w:r>
      <w:r w:rsidR="00F70384" w:rsidRPr="005C4A71">
        <w:t>υπενθυμίζει ότι η αναδιατύπωση του δημοσιονομικού κανονισμού που ισχύει από τις 30 Σεπτεμβρίου 2024 («αναδιατύπωση του ΔΚ») προβλέπει την επέκταση του πεδίου εφαρμογής του συστήματος έγκαιρου εντοπισμού και αποκλεισμού (EDES) στην επιμερισμένη διαχείριση και την άμεση διαχείριση σε περιπτώσεις όπου ο προϋπολογισμός εκτελείται από κοινού με τα κράτη μέλη, για προγράμματα που εγκρίνονται ή χρηματοδοτούνται από την 1η Ιανουαρίου 2028· καλεί την Επιτροπή να λαμβάνει μέτρα σε σχέση με τους σοβαρότερους λόγους αποκλεισμού, προκειμένου να προστατεύει καλύτερα τα οικονομικά συμφέροντα της Ένωσης·</w:t>
      </w:r>
    </w:p>
    <w:p w:rsidR="00F70384" w:rsidRPr="005C4A71" w:rsidRDefault="00E8367F" w:rsidP="00E8367F">
      <w:pPr>
        <w:pStyle w:val="NormalHanging12a"/>
        <w:widowControl/>
        <w:ind w:hanging="570"/>
      </w:pPr>
      <w:r w:rsidRPr="005C4A71">
        <w:t>240.</w:t>
      </w:r>
      <w:r w:rsidRPr="005C4A71">
        <w:tab/>
      </w:r>
      <w:r w:rsidR="00F70384" w:rsidRPr="005C4A71">
        <w:t>σημειώνει ότι, για να περιοριστεί η απόκλιση μεταξύ της Επιτροπής και του Ελεγκτικού Συνεδρίου, όσον αφορά τις διαφορετικές ερμηνείες των ορόσημων και στόχων, η Επιτροπή δημοσίευσε την προσέγγισή της όσον αφορά την έννοια της ημερομηνίας έναρξης ενός μέτρου και την έννοια της «υποκατάστασης των επαναλαμβανόμενων εθνικών δημοσιονομικών δαπανών» ως παράρτημα II και παράρτημα III της ετήσιας έκθεσής της για το 2024 σχετικά με την εφαρμογή του ΜΑΑ· επαναλαμβάνει την έκκλησή του προς την Επιτροπή να συνεχίσει να συνεργάζεται με το Ελεγκτικό Συνέδριο προκειμένου επιτευχθεί η μεγαλύτερη δυνατή προσέγγιση όσον αφορά την ερμηνεία των ορόσημων και στόχων·</w:t>
      </w:r>
    </w:p>
    <w:p w:rsidR="00F70384" w:rsidRPr="005C4A71" w:rsidRDefault="00F70384" w:rsidP="00F70384">
      <w:pPr>
        <w:spacing w:after="240"/>
        <w:ind w:left="567" w:hanging="567"/>
        <w:jc w:val="both"/>
        <w:rPr>
          <w:i/>
        </w:rPr>
      </w:pPr>
      <w:r w:rsidRPr="005C4A71">
        <w:rPr>
          <w:i/>
        </w:rPr>
        <w:t>Υλοποίηση και αντίκτυπος</w:t>
      </w:r>
    </w:p>
    <w:p w:rsidR="00F70384" w:rsidRPr="005C4A71" w:rsidRDefault="00E8367F" w:rsidP="00E8367F">
      <w:pPr>
        <w:pStyle w:val="NormalHanging12a"/>
        <w:widowControl/>
        <w:ind w:hanging="570"/>
      </w:pPr>
      <w:r w:rsidRPr="005C4A71">
        <w:t>241.</w:t>
      </w:r>
      <w:r w:rsidRPr="005C4A71">
        <w:tab/>
      </w:r>
      <w:r w:rsidR="00F70384" w:rsidRPr="005C4A71">
        <w:t>παροτρύνει την Επιτροπή να ελαχιστοποιήσει τον κίνδυνο να επιλέξουν τα κράτη μέλη να μη λάβουν μέρος ή το σύνολο των ποσών της τελευταίας αίτησης πληρωμής, ώστε να αποφύγουν να εκπληρώσουν τα τελευταία ορόσημα και στόχους, με αποτέλεσμα να τεθεί σε κίνδυνο η συνολική υλοποίηση των ΣΑΑ· εκφράζει την έντονη ανησυχία του για τους πρόσθετους κινδύνους να αντιστραφούν τα μέτρα μετά τη λήξη του ΜΑΑ, και παροτρύνει την Επιτροπή να διασφαλίσει, κατά την πραγματοποίηση των τελικών πληρωμών, ότι δεν θα προκύψουν τέτοιες καταστάσεις·</w:t>
      </w:r>
    </w:p>
    <w:p w:rsidR="00F70384" w:rsidRPr="005C4A71" w:rsidRDefault="00E8367F" w:rsidP="00E8367F">
      <w:pPr>
        <w:pStyle w:val="NormalHanging12a"/>
        <w:widowControl/>
        <w:ind w:hanging="570"/>
      </w:pPr>
      <w:r w:rsidRPr="005C4A71">
        <w:t>242.</w:t>
      </w:r>
      <w:r w:rsidRPr="005C4A71">
        <w:tab/>
      </w:r>
      <w:r w:rsidR="00F70384" w:rsidRPr="005C4A71">
        <w:t>τονίζει ότι, σύμφωνα με την ενδιάμεση αξιολόγηση του ΜΑΑ από την Επιτροπή, της 21ης Φεβρουαρίου 2024, τα κράτη μέλη τόνισαν την ανάγκη να κινητοποιηθούν περισσότεροι πόροι από ό,τι είχε αρχικά προγραμματιστεί για την αναθεώρηση των ΣΑΑ, και ότι η αποτελεσματικότητα της προσέγγισης βάσει επιδόσεων περιορίζεται λόγω των «υπερβολικά πολύπλοκων διαδικασιών» για τις τροποποιήσεις των σχεδίων, οι οποίες δεν κάνουν διάκριση μεταξύ σημαντικών ή ήσσονος σημασίας τροποποιήσεων και απαιτούν την έγκριση του Συμβουλίου για οποιαδήποτε τροποποίηση·</w:t>
      </w:r>
    </w:p>
    <w:p w:rsidR="00F70384" w:rsidRPr="005C4A71" w:rsidRDefault="00E8367F" w:rsidP="00E8367F">
      <w:pPr>
        <w:pStyle w:val="NormalHanging12a"/>
        <w:ind w:hanging="570"/>
      </w:pPr>
      <w:r w:rsidRPr="005C4A71">
        <w:t>243.</w:t>
      </w:r>
      <w:r w:rsidRPr="005C4A71">
        <w:tab/>
      </w:r>
      <w:r w:rsidR="00F70384" w:rsidRPr="005C4A71">
        <w:t>τονίζει ότι, όσον αφορά τους λογιστικούς και άλλους ελέγχους στο πλαίσιο του ΜΑΑ, τα κράτη μέλη θα πρέπει να θεσπίσουν ρυθμίσεις για την πρόληψη, τον εντοπισμό και την αντιμετώπιση της διαφθοράς, της απάτης και των συγκρούσεων συμφερόντων, και η Επιτροπή θα πρέπει να διενεργεί κατασταλτικούς ελέγχους και ελέγχους συστημάτων σχετικά με τα ορόσημα και τους στόχους· τονίζει ότι εξακολουθεί να υπάρχει σύγχυση όσον αφορά τον ρόλο του Ελεγκτικού Συνεδρίου, το οποίο έχει αναπτύξει μια στρατηγική (στρατηγική 2021-2025) για την εκτέλεση των αρμοδιοτήτων του όσον αφορά το πρόγραμμα NGEU και τον ΜΑΑ, κάτι το οποίο ορισμένα κράτη μέλη θεωρούν περιττή αλληλεπικάλυψη και διοικητική επιβάρυνση· εκφράζει την ανησυχία του για το γεγονός ότι η Επιτροπή, τόσο στην ενδιάμεση αξιολόγηση του ΜΑΑ, της 21ης Φεβρουαρίου 2024, όσο και στην ετήσια έκθεσή της για τον ΜΑΑ, της 10ης Οκτωβρίου 2024, αναγνώρισε ότι οι αρχές των κρατών μελών σε όλα τα επίπεδα διαπίστωσαν ότι οι διαδικασίες λογιστικού και άλλου ελέγχου είναι υπερβολικά περίπλοκες, και ότι τα κράτη μέλη διαμαρτυρήθηκαν για αλληλεπικαλυπτόμενους ελέγχους από τις εθνικές αρχές, την Επιτροπή και το Ελεγκτικό Συνέδριο· υποστηρίζει πλήρως το έργο του Ελεγκτικού Συνεδρίου σχετικά με τον ΜΑΑ· εκφράζει την ικανοποίησή του για το γεγονός ότι η Επιτροπή παραδέχθηκε και αποδέχθηκε ότι το Ελεγκτικό Συνέδριο διαθέτει πλήρη εντολή ελέγχου σχετικά με τον ΜΑΑ, κάτι το οποίο αποτελεί ένα από τα θεμέλια για την απαλλαγή του Κοινοβουλίου σχετικά με τα κονδύλια του ΜΑΑ· συνιστά στα κράτη μέλη να συνεργάζονται με το Ευρωπαϊκό Ελεγκτικό Συνέδριο·</w:t>
      </w:r>
    </w:p>
    <w:p w:rsidR="00F70384" w:rsidRPr="005C4A71" w:rsidRDefault="00E8367F" w:rsidP="00E8367F">
      <w:pPr>
        <w:pStyle w:val="NormalHanging12a"/>
        <w:widowControl/>
        <w:ind w:hanging="570"/>
      </w:pPr>
      <w:r w:rsidRPr="005C4A71">
        <w:t>244.</w:t>
      </w:r>
      <w:r w:rsidRPr="005C4A71">
        <w:tab/>
      </w:r>
      <w:r w:rsidR="00F70384" w:rsidRPr="005C4A71">
        <w:t xml:space="preserve">εκφράζει την ανησυχία του για το γεγονός ότι η ετήσια έκθεση της Επιτροπής, της 10ης Οκτωβρίου 2024, σχετικά με την εφαρμογή του ΜΑΑ ανέδειξε το κόστος εισόδου για τις διοικήσεις των κρατών μελών, καθώς και ότι υπάρχει περιθώριο περαιτέρω απλούστευσης· σημειώνει, σύμφωνα με την εν λόγω ετήσια έκθεση της Επιτροπής, ότι, όσον αφορά τον σχεδιασμό του μέσου, στην ενδιάμεση αξιολόγηση τα κράτη μέλη αναφέρθηκαν στις συνδυασμένες υποχρεώσεις που συνδέονται με i) τα αποδεικτικά στοιχεία που απαιτούνται για να αποδειχθεί η εκπλήρωση των ορόσημων και των στόχων, </w:t>
      </w:r>
      <w:proofErr w:type="spellStart"/>
      <w:r w:rsidR="00F70384" w:rsidRPr="005C4A71">
        <w:t>ii</w:t>
      </w:r>
      <w:proofErr w:type="spellEnd"/>
      <w:r w:rsidR="00F70384" w:rsidRPr="005C4A71">
        <w:t xml:space="preserve">) τις υψηλές απαιτήσεις υποβολής εκθέσεων, για παράδειγμα σε σχέση με τους κοινούς δείκτες και την εξαμηνιαία υποβολή δεδομένων· και </w:t>
      </w:r>
      <w:proofErr w:type="spellStart"/>
      <w:r w:rsidR="00F70384" w:rsidRPr="005C4A71">
        <w:t>iii</w:t>
      </w:r>
      <w:proofErr w:type="spellEnd"/>
      <w:r w:rsidR="00F70384" w:rsidRPr="005C4A71">
        <w:t>) το πλαίσιο λογιστικών και άλλων ελέγχων· υπενθυμίζει ότι τα κράτη μέλη θεωρούν ότι υπάρχει περιθώριο για την απλούστευση των διαδικασιών λογιστικών και άλλων ελέγχων, τη διασφάλιση καλύτερου συντονισμού μεταξύ των εμπλεκόμενων φορέων και την αποφυγή πολλαπλών ελέγχων· σημειώνει επίσης, και πάλι σύμφωνα με την ετήσια έκθεση της Επιτροπής για τον ΜΑΑ για το 2024, ότι ορισμένες εθνικές αρχές επισήμαναν επίσης την έλλειψη ευελιξίας στην αξιολόγηση των οροσήμων και των στόχων από την Επιτροπή, καθώς και τις αυστηρές και απαιτητικές σε πόρους διαδικασίες για την αναθεώρηση των ΣΑΑ·</w:t>
      </w:r>
    </w:p>
    <w:p w:rsidR="00F70384" w:rsidRPr="005C4A71" w:rsidRDefault="00E8367F" w:rsidP="00E8367F">
      <w:pPr>
        <w:pStyle w:val="NormalHanging12a"/>
        <w:ind w:hanging="570"/>
      </w:pPr>
      <w:r w:rsidRPr="005C4A71">
        <w:t>245.</w:t>
      </w:r>
      <w:r w:rsidRPr="005C4A71">
        <w:tab/>
      </w:r>
      <w:r w:rsidR="00F70384" w:rsidRPr="005C4A71">
        <w:t xml:space="preserve">σημειώνει ότι ένας από τους στόχους του ΜΑΑ είναι να βοηθήσει τα κράτη μέλη να υλοποιήσουν φιλόδοξες μεταρρυθμίσεις και επενδύσεις που καθιστούν τις οικονομίες και τις κοινωνίες τους πιο βιώσιμες, ανθεκτικές και προετοιμασμένες για την πράσινη και την ψηφιακή μετάβαση· επισημαίνει με ανησυχία τη διαπίστωση του Ελεγκτικού Συνεδρίου στην ειδική έκθεσή του αριθ. 15/2024, στην οποία υπογραμμίζεται η έλλειψη συνάφειας, ποιότητας και </w:t>
      </w:r>
      <w:proofErr w:type="spellStart"/>
      <w:r w:rsidR="00F70384" w:rsidRPr="005C4A71">
        <w:t>συγκρισιμότητας</w:t>
      </w:r>
      <w:proofErr w:type="spellEnd"/>
      <w:r w:rsidR="00F70384" w:rsidRPr="005C4A71">
        <w:t xml:space="preserve"> των δεδομένων που υποβάλλονται από τα κράτη μέλη, ενώ τα δεδομένα δεν επαρκούν για την αξιολόγηση της προόδου όσον αφορά την προσαρμογή στην κλιματική αλλαγή στα κράτη μέλη, γεγονός που δημιουργεί περιθώριο για πιθανή προβολή </w:t>
      </w:r>
      <w:proofErr w:type="spellStart"/>
      <w:r w:rsidR="00F70384" w:rsidRPr="005C4A71">
        <w:t>ψευδοοικολογικής</w:t>
      </w:r>
      <w:proofErr w:type="spellEnd"/>
      <w:r w:rsidR="00F70384" w:rsidRPr="005C4A71">
        <w:t xml:space="preserve"> ταυτότητας· εκφράζει την ανησυχία του για το γεγονός ότι ο ΜΑΑ θα μπορούσε να μετατραπεί σε ένα χρηματοδοτικό μέσο για τον επιφανειακό </w:t>
      </w:r>
      <w:proofErr w:type="spellStart"/>
      <w:r w:rsidR="00F70384" w:rsidRPr="005C4A71">
        <w:t>αναχαρακτηρισμό</w:t>
      </w:r>
      <w:proofErr w:type="spellEnd"/>
      <w:r w:rsidR="00F70384" w:rsidRPr="005C4A71">
        <w:t xml:space="preserve"> συμβατικών δαπανών ως «πράσινων»· ενθαρρύνει την Επιτροπή να θεσπίσει έναν μηχανισμό στο πλαίσιο του ΜΑΑ για την παρακολούθηση του περιβαλλοντικού αντικτύπου των επενδύσεων και τη διασφάλιση της ευθυγράμμισης με τους στόχους της Ένωσης για το κλίμα·</w:t>
      </w:r>
    </w:p>
    <w:p w:rsidR="00F70384" w:rsidRPr="005C4A71" w:rsidRDefault="00E8367F" w:rsidP="00E8367F">
      <w:pPr>
        <w:pStyle w:val="NormalHanging12a"/>
        <w:ind w:hanging="570"/>
      </w:pPr>
      <w:r w:rsidRPr="005C4A71">
        <w:t>246.</w:t>
      </w:r>
      <w:r w:rsidRPr="005C4A71">
        <w:tab/>
      </w:r>
      <w:r w:rsidR="00F70384" w:rsidRPr="005C4A71">
        <w:t>επισημαίνει τον αντίκτυπο του ΜΑΑ στις επιχειρήσεις της Ένωσης, συμπεριλαμβανομένων των ΜΜΕ· σημειώνει ότι ο ΜΑΑ έχει παράσχει 78 δισεκατομμύρια EUR σε άμεση στήριξη στις ΜΜΕ, ποσό που αντιπροσωπεύει το 12 % των συνολικών δαπανών του ΜΑΑ, και ότι τα ευρύτερα μέτρα προς όφελος των επιχειρήσεων ανέρχονται σε 152 δισεκατομμύρια EUR (23 % των συνολικών δαπανών του ΜΑΑ)· σημειώνει ότι 2,75 εκατομμύρια ΜΜΕ, περίπου το 11 % του συνόλου των ενεργών ΜΜΕ στην ΕΕ, έχουν λάβει στήριξη μέσω του ΜΑΑ· υπογραμμίζει ότι σχεδόν 600 000 επιχειρήσεις έχουν επωφεληθεί από πρωτοβουλίες ψηφιοποίησης, ενώ 5,2 δισεκατομμύρια EUR έχουν διατεθεί σε έργα πράσινης μετάβασης, συμπεριλαμβανομένων των ανανεώσιμων πηγών ενέργειας και του υδρογόνου·</w:t>
      </w:r>
    </w:p>
    <w:p w:rsidR="00F70384" w:rsidRPr="005C4A71" w:rsidRDefault="00E8367F" w:rsidP="00E8367F">
      <w:pPr>
        <w:pStyle w:val="NormalHanging12a"/>
        <w:widowControl/>
        <w:ind w:hanging="570"/>
      </w:pPr>
      <w:r w:rsidRPr="005C4A71">
        <w:t>247.</w:t>
      </w:r>
      <w:r w:rsidRPr="005C4A71">
        <w:tab/>
      </w:r>
      <w:r w:rsidR="00F70384" w:rsidRPr="005C4A71">
        <w:t>επισημαίνει με ανησυχία ότι η διευκόλυνση των διασυνοριακών έργων δεν είχε τα αναμενόμενα αποτελέσματα· εκφράζει τη λύπη του διότι, παρά το γεγονός ότι στα ΣΑΑ συμπεριλήφθηκαν διάφορα μέτρα που συνδέονται με σημαντικά έργα κοινού ενδιαφέροντος (</w:t>
      </w:r>
      <w:r w:rsidR="007939AE">
        <w:t>«</w:t>
      </w:r>
      <w:r w:rsidR="00F70384" w:rsidRPr="005C4A71">
        <w:t>ΣΕΚΕΕ</w:t>
      </w:r>
      <w:r w:rsidR="007939AE">
        <w:t>»</w:t>
      </w:r>
      <w:r w:rsidR="00F70384" w:rsidRPr="005C4A71">
        <w:t xml:space="preserve">) και στα κεφάλαια για το </w:t>
      </w:r>
      <w:proofErr w:type="spellStart"/>
      <w:r w:rsidR="00F70384" w:rsidRPr="005C4A71">
        <w:t>REPowerEU</w:t>
      </w:r>
      <w:proofErr w:type="spellEnd"/>
      <w:r w:rsidR="00F70384" w:rsidRPr="005C4A71">
        <w:t xml:space="preserve"> συμπεριλήφθηκαν διασυνοριακά μέτρα, οι εθνικές αρχές διακυβέρνησης του μηχανισμού δεν έχουν προωθήσει επαρκώς τη διασυνοριακή συνεργασία· επιμένει κατηγορηματικά ότι η χρηματοδότηση της Ένωσης θα πρέπει να συνδέεται καλύτερα με την επίτευξη των κοινών στόχων της Ένωσης και να δημιουργεί ενωσιακή προστιθέμενη αξία·</w:t>
      </w:r>
    </w:p>
    <w:p w:rsidR="00F70384" w:rsidRPr="005C4A71" w:rsidRDefault="00E8367F" w:rsidP="00E8367F">
      <w:pPr>
        <w:pStyle w:val="NormalHanging12a"/>
        <w:widowControl/>
        <w:ind w:hanging="570"/>
      </w:pPr>
      <w:r w:rsidRPr="005C4A71">
        <w:t>248.</w:t>
      </w:r>
      <w:r w:rsidRPr="005C4A71">
        <w:tab/>
      </w:r>
      <w:r w:rsidR="00F70384" w:rsidRPr="005C4A71">
        <w:t>τονίζει ότι στην ετήσια έκθεση της Επιτροπής, της 10ης Οκτωβρίου 2024, σχετικά με την εφαρμογή του ΜΑΑ αναγνωρίζεται η ανεπαρκής συμμετοχή των κρατών μελών, των περιφερειακών και τοπικών αρχών, των οργανώσεων της κοινωνίας των πολιτών, των κοινωνικών εταίρων και άλλων σχετικών συμφεροντούχων στην κατάρτιση και την εφαρμογή των εθνικών ΣΑΑ· ζητεί να εξασφαλίζεται η ουσιαστική συμμετοχή τους στην επιτόπια εφαρμογή των εθνικών ΣΑΑ·</w:t>
      </w:r>
    </w:p>
    <w:p w:rsidR="00F70384" w:rsidRPr="005C4A71" w:rsidRDefault="00E8367F" w:rsidP="00E8367F">
      <w:pPr>
        <w:pStyle w:val="NormalHanging12a"/>
        <w:ind w:hanging="570"/>
      </w:pPr>
      <w:r w:rsidRPr="005C4A71">
        <w:t>249.</w:t>
      </w:r>
      <w:r w:rsidRPr="005C4A71">
        <w:tab/>
      </w:r>
      <w:r w:rsidR="00F70384" w:rsidRPr="005C4A71">
        <w:t>παροτρύνει την Επιτροπή να μην εγκρίνει καμία αναθεώρηση των ΣΑΑ η οποία μπορεί να οδηγήσει στην ένταξη ήδη προγραμματισμένων μεταρρυθμίσεων ή επενδύσεων στα ΣΑΑ εάν δεν πληρούν τους όρους του κανονισμού ΜΑΑ· σημειώνει ότι οποιαδήποτε αναθεώρηση θα πρέπει πάντα να αποσκοπεί στη δημιουργία προστιθέμενης αξίας και στην ενίσχυση των συνεργειών·</w:t>
      </w:r>
    </w:p>
    <w:p w:rsidR="00F70384" w:rsidRPr="005C4A71" w:rsidRDefault="00F70384" w:rsidP="00F70384">
      <w:pPr>
        <w:spacing w:after="240"/>
        <w:ind w:left="567" w:hanging="567"/>
        <w:jc w:val="both"/>
        <w:rPr>
          <w:i/>
        </w:rPr>
      </w:pPr>
      <w:r w:rsidRPr="005C4A71">
        <w:rPr>
          <w:i/>
        </w:rPr>
        <w:t>Διαφάνεια</w:t>
      </w:r>
    </w:p>
    <w:p w:rsidR="00F70384" w:rsidRPr="005C4A71" w:rsidRDefault="00E8367F" w:rsidP="00E8367F">
      <w:pPr>
        <w:pStyle w:val="NormalHanging12a"/>
        <w:ind w:hanging="570"/>
      </w:pPr>
      <w:r w:rsidRPr="005C4A71">
        <w:t>250.</w:t>
      </w:r>
      <w:r w:rsidRPr="005C4A71">
        <w:tab/>
      </w:r>
      <w:r w:rsidR="00F70384" w:rsidRPr="005C4A71">
        <w:t>υπενθυμίζει ότι, ενώ τα κράτη μέλη δεν υποχρεούνται να δημοσιεύουν όλα τα δεδομένα σχετικά με τους τελικούς αποδέκτες, ο κανονισμός (ΕΕ) 2023/435 του Ευρωπαϊκού Κοινοβουλίου και του Συμβουλίου</w:t>
      </w:r>
      <w:r w:rsidR="00F70384" w:rsidRPr="005C4A71">
        <w:rPr>
          <w:vertAlign w:val="superscript"/>
        </w:rPr>
        <w:footnoteReference w:id="122"/>
      </w:r>
      <w:r w:rsidR="00F70384" w:rsidRPr="005C4A71">
        <w:t xml:space="preserve"> για την τροποποίηση του κανονισμού ΜΑΑ απαιτεί από τα κράτη μέλη να δημοσιεύουν πληροφορίες σχετικά με τους 100 τελικούς αποδέκτες που λαμβάνουν το υψηλότερο ποσό χρηματοδότησης στο πλαίσιο του ΜΑΑ· εκφράζει την ικανοποίησή του για το γεγονός ότι, στις 10 Οκτωβρίου 2024, η Επιτροπή δημοσίευσε, στο πλαίσιο της ετήσιας έκθεσης του ΜΑΑ για το 2024, ειδικό παράρτημα για την περαιτέρω αποσαφήνιση της έννοιας των τελικών αποδεκτών στο πλαίσιο του κανονισμού ΜΑΑ και του πεδίου εφαρμογής της δημοσίευσης δεδομένων σχετικά με τους 100 μεγαλύτερους τελικούς αποδέκτες· εκφράζει τη βαθιά ανησυχία του για την ερμηνεία της Επιτροπής όσον αφορά την έννοια του «τελικού αποδέκτη» στο πλαίσιο του ΜΑΑ, καθώς συχνά οι τελικοί αποδέκτες απαριθμούνται μόνο σε επίπεδο υπουργείου, και για το γεγονός ότι οι περιγραφές είναι ασαφείς, με πολλά παραδείγματα σε όλους σχεδόν τους καταλόγους που παρέχονται από τα κράτη μέλη· επαναλαμβάνει το αίτημά του, ο κατάλογος των 100 μεγαλύτερων τελικών αποδεκτών να παρέχει το πραγματικό φυσικό πρόσωπο ή την οντότητα που βρίσκεται στο τέλος μιας αλυσίδας μεταφορών χρημάτων που πρέπει να διατίθεται σε δημόσια προσβάσιμη βάση δεδομένων, ώστε να ενισχυθεί η λογοδοσία και να καταστεί δυνατή η ανεξάρτητη εποπτεία, και παράλληλα να τηρείται το νομικό πλαίσιο της Ένωσης για την προστασία των δεδομένων· εκφράζει την ανησυχία του διότι, στην αντίθετη περίπτωση, θα είναι δύσκολο να μετρηθεί ο αντίκτυπος και να διασφαλιστεί η ορατότητα των κονδυλίων του ΜΑΑ για τους πολίτες, αν και λαμβάνει επίσης υπόψη τον πίνακα αποτελεσμάτων του ΜΑΑ και τον χάρτη έργων· τονίζει ότι, σε περίπτωση που η Επιτροπή συνεχίσει να αρνείται να διασφαλίσει πλήρη διαφάνεια, το Κοινοβούλιο πρέπει να εξετάσει όλα τα διαθέσιμα μέτρα για την επιβολή της συμμόρφωσης, ώστε να αποφευχθεί η εφαρμογή παρόμοιας ερμηνείας στις διατάξεις περί διαφάνειας άλλων δημοσιονομικών κανονισμών·</w:t>
      </w:r>
    </w:p>
    <w:p w:rsidR="00F70384" w:rsidRPr="005C4A71" w:rsidRDefault="00E8367F" w:rsidP="00E8367F">
      <w:pPr>
        <w:pStyle w:val="NormalHanging12a"/>
        <w:widowControl/>
        <w:ind w:hanging="570"/>
      </w:pPr>
      <w:r w:rsidRPr="005C4A71">
        <w:t>251.</w:t>
      </w:r>
      <w:r w:rsidRPr="005C4A71">
        <w:tab/>
      </w:r>
      <w:r w:rsidR="00F70384" w:rsidRPr="005C4A71">
        <w:t xml:space="preserve">υπενθυμίζει στην Επιτροπή ότι το γράμμα και το πνεύμα του κανονισμού ΜΑΑ πρέπει να τηρούνται αυστηρά και ότι η έγκριση κατευθυντήριων γραμμών ή άλλων εσωτερικών εγγράφων πρέπει να συνάδει πλήρως με τα αποτελέσματα των διαπραγματεύσεων μεταξύ των </w:t>
      </w:r>
      <w:proofErr w:type="spellStart"/>
      <w:r w:rsidR="00F70384" w:rsidRPr="005C4A71">
        <w:t>συννομοθετών</w:t>
      </w:r>
      <w:proofErr w:type="spellEnd"/>
      <w:r w:rsidR="00F70384" w:rsidRPr="005C4A71">
        <w:t xml:space="preserve">· είναι πεπεισμένο ότι αυτό δεν συνέβη όταν η Επιτροπή ενέκρινε τις διατάξεις σχετικά με την ερμηνεία του τι είναι «τελικός αποδέκτης» στις κατευθυντήριες γραμμές της για τα ΣΑΑ στο πλαίσιο του </w:t>
      </w:r>
      <w:proofErr w:type="spellStart"/>
      <w:r w:rsidR="00F70384" w:rsidRPr="005C4A71">
        <w:t>REPowerEU</w:t>
      </w:r>
      <w:proofErr w:type="spellEnd"/>
      <w:r w:rsidR="00F70384" w:rsidRPr="005C4A71">
        <w:t>·</w:t>
      </w:r>
    </w:p>
    <w:p w:rsidR="00F70384" w:rsidRPr="005C4A71" w:rsidRDefault="00E8367F" w:rsidP="00E8367F">
      <w:pPr>
        <w:pStyle w:val="NormalHanging12a"/>
        <w:ind w:hanging="570"/>
      </w:pPr>
      <w:r w:rsidRPr="005C4A71">
        <w:t>252.</w:t>
      </w:r>
      <w:r w:rsidRPr="005C4A71">
        <w:tab/>
      </w:r>
      <w:r w:rsidR="00F70384" w:rsidRPr="005C4A71">
        <w:t>σημειώνει ότι η αδυναμία εξακρίβωσης των τελικών αποδεκτών χρηματοδότησης του ΜΑΑ ενέχει σοβαρό κίνδυνο για τη διαφάνεια και την ιχνηλασιμότητα των κονδυλίων της Ένωσης και, συνακόλουθα, για την προστασία των οικονομικών συμφερόντων της Ένωσης·</w:t>
      </w:r>
    </w:p>
    <w:p w:rsidR="00F70384" w:rsidRPr="005C4A71" w:rsidRDefault="00E8367F" w:rsidP="00E8367F">
      <w:pPr>
        <w:pStyle w:val="NormalHanging12a"/>
        <w:widowControl/>
        <w:ind w:hanging="570"/>
      </w:pPr>
      <w:r w:rsidRPr="005C4A71">
        <w:t>253.</w:t>
      </w:r>
      <w:r w:rsidRPr="005C4A71">
        <w:tab/>
      </w:r>
      <w:r w:rsidR="00F70384" w:rsidRPr="005C4A71">
        <w:t xml:space="preserve">υπενθυμίζει ότι μια ισχυρή υποδομή ΤΠ είναι απαραίτητη για τη συλλογή δεδομένων και την παρακολούθηση και αξιολόγηση των προγραμμάτων, και ότι οι διαχειριστικές αρχές και οι δικαιούχοι είναι επικριτικοί ως προς το επίπεδο των απαιτούμενων πληροφοριών και την αλληλεπικάλυψη με άλλα εγχώρια συστήματα· σημειώνει ότι, σε αντίθεση με την πολιτική συνοχής, το Ελεγκτικό Συνέδριο, στο πλαίσιο του ΜΑΑ, επισήμανε τις διαφορετικές δομές και προσεγγίσεις που χρησιμοποιούν οι εθνικές αρχές παρακολούθησης, οι οποίες θα μπορούσαν να θεωρηθούν λιγότερο αξιόπιστες, καθώς παρέχουν μη ομοιογενείς πληροφορίες και αφήνουν περιθώριο για δυνητικά υψηλό αριθμό σφαλμάτων· τονίζει ότι, στο πλαίσιο αυτό, τα κεντρικά </w:t>
      </w:r>
      <w:proofErr w:type="spellStart"/>
      <w:r w:rsidR="00F70384" w:rsidRPr="005C4A71">
        <w:t>διαλειτουργικά</w:t>
      </w:r>
      <w:proofErr w:type="spellEnd"/>
      <w:r w:rsidR="00F70384" w:rsidRPr="005C4A71">
        <w:t xml:space="preserve"> συστήματα διευκολύνουν την αποτελεσματική συλλογή δεδομένων και την υποβολή στοιχείων, ενώ τα κατακερματισμένα συστήματα αναδεικνύουν την ανάγκη για </w:t>
      </w:r>
      <w:proofErr w:type="spellStart"/>
      <w:r w:rsidR="00F70384" w:rsidRPr="005C4A71">
        <w:t>εξορθολογισμένες</w:t>
      </w:r>
      <w:proofErr w:type="spellEnd"/>
      <w:r w:rsidR="00F70384" w:rsidRPr="005C4A71">
        <w:t xml:space="preserve"> προσεγγίσεις·</w:t>
      </w:r>
    </w:p>
    <w:p w:rsidR="00F70384" w:rsidRPr="005C4A71" w:rsidRDefault="00E8367F" w:rsidP="00E8367F">
      <w:pPr>
        <w:pStyle w:val="NormalHanging12a"/>
        <w:widowControl/>
        <w:ind w:hanging="570"/>
      </w:pPr>
      <w:r w:rsidRPr="005C4A71">
        <w:t>254.</w:t>
      </w:r>
      <w:r w:rsidRPr="005C4A71">
        <w:tab/>
      </w:r>
      <w:r w:rsidR="00F70384" w:rsidRPr="005C4A71">
        <w:t xml:space="preserve">εκφράζει την ικανοποίησή του για το γεγονός ότι η «αναδιατύπωση του ΔΚ» θεσπίζει οριζόντια μέτρα για έναν κεντρικό ιστότοπο (σύστημα δημοσιονομικής διαφάνειας) σε επίπεδο Ένωσης, που θα καλύπτει όλους τους αποδέκτες χρηματοδότησης της Ένωσης, και σημειώνει ότι ο </w:t>
      </w:r>
      <w:proofErr w:type="spellStart"/>
      <w:r w:rsidR="00F70384" w:rsidRPr="005C4A71">
        <w:t>ιστότοπος</w:t>
      </w:r>
      <w:proofErr w:type="spellEnd"/>
      <w:r w:rsidR="00F70384" w:rsidRPr="005C4A71">
        <w:t xml:space="preserve"> αυτός αναμένεται να συμβάλει στην υπέρβαση του υφιστάμενου κατακερματισμού, στην ενίσχυση της διαφάνειας και στη διευκόλυνση του δημόσιου ελέγχου των αποδεκτών· σημειώνει ότι η Επιτροπή, από το επόμενο ΠΔΠ (δηλαδή μετά το 2027) θα υποχρεούται να χρησιμοποιεί τα σχετικά δεδομένα που είναι αποθηκευμένα στο εργαλείο εξόρυξης δεδομένων και βαθμολόγησης κινδύνου, το </w:t>
      </w:r>
      <w:proofErr w:type="spellStart"/>
      <w:r w:rsidR="00F70384" w:rsidRPr="005C4A71">
        <w:t>Arachne</w:t>
      </w:r>
      <w:proofErr w:type="spellEnd"/>
      <w:r w:rsidR="00F70384" w:rsidRPr="005C4A71">
        <w:t xml:space="preserve">, για να τροφοδοτεί τον κεντρικό ιστότοπο για σκοπούς διαφάνειας, και ότι, σύμφωνα με τους κανόνες για την προστασία των δεδομένων, ο </w:t>
      </w:r>
      <w:proofErr w:type="spellStart"/>
      <w:r w:rsidR="00F70384" w:rsidRPr="005C4A71">
        <w:t>ιστότοπος</w:t>
      </w:r>
      <w:proofErr w:type="spellEnd"/>
      <w:r w:rsidR="00F70384" w:rsidRPr="005C4A71">
        <w:t xml:space="preserve"> θα περιλαμβάνει μόνο δημόσια δεδομένα, π.χ. σχετικά δεδομένα για τους αποδέκτες, τους αναδόχους, τους υπεργολάβους και τους δικαιούχους· τονίζει περαιτέρω ότι όλα τα κράτη μέλη θα έχουν την υποχρέωση να παρέχουν στην Επιτροπή πρόσβαση στα δεδομένα αυτά, τα οποία θα τροφοδοτούνται στο </w:t>
      </w:r>
      <w:proofErr w:type="spellStart"/>
      <w:r w:rsidR="00F70384" w:rsidRPr="005C4A71">
        <w:t>Arachne</w:t>
      </w:r>
      <w:proofErr w:type="spellEnd"/>
      <w:r w:rsidR="00F70384" w:rsidRPr="005C4A71">
        <w:t xml:space="preserve"> με αυτοματοποιημένα μέσα· εκφράζει τη λύπη του για το γεγονός ότι δεν είναι υποχρεωτική η χρήση του </w:t>
      </w:r>
      <w:proofErr w:type="spellStart"/>
      <w:r w:rsidR="00F70384" w:rsidRPr="005C4A71">
        <w:t>Arachne</w:t>
      </w:r>
      <w:proofErr w:type="spellEnd"/>
      <w:r w:rsidR="00F70384" w:rsidRPr="005C4A71">
        <w:t xml:space="preserve"> από τα κράτη μέλη·</w:t>
      </w:r>
    </w:p>
    <w:p w:rsidR="00F70384" w:rsidRPr="005C4A71" w:rsidRDefault="00E8367F" w:rsidP="00E8367F">
      <w:pPr>
        <w:pStyle w:val="NormalHanging12a"/>
        <w:widowControl/>
        <w:ind w:hanging="570"/>
      </w:pPr>
      <w:r w:rsidRPr="005C4A71">
        <w:t>255.</w:t>
      </w:r>
      <w:r w:rsidRPr="005C4A71">
        <w:tab/>
      </w:r>
      <w:r w:rsidR="00F70384" w:rsidRPr="005C4A71">
        <w:t>σημειώνει ότι τα τελικά ορόσημα και στόχοι των εθνικών ΣΑΑ πρέπει να έχουν ολοκληρωθεί έως τις 31 Αυγούστου 2026 σύμφωνα με το άρθρο 18 παράγραφος 4 και το άρθρο 20 παράγραφος 5 του κανονισμού· υπενθυμίζει την ανάγκη στενής συνεργασίας της Επιτροπής με κάθε κράτος μέλος για την επιτάχυνση της επιτόπιας εφαρμογής, μεταξύ άλλων μέσω της παροχής τακτικής καθοδήγησης και, κατόπιν αιτήματος, τεχνικής βοήθειας προς υλοποίηση των σχεδίων· τονίζει εκ νέου τις ανησυχίες του σχετικά με την πιθανότητα αντιστροφής των ορόσημων και των στόχων μετά τη λήξη του ΜΑΑ, και παροτρύνει την Επιτροπή να αποτρέψει τέτοιες καταστάσεις·</w:t>
      </w:r>
    </w:p>
    <w:p w:rsidR="00F70384" w:rsidRPr="005C4A71" w:rsidRDefault="00E8367F" w:rsidP="00E8367F">
      <w:pPr>
        <w:pStyle w:val="NormalHanging12a"/>
        <w:widowControl/>
        <w:ind w:hanging="570"/>
      </w:pPr>
      <w:r w:rsidRPr="005C4A71">
        <w:t>256.</w:t>
      </w:r>
      <w:r w:rsidRPr="005C4A71">
        <w:tab/>
      </w:r>
      <w:r w:rsidR="00F70384" w:rsidRPr="005C4A71">
        <w:t>καλεί την Επιτροπή να απορρίψει κάθε αίτημα αναθεώρησης των ΣΑΑ που θα μείωνε τη συνολική φιλοδοξία των σχεδίων ή θα οδηγούσε στην εξάλειψη σημαντικών διαρθρωτικών μεταρρυθμίσεων από τα ΣΑΑ, και να δώσει προτεραιότητα στην ολοκλήρωση των μέτρων που σχετίζονται με τις ειδικές συστάσεις ανά χώρα στα ΣΑΑ· καλεί επίσης την Επιτροπή να εντείνει την τεχνική συνδρομή της προς τα κράτη μέλη που υστερούν στην εφαρμογή του ΜΑΑ·</w:t>
      </w:r>
    </w:p>
    <w:p w:rsidR="00F70384" w:rsidRPr="005C4A71" w:rsidRDefault="00F70384" w:rsidP="00F70384">
      <w:pPr>
        <w:spacing w:after="240"/>
        <w:ind w:left="567" w:hanging="567"/>
        <w:jc w:val="both"/>
        <w:rPr>
          <w:i/>
        </w:rPr>
      </w:pPr>
      <w:r w:rsidRPr="005C4A71">
        <w:rPr>
          <w:i/>
        </w:rPr>
        <w:t>Συστάσεις</w:t>
      </w:r>
    </w:p>
    <w:p w:rsidR="00F70384" w:rsidRPr="005C4A71" w:rsidRDefault="00E8367F" w:rsidP="00E8367F">
      <w:pPr>
        <w:pStyle w:val="NormalHanging12a"/>
        <w:widowControl/>
        <w:ind w:hanging="573"/>
      </w:pPr>
      <w:r w:rsidRPr="005C4A71">
        <w:t>257.</w:t>
      </w:r>
      <w:r w:rsidRPr="005C4A71">
        <w:tab/>
      </w:r>
      <w:r w:rsidR="00F70384" w:rsidRPr="005C4A71">
        <w:t>καλεί την Επιτροπή να λάβει μέτρα σύμφωνα με τις συστάσεις του Ελεγκτικού Συνεδρίου που περιλαμβάνονται στην ετήσια έκθεσή του, καθώς και στις σχετικές ειδικές εκθέσεις, και εκφράζει την ικανοποίησή του για το γεγονός ότι η Επιτροπή αποδέχεται τη μεγάλη πλειονότητα των συστάσεων αυτών· καλεί την Επιτροπή να τις εφαρμόσει χωρίς καθυστέρηση και να τηρεί ενήμερη την αρμόδια για την απαλλαγή αρχή σχετικά με την πρόοδο της εφαρμογής·</w:t>
      </w:r>
    </w:p>
    <w:p w:rsidR="00F70384" w:rsidRPr="005C4A71" w:rsidRDefault="00E8367F" w:rsidP="00E8367F">
      <w:pPr>
        <w:pStyle w:val="NormalHanging12a"/>
        <w:ind w:hanging="573"/>
      </w:pPr>
      <w:r w:rsidRPr="005C4A71">
        <w:t>258.</w:t>
      </w:r>
      <w:r w:rsidRPr="005C4A71">
        <w:tab/>
      </w:r>
      <w:r w:rsidR="00F70384" w:rsidRPr="005C4A71">
        <w:t>καλεί την Επιτροπή να παράσχει στο Ελεγκτικό Συνέδριο πλήρη πρόσβαση στο FENIX, το νέο εργαλείο αναφοράς σχετικά με τον ΜΑΑ, το συντομότερο δυνατόν·</w:t>
      </w:r>
    </w:p>
    <w:p w:rsidR="00F70384" w:rsidRPr="005C4A71" w:rsidRDefault="00E8367F" w:rsidP="00E8367F">
      <w:pPr>
        <w:pStyle w:val="NormalHanging12a"/>
        <w:widowControl/>
        <w:ind w:hanging="573"/>
      </w:pPr>
      <w:r w:rsidRPr="005C4A71">
        <w:t>259.</w:t>
      </w:r>
      <w:r w:rsidRPr="005C4A71">
        <w:tab/>
      </w:r>
      <w:r w:rsidR="00F70384" w:rsidRPr="005C4A71">
        <w:t>καλεί, επιπλέον, την Επιτροπή:</w:t>
      </w:r>
    </w:p>
    <w:p w:rsidR="00F70384" w:rsidRPr="005C4A71" w:rsidRDefault="00F70384" w:rsidP="00F70384">
      <w:pPr>
        <w:spacing w:after="240"/>
        <w:ind w:left="1287" w:hanging="720"/>
      </w:pPr>
      <w:r w:rsidRPr="005C4A71">
        <w:t>i)</w:t>
      </w:r>
      <w:r w:rsidRPr="005C4A71">
        <w:tab/>
        <w:t>να εξισορροπεί προσεκτικά τις απαιτήσεις λογιστικού και άλλου ελέγχου με τον διοικητικό φόρτο που επιβάλλεται στα κράτη μέλη και στους δικαιούχους μελλοντικών μέσων που βασίζονται στις επιδόσεις, διατηρώντας παράλληλα επαρκές επίπεδο λογιστικού και άλλου ελέγχου που θα παρείχε ισχυρή προστασία των οικονομικών συμφερόντων της Ένωσης·</w:t>
      </w:r>
    </w:p>
    <w:p w:rsidR="00F70384" w:rsidRPr="005C4A71" w:rsidRDefault="00F70384" w:rsidP="00F70384">
      <w:pPr>
        <w:spacing w:after="240"/>
        <w:ind w:left="1287" w:hanging="720"/>
      </w:pPr>
      <w:proofErr w:type="spellStart"/>
      <w:r w:rsidRPr="005C4A71">
        <w:t>ii</w:t>
      </w:r>
      <w:proofErr w:type="spellEnd"/>
      <w:r w:rsidRPr="005C4A71">
        <w:t>)</w:t>
      </w:r>
      <w:r w:rsidRPr="005C4A71">
        <w:tab/>
        <w:t>να παρακολουθεί εκ του σύνεγγυς τη συνέχιση της εκπλήρωσης των ορόσημων και των στόχων, ιδίως εκείνων που σχετίζονται με τον λογιστικό έλεγχο, την παρακολούθηση και τον έλεγχο, και να διασφαλίζει την κατάλληλη παρακολούθηση κάθε πιθανής αντιστροφής ορόσημων και στόχων που είχαν ήδη ολοκληρωθεί·</w:t>
      </w:r>
    </w:p>
    <w:p w:rsidR="00F70384" w:rsidRPr="005C4A71" w:rsidRDefault="00F70384" w:rsidP="00F70384">
      <w:pPr>
        <w:spacing w:after="240"/>
        <w:ind w:left="1287" w:hanging="720"/>
      </w:pPr>
      <w:proofErr w:type="spellStart"/>
      <w:r w:rsidRPr="005C4A71">
        <w:t>iii</w:t>
      </w:r>
      <w:proofErr w:type="spellEnd"/>
      <w:r w:rsidRPr="005C4A71">
        <w:t>)</w:t>
      </w:r>
      <w:r w:rsidRPr="005C4A71">
        <w:tab/>
        <w:t>να χρησιμοποιήσει τα αποτελέσματα των ελέγχων που διενεργεί στα συστήματα ελέγχου των κρατών μελών για να καταλήξει σε σαφές συμπέρασμα σχετικά με την αποτελεσματικότητά τους και να λάβει όλα τα κατάλληλα μέτρα·</w:t>
      </w:r>
    </w:p>
    <w:p w:rsidR="00F70384" w:rsidRPr="005C4A71" w:rsidRDefault="00F70384" w:rsidP="00F70384">
      <w:pPr>
        <w:spacing w:after="240"/>
        <w:ind w:left="1287" w:hanging="720"/>
      </w:pPr>
      <w:r w:rsidRPr="005C4A71">
        <w:t>iv)</w:t>
      </w:r>
      <w:r w:rsidRPr="005C4A71">
        <w:tab/>
        <w:t>να δημιουργήσει ένα ενιαίο σημείο επαφής μέσω του οποίου τα κράτη μέλη θα μπορούν να επικοινωνούν με την Επιτροπή σχετικά με τη δήλωση αξιοπιστίας, και στο οποίο θα μπορεί να έχει πρόσβαση το Ελεγκτικό Συνέδριο χωρίς να επιβαρύνει περαιτέρω τα κράτη μέλη με αιτήματα για πρόσθετα αποδεικτικά στοιχεία·</w:t>
      </w:r>
    </w:p>
    <w:p w:rsidR="00F70384" w:rsidRPr="005C4A71" w:rsidRDefault="00F70384" w:rsidP="00F70384">
      <w:pPr>
        <w:spacing w:after="240"/>
        <w:ind w:left="1287" w:hanging="720"/>
      </w:pPr>
      <w:r w:rsidRPr="005C4A71">
        <w:t>v)</w:t>
      </w:r>
      <w:r w:rsidRPr="005C4A71">
        <w:tab/>
        <w:t>να καταγράφει και να παρακολουθεί συστηματικά όλες τις παρατυπίες και όλες τις απάτες που επηρεάζουν τα κονδύλια του ΜΑΑ·</w:t>
      </w:r>
    </w:p>
    <w:p w:rsidR="00F70384" w:rsidRPr="005C4A71" w:rsidRDefault="00F70384" w:rsidP="00F70384">
      <w:pPr>
        <w:spacing w:after="240"/>
        <w:ind w:left="1287" w:hanging="720"/>
      </w:pPr>
      <w:proofErr w:type="spellStart"/>
      <w:r w:rsidRPr="005C4A71">
        <w:t>vi</w:t>
      </w:r>
      <w:proofErr w:type="spellEnd"/>
      <w:r w:rsidRPr="005C4A71">
        <w:t>)</w:t>
      </w:r>
      <w:r w:rsidRPr="005C4A71">
        <w:tab/>
        <w:t xml:space="preserve">να εφαρμόζει με συνέπεια και ακρίβεια τις διατάξεις που σχετίζονται με τους «τελικούς αποδέκτες» του κανονισμού ΜΑΑ, αναθεωρώντας τις κατευθυντήριες γραμμές της σχετικά με τα ΣΑΑ στο πλαίσιο του </w:t>
      </w:r>
      <w:proofErr w:type="spellStart"/>
      <w:r w:rsidRPr="005C4A71">
        <w:t>REPowerEU</w:t>
      </w:r>
      <w:proofErr w:type="spellEnd"/>
      <w:r w:rsidRPr="005C4A71">
        <w:t>, και να επικοινωνεί με τα κράτη μέλη σχετικά με την ορθή εφαρμογή του ορισμού των «τελικών αποδεκτών»· καλεί την Επιτροπή να υποβάλει προτάσεις με στόχο να απαιτηθεί από τα κράτη μέλη να δημοσιεύουν όλους τους τελικούς αποδέκτες·</w:t>
      </w:r>
    </w:p>
    <w:p w:rsidR="00F70384" w:rsidRPr="005C4A71" w:rsidRDefault="00F70384" w:rsidP="00F70384">
      <w:pPr>
        <w:spacing w:after="240"/>
        <w:ind w:left="1287" w:hanging="720"/>
      </w:pPr>
      <w:proofErr w:type="spellStart"/>
      <w:r w:rsidRPr="005C4A71">
        <w:t>vii</w:t>
      </w:r>
      <w:proofErr w:type="spellEnd"/>
      <w:r w:rsidRPr="005C4A71">
        <w:t>)</w:t>
      </w:r>
      <w:r w:rsidRPr="005C4A71">
        <w:tab/>
        <w:t xml:space="preserve">να </w:t>
      </w:r>
      <w:proofErr w:type="spellStart"/>
      <w:r w:rsidRPr="005C4A71">
        <w:t>εξορθολογίσει</w:t>
      </w:r>
      <w:proofErr w:type="spellEnd"/>
      <w:r w:rsidRPr="005C4A71">
        <w:t xml:space="preserve"> τον έλεγχό της σχετικά με τα ορόσημα και τους στόχους μέσω της εφαρμογής μιας προσέγγισης ενιαίου ελέγχου, η οποία θα επιτρέψει τη μείωση του διοικητικού φόρτου, την ενοποίηση των ελεγκτικών αρμοδιοτήτων μεταξύ της Επιτροπής και του Ελεγκτικού Συνεδρίου, καθώς και τον συντονισμό των χρονοδιαγραμμάτων και των απαιτήσεων λογιστικού ελέγχου για την αποφυγή επικαλύψεων και αλληλεπικαλυπτόμενων λογιστικών και άλλων ελέγχων, διασφαλίζοντας παράλληλα την πλήρη προστασία των οικονομικών συμφερόντων της Ένωσης·</w:t>
      </w:r>
    </w:p>
    <w:p w:rsidR="00F70384" w:rsidRPr="005C4A71" w:rsidRDefault="00F70384" w:rsidP="00F70384">
      <w:pPr>
        <w:spacing w:after="240"/>
        <w:ind w:left="1287" w:hanging="720"/>
      </w:pPr>
      <w:proofErr w:type="spellStart"/>
      <w:r w:rsidRPr="005C4A71">
        <w:t>viii</w:t>
      </w:r>
      <w:proofErr w:type="spellEnd"/>
      <w:r w:rsidRPr="005C4A71">
        <w:t>)</w:t>
      </w:r>
      <w:r w:rsidRPr="005C4A71">
        <w:tab/>
        <w:t xml:space="preserve">να στηρίξει τα κράτη μέλη προκειμένου τα συστήματα ΤΠ να καταστούν πραγματικά </w:t>
      </w:r>
      <w:proofErr w:type="spellStart"/>
      <w:r w:rsidRPr="005C4A71">
        <w:t>διαλειτουργικά</w:t>
      </w:r>
      <w:proofErr w:type="spellEnd"/>
      <w:r w:rsidRPr="005C4A71">
        <w:t>, ώστε να διευκολυνθεί η αποδοτική συλλογή, υποβολή και ανταλλαγή δεδομένων μεταξύ των διαφόρων κρατικών υπηρεσιών και οργανισμών, γεγονός που θα επιτρέψει την ελαχιστοποίηση των κινδύνων διπλής χρηματοδότησης, τον ενεργό διασταυρούμενο έλεγχο μεταξύ των σχετικών βάσεων δεδομένων και την επικοινωνία με τα κράτη μέλη σχετικά με τις διοικητικές τους ικανότητες, ώστε να διασφαλίζεται ότι δεν θα προκύπτει διπλή χρηματοδότηση· σημειώνει, στο πλαίσιο αυτό, τα θετικά παραδείγματα που παρουσιάστηκαν στη διάσκεψη του Ελεγκτικού Συνεδρίου για τη διαφάνεια και την ιχνηλασιμότητα της χρηματοδότησης της ανάκαμψης και της ανθεκτικότητας της ΕΕ τον Οκτώβριο του 2024·</w:t>
      </w:r>
    </w:p>
    <w:p w:rsidR="00F70384" w:rsidRPr="005C4A71" w:rsidRDefault="00F70384" w:rsidP="00F70384">
      <w:pPr>
        <w:spacing w:after="240"/>
        <w:ind w:left="1287" w:hanging="720"/>
      </w:pPr>
      <w:proofErr w:type="spellStart"/>
      <w:r w:rsidRPr="005C4A71">
        <w:t>ix</w:t>
      </w:r>
      <w:proofErr w:type="spellEnd"/>
      <w:r w:rsidRPr="005C4A71">
        <w:t>)</w:t>
      </w:r>
      <w:r w:rsidRPr="005C4A71">
        <w:tab/>
        <w:t>να συνεργάζεται στενά με τα κράτη μέλη για να διασφαλίζει ότι τα ορόσημα και οι στόχοι εφαρμόζονται πλήρως και επιμελώς, ιδίως εκείνα που έχουν διαρθρωτικό χαρακτήρα ή συνδέονται με τις ειδικές ανά χώρα συστάσεις, καθώς και ότι δεν θα εγκρίνεται αναθεώρηση των ΣΑΑ σε περίπτωση μείωσης των φιλοδοξιών ή αποδυνάμωσης σημαντικών μέτρων· να αποφεύγει, στο μέτρο του δυνατού, την αναθεώρηση σχεδίων που ενδέχεται να συνιστούν ένταξη ήδη προγραμματισμένων μέτρων στα ΣΑΑ, εάν αυτά δεν πληρούν τους όρους του κανονισμού ΜΑΑ·</w:t>
      </w:r>
    </w:p>
    <w:p w:rsidR="00F70384" w:rsidRPr="005C4A71" w:rsidRDefault="00F70384" w:rsidP="00F70384">
      <w:pPr>
        <w:spacing w:after="240"/>
        <w:ind w:left="1287" w:hanging="720"/>
      </w:pPr>
      <w:r w:rsidRPr="005C4A71">
        <w:t>x)</w:t>
      </w:r>
      <w:r w:rsidRPr="005C4A71">
        <w:tab/>
        <w:t>να εφαρμόζει αυστηρά τις διατάξεις του κανονισμού ΜΑΑ, συμπεριλαμβανομένων εκείνων που αφορούν την αναστολή πληρωμών ή τις ανακτήσεις ποσών, ιδίως εάν δεν διασφαλίζεται η προστασία των οικονομικών συμφερόντων της Ένωσης·</w:t>
      </w:r>
    </w:p>
    <w:p w:rsidR="00F70384" w:rsidRPr="005C4A71" w:rsidRDefault="00F70384" w:rsidP="00F70384">
      <w:pPr>
        <w:spacing w:after="240"/>
        <w:ind w:left="1287" w:hanging="720"/>
      </w:pPr>
      <w:proofErr w:type="spellStart"/>
      <w:r w:rsidRPr="005C4A71">
        <w:t>xi</w:t>
      </w:r>
      <w:proofErr w:type="spellEnd"/>
      <w:r w:rsidRPr="005C4A71">
        <w:t>)</w:t>
      </w:r>
      <w:r w:rsidRPr="005C4A71">
        <w:tab/>
        <w:t>να εφαρμόζει πολύ αυστηρά τη μεθοδολογία για τις μερικές πληρωμές, μεταξύ άλλων όσον αφορά τα διαρθρωτικά μέτρα και τα μέτρα που συνδέονται με την εφαρμογή των ειδικών ανά χώρα συστάσεων·</w:t>
      </w:r>
    </w:p>
    <w:p w:rsidR="00F70384" w:rsidRPr="005C4A71" w:rsidRDefault="00F70384" w:rsidP="00F70384">
      <w:pPr>
        <w:spacing w:after="240"/>
        <w:ind w:left="1287" w:hanging="720"/>
      </w:pPr>
      <w:proofErr w:type="spellStart"/>
      <w:r w:rsidRPr="005C4A71">
        <w:t>xii</w:t>
      </w:r>
      <w:proofErr w:type="spellEnd"/>
      <w:r w:rsidRPr="005C4A71">
        <w:t>)</w:t>
      </w:r>
      <w:r w:rsidRPr="005C4A71">
        <w:tab/>
        <w:t xml:space="preserve">να αναπτύξει μεθοδολογία που θα βασίζεται στην ποιότητα και τη </w:t>
      </w:r>
      <w:proofErr w:type="spellStart"/>
      <w:r w:rsidRPr="005C4A71">
        <w:t>συγκρισιμότητα</w:t>
      </w:r>
      <w:proofErr w:type="spellEnd"/>
      <w:r w:rsidRPr="005C4A71">
        <w:t xml:space="preserve"> των δεδομένων για την αξιολόγηση της προόδου όσον αφορά την πράσινη και την ψηφιακή μετάβαση, καθώς και στην ύπαρξη απτών οφελών στα κράτη μέλη·</w:t>
      </w:r>
    </w:p>
    <w:p w:rsidR="00F70384" w:rsidRPr="005C4A71" w:rsidRDefault="00F70384" w:rsidP="00F70384">
      <w:pPr>
        <w:spacing w:after="240"/>
        <w:ind w:left="1287" w:hanging="720"/>
      </w:pPr>
      <w:proofErr w:type="spellStart"/>
      <w:r w:rsidRPr="005C4A71">
        <w:t>xiii</w:t>
      </w:r>
      <w:proofErr w:type="spellEnd"/>
      <w:r w:rsidRPr="005C4A71">
        <w:t>)</w:t>
      </w:r>
      <w:r w:rsidRPr="005C4A71">
        <w:tab/>
        <w:t>να διασφαλίσει ότι τα κράτη μέλη εφαρμόζουν επιμελώς τις διατάξεις περί προβολής του ΜΑΑ, εξασφαλίζοντας ότι τα μέτρα που εφαρμόζονται μέσω του Μηχανισμού επισημαίνονται επαρκώς ως έργα που χρηματοδοτούνται από την Ένωση·</w:t>
      </w:r>
    </w:p>
    <w:p w:rsidR="00F70384" w:rsidRPr="005C4A71" w:rsidRDefault="00F70384" w:rsidP="00F70384">
      <w:pPr>
        <w:spacing w:after="240"/>
        <w:ind w:left="1287" w:hanging="720"/>
      </w:pPr>
      <w:proofErr w:type="spellStart"/>
      <w:r w:rsidRPr="005C4A71">
        <w:t>xiv</w:t>
      </w:r>
      <w:proofErr w:type="spellEnd"/>
      <w:r w:rsidRPr="005C4A71">
        <w:t>)</w:t>
      </w:r>
      <w:r w:rsidRPr="005C4A71">
        <w:tab/>
        <w:t>να παρέχει τεχνική βοήθεια, διοικητική υποστήριξη και συμβουλές στα κράτη μέλη, προκειμένου να ενισχυθεί η διοικητική τους ικανότητα, μεταξύ άλλων μέσω της διοργάνωσης τακτικών συνεδριάσεων της άτυπης ομάδας εμπειρογνωμόνων για την εφαρμογή του ΜΑΑ, με σκοπό τη συζήτηση τεχνικών πτυχών και την ενθάρρυνση της ανταλλαγής ορθών πρακτικών μεταξύ των εθνικών αρχών·</w:t>
      </w:r>
    </w:p>
    <w:p w:rsidR="00F70384" w:rsidRPr="005C4A71" w:rsidRDefault="00F70384" w:rsidP="00F70384">
      <w:pPr>
        <w:spacing w:after="240"/>
        <w:ind w:left="1287" w:hanging="720"/>
      </w:pPr>
      <w:proofErr w:type="spellStart"/>
      <w:r w:rsidRPr="005C4A71">
        <w:t>xv</w:t>
      </w:r>
      <w:proofErr w:type="spellEnd"/>
      <w:r w:rsidRPr="005C4A71">
        <w:t>)</w:t>
      </w:r>
      <w:r w:rsidRPr="005C4A71">
        <w:tab/>
        <w:t>να διενεργεί, όποτε προτείνεται αναθεώρηση των ΣΑΑ, ολοκληρωμένη ανάλυση των νέων και υφιστάμενων μέτρων και του κατά πόσον θα υποκαταστήσουν επαναλαμβανόμενες δημοσιονομικές δαπάνες ή θα παραβίαζαν άλλους όρους επιλεξιμότητας των ΣΑΑ·</w:t>
      </w:r>
    </w:p>
    <w:p w:rsidR="00F70384" w:rsidRPr="005C4A71" w:rsidRDefault="00F70384" w:rsidP="00F70384">
      <w:pPr>
        <w:spacing w:after="240"/>
        <w:ind w:left="1287" w:hanging="720"/>
      </w:pPr>
      <w:proofErr w:type="spellStart"/>
      <w:r w:rsidRPr="005C4A71">
        <w:t>xvi</w:t>
      </w:r>
      <w:proofErr w:type="spellEnd"/>
      <w:r w:rsidRPr="005C4A71">
        <w:t>)</w:t>
      </w:r>
      <w:r w:rsidRPr="005C4A71">
        <w:tab/>
        <w:t>να παρέχει κατάρτιση και στήριξη στα κράτη μέλη για την αύξηση των διοικητικών ικανοτήτων, μεταξύ άλλων με κατάρτιση σε εξειδικευμένες δεξιότητες, γνώσεις και παροχή παραδειγμάτων βέλτιστων πρακτικών·</w:t>
      </w:r>
    </w:p>
    <w:p w:rsidR="00F70384" w:rsidRPr="005C4A71" w:rsidRDefault="00F70384" w:rsidP="00F70384">
      <w:pPr>
        <w:spacing w:after="240"/>
        <w:ind w:left="1287" w:hanging="720"/>
      </w:pPr>
      <w:proofErr w:type="spellStart"/>
      <w:r w:rsidRPr="005C4A71">
        <w:t>xvii</w:t>
      </w:r>
      <w:proofErr w:type="spellEnd"/>
      <w:r w:rsidRPr="005C4A71">
        <w:t>)</w:t>
      </w:r>
      <w:r w:rsidRPr="005C4A71">
        <w:tab/>
        <w:t>να συνεχίσει να συνεργάζεται με το Ελεγκτικό Συνέδριο προκειμένου να επιτευχθεί η μεγαλύτερη δυνατή προσέγγιση όσον αφορά την ερμηνεία των ορόσημων και των στόχων·</w:t>
      </w:r>
    </w:p>
    <w:p w:rsidR="00F70384" w:rsidRPr="005C4A71" w:rsidRDefault="00F70384" w:rsidP="00F70384">
      <w:pPr>
        <w:spacing w:after="240"/>
        <w:ind w:left="1287" w:hanging="720"/>
      </w:pPr>
      <w:proofErr w:type="spellStart"/>
      <w:r w:rsidRPr="005C4A71">
        <w:t>xviii</w:t>
      </w:r>
      <w:proofErr w:type="spellEnd"/>
      <w:r w:rsidRPr="005C4A71">
        <w:t>)</w:t>
      </w:r>
      <w:r w:rsidRPr="005C4A71">
        <w:tab/>
        <w:t>να αξιοποιήσει τις συστάσεις του Ελεγκτικού Συνεδρίου από τις εργασίες του σχετικά με τον ΜΑΑ και την πείρα που αποκτήθηκε κατά την εφαρμογή, για τον σχεδιασμό της αρχιτεκτονικής του επόμενου πολυετούς δημοσιονομικού πλαισίου, συμπεριλαμβανομένης της εφαρμογής μελλοντικών μέσων της Ένωσης που βασίζονται στις επιδόσεις·</w:t>
      </w:r>
    </w:p>
    <w:p w:rsidR="00F70384" w:rsidRPr="005C4A71" w:rsidRDefault="00F70384" w:rsidP="00F70384">
      <w:pPr>
        <w:spacing w:after="240"/>
        <w:ind w:left="1287" w:hanging="720"/>
      </w:pPr>
      <w:proofErr w:type="spellStart"/>
      <w:r w:rsidRPr="005C4A71">
        <w:t>xix</w:t>
      </w:r>
      <w:proofErr w:type="spellEnd"/>
      <w:r w:rsidRPr="005C4A71">
        <w:t>)</w:t>
      </w:r>
      <w:r w:rsidRPr="005C4A71">
        <w:tab/>
        <w:t>να ενισχύσει τον σχεδιασμό μελλοντικών μέσων που βασίζονται στις επιδόσεις, διασφαλίζοντας στενότερη σύνδεση μεταξύ των εκταμιεύσεων και της προόδου στην εφαρμογή·</w:t>
      </w:r>
    </w:p>
    <w:p w:rsidR="00F70384" w:rsidRPr="005C4A71" w:rsidRDefault="00F70384" w:rsidP="00F70384">
      <w:pPr>
        <w:spacing w:after="240"/>
        <w:ind w:left="1287" w:hanging="720"/>
      </w:pPr>
      <w:proofErr w:type="spellStart"/>
      <w:r w:rsidRPr="005C4A71">
        <w:t>xx</w:t>
      </w:r>
      <w:proofErr w:type="spellEnd"/>
      <w:r w:rsidRPr="005C4A71">
        <w:t>)</w:t>
      </w:r>
      <w:r w:rsidRPr="005C4A71">
        <w:tab/>
        <w:t>να διασφαλίσει ότι κάθε μελλοντική αναθεώρηση, καθώς και η συνολική εφαρμογή των ΣΑΑ, πραγματοποιείται σε στενή συνεργασία και διαβούλευση με τις τοπικές και περιφερειακές αρχές, καθώς και άλλους συμφεροντούχους, προκειμένου να μεγιστοποιείται ο αντίκτυπος των ΣΑΑ·</w:t>
      </w:r>
    </w:p>
    <w:p w:rsidR="00F70384" w:rsidRPr="005C4A71" w:rsidRDefault="00F70384" w:rsidP="00F70384">
      <w:pPr>
        <w:spacing w:after="240"/>
        <w:ind w:left="1287" w:hanging="720"/>
      </w:pPr>
      <w:proofErr w:type="spellStart"/>
      <w:r w:rsidRPr="005C4A71">
        <w:t>xxi</w:t>
      </w:r>
      <w:proofErr w:type="spellEnd"/>
      <w:r w:rsidRPr="005C4A71">
        <w:t>)</w:t>
      </w:r>
      <w:r w:rsidRPr="005C4A71">
        <w:tab/>
        <w:t>να αναλύσει τις αδυναμίες που υπάρχουν στα μέσα που βασίζονται στις επιδόσεις και να τις αντιμετωπίσει κατά τον σχεδιασμό νέων προγραμμάτων στο μέλλον·</w:t>
      </w:r>
    </w:p>
    <w:p w:rsidR="005C4A71" w:rsidRPr="005C4A71" w:rsidRDefault="00F70384" w:rsidP="005C4A71">
      <w:pPr>
        <w:spacing w:after="240"/>
        <w:ind w:left="1287" w:hanging="720"/>
      </w:pPr>
      <w:proofErr w:type="spellStart"/>
      <w:r w:rsidRPr="005C4A71">
        <w:t>xxii</w:t>
      </w:r>
      <w:proofErr w:type="spellEnd"/>
      <w:r w:rsidRPr="005C4A71">
        <w:t>)</w:t>
      </w:r>
      <w:r w:rsidRPr="005C4A71">
        <w:tab/>
        <w:t>να εντάξει, στο επόμενο ΠΔΠ, ένα υψηλό επίπεδο διαλειτουργικότητας και ανταλλαγής δεδομένων μεταξύ διαφόρων κρατικών υπηρεσιών και οργανισμών για τη διευκόλυνση της αποτελεσματικής ανταλλαγής δεδομένων και των επικαιροποιήσεων σε πραγματικό χρόνο σε πολλαπλές πλατφόρμες, προκειμένου να καταστεί δυνατή η παρακολούθηση αλληλεπικαλυπτόμενων έργων, ούτως ώστε να ελαχιστοποιούνται οι κίνδυνοι διπλής μέτρησης και διπλής χρηματοδότησης.</w:t>
      </w:r>
    </w:p>
    <w:p w:rsidR="00E365E1" w:rsidRPr="005C4A71" w:rsidRDefault="00E365E1" w:rsidP="00F5470A"/>
    <w:sectPr w:rsidR="00E365E1" w:rsidRPr="005C4A71" w:rsidSect="005C4A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67F" w:rsidRPr="005C4A71" w:rsidRDefault="00E8367F">
      <w:r w:rsidRPr="005C4A71">
        <w:separator/>
      </w:r>
    </w:p>
  </w:endnote>
  <w:endnote w:type="continuationSeparator" w:id="0">
    <w:p w:rsidR="00E8367F" w:rsidRPr="005C4A71" w:rsidRDefault="00E8367F">
      <w:r w:rsidRPr="005C4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0"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rsidP="00365BCC">
    <w:pPr>
      <w:pStyle w:val="EPFooter"/>
    </w:pPr>
    <w:r w:rsidRPr="005C4A71">
      <w:t>PE</w:t>
    </w:r>
    <w:r w:rsidRPr="005C4A71">
      <w:rPr>
        <w:rStyle w:val="HideTWBExt"/>
      </w:rPr>
      <w:t>&lt;NoPE&gt;</w:t>
    </w:r>
    <w:r w:rsidRPr="005C4A71">
      <w:t>764.988</w:t>
    </w:r>
    <w:r w:rsidRPr="005C4A71">
      <w:rPr>
        <w:rStyle w:val="HideTWBExt"/>
      </w:rPr>
      <w:t>&lt;/NoPE&gt;&lt;Version&gt;</w:t>
    </w:r>
    <w:r w:rsidRPr="005C4A71">
      <w:t>v03-00</w:t>
    </w:r>
    <w:r w:rsidRPr="005C4A71">
      <w:rPr>
        <w:rStyle w:val="HideTWBExt"/>
      </w:rPr>
      <w:t>&lt;/Version&gt;</w:t>
    </w:r>
    <w:r w:rsidRPr="005C4A71">
      <w:tab/>
    </w:r>
    <w:r w:rsidRPr="005C4A71">
      <w:fldChar w:fldCharType="begin"/>
    </w:r>
    <w:r w:rsidRPr="005C4A71">
      <w:instrText xml:space="preserve"> PAGE  \* MERGEFORMAT </w:instrText>
    </w:r>
    <w:r w:rsidRPr="005C4A71">
      <w:fldChar w:fldCharType="separate"/>
    </w:r>
    <w:r w:rsidRPr="005C4A71">
      <w:rPr>
        <w:noProof/>
      </w:rPr>
      <w:t>2</w:t>
    </w:r>
    <w:r w:rsidRPr="005C4A71">
      <w:fldChar w:fldCharType="end"/>
    </w:r>
    <w:r w:rsidRPr="005C4A71">
      <w:t>/</w:t>
    </w:r>
    <w:fldSimple w:instr=" NUMPAGES  \* MERGEFORMAT ">
      <w:r w:rsidRPr="005C4A71">
        <w:rPr>
          <w:noProof/>
        </w:rPr>
        <w:t>4</w:t>
      </w:r>
    </w:fldSimple>
    <w:r w:rsidRPr="005C4A71">
      <w:tab/>
    </w:r>
    <w:r w:rsidRPr="005C4A71">
      <w:rPr>
        <w:rStyle w:val="HideTWBExt"/>
      </w:rPr>
      <w:t>&lt;PathFdR&gt;</w:t>
    </w:r>
    <w:r w:rsidRPr="005C4A71">
      <w:t>RR\1319821EL.docx</w:t>
    </w:r>
    <w:r w:rsidRPr="005C4A71">
      <w:rPr>
        <w:rStyle w:val="HideTWBExt"/>
      </w:rPr>
      <w:t>&lt;/PathFdR&gt;</w:t>
    </w:r>
  </w:p>
  <w:p w:rsidR="00E8367F" w:rsidRPr="005C4A71" w:rsidRDefault="00E8367F" w:rsidP="00365BCC">
    <w:pPr>
      <w:pStyle w:val="EPFooter2"/>
    </w:pPr>
    <w:r w:rsidRPr="005C4A7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rsidP="00365BCC">
    <w:pPr>
      <w:pStyle w:val="EPFooter"/>
    </w:pPr>
    <w:r w:rsidRPr="005C4A71">
      <w:rPr>
        <w:rStyle w:val="HideTWBExt"/>
      </w:rPr>
      <w:t>&lt;PathFdR&gt;</w:t>
    </w:r>
    <w:r w:rsidRPr="005C4A71">
      <w:t>RR\1319821EL.docx</w:t>
    </w:r>
    <w:r w:rsidRPr="005C4A71">
      <w:rPr>
        <w:rStyle w:val="HideTWBExt"/>
      </w:rPr>
      <w:t>&lt;/PathFdR&gt;</w:t>
    </w:r>
    <w:r w:rsidRPr="005C4A71">
      <w:tab/>
    </w:r>
    <w:r w:rsidRPr="005C4A71">
      <w:tab/>
      <w:t>PE</w:t>
    </w:r>
    <w:r w:rsidRPr="005C4A71">
      <w:rPr>
        <w:rStyle w:val="HideTWBExt"/>
      </w:rPr>
      <w:t>&lt;NoPE&gt;</w:t>
    </w:r>
    <w:r w:rsidRPr="005C4A71">
      <w:t>764.988</w:t>
    </w:r>
    <w:r w:rsidRPr="005C4A71">
      <w:rPr>
        <w:rStyle w:val="HideTWBExt"/>
      </w:rPr>
      <w:t>&lt;/NoPE&gt;&lt;Version&gt;</w:t>
    </w:r>
    <w:r w:rsidRPr="005C4A71">
      <w:t>v03-00</w:t>
    </w:r>
    <w:r w:rsidRPr="005C4A71">
      <w:rPr>
        <w:rStyle w:val="HideTWBExt"/>
      </w:rPr>
      <w:t>&lt;/Version&gt;</w:t>
    </w:r>
  </w:p>
  <w:p w:rsidR="00E8367F" w:rsidRPr="005C4A71" w:rsidRDefault="00E8367F" w:rsidP="00365BCC">
    <w:pPr>
      <w:pStyle w:val="EPFooter2"/>
    </w:pPr>
    <w:r w:rsidRPr="005C4A71">
      <w:t>EL</w:t>
    </w:r>
    <w:r w:rsidRPr="005C4A71">
      <w:tab/>
    </w:r>
    <w:r w:rsidRPr="005C4A71">
      <w:rPr>
        <w:b w:val="0"/>
        <w:i/>
        <w:color w:val="C0C0C0"/>
        <w:sz w:val="22"/>
      </w:rPr>
      <w:t>Ενωμένη στην πολυμορφία</w:t>
    </w:r>
    <w:r w:rsidRPr="005C4A7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67F" w:rsidRPr="005C4A71" w:rsidRDefault="00E8367F">
      <w:r w:rsidRPr="005C4A71">
        <w:separator/>
      </w:r>
    </w:p>
  </w:footnote>
  <w:footnote w:type="continuationSeparator" w:id="0">
    <w:p w:rsidR="00E8367F" w:rsidRPr="005C4A71" w:rsidRDefault="00E8367F">
      <w:r w:rsidRPr="005C4A71">
        <w:continuationSeparator/>
      </w:r>
    </w:p>
  </w:footnote>
  <w:footnote w:id="1">
    <w:p w:rsidR="00E8367F" w:rsidRPr="005C4A71" w:rsidRDefault="00E8367F" w:rsidP="005C4A71">
      <w:pPr>
        <w:pStyle w:val="NormalHanging12a"/>
        <w:spacing w:after="0"/>
      </w:pPr>
      <w:r w:rsidRPr="005C4A71">
        <w:rPr>
          <w:rStyle w:val="FootnoteReference"/>
        </w:rPr>
        <w:footnoteRef/>
      </w:r>
      <w:r w:rsidRPr="005C4A71">
        <w:t xml:space="preserve"> </w:t>
      </w:r>
      <w:r w:rsidRPr="005C4A71">
        <w:tab/>
        <w:t xml:space="preserve">ΕΕ L 58 της 23.2.2023, σ. 1, ELI: </w:t>
      </w:r>
      <w:hyperlink r:id="rId1" w:tooltip="Επιτρέπει πρόσβαση στο έγγραφο μέσω του ELI URI." w:history="1">
        <w:r w:rsidRPr="005C4A71">
          <w:rPr>
            <w:color w:val="337AB7"/>
            <w:u w:val="single"/>
            <w:shd w:val="clear" w:color="auto" w:fill="FFFFFF"/>
          </w:rPr>
          <w:t>http://data.europa.eu/eli/budget/2023/1/oj</w:t>
        </w:r>
      </w:hyperlink>
      <w:r w:rsidRPr="005C4A71">
        <w:t>.</w:t>
      </w:r>
    </w:p>
  </w:footnote>
  <w:footnote w:id="2">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C/2024/5462, 10.10.2024, ELI: </w:t>
      </w:r>
      <w:hyperlink r:id="rId2" w:history="1">
        <w:r w:rsidRPr="00740869">
          <w:rPr>
            <w:rStyle w:val="Hyperlink"/>
            <w:lang w:val="fi-FI"/>
          </w:rPr>
          <w:t>http://data.europa.eu/eli/C/2024/5462/oj</w:t>
        </w:r>
      </w:hyperlink>
      <w:r w:rsidRPr="00740869">
        <w:rPr>
          <w:lang w:val="fi-FI"/>
        </w:rPr>
        <w:t>.</w:t>
      </w:r>
    </w:p>
  </w:footnote>
  <w:footnote w:id="3">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C/2024/5882, 9.10.2024, ELI: </w:t>
      </w:r>
      <w:hyperlink r:id="rId3" w:history="1">
        <w:r w:rsidRPr="00740869">
          <w:rPr>
            <w:rStyle w:val="Hyperlink"/>
            <w:lang w:val="fi-FI"/>
          </w:rPr>
          <w:t>http://data.europa.eu/eli/C/2024/5882/oj</w:t>
        </w:r>
      </w:hyperlink>
      <w:r w:rsidRPr="00740869">
        <w:rPr>
          <w:lang w:val="fi-FI"/>
        </w:rPr>
        <w:t>.</w:t>
      </w:r>
    </w:p>
  </w:footnote>
  <w:footnote w:id="4">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C/2024/6041, 10.10.2024, ELI: </w:t>
      </w:r>
      <w:hyperlink r:id="rId4" w:history="1">
        <w:r w:rsidRPr="00740869">
          <w:rPr>
            <w:rStyle w:val="Hyperlink"/>
            <w:lang w:val="fi-FI"/>
          </w:rPr>
          <w:t>http://data.europa.eu/eli/C/2024/6041/oj</w:t>
        </w:r>
      </w:hyperlink>
      <w:r w:rsidRPr="00740869">
        <w:rPr>
          <w:lang w:val="fi-FI"/>
        </w:rPr>
        <w:t>.</w:t>
      </w:r>
    </w:p>
  </w:footnote>
  <w:footnote w:id="5">
    <w:p w:rsidR="00E8367F" w:rsidRPr="005C4A71" w:rsidRDefault="00E8367F" w:rsidP="005C4A71">
      <w:pPr>
        <w:pStyle w:val="NormalHanging12a"/>
        <w:spacing w:after="0"/>
      </w:pPr>
      <w:r w:rsidRPr="005C4A71">
        <w:rPr>
          <w:rStyle w:val="FootnoteReference"/>
        </w:rPr>
        <w:footnoteRef/>
      </w:r>
      <w:r w:rsidRPr="005C4A71">
        <w:t xml:space="preserve"> </w:t>
      </w:r>
      <w:r w:rsidRPr="005C4A71">
        <w:tab/>
        <w:t xml:space="preserve">ΕΕ L 193 της 30.7.2018, σ. 1, ELI: </w:t>
      </w:r>
      <w:hyperlink r:id="rId5" w:history="1">
        <w:r w:rsidRPr="005C4A71">
          <w:rPr>
            <w:rStyle w:val="Hyperlink"/>
          </w:rPr>
          <w:t>http://data.europa.eu/eli/reg/2018/1046/oj</w:t>
        </w:r>
      </w:hyperlink>
      <w:r w:rsidRPr="005C4A71">
        <w:t>.</w:t>
      </w:r>
    </w:p>
  </w:footnote>
  <w:footnote w:id="6">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L, 2024/2509, 26.</w:t>
      </w:r>
      <w:r w:rsidRPr="00E8367F">
        <w:rPr>
          <w:lang w:val="fi-FI"/>
        </w:rPr>
        <w:t>9</w:t>
      </w:r>
      <w:r w:rsidRPr="00740869">
        <w:rPr>
          <w:lang w:val="fi-FI"/>
        </w:rPr>
        <w:t xml:space="preserve">.2024, ELI: </w:t>
      </w:r>
      <w:hyperlink r:id="rId6" w:tgtFrame="_blank" w:history="1">
        <w:r w:rsidRPr="00740869">
          <w:rPr>
            <w:rStyle w:val="Hyperlink"/>
            <w:shd w:val="clear" w:color="auto" w:fill="FFFFFF"/>
            <w:lang w:val="fi-FI"/>
          </w:rPr>
          <w:t>http://data.europa.eu/eli/reg/2024/2509/oj</w:t>
        </w:r>
      </w:hyperlink>
      <w:r w:rsidRPr="00740869">
        <w:rPr>
          <w:lang w:val="fi-FI"/>
        </w:rPr>
        <w:t>.</w:t>
      </w:r>
    </w:p>
  </w:footnote>
  <w:footnote w:id="7">
    <w:p w:rsidR="00E8367F" w:rsidRPr="005C4A71" w:rsidRDefault="00E8367F" w:rsidP="005C4A71">
      <w:pPr>
        <w:pStyle w:val="NormalHanging12a"/>
        <w:spacing w:after="0"/>
      </w:pPr>
      <w:r w:rsidRPr="005C4A71">
        <w:rPr>
          <w:rStyle w:val="FootnoteReference"/>
        </w:rPr>
        <w:footnoteRef/>
      </w:r>
      <w:r w:rsidRPr="005C4A71">
        <w:t xml:space="preserve"> </w:t>
      </w:r>
      <w:r w:rsidRPr="005C4A71">
        <w:tab/>
        <w:t xml:space="preserve">ΕΕ L 58 της 23.2.2023, σ. 1, ELI: </w:t>
      </w:r>
      <w:hyperlink r:id="rId7" w:history="1">
        <w:r w:rsidRPr="005C4A71">
          <w:rPr>
            <w:rStyle w:val="Hyperlink"/>
          </w:rPr>
          <w:t>http://data.europa.eu/eli/budget/2023/1/oj</w:t>
        </w:r>
      </w:hyperlink>
      <w:r w:rsidRPr="005C4A71">
        <w:t>.</w:t>
      </w:r>
    </w:p>
  </w:footnote>
  <w:footnote w:id="8">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C/2024/5462, 10.10.2024, ELI: </w:t>
      </w:r>
      <w:hyperlink r:id="rId8" w:history="1">
        <w:r w:rsidRPr="00740869">
          <w:rPr>
            <w:rStyle w:val="Hyperlink"/>
            <w:lang w:val="fi-FI"/>
          </w:rPr>
          <w:t>http://data.europa.eu/eli/C/2024/5462/oj</w:t>
        </w:r>
      </w:hyperlink>
      <w:r w:rsidRPr="00740869">
        <w:rPr>
          <w:lang w:val="fi-FI"/>
        </w:rPr>
        <w:t>.</w:t>
      </w:r>
    </w:p>
  </w:footnote>
  <w:footnote w:id="9">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C/2024/6509, 8.11.2024, ELI: </w:t>
      </w:r>
      <w:hyperlink r:id="rId9" w:history="1">
        <w:r w:rsidRPr="00740869">
          <w:rPr>
            <w:rStyle w:val="Hyperlink"/>
            <w:lang w:val="fi-FI"/>
          </w:rPr>
          <w:t>http://data.europa.eu/eli/C/2024/6509/oj</w:t>
        </w:r>
      </w:hyperlink>
      <w:r w:rsidRPr="00740869">
        <w:rPr>
          <w:lang w:val="fi-FI"/>
        </w:rPr>
        <w:t>.</w:t>
      </w:r>
    </w:p>
  </w:footnote>
  <w:footnote w:id="10">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C/2024/5882, 9.10.2024, ELI: </w:t>
      </w:r>
      <w:hyperlink r:id="rId10" w:history="1">
        <w:r w:rsidRPr="00740869">
          <w:rPr>
            <w:rStyle w:val="Hyperlink"/>
            <w:lang w:val="fi-FI"/>
          </w:rPr>
          <w:t>http://data.europa.eu/eli/C/2024/5882/oj</w:t>
        </w:r>
      </w:hyperlink>
      <w:r w:rsidRPr="00740869">
        <w:rPr>
          <w:lang w:val="fi-FI"/>
        </w:rPr>
        <w:t>.</w:t>
      </w:r>
    </w:p>
  </w:footnote>
  <w:footnote w:id="11">
    <w:p w:rsidR="00E8367F" w:rsidRPr="00740869" w:rsidRDefault="00E8367F" w:rsidP="005C4A71">
      <w:pPr>
        <w:pStyle w:val="NormalHanging12a"/>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C/2024/6041, 10.10.2024, ELI: </w:t>
      </w:r>
      <w:hyperlink r:id="rId11" w:history="1">
        <w:r w:rsidRPr="00740869">
          <w:rPr>
            <w:rStyle w:val="Hyperlink"/>
            <w:lang w:val="fi-FI"/>
          </w:rPr>
          <w:t>http://data.europa.eu/eli/C/2024/6041/oj</w:t>
        </w:r>
      </w:hyperlink>
      <w:r w:rsidRPr="00740869">
        <w:rPr>
          <w:lang w:val="fi-FI"/>
        </w:rPr>
        <w:t>.</w:t>
      </w:r>
    </w:p>
  </w:footnote>
  <w:footnote w:id="1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12" w:history="1">
        <w:r w:rsidRPr="005C4A71">
          <w:rPr>
            <w:rStyle w:val="Hyperlink"/>
            <w:sz w:val="24"/>
            <w:lang w:val="el-GR"/>
          </w:rPr>
          <w:t>http://data.europa.eu/eli/reg/2018/1046/oj</w:t>
        </w:r>
      </w:hyperlink>
      <w:r w:rsidRPr="005C4A71">
        <w:rPr>
          <w:sz w:val="24"/>
          <w:lang w:val="el-GR"/>
        </w:rPr>
        <w:t>.</w:t>
      </w:r>
    </w:p>
  </w:footnote>
  <w:footnote w:id="13">
    <w:p w:rsidR="00E8367F" w:rsidRPr="00740869" w:rsidRDefault="00E8367F" w:rsidP="005C4A71">
      <w:pPr>
        <w:pStyle w:val="FootnoteText"/>
        <w:ind w:left="567" w:hanging="567"/>
        <w:rPr>
          <w:b/>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w:t>
      </w:r>
      <w:r w:rsidRPr="00E8367F">
        <w:rPr>
          <w:sz w:val="24"/>
          <w:lang w:val="fi-FI"/>
        </w:rPr>
        <w:t>9</w:t>
      </w:r>
      <w:r w:rsidRPr="00740869">
        <w:rPr>
          <w:sz w:val="24"/>
          <w:lang w:val="fi-FI"/>
        </w:rPr>
        <w:t xml:space="preserve">.2024, ELI: </w:t>
      </w:r>
      <w:hyperlink r:id="rId1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1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14" w:history="1">
        <w:r w:rsidRPr="005C4A71">
          <w:rPr>
            <w:rStyle w:val="Hyperlink"/>
            <w:sz w:val="24"/>
            <w:lang w:val="el-GR"/>
          </w:rPr>
          <w:t>http://data.europa.eu/eli/reg/2003/58/oj</w:t>
        </w:r>
      </w:hyperlink>
      <w:r w:rsidRPr="005C4A71">
        <w:rPr>
          <w:sz w:val="24"/>
          <w:lang w:val="el-GR"/>
        </w:rPr>
        <w:t>.</w:t>
      </w:r>
    </w:p>
  </w:footnote>
  <w:footnote w:id="1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15" w:history="1">
        <w:r w:rsidRPr="005C4A71">
          <w:rPr>
            <w:rStyle w:val="Hyperlink"/>
            <w:sz w:val="24"/>
            <w:lang w:val="el-GR"/>
          </w:rPr>
          <w:t>http://data.europa.eu/eli/reg/2004/1653/oj</w:t>
        </w:r>
      </w:hyperlink>
      <w:r w:rsidRPr="005C4A71">
        <w:rPr>
          <w:sz w:val="24"/>
          <w:lang w:val="el-GR"/>
        </w:rPr>
        <w:t>.</w:t>
      </w:r>
    </w:p>
  </w:footnote>
  <w:footnote w:id="1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16" w:history="1">
        <w:r w:rsidRPr="005C4A71">
          <w:rPr>
            <w:rStyle w:val="Hyperlink"/>
            <w:sz w:val="24"/>
            <w:lang w:val="el-GR"/>
          </w:rPr>
          <w:t>http://data.europa.eu/eli/dec_impl/2021/173/oj</w:t>
        </w:r>
      </w:hyperlink>
      <w:r w:rsidRPr="005C4A71">
        <w:rPr>
          <w:sz w:val="24"/>
          <w:lang w:val="el-GR"/>
        </w:rPr>
        <w:t>.</w:t>
      </w:r>
    </w:p>
  </w:footnote>
  <w:footnote w:id="1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17"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1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18" w:history="1">
        <w:r w:rsidRPr="00740869">
          <w:rPr>
            <w:rStyle w:val="Hyperlink"/>
            <w:sz w:val="24"/>
            <w:lang w:val="fi-FI"/>
          </w:rPr>
          <w:t>http://data.europa.eu/eli/C/2024/5462/oj</w:t>
        </w:r>
      </w:hyperlink>
      <w:r w:rsidRPr="00740869">
        <w:rPr>
          <w:sz w:val="24"/>
          <w:lang w:val="fi-FI"/>
        </w:rPr>
        <w:t>.</w:t>
      </w:r>
    </w:p>
  </w:footnote>
  <w:footnote w:id="1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C/2024/6511, 8.11.2024, ELI</w:t>
      </w:r>
      <w:r w:rsidRPr="00740869">
        <w:rPr>
          <w:i/>
          <w:color w:val="333333"/>
          <w:sz w:val="24"/>
          <w:shd w:val="clear" w:color="auto" w:fill="FFFFFF"/>
          <w:lang w:val="fi-FI"/>
        </w:rPr>
        <w:t>:</w:t>
      </w:r>
      <w:r w:rsidRPr="00740869">
        <w:rPr>
          <w:color w:val="333333"/>
          <w:sz w:val="24"/>
          <w:shd w:val="clear" w:color="auto" w:fill="FFFFFF"/>
          <w:lang w:val="fi-FI"/>
        </w:rPr>
        <w:t xml:space="preserve"> </w:t>
      </w:r>
      <w:hyperlink r:id="rId19" w:tgtFrame="_blank" w:tooltip="Επιτρέπει πρόσβαση στο έγγραφο μέσω του ELI URI." w:history="1">
        <w:r w:rsidRPr="00740869">
          <w:rPr>
            <w:color w:val="337AB7"/>
            <w:sz w:val="24"/>
            <w:u w:val="single"/>
            <w:lang w:val="fi-FI"/>
          </w:rPr>
          <w:t>http://data.europa.eu/eli/C/2024/6511/oj</w:t>
        </w:r>
      </w:hyperlink>
      <w:r w:rsidRPr="00740869">
        <w:rPr>
          <w:color w:val="333333"/>
          <w:sz w:val="24"/>
          <w:shd w:val="clear" w:color="auto" w:fill="FFFFFF"/>
          <w:lang w:val="fi-FI"/>
        </w:rPr>
        <w:t>.</w:t>
      </w:r>
    </w:p>
  </w:footnote>
  <w:footnote w:id="20">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20" w:history="1">
        <w:r w:rsidRPr="00740869">
          <w:rPr>
            <w:rStyle w:val="Hyperlink"/>
            <w:sz w:val="24"/>
            <w:lang w:val="fi-FI"/>
          </w:rPr>
          <w:t>http://data.europa.eu/eli/C/2024/5882/oj</w:t>
        </w:r>
      </w:hyperlink>
      <w:r w:rsidRPr="00740869">
        <w:rPr>
          <w:sz w:val="24"/>
          <w:lang w:val="fi-FI"/>
        </w:rPr>
        <w:t>.</w:t>
      </w:r>
    </w:p>
  </w:footnote>
  <w:footnote w:id="2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21" w:history="1">
        <w:r w:rsidRPr="00740869">
          <w:rPr>
            <w:rStyle w:val="Hyperlink"/>
            <w:sz w:val="24"/>
            <w:lang w:val="fi-FI"/>
          </w:rPr>
          <w:t>http://data.europa.eu/eli/C/2024/6041/oj</w:t>
        </w:r>
      </w:hyperlink>
      <w:r w:rsidRPr="00740869">
        <w:rPr>
          <w:sz w:val="24"/>
          <w:lang w:val="fi-FI"/>
        </w:rPr>
        <w:t>.</w:t>
      </w:r>
    </w:p>
  </w:footnote>
  <w:footnote w:id="2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22" w:history="1">
        <w:r w:rsidRPr="005C4A71">
          <w:rPr>
            <w:rStyle w:val="Hyperlink"/>
            <w:sz w:val="24"/>
            <w:lang w:val="el-GR"/>
          </w:rPr>
          <w:t>http://data.europa.eu/eli/reg/2018/1046/oj</w:t>
        </w:r>
      </w:hyperlink>
      <w:r w:rsidRPr="005C4A71">
        <w:rPr>
          <w:sz w:val="24"/>
          <w:lang w:val="el-GR"/>
        </w:rPr>
        <w:t>.</w:t>
      </w:r>
    </w:p>
  </w:footnote>
  <w:footnote w:id="2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26.9.2024, ELI: </w:t>
      </w:r>
      <w:hyperlink r:id="rId2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2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24" w:history="1">
        <w:r w:rsidRPr="005C4A71">
          <w:rPr>
            <w:rStyle w:val="Hyperlink"/>
            <w:sz w:val="24"/>
            <w:lang w:val="el-GR"/>
          </w:rPr>
          <w:t>http://data.europa.eu/eli/reg/2003/58/oj</w:t>
        </w:r>
      </w:hyperlink>
      <w:r w:rsidRPr="005C4A71">
        <w:rPr>
          <w:sz w:val="24"/>
          <w:lang w:val="el-GR"/>
        </w:rPr>
        <w:t>.</w:t>
      </w:r>
    </w:p>
  </w:footnote>
  <w:footnote w:id="2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25" w:history="1">
        <w:r w:rsidRPr="005C4A71">
          <w:rPr>
            <w:rStyle w:val="Hyperlink"/>
            <w:sz w:val="24"/>
            <w:lang w:val="el-GR"/>
          </w:rPr>
          <w:t>http://data.europa.eu/eli/reg/2004/1653/oj</w:t>
        </w:r>
      </w:hyperlink>
      <w:r w:rsidRPr="005C4A71">
        <w:rPr>
          <w:sz w:val="24"/>
          <w:lang w:val="el-GR"/>
        </w:rPr>
        <w:t>.</w:t>
      </w:r>
    </w:p>
  </w:footnote>
  <w:footnote w:id="2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26" w:history="1">
        <w:r w:rsidRPr="005C4A71">
          <w:rPr>
            <w:rStyle w:val="Hyperlink"/>
            <w:sz w:val="24"/>
            <w:lang w:val="el-GR"/>
          </w:rPr>
          <w:t>http://data.europa.eu/eli/dec_impl/2021/173/oj</w:t>
        </w:r>
      </w:hyperlink>
      <w:r w:rsidRPr="005C4A71">
        <w:rPr>
          <w:sz w:val="24"/>
          <w:lang w:val="el-GR"/>
        </w:rPr>
        <w:t>.</w:t>
      </w:r>
    </w:p>
  </w:footnote>
  <w:footnote w:id="2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27"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2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28" w:history="1">
        <w:r w:rsidRPr="00740869">
          <w:rPr>
            <w:rStyle w:val="Hyperlink"/>
            <w:sz w:val="24"/>
            <w:lang w:val="fi-FI"/>
          </w:rPr>
          <w:t>http://data.europa.eu/eli/C/2024/5462/oj</w:t>
        </w:r>
      </w:hyperlink>
      <w:r w:rsidRPr="00740869">
        <w:rPr>
          <w:sz w:val="24"/>
          <w:lang w:val="fi-FI"/>
        </w:rPr>
        <w:t>.</w:t>
      </w:r>
    </w:p>
  </w:footnote>
  <w:footnote w:id="2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color w:val="333333"/>
          <w:sz w:val="24"/>
          <w:shd w:val="clear" w:color="auto" w:fill="FFFFFF"/>
          <w:lang w:val="fi-FI"/>
        </w:rPr>
        <w:t xml:space="preserve"> </w:t>
      </w:r>
      <w:r w:rsidRPr="00740869">
        <w:rPr>
          <w:color w:val="333333"/>
          <w:sz w:val="24"/>
          <w:shd w:val="clear" w:color="auto" w:fill="FFFFFF"/>
          <w:lang w:val="fi-FI"/>
        </w:rPr>
        <w:tab/>
      </w:r>
      <w:r w:rsidRPr="005C4A71">
        <w:rPr>
          <w:color w:val="333333"/>
          <w:sz w:val="24"/>
          <w:shd w:val="clear" w:color="auto" w:fill="FFFFFF"/>
          <w:lang w:val="el-GR"/>
        </w:rPr>
        <w:t>ΕΕ</w:t>
      </w:r>
      <w:r w:rsidRPr="00740869">
        <w:rPr>
          <w:color w:val="333333"/>
          <w:sz w:val="24"/>
          <w:shd w:val="clear" w:color="auto" w:fill="FFFFFF"/>
          <w:lang w:val="fi-FI"/>
        </w:rPr>
        <w:t xml:space="preserve"> C, C/2024/6522, 8.11.2024, ELI: </w:t>
      </w:r>
      <w:hyperlink r:id="rId29" w:tgtFrame="_blank" w:tooltip="Επιτρέπει πρόσβαση στο έγγραφο μέσω του ELI URI." w:history="1">
        <w:r w:rsidRPr="00740869">
          <w:rPr>
            <w:color w:val="23527C"/>
            <w:sz w:val="24"/>
            <w:u w:val="single"/>
            <w:lang w:val="fi-FI"/>
          </w:rPr>
          <w:t>http://data.europa.eu/eli/C/2024/6522/oj</w:t>
        </w:r>
      </w:hyperlink>
      <w:r w:rsidRPr="00740869">
        <w:rPr>
          <w:sz w:val="24"/>
          <w:lang w:val="fi-FI"/>
        </w:rPr>
        <w:t>.</w:t>
      </w:r>
    </w:p>
  </w:footnote>
  <w:footnote w:id="30">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30" w:history="1">
        <w:r w:rsidRPr="00740869">
          <w:rPr>
            <w:rStyle w:val="Hyperlink"/>
            <w:sz w:val="24"/>
            <w:lang w:val="fi-FI"/>
          </w:rPr>
          <w:t>http://data.europa.eu/eli/C/2024/5882/oj</w:t>
        </w:r>
      </w:hyperlink>
      <w:r w:rsidRPr="00740869">
        <w:rPr>
          <w:sz w:val="24"/>
          <w:lang w:val="fi-FI"/>
        </w:rPr>
        <w:t>.</w:t>
      </w:r>
    </w:p>
  </w:footnote>
  <w:footnote w:id="3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31" w:history="1">
        <w:r w:rsidRPr="00740869">
          <w:rPr>
            <w:rStyle w:val="Hyperlink"/>
            <w:sz w:val="24"/>
            <w:lang w:val="fi-FI"/>
          </w:rPr>
          <w:t>http://data.europa.eu/eli/C/2024/6041/oj</w:t>
        </w:r>
      </w:hyperlink>
      <w:r w:rsidRPr="00740869">
        <w:rPr>
          <w:sz w:val="24"/>
          <w:lang w:val="fi-FI"/>
        </w:rPr>
        <w:t>.</w:t>
      </w:r>
    </w:p>
  </w:footnote>
  <w:footnote w:id="3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32" w:history="1">
        <w:r w:rsidRPr="005C4A71">
          <w:rPr>
            <w:rStyle w:val="Hyperlink"/>
            <w:sz w:val="24"/>
            <w:lang w:val="el-GR"/>
          </w:rPr>
          <w:t>http://data.europa.eu/eli/reg/2018/1046/oj</w:t>
        </w:r>
      </w:hyperlink>
      <w:r w:rsidRPr="005C4A71">
        <w:rPr>
          <w:sz w:val="24"/>
          <w:lang w:val="el-GR"/>
        </w:rPr>
        <w:t>.</w:t>
      </w:r>
    </w:p>
  </w:footnote>
  <w:footnote w:id="3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26.9.2024, ELI: </w:t>
      </w:r>
      <w:hyperlink r:id="rId3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3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34" w:history="1">
        <w:r w:rsidRPr="005C4A71">
          <w:rPr>
            <w:rStyle w:val="Hyperlink"/>
            <w:sz w:val="24"/>
            <w:lang w:val="el-GR"/>
          </w:rPr>
          <w:t>http://data.europa.eu/eli/reg/2003/58/oj</w:t>
        </w:r>
      </w:hyperlink>
      <w:r w:rsidRPr="005C4A71">
        <w:rPr>
          <w:sz w:val="24"/>
          <w:lang w:val="el-GR"/>
        </w:rPr>
        <w:t>.</w:t>
      </w:r>
    </w:p>
  </w:footnote>
  <w:footnote w:id="3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35" w:history="1">
        <w:r w:rsidRPr="005C4A71">
          <w:rPr>
            <w:rStyle w:val="Hyperlink"/>
            <w:sz w:val="24"/>
            <w:lang w:val="el-GR"/>
          </w:rPr>
          <w:t>http://data.europa.eu/eli/reg/2004/1653/oj</w:t>
        </w:r>
      </w:hyperlink>
      <w:r w:rsidRPr="005C4A71">
        <w:rPr>
          <w:sz w:val="24"/>
          <w:lang w:val="el-GR"/>
        </w:rPr>
        <w:t>.</w:t>
      </w:r>
    </w:p>
  </w:footnote>
  <w:footnote w:id="3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36" w:history="1">
        <w:r w:rsidRPr="005C4A71">
          <w:rPr>
            <w:rStyle w:val="Hyperlink"/>
            <w:sz w:val="24"/>
            <w:lang w:val="el-GR"/>
          </w:rPr>
          <w:t>http://data.europa.eu/eli/dec_impl/2021/173/oj</w:t>
        </w:r>
      </w:hyperlink>
      <w:r w:rsidRPr="005C4A71">
        <w:rPr>
          <w:sz w:val="24"/>
          <w:lang w:val="el-GR"/>
        </w:rPr>
        <w:t>.</w:t>
      </w:r>
    </w:p>
  </w:footnote>
  <w:footnote w:id="3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37"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3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38" w:history="1">
        <w:r w:rsidRPr="00740869">
          <w:rPr>
            <w:rStyle w:val="Hyperlink"/>
            <w:sz w:val="24"/>
            <w:lang w:val="fi-FI"/>
          </w:rPr>
          <w:t>http://data.europa.eu/eli/C/2024/5462/oj</w:t>
        </w:r>
      </w:hyperlink>
      <w:r w:rsidRPr="00740869">
        <w:rPr>
          <w:sz w:val="24"/>
          <w:lang w:val="fi-FI"/>
        </w:rPr>
        <w:t>.</w:t>
      </w:r>
    </w:p>
  </w:footnote>
  <w:footnote w:id="3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C/2024/6530, 8.11.2024, ELI: </w:t>
      </w:r>
      <w:hyperlink r:id="rId39" w:history="1">
        <w:r w:rsidRPr="00740869">
          <w:rPr>
            <w:rStyle w:val="Hyperlink"/>
            <w:sz w:val="24"/>
            <w:lang w:val="fi-FI"/>
          </w:rPr>
          <w:t>http://data.europa.eu/eli/C/2024/6530/oj</w:t>
        </w:r>
      </w:hyperlink>
      <w:r w:rsidRPr="00740869">
        <w:rPr>
          <w:sz w:val="24"/>
          <w:lang w:val="fi-FI"/>
        </w:rPr>
        <w:t>.</w:t>
      </w:r>
    </w:p>
  </w:footnote>
  <w:footnote w:id="40">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40" w:history="1">
        <w:r w:rsidRPr="00740869">
          <w:rPr>
            <w:rStyle w:val="Hyperlink"/>
            <w:sz w:val="24"/>
            <w:lang w:val="fi-FI"/>
          </w:rPr>
          <w:t>http://data.europa.eu/eli/C/2024/5882/oj</w:t>
        </w:r>
      </w:hyperlink>
      <w:r w:rsidRPr="00740869">
        <w:rPr>
          <w:sz w:val="24"/>
          <w:lang w:val="fi-FI"/>
        </w:rPr>
        <w:t>.</w:t>
      </w:r>
    </w:p>
  </w:footnote>
  <w:footnote w:id="4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41" w:history="1">
        <w:r w:rsidRPr="00740869">
          <w:rPr>
            <w:rStyle w:val="Hyperlink"/>
            <w:sz w:val="24"/>
            <w:lang w:val="fi-FI"/>
          </w:rPr>
          <w:t>http://data.europa.eu/eli/C/2024/6041/oj</w:t>
        </w:r>
      </w:hyperlink>
      <w:r w:rsidRPr="00740869">
        <w:rPr>
          <w:sz w:val="24"/>
          <w:lang w:val="fi-FI"/>
        </w:rPr>
        <w:t>.</w:t>
      </w:r>
    </w:p>
  </w:footnote>
  <w:footnote w:id="4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42" w:history="1">
        <w:r w:rsidRPr="005C4A71">
          <w:rPr>
            <w:rStyle w:val="Hyperlink"/>
            <w:sz w:val="24"/>
            <w:lang w:val="el-GR"/>
          </w:rPr>
          <w:t>http://data.europa.eu/eli/reg/2018/1046/oj</w:t>
        </w:r>
      </w:hyperlink>
      <w:r w:rsidRPr="005C4A71">
        <w:rPr>
          <w:sz w:val="24"/>
          <w:lang w:val="el-GR"/>
        </w:rPr>
        <w:t>.</w:t>
      </w:r>
    </w:p>
  </w:footnote>
  <w:footnote w:id="4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26.9.2024, ELI: </w:t>
      </w:r>
      <w:hyperlink r:id="rId4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4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44" w:history="1">
        <w:r w:rsidRPr="005C4A71">
          <w:rPr>
            <w:rStyle w:val="Hyperlink"/>
            <w:sz w:val="24"/>
            <w:lang w:val="el-GR"/>
          </w:rPr>
          <w:t>http://data.europa.eu/eli/reg/2003/58/oj</w:t>
        </w:r>
      </w:hyperlink>
      <w:r w:rsidRPr="005C4A71">
        <w:rPr>
          <w:sz w:val="24"/>
          <w:lang w:val="el-GR"/>
        </w:rPr>
        <w:t>.</w:t>
      </w:r>
    </w:p>
  </w:footnote>
  <w:footnote w:id="4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45" w:history="1">
        <w:r w:rsidRPr="005C4A71">
          <w:rPr>
            <w:rStyle w:val="Hyperlink"/>
            <w:sz w:val="24"/>
            <w:lang w:val="el-GR"/>
          </w:rPr>
          <w:t>http://data.europa.eu/eli/reg/2004/1653/oj</w:t>
        </w:r>
      </w:hyperlink>
      <w:r w:rsidRPr="005C4A71">
        <w:rPr>
          <w:sz w:val="24"/>
          <w:lang w:val="el-GR"/>
        </w:rPr>
        <w:t>.</w:t>
      </w:r>
    </w:p>
  </w:footnote>
  <w:footnote w:id="4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46" w:history="1">
        <w:r w:rsidRPr="005C4A71">
          <w:rPr>
            <w:rStyle w:val="Hyperlink"/>
            <w:sz w:val="24"/>
            <w:lang w:val="el-GR"/>
          </w:rPr>
          <w:t>http://data.europa.eu/eli/dec_impl/2021/173/oj</w:t>
        </w:r>
      </w:hyperlink>
      <w:r w:rsidRPr="005C4A71">
        <w:rPr>
          <w:sz w:val="24"/>
          <w:lang w:val="el-GR"/>
        </w:rPr>
        <w:t>.</w:t>
      </w:r>
    </w:p>
  </w:footnote>
  <w:footnote w:id="4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47"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4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48" w:history="1">
        <w:r w:rsidRPr="00740869">
          <w:rPr>
            <w:rStyle w:val="Hyperlink"/>
            <w:sz w:val="24"/>
            <w:lang w:val="fi-FI"/>
          </w:rPr>
          <w:t>http://data.europa.eu/eli/C/2024/5462/oj</w:t>
        </w:r>
      </w:hyperlink>
      <w:r w:rsidRPr="00740869">
        <w:rPr>
          <w:sz w:val="24"/>
          <w:lang w:val="fi-FI"/>
        </w:rPr>
        <w:t>.</w:t>
      </w:r>
    </w:p>
  </w:footnote>
  <w:footnote w:id="4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C/2024/6548, 8.11.2024, ELI: </w:t>
      </w:r>
      <w:hyperlink r:id="rId49" w:history="1">
        <w:r w:rsidRPr="00740869">
          <w:rPr>
            <w:rStyle w:val="Hyperlink"/>
            <w:sz w:val="24"/>
            <w:lang w:val="fi-FI"/>
          </w:rPr>
          <w:t>http://data.europa.eu/eli/C/2024/6548/oj</w:t>
        </w:r>
      </w:hyperlink>
      <w:r w:rsidRPr="00740869">
        <w:rPr>
          <w:sz w:val="24"/>
          <w:lang w:val="fi-FI"/>
        </w:rPr>
        <w:t>.</w:t>
      </w:r>
    </w:p>
  </w:footnote>
  <w:footnote w:id="50">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50" w:history="1">
        <w:r w:rsidRPr="00740869">
          <w:rPr>
            <w:rStyle w:val="Hyperlink"/>
            <w:sz w:val="24"/>
            <w:lang w:val="fi-FI"/>
          </w:rPr>
          <w:t>http://data.europa.eu/eli/C/2024/5882/oj</w:t>
        </w:r>
      </w:hyperlink>
      <w:r w:rsidRPr="00740869">
        <w:rPr>
          <w:sz w:val="24"/>
          <w:lang w:val="fi-FI"/>
        </w:rPr>
        <w:t>.</w:t>
      </w:r>
    </w:p>
  </w:footnote>
  <w:footnote w:id="5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51" w:history="1">
        <w:r w:rsidRPr="00740869">
          <w:rPr>
            <w:rStyle w:val="Hyperlink"/>
            <w:sz w:val="24"/>
            <w:lang w:val="fi-FI"/>
          </w:rPr>
          <w:t>http://data.europa.eu/eli/C/2024/6041/oj</w:t>
        </w:r>
      </w:hyperlink>
      <w:r w:rsidRPr="00740869">
        <w:rPr>
          <w:sz w:val="24"/>
          <w:lang w:val="fi-FI"/>
        </w:rPr>
        <w:t>.</w:t>
      </w:r>
    </w:p>
  </w:footnote>
  <w:footnote w:id="5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52" w:history="1">
        <w:r w:rsidRPr="005C4A71">
          <w:rPr>
            <w:rStyle w:val="Hyperlink"/>
            <w:sz w:val="24"/>
            <w:lang w:val="el-GR"/>
          </w:rPr>
          <w:t>http://data.europa.eu/eli/reg/2018/1046/oj</w:t>
        </w:r>
      </w:hyperlink>
      <w:r w:rsidRPr="005C4A71">
        <w:rPr>
          <w:sz w:val="24"/>
          <w:lang w:val="el-GR"/>
        </w:rPr>
        <w:t>.</w:t>
      </w:r>
    </w:p>
  </w:footnote>
  <w:footnote w:id="5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w:t>
      </w:r>
      <w:r>
        <w:rPr>
          <w:sz w:val="24"/>
          <w:lang w:val="fi-FI"/>
        </w:rPr>
        <w:t>.9.</w:t>
      </w:r>
      <w:r w:rsidRPr="00740869">
        <w:rPr>
          <w:sz w:val="24"/>
          <w:lang w:val="fi-FI"/>
        </w:rPr>
        <w:t xml:space="preserve">2024, ELI: </w:t>
      </w:r>
      <w:hyperlink r:id="rId5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5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54" w:history="1">
        <w:r w:rsidRPr="005C4A71">
          <w:rPr>
            <w:rStyle w:val="Hyperlink"/>
            <w:sz w:val="24"/>
            <w:lang w:val="el-GR"/>
          </w:rPr>
          <w:t>http://data.europa.eu/eli/reg/2003/58/oj</w:t>
        </w:r>
      </w:hyperlink>
      <w:r w:rsidRPr="005C4A71">
        <w:rPr>
          <w:sz w:val="24"/>
          <w:lang w:val="el-GR"/>
        </w:rPr>
        <w:t>.</w:t>
      </w:r>
    </w:p>
  </w:footnote>
  <w:footnote w:id="5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55" w:history="1">
        <w:r w:rsidRPr="005C4A71">
          <w:rPr>
            <w:rStyle w:val="Hyperlink"/>
            <w:sz w:val="24"/>
            <w:lang w:val="el-GR"/>
          </w:rPr>
          <w:t>http://data.europa.eu/eli/reg/2004/1653/oj</w:t>
        </w:r>
      </w:hyperlink>
      <w:r w:rsidRPr="005C4A71">
        <w:rPr>
          <w:sz w:val="24"/>
          <w:lang w:val="el-GR"/>
        </w:rPr>
        <w:t>.</w:t>
      </w:r>
    </w:p>
  </w:footnote>
  <w:footnote w:id="5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56" w:history="1">
        <w:r w:rsidRPr="005C4A71">
          <w:rPr>
            <w:rStyle w:val="Hyperlink"/>
            <w:sz w:val="24"/>
            <w:lang w:val="el-GR"/>
          </w:rPr>
          <w:t>http://data.europa.eu/eli/dec_impl/2021/173/oj</w:t>
        </w:r>
      </w:hyperlink>
      <w:r w:rsidRPr="005C4A71">
        <w:rPr>
          <w:sz w:val="24"/>
          <w:lang w:val="el-GR"/>
        </w:rPr>
        <w:t>.</w:t>
      </w:r>
    </w:p>
  </w:footnote>
  <w:footnote w:id="5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57"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5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58" w:history="1">
        <w:r w:rsidRPr="00740869">
          <w:rPr>
            <w:rStyle w:val="Hyperlink"/>
            <w:sz w:val="24"/>
            <w:lang w:val="fi-FI"/>
          </w:rPr>
          <w:t>http://data.europa.eu/eli/C/2024/5462/oj</w:t>
        </w:r>
      </w:hyperlink>
      <w:r w:rsidRPr="00740869">
        <w:rPr>
          <w:sz w:val="24"/>
          <w:lang w:val="fi-FI"/>
        </w:rPr>
        <w:t>.</w:t>
      </w:r>
    </w:p>
  </w:footnote>
  <w:footnote w:id="5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C/2024/6530, 8.11.2024, ELI: </w:t>
      </w:r>
      <w:hyperlink r:id="rId59" w:history="1">
        <w:r w:rsidRPr="00740869">
          <w:rPr>
            <w:rStyle w:val="Hyperlink"/>
            <w:sz w:val="24"/>
            <w:lang w:val="fi-FI"/>
          </w:rPr>
          <w:t>http://data.europa.eu/eli/C/2024/6530/oj</w:t>
        </w:r>
      </w:hyperlink>
      <w:r w:rsidRPr="00740869">
        <w:rPr>
          <w:sz w:val="24"/>
          <w:lang w:val="fi-FI"/>
        </w:rPr>
        <w:t>.</w:t>
      </w:r>
    </w:p>
  </w:footnote>
  <w:footnote w:id="60">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60" w:history="1">
        <w:r w:rsidRPr="00740869">
          <w:rPr>
            <w:rStyle w:val="Hyperlink"/>
            <w:sz w:val="24"/>
            <w:lang w:val="fi-FI"/>
          </w:rPr>
          <w:t>http://data.europa.eu/eli/C/2024/5882/oj</w:t>
        </w:r>
      </w:hyperlink>
      <w:r w:rsidRPr="00740869">
        <w:rPr>
          <w:sz w:val="24"/>
          <w:lang w:val="fi-FI"/>
        </w:rPr>
        <w:t>.</w:t>
      </w:r>
    </w:p>
  </w:footnote>
  <w:footnote w:id="6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61" w:history="1">
        <w:r w:rsidRPr="00740869">
          <w:rPr>
            <w:rStyle w:val="Hyperlink"/>
            <w:sz w:val="24"/>
            <w:lang w:val="fi-FI"/>
          </w:rPr>
          <w:t>http://data.europa.eu/eli/C/2024/6041/oj</w:t>
        </w:r>
      </w:hyperlink>
      <w:r w:rsidRPr="00740869">
        <w:rPr>
          <w:sz w:val="24"/>
          <w:lang w:val="fi-FI"/>
        </w:rPr>
        <w:t>.</w:t>
      </w:r>
    </w:p>
  </w:footnote>
  <w:footnote w:id="6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62" w:history="1">
        <w:r w:rsidRPr="005C4A71">
          <w:rPr>
            <w:rStyle w:val="Hyperlink"/>
            <w:sz w:val="24"/>
            <w:lang w:val="el-GR"/>
          </w:rPr>
          <w:t>http://data.europa.eu/eli/reg/2018/1046/oj</w:t>
        </w:r>
      </w:hyperlink>
      <w:r w:rsidRPr="005C4A71">
        <w:rPr>
          <w:sz w:val="24"/>
          <w:lang w:val="el-GR"/>
        </w:rPr>
        <w:t>.</w:t>
      </w:r>
    </w:p>
  </w:footnote>
  <w:footnote w:id="6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w:t>
      </w:r>
      <w:r>
        <w:rPr>
          <w:sz w:val="24"/>
          <w:lang w:val="fi-FI"/>
        </w:rPr>
        <w:t>.9.</w:t>
      </w:r>
      <w:r w:rsidRPr="00740869">
        <w:rPr>
          <w:sz w:val="24"/>
          <w:lang w:val="fi-FI"/>
        </w:rPr>
        <w:t xml:space="preserve">2024, ELI: </w:t>
      </w:r>
      <w:hyperlink r:id="rId63"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6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64" w:history="1">
        <w:r w:rsidRPr="005C4A71">
          <w:rPr>
            <w:rStyle w:val="Hyperlink"/>
            <w:sz w:val="24"/>
            <w:lang w:val="el-GR"/>
          </w:rPr>
          <w:t>http://data.europa.eu/eli/reg/2003/58/oj</w:t>
        </w:r>
      </w:hyperlink>
      <w:r w:rsidRPr="005C4A71">
        <w:rPr>
          <w:sz w:val="24"/>
          <w:lang w:val="el-GR"/>
        </w:rPr>
        <w:t>.</w:t>
      </w:r>
    </w:p>
  </w:footnote>
  <w:footnote w:id="6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297 της 22.9.2004, σ. </w:t>
      </w:r>
      <w:r w:rsidRPr="005C4A71">
        <w:rPr>
          <w:sz w:val="24"/>
          <w:lang w:val="el-GR"/>
        </w:rPr>
        <w:t xml:space="preserve">6, ELI: </w:t>
      </w:r>
      <w:hyperlink r:id="rId65" w:history="1">
        <w:r w:rsidRPr="005C4A71">
          <w:rPr>
            <w:rStyle w:val="Hyperlink"/>
            <w:sz w:val="24"/>
            <w:lang w:val="el-GR"/>
          </w:rPr>
          <w:t>http://data.europa.eu/eli/reg/2004/1653/oj</w:t>
        </w:r>
      </w:hyperlink>
      <w:r w:rsidRPr="005C4A71">
        <w:rPr>
          <w:sz w:val="24"/>
          <w:lang w:val="el-GR"/>
        </w:rPr>
        <w:t>.</w:t>
      </w:r>
    </w:p>
  </w:footnote>
  <w:footnote w:id="6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50 της 15.2.2021, σ. </w:t>
      </w:r>
      <w:r w:rsidRPr="005C4A71">
        <w:rPr>
          <w:sz w:val="24"/>
          <w:lang w:val="el-GR"/>
        </w:rPr>
        <w:t xml:space="preserve">9, ELI: </w:t>
      </w:r>
      <w:hyperlink r:id="rId66" w:history="1">
        <w:r w:rsidRPr="005C4A71">
          <w:rPr>
            <w:rStyle w:val="Hyperlink"/>
            <w:sz w:val="24"/>
            <w:lang w:val="el-GR"/>
          </w:rPr>
          <w:t>http://data.europa.eu/eli/dec_impl/2021/173/oj</w:t>
        </w:r>
      </w:hyperlink>
      <w:r w:rsidRPr="005C4A71">
        <w:rPr>
          <w:sz w:val="24"/>
          <w:lang w:val="el-GR"/>
        </w:rPr>
        <w:t>.</w:t>
      </w:r>
    </w:p>
  </w:footnote>
  <w:footnote w:id="67">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67" w:history="1">
        <w:r w:rsidRPr="00740869">
          <w:rPr>
            <w:rStyle w:val="Hyperlink"/>
            <w:sz w:val="24"/>
            <w:lang w:val="fi-FI"/>
          </w:rPr>
          <w:t>http://data.europa.eu/eli/C/2024/5462/oj</w:t>
        </w:r>
      </w:hyperlink>
      <w:r w:rsidRPr="00740869">
        <w:rPr>
          <w:sz w:val="24"/>
          <w:lang w:val="fi-FI"/>
        </w:rPr>
        <w:t>.</w:t>
      </w:r>
    </w:p>
  </w:footnote>
  <w:footnote w:id="6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68" w:history="1">
        <w:r w:rsidRPr="00740869">
          <w:rPr>
            <w:rStyle w:val="Hyperlink"/>
            <w:sz w:val="24"/>
            <w:lang w:val="fi-FI"/>
          </w:rPr>
          <w:t>http://data.europa.eu/eli/C/2024/5882/oj</w:t>
        </w:r>
      </w:hyperlink>
      <w:r w:rsidRPr="00740869">
        <w:rPr>
          <w:sz w:val="24"/>
          <w:lang w:val="fi-FI"/>
        </w:rPr>
        <w:t>.</w:t>
      </w:r>
    </w:p>
  </w:footnote>
  <w:footnote w:id="6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69" w:history="1">
        <w:r w:rsidRPr="00740869">
          <w:rPr>
            <w:rStyle w:val="Hyperlink"/>
            <w:sz w:val="24"/>
            <w:lang w:val="fi-FI"/>
          </w:rPr>
          <w:t>http://data.europa.eu/eli/C/2024/6041/oj</w:t>
        </w:r>
      </w:hyperlink>
      <w:r w:rsidRPr="00740869">
        <w:rPr>
          <w:sz w:val="24"/>
          <w:lang w:val="fi-FI"/>
        </w:rPr>
        <w:t>.</w:t>
      </w:r>
    </w:p>
  </w:footnote>
  <w:footnote w:id="70">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317 της 15.12.2000, σ. </w:t>
      </w:r>
      <w:r w:rsidRPr="005C4A71">
        <w:rPr>
          <w:sz w:val="24"/>
          <w:lang w:val="el-GR"/>
        </w:rPr>
        <w:t>3</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0"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internation</w:t>
        </w:r>
        <w:proofErr w:type="spellEnd"/>
        <w:r w:rsidRPr="00E8367F">
          <w:rPr>
            <w:color w:val="23527C"/>
            <w:sz w:val="24"/>
            <w:szCs w:val="24"/>
            <w:u w:val="single"/>
            <w:shd w:val="clear" w:color="auto" w:fill="FFFFFF"/>
            <w:lang w:val="el-GR" w:eastAsia="en-GB"/>
          </w:rPr>
          <w:t>/2003/159/</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71">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287 της 4.11.2010, σ. </w:t>
      </w:r>
      <w:r w:rsidRPr="005C4A71">
        <w:rPr>
          <w:sz w:val="24"/>
          <w:lang w:val="el-GR"/>
        </w:rPr>
        <w:t>3</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1"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internation</w:t>
        </w:r>
        <w:proofErr w:type="spellEnd"/>
        <w:r w:rsidRPr="00E8367F">
          <w:rPr>
            <w:color w:val="23527C"/>
            <w:sz w:val="24"/>
            <w:szCs w:val="24"/>
            <w:u w:val="single"/>
            <w:shd w:val="clear" w:color="auto" w:fill="FFFFFF"/>
            <w:lang w:val="el-GR" w:eastAsia="en-GB"/>
          </w:rPr>
          <w:t>/2010/648/</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7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355 της 7.10.2021, σ. </w:t>
      </w:r>
      <w:r w:rsidRPr="005C4A71">
        <w:rPr>
          <w:sz w:val="24"/>
          <w:lang w:val="el-GR"/>
        </w:rPr>
        <w:t>6</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2"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dec</w:t>
        </w:r>
        <w:proofErr w:type="spellEnd"/>
        <w:r w:rsidRPr="00E8367F">
          <w:rPr>
            <w:color w:val="337AB7"/>
            <w:sz w:val="24"/>
            <w:szCs w:val="24"/>
            <w:u w:val="single"/>
            <w:shd w:val="clear" w:color="auto" w:fill="FFFFFF"/>
            <w:lang w:val="el-GR" w:eastAsia="en-GB"/>
          </w:rPr>
          <w:t>/2021/1764/</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73">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156 της 29.5.1998, σ. </w:t>
      </w:r>
      <w:r w:rsidRPr="005C4A71">
        <w:rPr>
          <w:sz w:val="24"/>
          <w:lang w:val="el-GR"/>
        </w:rPr>
        <w:t>108</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3"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eums</w:t>
        </w:r>
        <w:proofErr w:type="spellEnd"/>
        <w:r w:rsidRPr="00E8367F">
          <w:rPr>
            <w:color w:val="23527C"/>
            <w:sz w:val="24"/>
            <w:szCs w:val="24"/>
            <w:u w:val="single"/>
            <w:shd w:val="clear" w:color="auto" w:fill="FFFFFF"/>
            <w:lang w:val="el-GR" w:eastAsia="en-GB"/>
          </w:rPr>
          <w:t>/1998/363/</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7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317 της 15.12.2000, σ. </w:t>
      </w:r>
      <w:r w:rsidRPr="005C4A71">
        <w:rPr>
          <w:sz w:val="24"/>
          <w:lang w:val="el-GR"/>
        </w:rPr>
        <w:t>355</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4"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eums</w:t>
        </w:r>
        <w:proofErr w:type="spellEnd"/>
        <w:r w:rsidRPr="00E8367F">
          <w:rPr>
            <w:color w:val="23527C"/>
            <w:sz w:val="24"/>
            <w:szCs w:val="24"/>
            <w:u w:val="single"/>
            <w:shd w:val="clear" w:color="auto" w:fill="FFFFFF"/>
            <w:lang w:val="el-GR" w:eastAsia="en-GB"/>
          </w:rPr>
          <w:t>/2000/770/</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7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210 της 6.8.2013,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5"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agree</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eums</w:t>
        </w:r>
        <w:proofErr w:type="spellEnd"/>
        <w:r w:rsidRPr="00E8367F">
          <w:rPr>
            <w:color w:val="337AB7"/>
            <w:sz w:val="24"/>
            <w:szCs w:val="24"/>
            <w:u w:val="single"/>
            <w:shd w:val="clear" w:color="auto" w:fill="FFFFFF"/>
            <w:lang w:val="el-GR" w:eastAsia="en-GB"/>
          </w:rPr>
          <w:t>/2013/806/</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7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191 της 7.7.1998, σ. </w:t>
      </w:r>
      <w:r w:rsidRPr="005C4A71">
        <w:rPr>
          <w:sz w:val="24"/>
          <w:lang w:val="el-GR"/>
        </w:rPr>
        <w:t>53</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6"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financ</w:t>
        </w:r>
        <w:proofErr w:type="spellEnd"/>
        <w:r w:rsidRPr="00E8367F">
          <w:rPr>
            <w:color w:val="337AB7"/>
            <w:sz w:val="24"/>
            <w:szCs w:val="24"/>
            <w:u w:val="single"/>
            <w:shd w:val="clear" w:color="auto" w:fill="FFFFFF"/>
            <w:lang w:val="el-GR" w:eastAsia="en-GB"/>
          </w:rPr>
          <w:t>/1998/430/</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7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83 της 1.4.2003,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7"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financ</w:t>
        </w:r>
        <w:proofErr w:type="spellEnd"/>
        <w:r w:rsidRPr="00E8367F">
          <w:rPr>
            <w:color w:val="337AB7"/>
            <w:sz w:val="24"/>
            <w:szCs w:val="24"/>
            <w:u w:val="single"/>
            <w:shd w:val="clear" w:color="auto" w:fill="FFFFFF"/>
            <w:lang w:val="el-GR" w:eastAsia="en-GB"/>
          </w:rPr>
          <w:t>/2003/401/</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78">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78 της 19.3.2008,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78"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/2008/215/</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79">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307 της 3.12.2018, σ. </w:t>
      </w:r>
      <w:r w:rsidRPr="005C4A71">
        <w:rPr>
          <w:sz w:val="24"/>
          <w:lang w:val="el-GR"/>
        </w:rPr>
        <w:t>1</w:t>
      </w:r>
      <w:r w:rsidRPr="00E8367F">
        <w:rPr>
          <w:sz w:val="24"/>
          <w:szCs w:val="24"/>
          <w:lang w:val="el-GR"/>
        </w:rPr>
        <w:t xml:space="preserve">, </w:t>
      </w:r>
      <w:r w:rsidRPr="00AF2575">
        <w:rPr>
          <w:sz w:val="24"/>
          <w:szCs w:val="24"/>
          <w:lang w:val="fi-FI"/>
        </w:rPr>
        <w:t>ELI</w:t>
      </w:r>
      <w:r w:rsidRPr="00E8367F">
        <w:rPr>
          <w:sz w:val="24"/>
          <w:szCs w:val="24"/>
          <w:lang w:val="el-GR"/>
        </w:rPr>
        <w:t xml:space="preserve">: </w:t>
      </w:r>
      <w:hyperlink r:id="rId79"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/2018/1877/</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80">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23.2.2023, σ. </w:t>
      </w:r>
      <w:r w:rsidRPr="005C4A71">
        <w:rPr>
          <w:sz w:val="24"/>
          <w:lang w:val="el-GR"/>
        </w:rPr>
        <w:t xml:space="preserve">1, ELI: </w:t>
      </w:r>
      <w:hyperlink r:id="rId80" w:tooltip="Επιτρέπει πρόσβαση στο έγγραφο μέσω του ELI URI." w:history="1">
        <w:r w:rsidRPr="005C4A71">
          <w:rPr>
            <w:color w:val="337AB7"/>
            <w:sz w:val="24"/>
            <w:u w:val="single"/>
            <w:shd w:val="clear" w:color="auto" w:fill="FFFFFF"/>
            <w:lang w:val="el-GR"/>
          </w:rPr>
          <w:t>http://data.europa.eu/eli/budget/2023/1/oj</w:t>
        </w:r>
      </w:hyperlink>
      <w:r w:rsidRPr="005C4A71">
        <w:rPr>
          <w:sz w:val="24"/>
          <w:lang w:val="el-GR"/>
        </w:rPr>
        <w:t>.</w:t>
      </w:r>
    </w:p>
  </w:footnote>
  <w:footnote w:id="81">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81" w:history="1">
        <w:r w:rsidRPr="00740869">
          <w:rPr>
            <w:rStyle w:val="Hyperlink"/>
            <w:sz w:val="24"/>
            <w:lang w:val="fi-FI"/>
          </w:rPr>
          <w:t>http://data.europa.eu/eli/C/2024/5462/oj</w:t>
        </w:r>
      </w:hyperlink>
      <w:r w:rsidRPr="00740869">
        <w:rPr>
          <w:sz w:val="24"/>
          <w:lang w:val="fi-FI"/>
        </w:rPr>
        <w:t>.</w:t>
      </w:r>
    </w:p>
  </w:footnote>
  <w:footnote w:id="82">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82" w:history="1">
        <w:r w:rsidRPr="00740869">
          <w:rPr>
            <w:rStyle w:val="Hyperlink"/>
            <w:sz w:val="24"/>
            <w:lang w:val="fi-FI"/>
          </w:rPr>
          <w:t>http://data.europa.eu/eli/C/2024/5882/oj</w:t>
        </w:r>
      </w:hyperlink>
      <w:r w:rsidRPr="00740869">
        <w:rPr>
          <w:sz w:val="24"/>
          <w:lang w:val="fi-FI"/>
        </w:rPr>
        <w:t>.</w:t>
      </w:r>
    </w:p>
  </w:footnote>
  <w:footnote w:id="83">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83" w:history="1">
        <w:r w:rsidRPr="00740869">
          <w:rPr>
            <w:rStyle w:val="Hyperlink"/>
            <w:sz w:val="24"/>
            <w:lang w:val="fi-FI"/>
          </w:rPr>
          <w:t>http://data.europa.eu/eli/C/2024/6041/oj</w:t>
        </w:r>
      </w:hyperlink>
      <w:r w:rsidRPr="00740869">
        <w:rPr>
          <w:sz w:val="24"/>
          <w:lang w:val="fi-FI"/>
        </w:rPr>
        <w:t>.</w:t>
      </w:r>
    </w:p>
  </w:footnote>
  <w:footnote w:id="8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ΕΕ L 193 της 30.7.2018, σ. </w:t>
      </w:r>
      <w:r w:rsidRPr="005C4A71">
        <w:rPr>
          <w:sz w:val="24"/>
          <w:lang w:val="el-GR"/>
        </w:rPr>
        <w:t xml:space="preserve">1, ELI: </w:t>
      </w:r>
      <w:hyperlink r:id="rId84" w:history="1">
        <w:r w:rsidRPr="005C4A71">
          <w:rPr>
            <w:rStyle w:val="Hyperlink"/>
            <w:sz w:val="24"/>
            <w:lang w:val="el-GR"/>
          </w:rPr>
          <w:t>http://data.europa.eu/eli</w:t>
        </w:r>
        <w:r w:rsidRPr="005C4A71">
          <w:rPr>
            <w:rStyle w:val="Hyperlink"/>
            <w:b/>
            <w:sz w:val="24"/>
            <w:lang w:val="el-GR"/>
          </w:rPr>
          <w:t>/</w:t>
        </w:r>
        <w:r w:rsidRPr="005C4A71">
          <w:rPr>
            <w:rStyle w:val="Hyperlink"/>
            <w:sz w:val="24"/>
            <w:lang w:val="el-GR"/>
          </w:rPr>
          <w:t>reg</w:t>
        </w:r>
        <w:r w:rsidRPr="005C4A71">
          <w:rPr>
            <w:rStyle w:val="Hyperlink"/>
            <w:b/>
            <w:sz w:val="24"/>
            <w:lang w:val="el-GR"/>
          </w:rPr>
          <w:t>/</w:t>
        </w:r>
        <w:r w:rsidRPr="005C4A71">
          <w:rPr>
            <w:rStyle w:val="Hyperlink"/>
            <w:sz w:val="24"/>
            <w:lang w:val="el-GR"/>
          </w:rPr>
          <w:t>2018/1046/oj</w:t>
        </w:r>
      </w:hyperlink>
      <w:r w:rsidRPr="005C4A71">
        <w:rPr>
          <w:sz w:val="24"/>
          <w:lang w:val="el-GR"/>
        </w:rPr>
        <w:t>.</w:t>
      </w:r>
    </w:p>
  </w:footnote>
  <w:footnote w:id="85">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L, 2024/2509, 26</w:t>
      </w:r>
      <w:r>
        <w:rPr>
          <w:sz w:val="24"/>
          <w:lang w:val="fi-FI"/>
        </w:rPr>
        <w:t>.9.</w:t>
      </w:r>
      <w:r w:rsidRPr="00740869">
        <w:rPr>
          <w:sz w:val="24"/>
          <w:lang w:val="fi-FI"/>
        </w:rPr>
        <w:t xml:space="preserve">2024, ELI: </w:t>
      </w:r>
      <w:hyperlink r:id="rId85" w:tgtFrame="_blank" w:history="1">
        <w:r w:rsidRPr="00740869">
          <w:rPr>
            <w:rStyle w:val="Hyperlink"/>
            <w:sz w:val="24"/>
            <w:shd w:val="clear" w:color="auto" w:fill="FFFFFF"/>
            <w:lang w:val="fi-FI"/>
          </w:rPr>
          <w:t>http://data.europa.eu/eli/reg/2024/2509/oj</w:t>
        </w:r>
      </w:hyperlink>
      <w:r w:rsidRPr="00740869">
        <w:rPr>
          <w:sz w:val="24"/>
          <w:lang w:val="fi-FI"/>
        </w:rPr>
        <w:t>.</w:t>
      </w:r>
    </w:p>
  </w:footnote>
  <w:footnote w:id="8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11 της 16.1.2003, σ. </w:t>
      </w:r>
      <w:r w:rsidRPr="005C4A71">
        <w:rPr>
          <w:sz w:val="24"/>
          <w:lang w:val="el-GR"/>
        </w:rPr>
        <w:t xml:space="preserve">1, ELI: </w:t>
      </w:r>
      <w:hyperlink r:id="rId86" w:history="1">
        <w:r w:rsidRPr="005C4A71">
          <w:rPr>
            <w:rStyle w:val="Hyperlink"/>
            <w:sz w:val="24"/>
            <w:lang w:val="el-GR"/>
          </w:rPr>
          <w:t>http://data.europa.eu/eli/reg/2003/58/oj</w:t>
        </w:r>
      </w:hyperlink>
      <w:r w:rsidRPr="005C4A71">
        <w:rPr>
          <w:sz w:val="24"/>
          <w:lang w:val="el-GR"/>
        </w:rPr>
        <w:t>.</w:t>
      </w:r>
    </w:p>
  </w:footnote>
  <w:footnote w:id="87">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C/2024/5462, 10.10.2024, ELI: </w:t>
      </w:r>
      <w:hyperlink r:id="rId87" w:history="1">
        <w:r w:rsidRPr="00740869">
          <w:rPr>
            <w:rStyle w:val="Hyperlink"/>
            <w:sz w:val="24"/>
            <w:lang w:val="fi-FI"/>
          </w:rPr>
          <w:t>http://data.europa.eu/eli/C/2024/5462/oj</w:t>
        </w:r>
      </w:hyperlink>
      <w:r w:rsidRPr="00740869">
        <w:rPr>
          <w:sz w:val="24"/>
          <w:lang w:val="fi-FI"/>
        </w:rPr>
        <w:t>.</w:t>
      </w:r>
    </w:p>
  </w:footnote>
  <w:footnote w:id="88">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88" w:history="1">
        <w:r w:rsidRPr="00740869">
          <w:rPr>
            <w:rStyle w:val="Hyperlink"/>
            <w:sz w:val="24"/>
            <w:lang w:val="fi-FI"/>
          </w:rPr>
          <w:t>http://data.europa.eu/eli/C/2024/5882/oj</w:t>
        </w:r>
      </w:hyperlink>
      <w:r w:rsidRPr="00740869">
        <w:rPr>
          <w:sz w:val="24"/>
          <w:lang w:val="fi-FI"/>
        </w:rPr>
        <w:t>.</w:t>
      </w:r>
    </w:p>
  </w:footnote>
  <w:footnote w:id="89">
    <w:p w:rsidR="00E8367F" w:rsidRPr="00740869" w:rsidRDefault="00E8367F" w:rsidP="005C4A71">
      <w:pPr>
        <w:pStyle w:val="FootnoteText"/>
        <w:ind w:left="567" w:hanging="567"/>
        <w:rPr>
          <w:sz w:val="24"/>
          <w:lang w:val="fi-FI"/>
        </w:rPr>
      </w:pPr>
      <w:r w:rsidRPr="005C4A71">
        <w:rPr>
          <w:rStyle w:val="FootnoteReference"/>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C/2024/6041, 10.10.2024, ELI: </w:t>
      </w:r>
      <w:hyperlink r:id="rId89" w:history="1">
        <w:r w:rsidRPr="00740869">
          <w:rPr>
            <w:rStyle w:val="Hyperlink"/>
            <w:sz w:val="24"/>
            <w:lang w:val="fi-FI"/>
          </w:rPr>
          <w:t>http://data.europa.eu/eli/C/2024/6041/oj</w:t>
        </w:r>
      </w:hyperlink>
      <w:r w:rsidRPr="00740869">
        <w:rPr>
          <w:sz w:val="24"/>
          <w:lang w:val="fi-FI"/>
        </w:rPr>
        <w:t>.</w:t>
      </w:r>
    </w:p>
  </w:footnote>
  <w:footnote w:id="90">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317 της 15.12.2000, σ. </w:t>
      </w:r>
      <w:r w:rsidRPr="005C4A71">
        <w:rPr>
          <w:sz w:val="24"/>
          <w:lang w:val="el-GR"/>
        </w:rPr>
        <w:t>3</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0"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internation</w:t>
        </w:r>
        <w:proofErr w:type="spellEnd"/>
        <w:r w:rsidRPr="00E8367F">
          <w:rPr>
            <w:color w:val="23527C"/>
            <w:sz w:val="24"/>
            <w:szCs w:val="24"/>
            <w:u w:val="single"/>
            <w:shd w:val="clear" w:color="auto" w:fill="FFFFFF"/>
            <w:lang w:val="el-GR" w:eastAsia="en-GB"/>
          </w:rPr>
          <w:t>/2003/159/</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91">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287 της 4.11.2010, σ. </w:t>
      </w:r>
      <w:r w:rsidRPr="005C4A71">
        <w:rPr>
          <w:sz w:val="24"/>
          <w:lang w:val="el-GR"/>
        </w:rPr>
        <w:t>3</w:t>
      </w:r>
      <w:r w:rsidRPr="00E8367F">
        <w:rPr>
          <w:sz w:val="24"/>
          <w:szCs w:val="24"/>
          <w:lang w:val="el-GR"/>
        </w:rPr>
        <w:t xml:space="preserve">, </w:t>
      </w:r>
      <w:r w:rsidRPr="00C747B1">
        <w:rPr>
          <w:sz w:val="24"/>
          <w:szCs w:val="24"/>
          <w:lang w:val="fi-FI"/>
        </w:rPr>
        <w:t>ELI</w:t>
      </w:r>
      <w:r w:rsidRPr="00E8367F">
        <w:rPr>
          <w:sz w:val="24"/>
          <w:szCs w:val="24"/>
          <w:lang w:val="el-GR"/>
        </w:rPr>
        <w:t xml:space="preserve">: </w:t>
      </w:r>
      <w:hyperlink r:id="rId91" w:tooltip="Gives access to this document through its ELI URI." w:history="1">
        <w:r w:rsidRPr="00C747B1">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C747B1">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C747B1">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C747B1">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C747B1">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C747B1">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C747B1">
          <w:rPr>
            <w:color w:val="23527C"/>
            <w:sz w:val="24"/>
            <w:szCs w:val="24"/>
            <w:u w:val="single"/>
            <w:shd w:val="clear" w:color="auto" w:fill="FFFFFF"/>
            <w:lang w:val="fi-FI" w:eastAsia="en-GB"/>
          </w:rPr>
          <w:t>internation</w:t>
        </w:r>
        <w:proofErr w:type="spellEnd"/>
        <w:r w:rsidRPr="00E8367F">
          <w:rPr>
            <w:color w:val="23527C"/>
            <w:sz w:val="24"/>
            <w:szCs w:val="24"/>
            <w:u w:val="single"/>
            <w:shd w:val="clear" w:color="auto" w:fill="FFFFFF"/>
            <w:lang w:val="el-GR" w:eastAsia="en-GB"/>
          </w:rPr>
          <w:t>/2010/648/</w:t>
        </w:r>
        <w:proofErr w:type="spellStart"/>
        <w:r w:rsidRPr="00C747B1">
          <w:rPr>
            <w:color w:val="23527C"/>
            <w:sz w:val="24"/>
            <w:szCs w:val="24"/>
            <w:u w:val="single"/>
            <w:shd w:val="clear" w:color="auto" w:fill="FFFFFF"/>
            <w:lang w:val="fi-FI" w:eastAsia="en-GB"/>
          </w:rPr>
          <w:t>oj</w:t>
        </w:r>
        <w:proofErr w:type="spellEnd"/>
      </w:hyperlink>
      <w:r w:rsidRPr="005C4A71">
        <w:rPr>
          <w:sz w:val="24"/>
          <w:lang w:val="el-GR"/>
        </w:rPr>
        <w:t>.</w:t>
      </w:r>
    </w:p>
  </w:footnote>
  <w:footnote w:id="9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355 της 7.10.2021, σ. </w:t>
      </w:r>
      <w:r w:rsidRPr="005C4A71">
        <w:rPr>
          <w:sz w:val="24"/>
          <w:lang w:val="el-GR"/>
        </w:rPr>
        <w:t>6</w:t>
      </w:r>
      <w:r w:rsidRPr="00E8367F">
        <w:rPr>
          <w:sz w:val="24"/>
          <w:szCs w:val="24"/>
          <w:lang w:val="el-GR"/>
        </w:rPr>
        <w:t xml:space="preserve">, </w:t>
      </w:r>
      <w:r w:rsidRPr="00C747B1">
        <w:rPr>
          <w:sz w:val="24"/>
          <w:szCs w:val="24"/>
          <w:lang w:val="fi-FI"/>
        </w:rPr>
        <w:t>ELI</w:t>
      </w:r>
      <w:r w:rsidRPr="00E8367F">
        <w:rPr>
          <w:sz w:val="24"/>
          <w:szCs w:val="24"/>
          <w:lang w:val="el-GR"/>
        </w:rPr>
        <w:t xml:space="preserve">: </w:t>
      </w:r>
      <w:hyperlink r:id="rId92" w:tooltip="Gives access to this document through its ELI URI." w:history="1">
        <w:r w:rsidRPr="00C747B1">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C747B1">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C747B1">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C747B1">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C747B1">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C747B1">
          <w:rPr>
            <w:color w:val="337AB7"/>
            <w:sz w:val="24"/>
            <w:szCs w:val="24"/>
            <w:u w:val="single"/>
            <w:shd w:val="clear" w:color="auto" w:fill="FFFFFF"/>
            <w:lang w:val="fi-FI" w:eastAsia="en-GB"/>
          </w:rPr>
          <w:t>dec</w:t>
        </w:r>
        <w:proofErr w:type="spellEnd"/>
        <w:r w:rsidRPr="00E8367F">
          <w:rPr>
            <w:color w:val="337AB7"/>
            <w:sz w:val="24"/>
            <w:szCs w:val="24"/>
            <w:u w:val="single"/>
            <w:shd w:val="clear" w:color="auto" w:fill="FFFFFF"/>
            <w:lang w:val="el-GR" w:eastAsia="en-GB"/>
          </w:rPr>
          <w:t>/2021/1764/</w:t>
        </w:r>
        <w:proofErr w:type="spellStart"/>
        <w:r w:rsidRPr="00C747B1">
          <w:rPr>
            <w:color w:val="337AB7"/>
            <w:sz w:val="24"/>
            <w:szCs w:val="24"/>
            <w:u w:val="single"/>
            <w:shd w:val="clear" w:color="auto" w:fill="FFFFFF"/>
            <w:lang w:val="fi-FI" w:eastAsia="en-GB"/>
          </w:rPr>
          <w:t>oj</w:t>
        </w:r>
        <w:proofErr w:type="spellEnd"/>
      </w:hyperlink>
      <w:r w:rsidRPr="005C4A71">
        <w:rPr>
          <w:sz w:val="24"/>
          <w:lang w:val="el-GR"/>
        </w:rPr>
        <w:t>.</w:t>
      </w:r>
    </w:p>
  </w:footnote>
  <w:footnote w:id="93">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156 της 29.5.1998, σ. </w:t>
      </w:r>
      <w:r w:rsidRPr="005C4A71">
        <w:rPr>
          <w:sz w:val="24"/>
          <w:lang w:val="el-GR"/>
        </w:rPr>
        <w:t>108</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3"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eums</w:t>
        </w:r>
        <w:proofErr w:type="spellEnd"/>
        <w:r w:rsidRPr="00E8367F">
          <w:rPr>
            <w:color w:val="23527C"/>
            <w:sz w:val="24"/>
            <w:szCs w:val="24"/>
            <w:u w:val="single"/>
            <w:shd w:val="clear" w:color="auto" w:fill="FFFFFF"/>
            <w:lang w:val="el-GR" w:eastAsia="en-GB"/>
          </w:rPr>
          <w:t>/1998/363/</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9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317 της 15.12.2000, σ. </w:t>
      </w:r>
      <w:r w:rsidRPr="005C4A71">
        <w:rPr>
          <w:sz w:val="24"/>
          <w:lang w:val="el-GR"/>
        </w:rPr>
        <w:t>355</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4"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agree</w:t>
        </w:r>
        <w:proofErr w:type="spellEnd"/>
        <w:r w:rsidRPr="00E8367F">
          <w:rPr>
            <w:color w:val="23527C"/>
            <w:sz w:val="24"/>
            <w:szCs w:val="24"/>
            <w:u w:val="single"/>
            <w:shd w:val="clear" w:color="auto" w:fill="FFFFFF"/>
            <w:lang w:val="el-GR" w:eastAsia="en-GB"/>
          </w:rPr>
          <w:t>_</w:t>
        </w:r>
        <w:proofErr w:type="spellStart"/>
        <w:r w:rsidRPr="00F45D26">
          <w:rPr>
            <w:color w:val="23527C"/>
            <w:sz w:val="24"/>
            <w:szCs w:val="24"/>
            <w:u w:val="single"/>
            <w:shd w:val="clear" w:color="auto" w:fill="FFFFFF"/>
            <w:lang w:val="fi-FI" w:eastAsia="en-GB"/>
          </w:rPr>
          <w:t>eums</w:t>
        </w:r>
        <w:proofErr w:type="spellEnd"/>
        <w:r w:rsidRPr="00E8367F">
          <w:rPr>
            <w:color w:val="23527C"/>
            <w:sz w:val="24"/>
            <w:szCs w:val="24"/>
            <w:u w:val="single"/>
            <w:shd w:val="clear" w:color="auto" w:fill="FFFFFF"/>
            <w:lang w:val="el-GR" w:eastAsia="en-GB"/>
          </w:rPr>
          <w:t>/2000/770/</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9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210 της 6.8.2013,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5"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agree</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eums</w:t>
        </w:r>
        <w:proofErr w:type="spellEnd"/>
        <w:r w:rsidRPr="00E8367F">
          <w:rPr>
            <w:color w:val="337AB7"/>
            <w:sz w:val="24"/>
            <w:szCs w:val="24"/>
            <w:u w:val="single"/>
            <w:shd w:val="clear" w:color="auto" w:fill="FFFFFF"/>
            <w:lang w:val="el-GR" w:eastAsia="en-GB"/>
          </w:rPr>
          <w:t>/2013/806/</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9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191 της 7.7.1998, σ. </w:t>
      </w:r>
      <w:r w:rsidRPr="005C4A71">
        <w:rPr>
          <w:sz w:val="24"/>
          <w:lang w:val="el-GR"/>
        </w:rPr>
        <w:t>53</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6"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financ</w:t>
        </w:r>
        <w:proofErr w:type="spellEnd"/>
        <w:r w:rsidRPr="00E8367F">
          <w:rPr>
            <w:color w:val="337AB7"/>
            <w:sz w:val="24"/>
            <w:szCs w:val="24"/>
            <w:u w:val="single"/>
            <w:shd w:val="clear" w:color="auto" w:fill="FFFFFF"/>
            <w:lang w:val="el-GR" w:eastAsia="en-GB"/>
          </w:rPr>
          <w:t>/1998/430/</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97">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83 της 1.4.2003,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7"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_</w:t>
        </w:r>
        <w:proofErr w:type="spellStart"/>
        <w:r w:rsidRPr="00F45D26">
          <w:rPr>
            <w:color w:val="337AB7"/>
            <w:sz w:val="24"/>
            <w:szCs w:val="24"/>
            <w:u w:val="single"/>
            <w:shd w:val="clear" w:color="auto" w:fill="FFFFFF"/>
            <w:lang w:val="fi-FI" w:eastAsia="en-GB"/>
          </w:rPr>
          <w:t>financ</w:t>
        </w:r>
        <w:proofErr w:type="spellEnd"/>
        <w:r w:rsidRPr="00E8367F">
          <w:rPr>
            <w:color w:val="337AB7"/>
            <w:sz w:val="24"/>
            <w:szCs w:val="24"/>
            <w:u w:val="single"/>
            <w:shd w:val="clear" w:color="auto" w:fill="FFFFFF"/>
            <w:lang w:val="el-GR" w:eastAsia="en-GB"/>
          </w:rPr>
          <w:t>/2003/401/</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98">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78 της 19.3.2008, σ. </w:t>
      </w:r>
      <w:r w:rsidRPr="005C4A71">
        <w:rPr>
          <w:sz w:val="24"/>
          <w:lang w:val="el-GR"/>
        </w:rPr>
        <w:t>1</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8"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/2008/215/</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99">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58 της 3.3.2015, σ. </w:t>
      </w:r>
      <w:r w:rsidRPr="005C4A71">
        <w:rPr>
          <w:sz w:val="24"/>
          <w:lang w:val="el-GR"/>
        </w:rPr>
        <w:t>17</w:t>
      </w:r>
      <w:r w:rsidRPr="00E8367F">
        <w:rPr>
          <w:sz w:val="24"/>
          <w:szCs w:val="24"/>
          <w:lang w:val="el-GR"/>
        </w:rPr>
        <w:t xml:space="preserve">, </w:t>
      </w:r>
      <w:r w:rsidRPr="00F45D26">
        <w:rPr>
          <w:sz w:val="24"/>
          <w:szCs w:val="24"/>
          <w:lang w:val="fi-FI"/>
        </w:rPr>
        <w:t>ELI</w:t>
      </w:r>
      <w:r w:rsidRPr="00E8367F">
        <w:rPr>
          <w:sz w:val="24"/>
          <w:szCs w:val="24"/>
          <w:lang w:val="el-GR"/>
        </w:rPr>
        <w:t xml:space="preserve">: </w:t>
      </w:r>
      <w:hyperlink r:id="rId99" w:tooltip="Gives access to this document through its ELI URI." w:history="1">
        <w:r w:rsidRPr="00F45D26">
          <w:rPr>
            <w:color w:val="23527C"/>
            <w:sz w:val="24"/>
            <w:szCs w:val="24"/>
            <w:u w:val="single"/>
            <w:shd w:val="clear" w:color="auto" w:fill="FFFFFF"/>
            <w:lang w:val="fi-FI" w:eastAsia="en-GB"/>
          </w:rPr>
          <w:t>http</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data</w:t>
        </w:r>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europa</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eu</w:t>
        </w:r>
        <w:proofErr w:type="spellEnd"/>
        <w:r w:rsidRPr="00E8367F">
          <w:rPr>
            <w:color w:val="23527C"/>
            <w:sz w:val="24"/>
            <w:szCs w:val="24"/>
            <w:u w:val="single"/>
            <w:shd w:val="clear" w:color="auto" w:fill="FFFFFF"/>
            <w:lang w:val="el-GR" w:eastAsia="en-GB"/>
          </w:rPr>
          <w:t>/</w:t>
        </w:r>
        <w:r w:rsidRPr="00F45D26">
          <w:rPr>
            <w:color w:val="23527C"/>
            <w:sz w:val="24"/>
            <w:szCs w:val="24"/>
            <w:u w:val="single"/>
            <w:shd w:val="clear" w:color="auto" w:fill="FFFFFF"/>
            <w:lang w:val="fi-FI" w:eastAsia="en-GB"/>
          </w:rPr>
          <w:t>eli</w:t>
        </w:r>
        <w:r w:rsidRPr="00E8367F">
          <w:rPr>
            <w:color w:val="23527C"/>
            <w:sz w:val="24"/>
            <w:szCs w:val="24"/>
            <w:u w:val="single"/>
            <w:shd w:val="clear" w:color="auto" w:fill="FFFFFF"/>
            <w:lang w:val="el-GR" w:eastAsia="en-GB"/>
          </w:rPr>
          <w:t>/</w:t>
        </w:r>
        <w:proofErr w:type="spellStart"/>
        <w:r w:rsidRPr="00F45D26">
          <w:rPr>
            <w:color w:val="23527C"/>
            <w:sz w:val="24"/>
            <w:szCs w:val="24"/>
            <w:u w:val="single"/>
            <w:shd w:val="clear" w:color="auto" w:fill="FFFFFF"/>
            <w:lang w:val="fi-FI" w:eastAsia="en-GB"/>
          </w:rPr>
          <w:t>reg</w:t>
        </w:r>
        <w:proofErr w:type="spellEnd"/>
        <w:r w:rsidRPr="00E8367F">
          <w:rPr>
            <w:color w:val="23527C"/>
            <w:sz w:val="24"/>
            <w:szCs w:val="24"/>
            <w:u w:val="single"/>
            <w:shd w:val="clear" w:color="auto" w:fill="FFFFFF"/>
            <w:lang w:val="el-GR" w:eastAsia="en-GB"/>
          </w:rPr>
          <w:t>/2015/323/</w:t>
        </w:r>
        <w:proofErr w:type="spellStart"/>
        <w:r w:rsidRPr="00F45D26">
          <w:rPr>
            <w:color w:val="23527C"/>
            <w:sz w:val="24"/>
            <w:szCs w:val="24"/>
            <w:u w:val="single"/>
            <w:shd w:val="clear" w:color="auto" w:fill="FFFFFF"/>
            <w:lang w:val="fi-FI" w:eastAsia="en-GB"/>
          </w:rPr>
          <w:t>oj</w:t>
        </w:r>
        <w:proofErr w:type="spellEnd"/>
      </w:hyperlink>
      <w:r w:rsidRPr="005C4A71">
        <w:rPr>
          <w:sz w:val="24"/>
          <w:lang w:val="el-GR"/>
        </w:rPr>
        <w:t>.</w:t>
      </w:r>
    </w:p>
  </w:footnote>
  <w:footnote w:id="100">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ΕΕ L 307 της 3.12.2018, σ. </w:t>
      </w:r>
      <w:r w:rsidRPr="005C4A71">
        <w:rPr>
          <w:sz w:val="24"/>
          <w:lang w:val="el-GR"/>
        </w:rPr>
        <w:t>1</w:t>
      </w:r>
      <w:r w:rsidRPr="00E8367F">
        <w:rPr>
          <w:sz w:val="24"/>
          <w:szCs w:val="24"/>
          <w:lang w:val="el-GR"/>
        </w:rPr>
        <w:t xml:space="preserve">, </w:t>
      </w:r>
      <w:r w:rsidRPr="00AF2575">
        <w:rPr>
          <w:sz w:val="24"/>
          <w:szCs w:val="24"/>
          <w:lang w:val="fi-FI"/>
        </w:rPr>
        <w:t>ELI</w:t>
      </w:r>
      <w:r w:rsidRPr="00E8367F">
        <w:rPr>
          <w:sz w:val="24"/>
          <w:szCs w:val="24"/>
          <w:lang w:val="el-GR"/>
        </w:rPr>
        <w:t xml:space="preserve">: </w:t>
      </w:r>
      <w:hyperlink r:id="rId100" w:tooltip="Gives access to this document through its ELI URI." w:history="1">
        <w:r w:rsidRPr="00F45D26">
          <w:rPr>
            <w:color w:val="337AB7"/>
            <w:sz w:val="24"/>
            <w:szCs w:val="24"/>
            <w:u w:val="single"/>
            <w:shd w:val="clear" w:color="auto" w:fill="FFFFFF"/>
            <w:lang w:val="fi-FI" w:eastAsia="en-GB"/>
          </w:rPr>
          <w:t>http</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data</w:t>
        </w:r>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europa</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eu</w:t>
        </w:r>
        <w:proofErr w:type="spellEnd"/>
        <w:r w:rsidRPr="00E8367F">
          <w:rPr>
            <w:color w:val="337AB7"/>
            <w:sz w:val="24"/>
            <w:szCs w:val="24"/>
            <w:u w:val="single"/>
            <w:shd w:val="clear" w:color="auto" w:fill="FFFFFF"/>
            <w:lang w:val="el-GR" w:eastAsia="en-GB"/>
          </w:rPr>
          <w:t>/</w:t>
        </w:r>
        <w:r w:rsidRPr="00F45D26">
          <w:rPr>
            <w:color w:val="337AB7"/>
            <w:sz w:val="24"/>
            <w:szCs w:val="24"/>
            <w:u w:val="single"/>
            <w:shd w:val="clear" w:color="auto" w:fill="FFFFFF"/>
            <w:lang w:val="fi-FI" w:eastAsia="en-GB"/>
          </w:rPr>
          <w:t>eli</w:t>
        </w:r>
        <w:r w:rsidRPr="00E8367F">
          <w:rPr>
            <w:color w:val="337AB7"/>
            <w:sz w:val="24"/>
            <w:szCs w:val="24"/>
            <w:u w:val="single"/>
            <w:shd w:val="clear" w:color="auto" w:fill="FFFFFF"/>
            <w:lang w:val="el-GR" w:eastAsia="en-GB"/>
          </w:rPr>
          <w:t>/</w:t>
        </w:r>
        <w:proofErr w:type="spellStart"/>
        <w:r w:rsidRPr="00F45D26">
          <w:rPr>
            <w:color w:val="337AB7"/>
            <w:sz w:val="24"/>
            <w:szCs w:val="24"/>
            <w:u w:val="single"/>
            <w:shd w:val="clear" w:color="auto" w:fill="FFFFFF"/>
            <w:lang w:val="fi-FI" w:eastAsia="en-GB"/>
          </w:rPr>
          <w:t>reg</w:t>
        </w:r>
        <w:proofErr w:type="spellEnd"/>
        <w:r w:rsidRPr="00E8367F">
          <w:rPr>
            <w:color w:val="337AB7"/>
            <w:sz w:val="24"/>
            <w:szCs w:val="24"/>
            <w:u w:val="single"/>
            <w:shd w:val="clear" w:color="auto" w:fill="FFFFFF"/>
            <w:lang w:val="el-GR" w:eastAsia="en-GB"/>
          </w:rPr>
          <w:t>/2018/1877/</w:t>
        </w:r>
        <w:proofErr w:type="spellStart"/>
        <w:r w:rsidRPr="00F45D26">
          <w:rPr>
            <w:color w:val="337AB7"/>
            <w:sz w:val="24"/>
            <w:szCs w:val="24"/>
            <w:u w:val="single"/>
            <w:shd w:val="clear" w:color="auto" w:fill="FFFFFF"/>
            <w:lang w:val="fi-FI" w:eastAsia="en-GB"/>
          </w:rPr>
          <w:t>oj</w:t>
        </w:r>
        <w:proofErr w:type="spellEnd"/>
      </w:hyperlink>
      <w:r w:rsidRPr="005C4A71">
        <w:rPr>
          <w:sz w:val="24"/>
          <w:lang w:val="el-GR"/>
        </w:rPr>
        <w:t>.</w:t>
      </w:r>
    </w:p>
  </w:footnote>
  <w:footnote w:id="101">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Το 11ο ΕΤΑ καλύπτει το ΠΔΠ 2021-2027.</w:t>
      </w:r>
    </w:p>
  </w:footnote>
  <w:footnote w:id="10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«Το μέλλον της ευρωπαϊκής ανταγωνιστικότητας», 9 Σεπτεμβρίου 2024.</w:t>
      </w:r>
    </w:p>
  </w:footnote>
  <w:footnote w:id="103">
    <w:p w:rsidR="00E8367F" w:rsidRPr="00DB7820" w:rsidRDefault="00E8367F" w:rsidP="00E8367F">
      <w:pPr>
        <w:pStyle w:val="FootnoteText"/>
        <w:ind w:left="567" w:hanging="567"/>
        <w:rPr>
          <w:sz w:val="24"/>
          <w:szCs w:val="24"/>
          <w:lang w:val="el-GR"/>
        </w:rPr>
      </w:pPr>
      <w:r w:rsidRPr="00DB7820">
        <w:rPr>
          <w:rStyle w:val="FootnoteReference"/>
          <w:sz w:val="24"/>
          <w:szCs w:val="24"/>
        </w:rPr>
        <w:footnoteRef/>
      </w:r>
      <w:r w:rsidRPr="00DB7820">
        <w:rPr>
          <w:sz w:val="24"/>
          <w:szCs w:val="24"/>
          <w:lang w:val="el-GR"/>
        </w:rPr>
        <w:t xml:space="preserve"> </w:t>
      </w:r>
      <w:r>
        <w:rPr>
          <w:sz w:val="24"/>
          <w:szCs w:val="24"/>
          <w:lang w:val="el-GR"/>
        </w:rPr>
        <w:tab/>
      </w:r>
      <w:r w:rsidRPr="00DB7820">
        <w:rPr>
          <w:sz w:val="24"/>
          <w:szCs w:val="24"/>
          <w:lang w:val="el-GR"/>
        </w:rPr>
        <w:t>Ειδική έκθεση 05/2024: Μητρώο Διαφάνειας της ΕΕ – Χρήσιμες αλλά περιορισμένες οι πληροφορίες που παρέχει σχετικά με τις δραστηριότητες επιρροής (</w:t>
      </w:r>
      <w:proofErr w:type="spellStart"/>
      <w:r w:rsidRPr="00DB7820">
        <w:rPr>
          <w:sz w:val="24"/>
          <w:szCs w:val="24"/>
          <w:lang w:val="el-GR"/>
        </w:rPr>
        <w:t>λόμπινγκ</w:t>
      </w:r>
      <w:proofErr w:type="spellEnd"/>
      <w:r w:rsidRPr="00DB7820">
        <w:rPr>
          <w:sz w:val="24"/>
          <w:szCs w:val="24"/>
          <w:lang w:val="el-GR"/>
        </w:rPr>
        <w:t>).</w:t>
      </w:r>
    </w:p>
  </w:footnote>
  <w:footnote w:id="104">
    <w:p w:rsidR="00E8367F" w:rsidRPr="00DB7820" w:rsidRDefault="00E8367F" w:rsidP="00E8367F">
      <w:pPr>
        <w:pStyle w:val="FootnoteText"/>
        <w:ind w:left="567" w:hanging="567"/>
        <w:rPr>
          <w:lang w:val="el-GR"/>
        </w:rPr>
      </w:pPr>
      <w:r w:rsidRPr="00DB7820">
        <w:rPr>
          <w:rStyle w:val="FootnoteReference"/>
          <w:sz w:val="24"/>
          <w:szCs w:val="24"/>
        </w:rPr>
        <w:footnoteRef/>
      </w:r>
      <w:r w:rsidRPr="00DB7820">
        <w:rPr>
          <w:sz w:val="24"/>
          <w:szCs w:val="24"/>
          <w:lang w:val="el-GR"/>
        </w:rPr>
        <w:t xml:space="preserve"> </w:t>
      </w:r>
      <w:r>
        <w:rPr>
          <w:sz w:val="24"/>
          <w:szCs w:val="24"/>
          <w:lang w:val="el-GR"/>
        </w:rPr>
        <w:tab/>
      </w:r>
      <w:r w:rsidRPr="00DB7820">
        <w:rPr>
          <w:sz w:val="24"/>
          <w:szCs w:val="24"/>
          <w:lang w:val="el-GR"/>
        </w:rPr>
        <w:t>Ειδική έκθεση 11/2025: Διαφάνεια στη χρηματοδότηση ΜΚΟ από την ΕΕ – Παρά την πρόοδο, η συνολική εικόνα δεν είναι ακόμη αξιόπιστη.</w:t>
      </w:r>
    </w:p>
  </w:footnote>
  <w:footnote w:id="105">
    <w:p w:rsidR="00E8367F" w:rsidRPr="00DB7820" w:rsidRDefault="00E8367F" w:rsidP="00E8367F">
      <w:pPr>
        <w:pStyle w:val="FootnoteText"/>
        <w:ind w:left="567" w:hanging="567"/>
        <w:rPr>
          <w:sz w:val="24"/>
          <w:szCs w:val="24"/>
          <w:lang w:val="el-GR"/>
        </w:rPr>
      </w:pPr>
      <w:r w:rsidRPr="00DB7820">
        <w:rPr>
          <w:rStyle w:val="FootnoteReference"/>
          <w:sz w:val="24"/>
          <w:szCs w:val="24"/>
        </w:rPr>
        <w:footnoteRef/>
      </w:r>
      <w:r w:rsidRPr="00DB7820">
        <w:rPr>
          <w:sz w:val="24"/>
          <w:szCs w:val="24"/>
          <w:lang w:val="el-GR"/>
        </w:rPr>
        <w:t xml:space="preserve"> </w:t>
      </w:r>
      <w:r>
        <w:rPr>
          <w:sz w:val="24"/>
          <w:szCs w:val="24"/>
          <w:lang w:val="el-GR"/>
        </w:rPr>
        <w:tab/>
      </w:r>
      <w:hyperlink r:id="rId101" w:history="1">
        <w:r w:rsidRPr="00DB7820">
          <w:rPr>
            <w:rStyle w:val="Hyperlink"/>
            <w:sz w:val="24"/>
            <w:szCs w:val="24"/>
          </w:rPr>
          <w:t>https</w:t>
        </w:r>
        <w:r w:rsidRPr="00DB7820">
          <w:rPr>
            <w:rStyle w:val="Hyperlink"/>
            <w:sz w:val="24"/>
            <w:szCs w:val="24"/>
            <w:lang w:val="el-GR"/>
          </w:rPr>
          <w:t>://</w:t>
        </w:r>
        <w:r w:rsidRPr="00DB7820">
          <w:rPr>
            <w:rStyle w:val="Hyperlink"/>
            <w:sz w:val="24"/>
            <w:szCs w:val="24"/>
          </w:rPr>
          <w:t>www</w:t>
        </w:r>
        <w:r w:rsidRPr="00DB7820">
          <w:rPr>
            <w:rStyle w:val="Hyperlink"/>
            <w:sz w:val="24"/>
            <w:szCs w:val="24"/>
            <w:lang w:val="el-GR"/>
          </w:rPr>
          <w:t>.</w:t>
        </w:r>
        <w:proofErr w:type="spellStart"/>
        <w:r w:rsidRPr="00DB7820">
          <w:rPr>
            <w:rStyle w:val="Hyperlink"/>
            <w:sz w:val="24"/>
            <w:szCs w:val="24"/>
          </w:rPr>
          <w:t>europarl</w:t>
        </w:r>
        <w:proofErr w:type="spellEnd"/>
        <w:r w:rsidRPr="00DB7820">
          <w:rPr>
            <w:rStyle w:val="Hyperlink"/>
            <w:sz w:val="24"/>
            <w:szCs w:val="24"/>
            <w:lang w:val="el-GR"/>
          </w:rPr>
          <w:t>.</w:t>
        </w:r>
        <w:proofErr w:type="spellStart"/>
        <w:r w:rsidRPr="00DB7820">
          <w:rPr>
            <w:rStyle w:val="Hyperlink"/>
            <w:sz w:val="24"/>
            <w:szCs w:val="24"/>
          </w:rPr>
          <w:t>europa</w:t>
        </w:r>
        <w:proofErr w:type="spellEnd"/>
        <w:r w:rsidRPr="00DB7820">
          <w:rPr>
            <w:rStyle w:val="Hyperlink"/>
            <w:sz w:val="24"/>
            <w:szCs w:val="24"/>
            <w:lang w:val="el-GR"/>
          </w:rPr>
          <w:t>.</w:t>
        </w:r>
        <w:r w:rsidRPr="00DB7820">
          <w:rPr>
            <w:rStyle w:val="Hyperlink"/>
            <w:sz w:val="24"/>
            <w:szCs w:val="24"/>
          </w:rPr>
          <w:t>eu</w:t>
        </w:r>
        <w:r w:rsidRPr="00DB7820">
          <w:rPr>
            <w:rStyle w:val="Hyperlink"/>
            <w:sz w:val="24"/>
            <w:szCs w:val="24"/>
            <w:lang w:val="el-GR"/>
          </w:rPr>
          <w:t>/</w:t>
        </w:r>
        <w:proofErr w:type="spellStart"/>
        <w:r w:rsidRPr="00DB7820">
          <w:rPr>
            <w:rStyle w:val="Hyperlink"/>
            <w:sz w:val="24"/>
            <w:szCs w:val="24"/>
          </w:rPr>
          <w:t>doceo</w:t>
        </w:r>
        <w:proofErr w:type="spellEnd"/>
        <w:r w:rsidRPr="00DB7820">
          <w:rPr>
            <w:rStyle w:val="Hyperlink"/>
            <w:sz w:val="24"/>
            <w:szCs w:val="24"/>
            <w:lang w:val="el-GR"/>
          </w:rPr>
          <w:t>/</w:t>
        </w:r>
        <w:r w:rsidRPr="00DB7820">
          <w:rPr>
            <w:rStyle w:val="Hyperlink"/>
            <w:sz w:val="24"/>
            <w:szCs w:val="24"/>
          </w:rPr>
          <w:t>document</w:t>
        </w:r>
        <w:r w:rsidRPr="00DB7820">
          <w:rPr>
            <w:rStyle w:val="Hyperlink"/>
            <w:sz w:val="24"/>
            <w:szCs w:val="24"/>
            <w:lang w:val="el-GR"/>
          </w:rPr>
          <w:t>/</w:t>
        </w:r>
        <w:r w:rsidRPr="00DB7820">
          <w:rPr>
            <w:rStyle w:val="Hyperlink"/>
            <w:sz w:val="24"/>
            <w:szCs w:val="24"/>
          </w:rPr>
          <w:t>P</w:t>
        </w:r>
        <w:r w:rsidRPr="00DB7820">
          <w:rPr>
            <w:rStyle w:val="Hyperlink"/>
            <w:sz w:val="24"/>
            <w:szCs w:val="24"/>
            <w:lang w:val="el-GR"/>
          </w:rPr>
          <w:t>-10-2025-000595-</w:t>
        </w:r>
        <w:r w:rsidRPr="00DB7820">
          <w:rPr>
            <w:rStyle w:val="Hyperlink"/>
            <w:sz w:val="24"/>
            <w:szCs w:val="24"/>
          </w:rPr>
          <w:t>ASW</w:t>
        </w:r>
        <w:r w:rsidRPr="00DB7820">
          <w:rPr>
            <w:rStyle w:val="Hyperlink"/>
            <w:sz w:val="24"/>
            <w:szCs w:val="24"/>
            <w:lang w:val="el-GR"/>
          </w:rPr>
          <w:t>_</w:t>
        </w:r>
        <w:r w:rsidRPr="00DB7820">
          <w:rPr>
            <w:rStyle w:val="Hyperlink"/>
            <w:sz w:val="24"/>
            <w:szCs w:val="24"/>
          </w:rPr>
          <w:t>EN</w:t>
        </w:r>
        <w:r w:rsidRPr="00DB7820">
          <w:rPr>
            <w:rStyle w:val="Hyperlink"/>
            <w:sz w:val="24"/>
            <w:szCs w:val="24"/>
            <w:lang w:val="el-GR"/>
          </w:rPr>
          <w:t>.</w:t>
        </w:r>
        <w:proofErr w:type="spellStart"/>
        <w:r w:rsidRPr="00DB7820">
          <w:rPr>
            <w:rStyle w:val="Hyperlink"/>
            <w:sz w:val="24"/>
            <w:szCs w:val="24"/>
          </w:rPr>
          <w:t>pdf</w:t>
        </w:r>
        <w:proofErr w:type="spellEnd"/>
      </w:hyperlink>
      <w:r w:rsidRPr="00465296">
        <w:rPr>
          <w:sz w:val="24"/>
          <w:szCs w:val="24"/>
          <w:lang w:val="el-GR"/>
        </w:rPr>
        <w:t>.</w:t>
      </w:r>
    </w:p>
  </w:footnote>
  <w:footnote w:id="106">
    <w:p w:rsidR="00E8367F" w:rsidRPr="00DB7820" w:rsidRDefault="00E8367F" w:rsidP="00E8367F">
      <w:pPr>
        <w:pStyle w:val="FootnoteText"/>
        <w:ind w:left="567" w:hanging="567"/>
        <w:rPr>
          <w:sz w:val="24"/>
          <w:szCs w:val="24"/>
          <w:lang w:val="el-GR"/>
        </w:rPr>
      </w:pPr>
      <w:r w:rsidRPr="00DB7820">
        <w:rPr>
          <w:rStyle w:val="FootnoteReference"/>
          <w:sz w:val="24"/>
          <w:szCs w:val="24"/>
        </w:rPr>
        <w:footnoteRef/>
      </w:r>
      <w:r w:rsidRPr="00DB7820">
        <w:rPr>
          <w:sz w:val="24"/>
          <w:szCs w:val="24"/>
          <w:lang w:val="el-GR"/>
        </w:rPr>
        <w:t xml:space="preserve"> </w:t>
      </w:r>
      <w:r w:rsidRPr="00DB7820">
        <w:rPr>
          <w:sz w:val="24"/>
          <w:szCs w:val="24"/>
          <w:lang w:val="el-GR"/>
        </w:rPr>
        <w:tab/>
      </w:r>
      <w:r w:rsidRPr="00465296">
        <w:rPr>
          <w:sz w:val="24"/>
          <w:szCs w:val="24"/>
          <w:lang w:val="el-GR"/>
        </w:rPr>
        <w:t>Κανονισμός (ΕΕ) 2021/783 του Ευρωπαϊκού Κοινοβουλίου και του Συμβουλίου, της 29ης Απριλίου 2021, για τη θέσπιση Προγράμματος για το Περιβάλλον και τη Δράση για το Κλίμα (LIFE) και για την κατάργηση του κανονισμού (ΕΕ) αριθ. 1293/2013</w:t>
      </w:r>
      <w:r w:rsidRPr="00DB7820">
        <w:rPr>
          <w:sz w:val="24"/>
          <w:szCs w:val="24"/>
          <w:lang w:val="el-GR"/>
        </w:rPr>
        <w:t xml:space="preserve"> </w:t>
      </w:r>
      <w:r>
        <w:rPr>
          <w:sz w:val="24"/>
          <w:szCs w:val="24"/>
          <w:lang w:val="el-GR"/>
        </w:rPr>
        <w:t>(</w:t>
      </w:r>
      <w:r w:rsidRPr="00465296">
        <w:rPr>
          <w:sz w:val="24"/>
          <w:szCs w:val="24"/>
          <w:lang w:val="el-GR"/>
        </w:rPr>
        <w:t>ΕΕ L 172 της 17/05/2021, p. 53</w:t>
      </w:r>
      <w:r>
        <w:rPr>
          <w:sz w:val="24"/>
          <w:szCs w:val="24"/>
          <w:lang w:val="el-GR"/>
        </w:rPr>
        <w:t xml:space="preserve">, </w:t>
      </w:r>
      <w:r>
        <w:rPr>
          <w:sz w:val="24"/>
          <w:szCs w:val="24"/>
          <w:lang w:val="en-GB"/>
        </w:rPr>
        <w:t>ELI</w:t>
      </w:r>
      <w:r w:rsidRPr="00DB7820">
        <w:rPr>
          <w:sz w:val="24"/>
          <w:szCs w:val="24"/>
          <w:lang w:val="el-GR"/>
        </w:rPr>
        <w:t xml:space="preserve">: </w:t>
      </w:r>
      <w:hyperlink r:id="rId102" w:history="1">
        <w:r w:rsidRPr="00DB7820">
          <w:rPr>
            <w:rStyle w:val="Hyperlink"/>
            <w:sz w:val="24"/>
            <w:szCs w:val="24"/>
          </w:rPr>
          <w:t>http</w:t>
        </w:r>
        <w:r w:rsidRPr="00DB7820">
          <w:rPr>
            <w:rStyle w:val="Hyperlink"/>
            <w:sz w:val="24"/>
            <w:szCs w:val="24"/>
            <w:lang w:val="el-GR"/>
          </w:rPr>
          <w:t>://</w:t>
        </w:r>
        <w:r w:rsidRPr="00DB7820">
          <w:rPr>
            <w:rStyle w:val="Hyperlink"/>
            <w:sz w:val="24"/>
            <w:szCs w:val="24"/>
          </w:rPr>
          <w:t>data</w:t>
        </w:r>
        <w:r w:rsidRPr="00DB7820">
          <w:rPr>
            <w:rStyle w:val="Hyperlink"/>
            <w:sz w:val="24"/>
            <w:szCs w:val="24"/>
            <w:lang w:val="el-GR"/>
          </w:rPr>
          <w:t>.</w:t>
        </w:r>
        <w:proofErr w:type="spellStart"/>
        <w:r w:rsidRPr="00DB7820">
          <w:rPr>
            <w:rStyle w:val="Hyperlink"/>
            <w:sz w:val="24"/>
            <w:szCs w:val="24"/>
          </w:rPr>
          <w:t>europa</w:t>
        </w:r>
        <w:proofErr w:type="spellEnd"/>
        <w:r w:rsidRPr="00DB7820">
          <w:rPr>
            <w:rStyle w:val="Hyperlink"/>
            <w:sz w:val="24"/>
            <w:szCs w:val="24"/>
            <w:lang w:val="el-GR"/>
          </w:rPr>
          <w:t>.</w:t>
        </w:r>
        <w:r w:rsidRPr="00DB7820">
          <w:rPr>
            <w:rStyle w:val="Hyperlink"/>
            <w:sz w:val="24"/>
            <w:szCs w:val="24"/>
          </w:rPr>
          <w:t>eu</w:t>
        </w:r>
        <w:r w:rsidRPr="00DB7820">
          <w:rPr>
            <w:rStyle w:val="Hyperlink"/>
            <w:sz w:val="24"/>
            <w:szCs w:val="24"/>
            <w:lang w:val="el-GR"/>
          </w:rPr>
          <w:t>/</w:t>
        </w:r>
        <w:proofErr w:type="spellStart"/>
        <w:r w:rsidRPr="00DB7820">
          <w:rPr>
            <w:rStyle w:val="Hyperlink"/>
            <w:sz w:val="24"/>
            <w:szCs w:val="24"/>
          </w:rPr>
          <w:t>eli</w:t>
        </w:r>
        <w:proofErr w:type="spellEnd"/>
        <w:r w:rsidRPr="00DB7820">
          <w:rPr>
            <w:rStyle w:val="Hyperlink"/>
            <w:sz w:val="24"/>
            <w:szCs w:val="24"/>
            <w:lang w:val="el-GR"/>
          </w:rPr>
          <w:t>/</w:t>
        </w:r>
        <w:r w:rsidRPr="00DB7820">
          <w:rPr>
            <w:rStyle w:val="Hyperlink"/>
            <w:sz w:val="24"/>
            <w:szCs w:val="24"/>
          </w:rPr>
          <w:t>reg</w:t>
        </w:r>
        <w:r w:rsidRPr="00DB7820">
          <w:rPr>
            <w:rStyle w:val="Hyperlink"/>
            <w:sz w:val="24"/>
            <w:szCs w:val="24"/>
            <w:lang w:val="el-GR"/>
          </w:rPr>
          <w:t>/2021/783/</w:t>
        </w:r>
        <w:proofErr w:type="spellStart"/>
        <w:r w:rsidRPr="00DB7820">
          <w:rPr>
            <w:rStyle w:val="Hyperlink"/>
            <w:sz w:val="24"/>
            <w:szCs w:val="24"/>
          </w:rPr>
          <w:t>oj</w:t>
        </w:r>
        <w:proofErr w:type="spellEnd"/>
      </w:hyperlink>
      <w:r>
        <w:rPr>
          <w:sz w:val="24"/>
          <w:szCs w:val="24"/>
          <w:lang w:val="el-GR"/>
        </w:rPr>
        <w:t xml:space="preserve">). </w:t>
      </w:r>
    </w:p>
  </w:footnote>
  <w:footnote w:id="107">
    <w:p w:rsidR="00E8367F" w:rsidRPr="00DB7820" w:rsidRDefault="00E8367F" w:rsidP="00E8367F">
      <w:pPr>
        <w:pStyle w:val="FootnoteText"/>
        <w:ind w:left="567" w:hanging="567"/>
        <w:rPr>
          <w:lang w:val="el-GR"/>
        </w:rPr>
      </w:pPr>
      <w:r>
        <w:rPr>
          <w:rStyle w:val="FootnoteReference"/>
        </w:rPr>
        <w:footnoteRef/>
      </w:r>
      <w:r w:rsidRPr="00DB7820">
        <w:rPr>
          <w:lang w:val="el-GR"/>
        </w:rPr>
        <w:t xml:space="preserve"> </w:t>
      </w:r>
      <w:r>
        <w:rPr>
          <w:lang w:val="el-GR"/>
        </w:rPr>
        <w:tab/>
      </w:r>
      <w:hyperlink r:id="rId103" w:history="1">
        <w:r w:rsidRPr="00E8367F">
          <w:rPr>
            <w:rStyle w:val="Hyperlink"/>
            <w:lang w:val="el-GR"/>
          </w:rPr>
          <w:t>https://www.europarl.europa.eu/doceo/document/P-10-2025-000595-ASW_EN.pdf</w:t>
        </w:r>
      </w:hyperlink>
      <w:r w:rsidRPr="00DB7820">
        <w:rPr>
          <w:lang w:val="el-GR"/>
        </w:rPr>
        <w:t>.</w:t>
      </w:r>
    </w:p>
  </w:footnote>
  <w:footnote w:id="108">
    <w:p w:rsidR="00E8367F" w:rsidRPr="00740869" w:rsidRDefault="00E8367F" w:rsidP="005C4A71">
      <w:pPr>
        <w:pStyle w:val="NormalHanging12a"/>
        <w:widowControl/>
        <w:spacing w:after="0"/>
        <w:rPr>
          <w:lang w:val="fi-FI"/>
        </w:rPr>
      </w:pPr>
      <w:r w:rsidRPr="005C4A71">
        <w:rPr>
          <w:rStyle w:val="FootnoteReference"/>
        </w:rPr>
        <w:footnoteRef/>
      </w:r>
      <w:r w:rsidRPr="00740869">
        <w:rPr>
          <w:lang w:val="fi-FI"/>
        </w:rPr>
        <w:t xml:space="preserve"> </w:t>
      </w:r>
      <w:r w:rsidRPr="00740869">
        <w:rPr>
          <w:lang w:val="fi-FI"/>
        </w:rPr>
        <w:tab/>
      </w:r>
      <w:r w:rsidRPr="005C4A71">
        <w:t>ΕΕ</w:t>
      </w:r>
      <w:r w:rsidRPr="00740869">
        <w:rPr>
          <w:lang w:val="fi-FI"/>
        </w:rPr>
        <w:t xml:space="preserve"> C, C/2024/5882, 9.10.2024, ELI: </w:t>
      </w:r>
      <w:hyperlink r:id="rId104" w:history="1">
        <w:r w:rsidRPr="00740869">
          <w:rPr>
            <w:rStyle w:val="Hyperlink"/>
            <w:lang w:val="fi-FI"/>
          </w:rPr>
          <w:t>http://data.europa.eu/eli/C/2024/5882/oj</w:t>
        </w:r>
      </w:hyperlink>
      <w:r w:rsidRPr="00740869">
        <w:rPr>
          <w:rStyle w:val="Hyperlink"/>
          <w:lang w:val="fi-FI"/>
        </w:rPr>
        <w:t>.</w:t>
      </w:r>
    </w:p>
  </w:footnote>
  <w:footnote w:id="109">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Ειδική έκθεση αριθ. 07/2024 του ΕΕΣ: «Τα συστήματα της Επιτροπής για την ανάκτηση παράτυπων δαπανών της ΕΕ – Περιθώριο για περισσότερα σε λιγότερο χρόνο».</w:t>
      </w:r>
    </w:p>
  </w:footnote>
  <w:footnote w:id="110">
    <w:p w:rsidR="00E8367F" w:rsidRPr="00740869" w:rsidRDefault="00E8367F" w:rsidP="005C4A71">
      <w:pPr>
        <w:pStyle w:val="FootnoteText"/>
        <w:ind w:left="567" w:hanging="567"/>
        <w:rPr>
          <w:sz w:val="24"/>
          <w:lang w:val="fi-FI"/>
        </w:rPr>
      </w:pPr>
      <w:r w:rsidRPr="005C4A71">
        <w:rPr>
          <w:rStyle w:val="FootnoteReference"/>
          <w:rFonts w:eastAsiaTheme="majorEastAsia"/>
          <w:sz w:val="24"/>
          <w:lang w:val="el-GR"/>
        </w:rPr>
        <w:footnoteRef/>
      </w:r>
      <w:r w:rsidRPr="00740869">
        <w:rPr>
          <w:sz w:val="24"/>
          <w:lang w:val="fi-FI"/>
        </w:rPr>
        <w:t xml:space="preserve"> </w:t>
      </w:r>
      <w:r w:rsidRPr="00740869">
        <w:rPr>
          <w:sz w:val="24"/>
          <w:lang w:val="fi-FI"/>
        </w:rPr>
        <w:tab/>
      </w:r>
      <w:r w:rsidRPr="005C4A71">
        <w:rPr>
          <w:sz w:val="24"/>
          <w:lang w:val="el-GR"/>
        </w:rPr>
        <w:t>ΕΕ</w:t>
      </w:r>
      <w:r w:rsidRPr="00740869">
        <w:rPr>
          <w:sz w:val="24"/>
          <w:lang w:val="fi-FI"/>
        </w:rPr>
        <w:t xml:space="preserve"> C, C/2024/5882, 9.10.2024, ELI: </w:t>
      </w:r>
      <w:hyperlink r:id="rId105" w:history="1">
        <w:r w:rsidRPr="00740869">
          <w:rPr>
            <w:rStyle w:val="Hyperlink"/>
            <w:sz w:val="24"/>
            <w:lang w:val="fi-FI"/>
          </w:rPr>
          <w:t>http://data.europa.eu/eli/C/2024/5882/oj</w:t>
        </w:r>
      </w:hyperlink>
      <w:r w:rsidRPr="00740869">
        <w:rPr>
          <w:sz w:val="24"/>
          <w:lang w:val="fi-FI"/>
        </w:rPr>
        <w:t>.</w:t>
      </w:r>
    </w:p>
  </w:footnote>
  <w:footnote w:id="111">
    <w:p w:rsidR="00E8367F" w:rsidRPr="005C4A71" w:rsidRDefault="00E8367F" w:rsidP="005C4A71">
      <w:pPr>
        <w:ind w:left="567" w:hanging="567"/>
      </w:pPr>
      <w:r w:rsidRPr="005C4A71">
        <w:rPr>
          <w:rStyle w:val="FootnoteReference"/>
        </w:rPr>
        <w:footnoteRef/>
      </w:r>
      <w:r w:rsidRPr="005C4A71">
        <w:t xml:space="preserve"> </w:t>
      </w:r>
      <w:r w:rsidRPr="005C4A71">
        <w:tab/>
      </w:r>
      <w:r w:rsidRPr="005C4A71">
        <w:t>COM(2023)</w:t>
      </w:r>
      <w:r>
        <w:t>0</w:t>
      </w:r>
      <w:r w:rsidRPr="005C4A71">
        <w:t>258.</w:t>
      </w:r>
    </w:p>
  </w:footnote>
  <w:footnote w:id="112">
    <w:p w:rsidR="00E8367F" w:rsidRPr="005C4A71" w:rsidRDefault="00E8367F" w:rsidP="005C4A71">
      <w:pPr>
        <w:ind w:left="567" w:hanging="567"/>
      </w:pPr>
      <w:r w:rsidRPr="005C4A71">
        <w:rPr>
          <w:rStyle w:val="FootnoteReference"/>
        </w:rPr>
        <w:footnoteRef/>
      </w:r>
      <w:r w:rsidRPr="005C4A71">
        <w:t xml:space="preserve"> </w:t>
      </w:r>
      <w:r w:rsidRPr="005C4A71">
        <w:tab/>
        <w:t xml:space="preserve">Ειδική έκθεση αριθ. 16/2024 του </w:t>
      </w:r>
      <w:r w:rsidRPr="005C4A71">
        <w:rPr>
          <w:shd w:val="clear" w:color="auto" w:fill="FFFFFF"/>
        </w:rPr>
        <w:t>ΕΕΣ</w:t>
      </w:r>
      <w:r w:rsidRPr="005C4A71">
        <w:t>: «Έσοδα της ΕΕ από τα μη ανακυκλωμένα απορρίμματα πλαστικών συσκευασιών – Αρχή μετ’ εμποδίων λόγω μη επαρκώς συγκρίσιμων ή αξιόπιστων στοιχείων».</w:t>
      </w:r>
    </w:p>
  </w:footnote>
  <w:footnote w:id="113">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Οδηγία (ΕΕ) 2018/822 του Συμβουλίου, της 25ης Μαΐου 2018, για την τροποποίηση της οδηγίας 2011/16/ΕΕ όσον αφορά την υποχρεωτική αυτόματη ανταλλαγή πληροφοριών στον τομέα της φορολογίας σχετικά με δηλωτέες διασυνοριακές ρυθμίσεις (ΕΕ L 139 της 5.6.2018, σ. </w:t>
      </w:r>
      <w:r w:rsidRPr="005C4A71">
        <w:rPr>
          <w:sz w:val="24"/>
          <w:lang w:val="el-GR"/>
        </w:rPr>
        <w:t xml:space="preserve">1, ELI: </w:t>
      </w:r>
      <w:hyperlink r:id="rId106" w:tooltip="Επιτρέπει πρόσβαση στο έγγραφο μέσω του ELI URI." w:history="1">
        <w:r w:rsidRPr="005C4A71">
          <w:rPr>
            <w:color w:val="337AB7"/>
            <w:sz w:val="24"/>
            <w:u w:val="single"/>
            <w:shd w:val="clear" w:color="auto" w:fill="FFFFFF"/>
            <w:lang w:val="el-GR"/>
          </w:rPr>
          <w:t>http://data.europa.eu/eli/dir/2018/822/oj</w:t>
        </w:r>
      </w:hyperlink>
      <w:r w:rsidRPr="005C4A71">
        <w:rPr>
          <w:color w:val="337AB7"/>
          <w:sz w:val="24"/>
          <w:u w:val="single"/>
          <w:shd w:val="clear" w:color="auto" w:fill="FFFFFF"/>
          <w:lang w:val="el-GR"/>
        </w:rPr>
        <w:t>).</w:t>
      </w:r>
    </w:p>
  </w:footnote>
  <w:footnote w:id="114">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Ετήσια έκθεση του ΕΕΣ για το 2023, παράγραφος 1.35</w:t>
      </w:r>
    </w:p>
  </w:footnote>
  <w:footnote w:id="115">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w:t>
      </w:r>
      <w:r w:rsidRPr="005C4A71">
        <w:rPr>
          <w:sz w:val="24"/>
          <w:lang w:val="el-GR"/>
        </w:rPr>
        <w:t xml:space="preserve">159, ELI: </w:t>
      </w:r>
      <w:hyperlink r:id="rId107" w:history="1">
        <w:r w:rsidRPr="007939AE">
          <w:rPr>
            <w:rStyle w:val="Hyperlink"/>
            <w:sz w:val="24"/>
            <w:lang w:val="el-GR"/>
          </w:rPr>
          <w:t>http://data.europa.eu/eli/reg/2021/1060/oj</w:t>
        </w:r>
      </w:hyperlink>
      <w:r w:rsidRPr="005C4A71">
        <w:rPr>
          <w:sz w:val="24"/>
          <w:lang w:val="el-GR"/>
        </w:rPr>
        <w:t>).</w:t>
      </w:r>
    </w:p>
  </w:footnote>
  <w:footnote w:id="116">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Απόφαση της Επιτροπής, της 13ης Δεκεμβρίου 2023, σχετικά με την επαναξιολόγηση, με πρωτοβουλία της Επιτροπής, της εκπλήρωσης των προϋποθέσεων του άρθρου 4 του κανονισμού (ΕΕ, Ευρατόμ) 2020/2092 μετά την εκτελεστική απόφαση (ΕΕ) 2022/2506 του Συμβουλίου, της 15ης Δεκεμβρίου 2022, σχετικά με την Ουγγαρία, C(2023)8999.</w:t>
      </w:r>
    </w:p>
  </w:footnote>
  <w:footnote w:id="117">
    <w:p w:rsidR="00E8367F" w:rsidRPr="005C4A71" w:rsidRDefault="00E8367F" w:rsidP="005C4A71">
      <w:pPr>
        <w:pStyle w:val="CommentText"/>
        <w:ind w:left="567" w:hanging="567"/>
        <w:rPr>
          <w:sz w:val="24"/>
        </w:rPr>
      </w:pPr>
      <w:r w:rsidRPr="005C4A71">
        <w:rPr>
          <w:rStyle w:val="FootnoteReference"/>
          <w:sz w:val="24"/>
        </w:rPr>
        <w:footnoteRef/>
      </w:r>
      <w:r w:rsidRPr="005C4A71">
        <w:rPr>
          <w:sz w:val="24"/>
        </w:rPr>
        <w:t xml:space="preserve"> </w:t>
      </w:r>
      <w:r w:rsidRPr="005C4A71">
        <w:rPr>
          <w:sz w:val="24"/>
        </w:rPr>
        <w:tab/>
        <w:t>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(ΕΕ L 433 I της 22.12.2020, σ. </w:t>
      </w:r>
      <w:r w:rsidRPr="005C4A71">
        <w:rPr>
          <w:sz w:val="24"/>
        </w:rPr>
        <w:t xml:space="preserve">1, </w:t>
      </w:r>
      <w:r w:rsidRPr="005C4A71">
        <w:rPr>
          <w:sz w:val="24"/>
          <w:shd w:val="clear" w:color="auto" w:fill="FFFFFF"/>
        </w:rPr>
        <w:t>ELI: </w:t>
      </w:r>
      <w:hyperlink r:id="rId108" w:tooltip="Επιτρέπει πρόσβαση στο έγγραφο μέσω του ELI URI." w:history="1">
        <w:r w:rsidRPr="00E8367F">
          <w:rPr>
            <w:color w:val="337AB7"/>
            <w:sz w:val="24"/>
            <w:u w:val="single"/>
            <w:shd w:val="clear" w:color="auto" w:fill="FFFFFF"/>
          </w:rPr>
          <w:t>http://data.europa.eu/eli/reg/2020/2092/oj</w:t>
        </w:r>
      </w:hyperlink>
      <w:r w:rsidRPr="005C4A71">
        <w:rPr>
          <w:sz w:val="24"/>
        </w:rPr>
        <w:t>).</w:t>
      </w:r>
    </w:p>
  </w:footnote>
  <w:footnote w:id="118">
    <w:p w:rsidR="00E8367F" w:rsidRPr="005C4A71" w:rsidRDefault="00E8367F" w:rsidP="005C4A71">
      <w:pPr>
        <w:pStyle w:val="CommentText"/>
        <w:ind w:left="567" w:hanging="567"/>
        <w:rPr>
          <w:sz w:val="24"/>
        </w:rPr>
      </w:pPr>
      <w:r w:rsidRPr="005C4A71">
        <w:rPr>
          <w:rStyle w:val="FootnoteReference"/>
          <w:sz w:val="24"/>
        </w:rPr>
        <w:footnoteRef/>
      </w:r>
      <w:r w:rsidRPr="005C4A71">
        <w:rPr>
          <w:sz w:val="24"/>
        </w:rPr>
        <w:t xml:space="preserve"> </w:t>
      </w:r>
      <w:r w:rsidRPr="005C4A71">
        <w:rPr>
          <w:sz w:val="24"/>
        </w:rPr>
        <w:tab/>
        <w:t>Κανονισμός (ΕΕ, Ευρατόμ) 2020/2093 του Συμβουλίου, της 17ης Δεκεμβρίου 2020, για τον καθορισμό του πολυετούς δημοσιονομικού πλαισίου για τα έτη 2021 έως 2027 (ΕΕ L 433 I της 22.12.2020, σ. </w:t>
      </w:r>
      <w:r w:rsidRPr="005C4A71">
        <w:rPr>
          <w:sz w:val="24"/>
        </w:rPr>
        <w:t xml:space="preserve">11, </w:t>
      </w:r>
      <w:r w:rsidRPr="005C4A71">
        <w:rPr>
          <w:sz w:val="24"/>
          <w:shd w:val="clear" w:color="auto" w:fill="FFFFFF"/>
        </w:rPr>
        <w:t>ELI: </w:t>
      </w:r>
      <w:hyperlink r:id="rId109" w:tooltip="Επιτρέπει πρόσβαση στο έγγραφο μέσω του ELI URI." w:history="1">
        <w:r w:rsidRPr="00E8367F">
          <w:rPr>
            <w:rStyle w:val="Hyperlink"/>
            <w:sz w:val="24"/>
            <w:u w:val="none"/>
            <w:shd w:val="clear" w:color="auto" w:fill="FFFFFF"/>
          </w:rPr>
          <w:t>http://data.europa.eu/eli/reg/2020/2093/oj</w:t>
        </w:r>
        <w:r w:rsidRPr="00E8367F">
          <w:rPr>
            <w:rStyle w:val="Hyperlink"/>
            <w:sz w:val="24"/>
            <w:u w:val="none"/>
          </w:rPr>
          <w:t>)</w:t>
        </w:r>
      </w:hyperlink>
      <w:r w:rsidRPr="005C4A71">
        <w:rPr>
          <w:sz w:val="24"/>
        </w:rPr>
        <w:t>.</w:t>
      </w:r>
    </w:p>
  </w:footnote>
  <w:footnote w:id="119">
    <w:p w:rsidR="00E8367F" w:rsidRPr="005C4A71" w:rsidRDefault="00E8367F" w:rsidP="005C4A71">
      <w:pPr>
        <w:pStyle w:val="CommentText"/>
        <w:ind w:left="567" w:hanging="567"/>
        <w:rPr>
          <w:sz w:val="24"/>
        </w:rPr>
      </w:pPr>
      <w:r w:rsidRPr="005C4A71">
        <w:rPr>
          <w:rStyle w:val="FootnoteReference"/>
          <w:sz w:val="24"/>
        </w:rPr>
        <w:footnoteRef/>
      </w:r>
      <w:r w:rsidRPr="005C4A71">
        <w:rPr>
          <w:sz w:val="24"/>
        </w:rPr>
        <w:t xml:space="preserve"> </w:t>
      </w:r>
      <w:r w:rsidRPr="005C4A71">
        <w:rPr>
          <w:sz w:val="24"/>
        </w:rPr>
        <w:tab/>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17, </w:t>
      </w:r>
      <w:r w:rsidRPr="005C4A71">
        <w:rPr>
          <w:color w:val="333333"/>
          <w:sz w:val="24"/>
          <w:shd w:val="clear" w:color="auto" w:fill="FFFFFF"/>
        </w:rPr>
        <w:t>ELI: </w:t>
      </w:r>
      <w:hyperlink r:id="rId110" w:tooltip="Επιτρέπει πρόσβαση στο έγγραφο μέσω του ELI URI." w:history="1">
        <w:r w:rsidRPr="005C4A71">
          <w:rPr>
            <w:color w:val="337AB7"/>
            <w:sz w:val="24"/>
            <w:u w:val="single"/>
            <w:shd w:val="clear" w:color="auto" w:fill="FFFFFF"/>
          </w:rPr>
          <w:t>http://data.europa.eu/eli/reg/2021/241/oj</w:t>
        </w:r>
      </w:hyperlink>
      <w:r w:rsidRPr="005C4A71">
        <w:rPr>
          <w:sz w:val="24"/>
        </w:rPr>
        <w:t>).</w:t>
      </w:r>
    </w:p>
  </w:footnote>
  <w:footnote w:id="120">
    <w:p w:rsidR="00E8367F" w:rsidRPr="005C4A71" w:rsidRDefault="00E8367F" w:rsidP="005C4A71">
      <w:pPr>
        <w:pStyle w:val="NormalHanging12a"/>
        <w:widowControl/>
        <w:spacing w:after="0"/>
      </w:pPr>
      <w:r w:rsidRPr="005C4A71">
        <w:rPr>
          <w:rStyle w:val="FootnoteReference"/>
        </w:rPr>
        <w:footnoteRef/>
      </w:r>
      <w:r w:rsidRPr="005C4A71">
        <w:t xml:space="preserve"> </w:t>
      </w:r>
      <w:r w:rsidRPr="005C4A71">
        <w:tab/>
        <w:t>Αγκόλα, Μπενίν, Ακτή Ελεφαντοστού, Φίτζι, Γκάνα, Γουινέα Μπισάου, Κένυα, Μαδαγασκάρη, Μαλάουι, Μαυρίκιος, Μοζαμβίκη, Γκάμπια, Τόγκο και Ουγκάντα.</w:t>
      </w:r>
    </w:p>
  </w:footnote>
  <w:footnote w:id="121">
    <w:p w:rsidR="00E8367F" w:rsidRPr="005C4A71" w:rsidRDefault="00E8367F" w:rsidP="005C4A71">
      <w:pPr>
        <w:shd w:val="clear" w:color="auto" w:fill="FFFFFF"/>
        <w:spacing w:after="75"/>
        <w:ind w:left="567" w:hanging="567"/>
      </w:pPr>
      <w:r w:rsidRPr="005C4A71">
        <w:rPr>
          <w:rStyle w:val="FootnoteReference"/>
        </w:rPr>
        <w:footnoteRef/>
      </w:r>
      <w:r w:rsidRPr="005C4A71">
        <w:t xml:space="preserve"> </w:t>
      </w:r>
      <w:r w:rsidRPr="005C4A71">
        <w:tab/>
      </w:r>
      <w:r w:rsidRPr="005C4A71">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w:t>
      </w:r>
      <w:r>
        <w:t>ΕΕ</w:t>
      </w:r>
      <w:r w:rsidRPr="005C4A71">
        <w:t xml:space="preserve"> L, 2023/2841, 18.12.2023, ELI: </w:t>
      </w:r>
      <w:hyperlink r:id="rId111" w:tgtFrame="_blank" w:tooltip="Επιτρέπει πρόσβαση στο έγγραφο μέσω του ELI URI." w:history="1">
        <w:r w:rsidRPr="00C474CB">
          <w:rPr>
            <w:rStyle w:val="Hyperlink"/>
            <w:lang w:eastAsia="fr-FR"/>
          </w:rPr>
          <w:t>http://data.europa.eu/eli/reg/2023/2841/oj</w:t>
        </w:r>
      </w:hyperlink>
      <w:r w:rsidRPr="005C4A71">
        <w:t>).</w:t>
      </w:r>
    </w:p>
  </w:footnote>
  <w:footnote w:id="122">
    <w:p w:rsidR="00E8367F" w:rsidRPr="005C4A71" w:rsidRDefault="00E8367F" w:rsidP="005C4A71">
      <w:pPr>
        <w:pStyle w:val="FootnoteText"/>
        <w:ind w:left="567" w:hanging="567"/>
        <w:rPr>
          <w:sz w:val="24"/>
          <w:lang w:val="el-GR"/>
        </w:rPr>
      </w:pPr>
      <w:r w:rsidRPr="005C4A71">
        <w:rPr>
          <w:rStyle w:val="FootnoteReference"/>
          <w:sz w:val="24"/>
          <w:lang w:val="el-GR"/>
        </w:rPr>
        <w:footnoteRef/>
      </w:r>
      <w:r w:rsidRPr="005C4A71">
        <w:rPr>
          <w:sz w:val="24"/>
          <w:lang w:val="el-GR"/>
        </w:rPr>
        <w:t xml:space="preserve"> </w:t>
      </w:r>
      <w:r w:rsidRPr="005C4A71">
        <w:rPr>
          <w:sz w:val="24"/>
          <w:lang w:val="el-GR"/>
        </w:rPr>
        <w:tab/>
        <w:t xml:space="preserve">Κανονισμός (ΕΕ) 2023/435 του Ευρωπαϊκού Κοινοβουλίου και του Συμβουλίου, της 27ης Φεβρουαρίου 2023, για την τροποποίηση του κανονισμού (ΕΕ) 2021/241 όσον αφορά τα κεφάλαια για το REPowerEU στα σχέδια ανάκαμψης και ανθεκτικότητας και για την τροποποίηση των κανονισμών (ΕΕ) αριθ. 1303/2013, (ΕΕ) 2021/1060 και (ΕΕ) 2021/1755 και της οδηγίας 2003/87/ΕΚ (ΕΕ L 63 της 28.2.2023, σ. </w:t>
      </w:r>
      <w:r w:rsidRPr="005C4A71">
        <w:rPr>
          <w:sz w:val="24"/>
          <w:lang w:val="el-GR"/>
        </w:rPr>
        <w:t xml:space="preserve">1, ELI: </w:t>
      </w:r>
      <w:hyperlink r:id="rId112" w:history="1">
        <w:r w:rsidRPr="00740869">
          <w:rPr>
            <w:rStyle w:val="Hyperlink"/>
            <w:sz w:val="24"/>
            <w:lang w:val="el-GR"/>
          </w:rPr>
          <w:t>http://data.europa.eu/eli/reg/2023/435/oj</w:t>
        </w:r>
      </w:hyperlink>
      <w:r w:rsidRPr="005C4A7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67F" w:rsidRPr="005C4A71" w:rsidRDefault="00E836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5DC92549"/>
    <w:multiLevelType w:val="hybridMultilevel"/>
    <w:tmpl w:val="50843D76"/>
    <w:lvl w:ilvl="0" w:tplc="3034B45A">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4/2025"/>
    <w:docVar w:name="dvlangue" w:val="EL"/>
    <w:docVar w:name="dvnumam" w:val="0"/>
    <w:docVar w:name="dvpe" w:val="764.988"/>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2024/2019(DEC))"/>
  </w:docVars>
  <w:rsids>
    <w:rsidRoot w:val="00F5470A"/>
    <w:rsid w:val="00002272"/>
    <w:rsid w:val="00064002"/>
    <w:rsid w:val="000677B9"/>
    <w:rsid w:val="000831BA"/>
    <w:rsid w:val="000A42CC"/>
    <w:rsid w:val="000E7DD9"/>
    <w:rsid w:val="0010095E"/>
    <w:rsid w:val="00125B37"/>
    <w:rsid w:val="00187494"/>
    <w:rsid w:val="001B5954"/>
    <w:rsid w:val="001F32AE"/>
    <w:rsid w:val="002767FF"/>
    <w:rsid w:val="002B18FE"/>
    <w:rsid w:val="002B5493"/>
    <w:rsid w:val="00343214"/>
    <w:rsid w:val="00361C00"/>
    <w:rsid w:val="00365BCC"/>
    <w:rsid w:val="00395FA1"/>
    <w:rsid w:val="003E15D4"/>
    <w:rsid w:val="00411CCE"/>
    <w:rsid w:val="0041666E"/>
    <w:rsid w:val="00421060"/>
    <w:rsid w:val="00465296"/>
    <w:rsid w:val="00471C19"/>
    <w:rsid w:val="004867E3"/>
    <w:rsid w:val="00494A28"/>
    <w:rsid w:val="004A6AA7"/>
    <w:rsid w:val="004C0004"/>
    <w:rsid w:val="004C5D52"/>
    <w:rsid w:val="0050519A"/>
    <w:rsid w:val="005072A1"/>
    <w:rsid w:val="00514517"/>
    <w:rsid w:val="00545827"/>
    <w:rsid w:val="00560270"/>
    <w:rsid w:val="00565814"/>
    <w:rsid w:val="005C2568"/>
    <w:rsid w:val="005C4A71"/>
    <w:rsid w:val="005F1B17"/>
    <w:rsid w:val="006037C0"/>
    <w:rsid w:val="006631B6"/>
    <w:rsid w:val="00680577"/>
    <w:rsid w:val="006841D1"/>
    <w:rsid w:val="006F74FA"/>
    <w:rsid w:val="00731ADD"/>
    <w:rsid w:val="00734777"/>
    <w:rsid w:val="00740869"/>
    <w:rsid w:val="00747932"/>
    <w:rsid w:val="00751A4A"/>
    <w:rsid w:val="00756632"/>
    <w:rsid w:val="00762C74"/>
    <w:rsid w:val="00786EC0"/>
    <w:rsid w:val="007939AE"/>
    <w:rsid w:val="007D1690"/>
    <w:rsid w:val="007E22AD"/>
    <w:rsid w:val="00817416"/>
    <w:rsid w:val="00842779"/>
    <w:rsid w:val="008563DB"/>
    <w:rsid w:val="00865F67"/>
    <w:rsid w:val="0087261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4CB"/>
    <w:rsid w:val="00C61C0C"/>
    <w:rsid w:val="00C941CB"/>
    <w:rsid w:val="00CC2357"/>
    <w:rsid w:val="00CD0011"/>
    <w:rsid w:val="00CF071A"/>
    <w:rsid w:val="00D058B8"/>
    <w:rsid w:val="00D56C11"/>
    <w:rsid w:val="00D834A0"/>
    <w:rsid w:val="00D872DF"/>
    <w:rsid w:val="00D91E21"/>
    <w:rsid w:val="00DA7FCD"/>
    <w:rsid w:val="00DB55E9"/>
    <w:rsid w:val="00E365E1"/>
    <w:rsid w:val="00E820A4"/>
    <w:rsid w:val="00E8367F"/>
    <w:rsid w:val="00EB006A"/>
    <w:rsid w:val="00EB4772"/>
    <w:rsid w:val="00ED169E"/>
    <w:rsid w:val="00ED4235"/>
    <w:rsid w:val="00F04346"/>
    <w:rsid w:val="00F075DC"/>
    <w:rsid w:val="00F11F64"/>
    <w:rsid w:val="00F149E9"/>
    <w:rsid w:val="00F5134D"/>
    <w:rsid w:val="00F5470A"/>
    <w:rsid w:val="00F7038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9F48D"/>
  <w15:chartTrackingRefBased/>
  <w15:docId w15:val="{81D5D36B-BAC5-42D7-9809-33AF7615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70384"/>
    <w:rPr>
      <w:b/>
      <w:kern w:val="28"/>
      <w:sz w:val="28"/>
      <w:lang w:val="fr-FR" w:eastAsia="fr-FR"/>
    </w:rPr>
  </w:style>
  <w:style w:type="character" w:customStyle="1" w:styleId="Heading2Char">
    <w:name w:val="Heading 2 Char"/>
    <w:basedOn w:val="DefaultParagraphFont"/>
    <w:link w:val="Heading2"/>
    <w:semiHidden/>
    <w:rsid w:val="00F70384"/>
    <w:rPr>
      <w:sz w:val="24"/>
      <w:lang w:val="fr-FR" w:eastAsia="fr-FR"/>
    </w:rPr>
  </w:style>
  <w:style w:type="character" w:customStyle="1" w:styleId="Heading3Char">
    <w:name w:val="Heading 3 Char"/>
    <w:basedOn w:val="DefaultParagraphFont"/>
    <w:link w:val="Heading3"/>
    <w:semiHidden/>
    <w:rsid w:val="00F70384"/>
    <w:rPr>
      <w:rFonts w:ascii="Arial" w:hAnsi="Arial"/>
      <w:sz w:val="24"/>
      <w:lang w:val="fr-FR" w:eastAsia="fr-FR"/>
    </w:rPr>
  </w:style>
  <w:style w:type="character" w:customStyle="1" w:styleId="Heading4Char">
    <w:name w:val="Heading 4 Char"/>
    <w:basedOn w:val="DefaultParagraphFont"/>
    <w:link w:val="Heading4"/>
    <w:semiHidden/>
    <w:rsid w:val="00F70384"/>
    <w:rPr>
      <w:sz w:val="24"/>
      <w:lang w:val="en-US" w:eastAsia="fr-FR"/>
    </w:rPr>
  </w:style>
  <w:style w:type="character" w:customStyle="1" w:styleId="Heading5Char">
    <w:name w:val="Heading 5 Char"/>
    <w:basedOn w:val="DefaultParagraphFont"/>
    <w:link w:val="Heading5"/>
    <w:semiHidden/>
    <w:rsid w:val="00F70384"/>
    <w:rPr>
      <w:sz w:val="24"/>
      <w:lang w:val="en-US" w:eastAsia="fr-FR"/>
    </w:rPr>
  </w:style>
  <w:style w:type="character" w:customStyle="1" w:styleId="Heading6Char">
    <w:name w:val="Heading 6 Char"/>
    <w:basedOn w:val="DefaultParagraphFont"/>
    <w:link w:val="Heading6"/>
    <w:semiHidden/>
    <w:rsid w:val="00F70384"/>
    <w:rPr>
      <w:i/>
      <w:sz w:val="22"/>
      <w:lang w:val="el-GR"/>
    </w:rPr>
  </w:style>
  <w:style w:type="character" w:customStyle="1" w:styleId="Heading7Char">
    <w:name w:val="Heading 7 Char"/>
    <w:basedOn w:val="DefaultParagraphFont"/>
    <w:link w:val="Heading7"/>
    <w:semiHidden/>
    <w:rsid w:val="00F70384"/>
    <w:rPr>
      <w:rFonts w:ascii="Arial" w:hAnsi="Arial"/>
      <w:sz w:val="24"/>
      <w:lang w:val="el-GR"/>
    </w:rPr>
  </w:style>
  <w:style w:type="character" w:customStyle="1" w:styleId="Heading8Char">
    <w:name w:val="Heading 8 Char"/>
    <w:basedOn w:val="DefaultParagraphFont"/>
    <w:link w:val="Heading8"/>
    <w:semiHidden/>
    <w:rsid w:val="00F70384"/>
    <w:rPr>
      <w:rFonts w:ascii="Arial" w:hAnsi="Arial"/>
      <w:i/>
      <w:sz w:val="24"/>
      <w:lang w:val="el-GR"/>
    </w:rPr>
  </w:style>
  <w:style w:type="character" w:customStyle="1" w:styleId="Heading9Char">
    <w:name w:val="Heading 9 Char"/>
    <w:basedOn w:val="DefaultParagraphFont"/>
    <w:link w:val="Heading9"/>
    <w:semiHidden/>
    <w:rsid w:val="00F70384"/>
    <w:rPr>
      <w:rFonts w:ascii="Arial" w:hAnsi="Arial"/>
      <w:b/>
      <w:i/>
      <w:sz w:val="18"/>
      <w:lang w:val="el-GR"/>
    </w:rPr>
  </w:style>
  <w:style w:type="paragraph" w:styleId="TOCHeading">
    <w:name w:val="TOC Heading"/>
    <w:basedOn w:val="Normal"/>
    <w:next w:val="Normal"/>
    <w:unhideWhenUsed/>
    <w:qFormat/>
    <w:rsid w:val="00F70384"/>
    <w:pPr>
      <w:widowControl/>
      <w:spacing w:after="240"/>
    </w:pPr>
    <w:rPr>
      <w:lang w:val="en-GB"/>
    </w:rPr>
  </w:style>
  <w:style w:type="paragraph" w:customStyle="1" w:styleId="EPFooter2">
    <w:name w:val="EPFooter2"/>
    <w:basedOn w:val="Normal"/>
    <w:next w:val="Normal"/>
    <w:rsid w:val="00F7038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70384"/>
    <w:pPr>
      <w:spacing w:after="240"/>
    </w:pPr>
  </w:style>
  <w:style w:type="paragraph" w:customStyle="1" w:styleId="TOCPage">
    <w:name w:val="TOC Page"/>
    <w:basedOn w:val="Normal"/>
    <w:next w:val="TOC1"/>
    <w:rsid w:val="00F70384"/>
    <w:pPr>
      <w:keepNext/>
      <w:spacing w:after="240"/>
      <w:jc w:val="right"/>
    </w:pPr>
    <w:rPr>
      <w:rFonts w:ascii="Arial" w:hAnsi="Arial"/>
      <w:b/>
    </w:rPr>
  </w:style>
  <w:style w:type="paragraph" w:customStyle="1" w:styleId="PageHeading">
    <w:name w:val="PageHeading"/>
    <w:basedOn w:val="Normal"/>
    <w:link w:val="PageHeadingChar"/>
    <w:rsid w:val="00F70384"/>
    <w:pPr>
      <w:keepNext/>
      <w:spacing w:after="480"/>
      <w:jc w:val="center"/>
    </w:pPr>
    <w:rPr>
      <w:rFonts w:ascii="Arial" w:hAnsi="Arial" w:cs="Arial"/>
      <w:b/>
    </w:rPr>
  </w:style>
  <w:style w:type="paragraph" w:customStyle="1" w:styleId="NormalBold">
    <w:name w:val="NormalBold"/>
    <w:basedOn w:val="Normal"/>
    <w:uiPriority w:val="99"/>
    <w:rsid w:val="00F70384"/>
    <w:rPr>
      <w:b/>
    </w:rPr>
  </w:style>
  <w:style w:type="paragraph" w:customStyle="1" w:styleId="NormalHanging12a">
    <w:name w:val="NormalHanging12a"/>
    <w:basedOn w:val="Normal"/>
    <w:link w:val="NormalHanging12aChar"/>
    <w:rsid w:val="00F70384"/>
    <w:pPr>
      <w:spacing w:after="240"/>
      <w:ind w:left="567" w:hanging="567"/>
    </w:pPr>
  </w:style>
  <w:style w:type="paragraph" w:customStyle="1" w:styleId="CoverNormal24a">
    <w:name w:val="CoverNormal24a"/>
    <w:basedOn w:val="Normal"/>
    <w:rsid w:val="00F70384"/>
    <w:pPr>
      <w:spacing w:after="480"/>
      <w:ind w:left="1417"/>
    </w:pPr>
  </w:style>
  <w:style w:type="paragraph" w:customStyle="1" w:styleId="CoverNormal">
    <w:name w:val="CoverNormal"/>
    <w:basedOn w:val="Normal"/>
    <w:rsid w:val="00F70384"/>
    <w:pPr>
      <w:ind w:left="1418"/>
    </w:pPr>
  </w:style>
  <w:style w:type="paragraph" w:customStyle="1" w:styleId="CoverReference">
    <w:name w:val="CoverReference"/>
    <w:basedOn w:val="Normal"/>
    <w:rsid w:val="00F70384"/>
    <w:pPr>
      <w:spacing w:before="1080"/>
      <w:jc w:val="right"/>
    </w:pPr>
    <w:rPr>
      <w:rFonts w:ascii="Arial" w:hAnsi="Arial" w:cs="Arial"/>
      <w:b/>
    </w:rPr>
  </w:style>
  <w:style w:type="paragraph" w:customStyle="1" w:styleId="CoverDocType24a">
    <w:name w:val="CoverDocType24a"/>
    <w:basedOn w:val="Normal"/>
    <w:rsid w:val="00F70384"/>
    <w:pPr>
      <w:spacing w:after="480"/>
      <w:ind w:left="1418"/>
    </w:pPr>
    <w:rPr>
      <w:rFonts w:ascii="Arial" w:hAnsi="Arial"/>
      <w:b/>
      <w:sz w:val="48"/>
    </w:rPr>
  </w:style>
  <w:style w:type="paragraph" w:customStyle="1" w:styleId="CoverDate">
    <w:name w:val="CoverDate"/>
    <w:basedOn w:val="Normal"/>
    <w:rsid w:val="00F70384"/>
    <w:pPr>
      <w:spacing w:before="240" w:after="1200"/>
    </w:pPr>
  </w:style>
  <w:style w:type="paragraph" w:customStyle="1" w:styleId="EPComma">
    <w:name w:val="EPComma"/>
    <w:basedOn w:val="Normal"/>
    <w:rsid w:val="00F70384"/>
    <w:pPr>
      <w:spacing w:before="480" w:after="240"/>
    </w:pPr>
  </w:style>
  <w:style w:type="paragraph" w:customStyle="1" w:styleId="PageSubHeading">
    <w:name w:val="PageSubHeading"/>
    <w:basedOn w:val="Normal"/>
    <w:uiPriority w:val="99"/>
    <w:rsid w:val="00F70384"/>
    <w:rPr>
      <w:b/>
    </w:rPr>
  </w:style>
  <w:style w:type="paragraph" w:customStyle="1" w:styleId="EPBody">
    <w:name w:val="EPBody"/>
    <w:basedOn w:val="Normal"/>
    <w:rsid w:val="00F70384"/>
    <w:pPr>
      <w:jc w:val="center"/>
    </w:pPr>
    <w:rPr>
      <w:rFonts w:ascii="Arial" w:hAnsi="Arial" w:cs="Arial"/>
      <w:i/>
      <w:sz w:val="22"/>
      <w:szCs w:val="22"/>
    </w:rPr>
  </w:style>
  <w:style w:type="paragraph" w:customStyle="1" w:styleId="EPFooter">
    <w:name w:val="EPFooter"/>
    <w:basedOn w:val="Normal"/>
    <w:rsid w:val="00F70384"/>
    <w:pPr>
      <w:tabs>
        <w:tab w:val="center" w:pos="4535"/>
        <w:tab w:val="right" w:pos="9071"/>
      </w:tabs>
      <w:spacing w:before="240" w:after="240"/>
    </w:pPr>
    <w:rPr>
      <w:color w:val="010000"/>
      <w:sz w:val="22"/>
    </w:rPr>
  </w:style>
  <w:style w:type="paragraph" w:styleId="Header">
    <w:name w:val="header"/>
    <w:basedOn w:val="Normal"/>
    <w:link w:val="HeaderChar"/>
    <w:rsid w:val="00F70384"/>
    <w:pPr>
      <w:tabs>
        <w:tab w:val="center" w:pos="4513"/>
        <w:tab w:val="right" w:pos="9026"/>
      </w:tabs>
    </w:pPr>
  </w:style>
  <w:style w:type="character" w:customStyle="1" w:styleId="HeaderChar">
    <w:name w:val="Header Char"/>
    <w:basedOn w:val="DefaultParagraphFont"/>
    <w:link w:val="Header"/>
    <w:rsid w:val="00F70384"/>
    <w:rPr>
      <w:sz w:val="24"/>
      <w:lang w:val="el-GR"/>
    </w:rPr>
  </w:style>
  <w:style w:type="paragraph" w:customStyle="1" w:styleId="PageHeadingNoLeader">
    <w:name w:val="PageHeadingNoLeader"/>
    <w:basedOn w:val="PageHeading"/>
    <w:qFormat/>
    <w:rsid w:val="00F70384"/>
    <w:pPr>
      <w:numPr>
        <w:numId w:val="3"/>
      </w:numPr>
      <w:tabs>
        <w:tab w:val="clear" w:pos="720"/>
        <w:tab w:val="num" w:pos="360"/>
      </w:tabs>
      <w:ind w:left="360"/>
    </w:pPr>
  </w:style>
  <w:style w:type="character" w:styleId="Hyperlink">
    <w:name w:val="Hyperlink"/>
    <w:basedOn w:val="DefaultParagraphFont"/>
    <w:rsid w:val="00F70384"/>
    <w:rPr>
      <w:color w:val="0563C1" w:themeColor="hyperlink"/>
      <w:u w:val="single"/>
    </w:rPr>
  </w:style>
  <w:style w:type="character" w:styleId="FollowedHyperlink">
    <w:name w:val="FollowedHyperlink"/>
    <w:basedOn w:val="DefaultParagraphFont"/>
    <w:rsid w:val="00F70384"/>
    <w:rPr>
      <w:color w:val="954F72" w:themeColor="followedHyperlink"/>
      <w:u w:val="single"/>
    </w:rPr>
  </w:style>
  <w:style w:type="character" w:customStyle="1" w:styleId="NormalHanging12aChar">
    <w:name w:val="NormalHanging12a Char"/>
    <w:basedOn w:val="DefaultParagraphFont"/>
    <w:link w:val="NormalHanging12a"/>
    <w:locked/>
    <w:rsid w:val="00F70384"/>
    <w:rPr>
      <w:sz w:val="24"/>
      <w:lang w:val="el-GR"/>
    </w:rPr>
  </w:style>
  <w:style w:type="character" w:styleId="CommentReference">
    <w:name w:val="annotation reference"/>
    <w:basedOn w:val="DefaultParagraphFont"/>
    <w:uiPriority w:val="99"/>
    <w:rsid w:val="00F70384"/>
    <w:rPr>
      <w:sz w:val="16"/>
      <w:szCs w:val="16"/>
    </w:rPr>
  </w:style>
  <w:style w:type="paragraph" w:styleId="CommentText">
    <w:name w:val="annotation text"/>
    <w:basedOn w:val="Normal"/>
    <w:link w:val="CommentTextChar"/>
    <w:uiPriority w:val="99"/>
    <w:rsid w:val="00F70384"/>
    <w:rPr>
      <w:sz w:val="20"/>
    </w:rPr>
  </w:style>
  <w:style w:type="character" w:customStyle="1" w:styleId="CommentTextChar">
    <w:name w:val="Comment Text Char"/>
    <w:basedOn w:val="DefaultParagraphFont"/>
    <w:link w:val="CommentText"/>
    <w:uiPriority w:val="99"/>
    <w:rsid w:val="00F70384"/>
    <w:rPr>
      <w:lang w:val="el-GR"/>
    </w:rPr>
  </w:style>
  <w:style w:type="paragraph" w:styleId="CommentSubject">
    <w:name w:val="annotation subject"/>
    <w:basedOn w:val="CommentText"/>
    <w:next w:val="CommentText"/>
    <w:link w:val="CommentSubjectChar"/>
    <w:unhideWhenUsed/>
    <w:rsid w:val="00F70384"/>
    <w:rPr>
      <w:b/>
      <w:bCs/>
    </w:rPr>
  </w:style>
  <w:style w:type="character" w:customStyle="1" w:styleId="CommentSubjectChar">
    <w:name w:val="Comment Subject Char"/>
    <w:basedOn w:val="CommentTextChar"/>
    <w:link w:val="CommentSubject"/>
    <w:rsid w:val="00F70384"/>
    <w:rPr>
      <w:b/>
      <w:bCs/>
      <w:lang w:val="el-GR"/>
    </w:rPr>
  </w:style>
  <w:style w:type="paragraph" w:styleId="Revision">
    <w:name w:val="Revision"/>
    <w:hidden/>
    <w:uiPriority w:val="99"/>
    <w:semiHidden/>
    <w:rsid w:val="00F70384"/>
    <w:rPr>
      <w:sz w:val="24"/>
      <w:lang w:val="el-GR"/>
    </w:rPr>
  </w:style>
  <w:style w:type="paragraph" w:styleId="BalloonText">
    <w:name w:val="Balloon Text"/>
    <w:basedOn w:val="Normal"/>
    <w:link w:val="BalloonTextChar"/>
    <w:unhideWhenUsed/>
    <w:rsid w:val="00F70384"/>
    <w:rPr>
      <w:rFonts w:ascii="Segoe UI" w:hAnsi="Segoe UI" w:cs="Segoe UI"/>
      <w:sz w:val="18"/>
      <w:szCs w:val="18"/>
    </w:rPr>
  </w:style>
  <w:style w:type="character" w:customStyle="1" w:styleId="BalloonTextChar">
    <w:name w:val="Balloon Text Char"/>
    <w:basedOn w:val="DefaultParagraphFont"/>
    <w:link w:val="BalloonText"/>
    <w:rsid w:val="00F70384"/>
    <w:rPr>
      <w:rFonts w:ascii="Segoe UI" w:hAnsi="Segoe UI" w:cs="Segoe UI"/>
      <w:sz w:val="18"/>
      <w:szCs w:val="18"/>
      <w:lang w:val="el-GR"/>
    </w:rPr>
  </w:style>
  <w:style w:type="paragraph" w:customStyle="1" w:styleId="Visa">
    <w:name w:val="Visa"/>
    <w:basedOn w:val="Normal"/>
    <w:rsid w:val="00F70384"/>
    <w:pPr>
      <w:tabs>
        <w:tab w:val="left" w:pos="357"/>
      </w:tabs>
      <w:spacing w:after="240"/>
      <w:ind w:left="357" w:hanging="357"/>
    </w:pPr>
    <w:rPr>
      <w:snapToGrid w:val="0"/>
      <w:lang w:eastAsia="en-US"/>
    </w:rPr>
  </w:style>
  <w:style w:type="paragraph" w:styleId="NormalWeb">
    <w:name w:val="Normal (Web)"/>
    <w:basedOn w:val="Normal"/>
    <w:uiPriority w:val="99"/>
    <w:unhideWhenUsed/>
    <w:rsid w:val="00F70384"/>
    <w:pPr>
      <w:widowControl/>
      <w:spacing w:before="100" w:beforeAutospacing="1" w:after="100" w:afterAutospacing="1"/>
    </w:pPr>
    <w:rPr>
      <w:szCs w:val="24"/>
      <w:lang w:eastAsia="fi-FI"/>
    </w:rPr>
  </w:style>
  <w:style w:type="paragraph" w:customStyle="1" w:styleId="Normal12Hanging">
    <w:name w:val="Normal12Hanging"/>
    <w:basedOn w:val="Normal"/>
    <w:rsid w:val="00F70384"/>
    <w:pPr>
      <w:spacing w:after="240"/>
      <w:ind w:left="357" w:hanging="357"/>
    </w:pPr>
  </w:style>
  <w:style w:type="paragraph" w:customStyle="1" w:styleId="Default">
    <w:name w:val="Default"/>
    <w:rsid w:val="00F70384"/>
    <w:pPr>
      <w:autoSpaceDE w:val="0"/>
      <w:autoSpaceDN w:val="0"/>
      <w:adjustRightInd w:val="0"/>
    </w:pPr>
    <w:rPr>
      <w:rFonts w:ascii="EC Square Sans Pro" w:hAnsi="EC Square Sans Pro" w:cs="EC Square Sans Pro"/>
      <w:color w:val="000000"/>
      <w:sz w:val="24"/>
      <w:szCs w:val="24"/>
      <w:lang w:val="el-GR"/>
    </w:rPr>
  </w:style>
  <w:style w:type="character" w:styleId="Emphasis">
    <w:name w:val="Emphasis"/>
    <w:basedOn w:val="DefaultParagraphFont"/>
    <w:uiPriority w:val="20"/>
    <w:qFormat/>
    <w:rsid w:val="00F70384"/>
    <w:rPr>
      <w:i/>
      <w:iCs/>
    </w:rPr>
  </w:style>
  <w:style w:type="paragraph" w:customStyle="1" w:styleId="RollCallVotes">
    <w:name w:val="RollCallVotes"/>
    <w:basedOn w:val="Normal"/>
    <w:rsid w:val="00F70384"/>
    <w:pPr>
      <w:spacing w:before="120" w:after="120"/>
      <w:jc w:val="center"/>
    </w:pPr>
    <w:rPr>
      <w:b/>
      <w:bCs/>
      <w:snapToGrid w:val="0"/>
      <w:sz w:val="16"/>
      <w:lang w:eastAsia="en-US"/>
    </w:rPr>
  </w:style>
  <w:style w:type="paragraph" w:customStyle="1" w:styleId="RollCallTabs">
    <w:name w:val="RollCallTabs"/>
    <w:basedOn w:val="Normal"/>
    <w:qFormat/>
    <w:rsid w:val="00F70384"/>
    <w:pPr>
      <w:tabs>
        <w:tab w:val="center" w:pos="284"/>
        <w:tab w:val="left" w:pos="426"/>
      </w:tabs>
    </w:pPr>
    <w:rPr>
      <w:snapToGrid w:val="0"/>
      <w:lang w:eastAsia="en-US"/>
    </w:rPr>
  </w:style>
  <w:style w:type="paragraph" w:customStyle="1" w:styleId="RollCallSymbols14pt">
    <w:name w:val="RollCallSymbols14pt"/>
    <w:basedOn w:val="Normal"/>
    <w:rsid w:val="00F70384"/>
    <w:pPr>
      <w:spacing w:before="120" w:after="120"/>
      <w:jc w:val="center"/>
    </w:pPr>
    <w:rPr>
      <w:rFonts w:ascii="Arial" w:hAnsi="Arial"/>
      <w:b/>
      <w:bCs/>
      <w:snapToGrid w:val="0"/>
      <w:sz w:val="28"/>
      <w:lang w:eastAsia="en-US"/>
    </w:rPr>
  </w:style>
  <w:style w:type="paragraph" w:customStyle="1" w:styleId="RollCallTable">
    <w:name w:val="RollCallTable"/>
    <w:basedOn w:val="Normal"/>
    <w:rsid w:val="00F70384"/>
    <w:pPr>
      <w:spacing w:before="120" w:after="120"/>
    </w:pPr>
    <w:rPr>
      <w:snapToGrid w:val="0"/>
      <w:sz w:val="16"/>
      <w:lang w:eastAsia="en-US"/>
    </w:rPr>
  </w:style>
  <w:style w:type="paragraph" w:customStyle="1" w:styleId="RollCallSubtitle">
    <w:name w:val="RollCallSubtitle"/>
    <w:basedOn w:val="Normal"/>
    <w:qFormat/>
    <w:rsid w:val="00F70384"/>
    <w:pPr>
      <w:snapToGrid w:val="0"/>
      <w:spacing w:after="240"/>
    </w:pPr>
    <w:rPr>
      <w:lang w:eastAsia="en-US"/>
    </w:rPr>
  </w:style>
  <w:style w:type="character" w:customStyle="1" w:styleId="PageHeadingNotTOCChar">
    <w:name w:val="PageHeadingNotTOC Char"/>
    <w:basedOn w:val="DefaultParagraphFont"/>
    <w:link w:val="PageHeadingNotTOC"/>
    <w:locked/>
    <w:rsid w:val="00F70384"/>
    <w:rPr>
      <w:rFonts w:ascii="Arial" w:hAnsi="Arial" w:cs="Arial"/>
      <w:b/>
      <w:sz w:val="24"/>
    </w:rPr>
  </w:style>
  <w:style w:type="paragraph" w:customStyle="1" w:styleId="PageHeadingNotTOC">
    <w:name w:val="PageHeadingNotTOC"/>
    <w:basedOn w:val="Normal"/>
    <w:link w:val="PageHeadingNotTOCChar"/>
    <w:rsid w:val="00F70384"/>
    <w:pPr>
      <w:keepNext/>
      <w:spacing w:after="480"/>
      <w:jc w:val="center"/>
    </w:pPr>
    <w:rPr>
      <w:rFonts w:ascii="Arial" w:hAnsi="Arial" w:cs="Arial"/>
      <w:b/>
      <w:lang w:val="en-GB"/>
    </w:rPr>
  </w:style>
  <w:style w:type="paragraph" w:customStyle="1" w:styleId="Normal24a">
    <w:name w:val="Normal24a"/>
    <w:basedOn w:val="Normal"/>
    <w:rsid w:val="00F70384"/>
    <w:pPr>
      <w:spacing w:after="480"/>
    </w:pPr>
  </w:style>
  <w:style w:type="paragraph" w:customStyle="1" w:styleId="NormalBoldCenter">
    <w:name w:val="NormalBoldCenter"/>
    <w:basedOn w:val="Normal"/>
    <w:rsid w:val="00F70384"/>
    <w:pPr>
      <w:jc w:val="center"/>
    </w:pPr>
    <w:rPr>
      <w:b/>
    </w:rPr>
  </w:style>
  <w:style w:type="paragraph" w:customStyle="1" w:styleId="Footprint12b">
    <w:name w:val="Footprint12b"/>
    <w:basedOn w:val="Normal"/>
    <w:rsid w:val="00F70384"/>
    <w:pPr>
      <w:spacing w:before="240"/>
    </w:pPr>
    <w:rPr>
      <w:szCs w:val="24"/>
    </w:rPr>
  </w:style>
  <w:style w:type="paragraph" w:customStyle="1" w:styleId="NormalSingle">
    <w:name w:val="NormalSingle"/>
    <w:basedOn w:val="Normal"/>
    <w:qFormat/>
    <w:rsid w:val="00F70384"/>
    <w:rPr>
      <w:szCs w:val="24"/>
    </w:rPr>
  </w:style>
  <w:style w:type="paragraph" w:customStyle="1" w:styleId="LetterSubject">
    <w:name w:val="LetterSubject"/>
    <w:basedOn w:val="Normal"/>
    <w:rsid w:val="00F70384"/>
    <w:pPr>
      <w:spacing w:before="480"/>
      <w:ind w:left="1134" w:hanging="1134"/>
    </w:pPr>
  </w:style>
  <w:style w:type="paragraph" w:customStyle="1" w:styleId="LetterSignature66b">
    <w:name w:val="LetterSignature66b"/>
    <w:basedOn w:val="Normal"/>
    <w:next w:val="Normal"/>
    <w:rsid w:val="00F70384"/>
    <w:pPr>
      <w:spacing w:before="1320"/>
    </w:pPr>
  </w:style>
  <w:style w:type="paragraph" w:customStyle="1" w:styleId="Normal12">
    <w:name w:val="Normal12"/>
    <w:basedOn w:val="Normal"/>
    <w:link w:val="Normal12Char"/>
    <w:rsid w:val="00F70384"/>
    <w:pPr>
      <w:spacing w:after="240"/>
    </w:pPr>
    <w:rPr>
      <w:rFonts w:ascii="Arial" w:hAnsi="Arial" w:cs="Arial"/>
    </w:rPr>
  </w:style>
  <w:style w:type="character" w:customStyle="1" w:styleId="PageHeadingChar">
    <w:name w:val="PageHeading Char"/>
    <w:basedOn w:val="DefaultParagraphFont"/>
    <w:link w:val="PageHeading"/>
    <w:rsid w:val="00F70384"/>
    <w:rPr>
      <w:rFonts w:ascii="Arial" w:hAnsi="Arial" w:cs="Arial"/>
      <w:b/>
      <w:sz w:val="24"/>
      <w:lang w:val="el-GR"/>
    </w:rPr>
  </w:style>
  <w:style w:type="character" w:customStyle="1" w:styleId="Normal12Char">
    <w:name w:val="Normal12 Char"/>
    <w:basedOn w:val="PageHeadingChar"/>
    <w:link w:val="Normal12"/>
    <w:rsid w:val="00F70384"/>
    <w:rPr>
      <w:rFonts w:ascii="Arial" w:hAnsi="Arial" w:cs="Arial"/>
      <w:b w:val="0"/>
      <w:sz w:val="24"/>
      <w:lang w:val="el-GR"/>
    </w:rPr>
  </w:style>
  <w:style w:type="paragraph" w:customStyle="1" w:styleId="LetterSalutation">
    <w:name w:val="LetterSalutation"/>
    <w:basedOn w:val="Normal"/>
    <w:rsid w:val="00F70384"/>
    <w:pPr>
      <w:spacing w:before="600" w:after="360"/>
    </w:pPr>
  </w:style>
  <w:style w:type="paragraph" w:styleId="Footer">
    <w:name w:val="footer"/>
    <w:basedOn w:val="Normal"/>
    <w:link w:val="FooterChar"/>
    <w:rsid w:val="00F70384"/>
    <w:pPr>
      <w:tabs>
        <w:tab w:val="center" w:pos="4513"/>
        <w:tab w:val="right" w:pos="9026"/>
      </w:tabs>
    </w:pPr>
  </w:style>
  <w:style w:type="character" w:customStyle="1" w:styleId="FooterChar">
    <w:name w:val="Footer Char"/>
    <w:basedOn w:val="DefaultParagraphFont"/>
    <w:link w:val="Footer"/>
    <w:rsid w:val="00F70384"/>
    <w:rPr>
      <w:sz w:val="24"/>
      <w:lang w:val="el-GR"/>
    </w:rPr>
  </w:style>
  <w:style w:type="paragraph" w:styleId="ListParagraph">
    <w:name w:val="List Paragraph"/>
    <w:basedOn w:val="Normal"/>
    <w:uiPriority w:val="34"/>
    <w:qFormat/>
    <w:rsid w:val="00C47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435/oj" TargetMode="External"/><Relationship Id="rId2" Type="http://schemas.openxmlformats.org/officeDocument/2006/relationships/hyperlink" Target="http://data.europa.eu/eli/C/2024/5462/oj" TargetMode="External"/><Relationship Id="rId16" Type="http://schemas.openxmlformats.org/officeDocument/2006/relationships/hyperlink" Target="http://data.europa.eu/eli/dec_impl/2021/173/oj" TargetMode="External"/><Relationship Id="rId29" Type="http://schemas.openxmlformats.org/officeDocument/2006/relationships/hyperlink" Target="http://data.europa.eu/eli/C/2024/6522/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24" Type="http://schemas.openxmlformats.org/officeDocument/2006/relationships/hyperlink" Target="http://data.europa.eu/eli/reg/2003/58/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66" Type="http://schemas.openxmlformats.org/officeDocument/2006/relationships/hyperlink" Target="http://data.europa.eu/eli/dec_impl/2021/173/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87" Type="http://schemas.openxmlformats.org/officeDocument/2006/relationships/hyperlink" Target="http://data.europa.eu/eli/C/2024/5462/oj" TargetMode="External"/><Relationship Id="rId102" Type="http://schemas.openxmlformats.org/officeDocument/2006/relationships/hyperlink" Target="http://data.europa.eu/eli/reg/2021/783/oj" TargetMode="External"/><Relationship Id="rId110" Type="http://schemas.openxmlformats.org/officeDocument/2006/relationships/hyperlink" Target="http://data.europa.eu/eli/reg/2021/241/oj" TargetMode="External"/><Relationship Id="rId5" Type="http://schemas.openxmlformats.org/officeDocument/2006/relationships/hyperlink" Target="http://data.europa.eu/eli/reg/2018/1046/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56" Type="http://schemas.openxmlformats.org/officeDocument/2006/relationships/hyperlink" Target="http://data.europa.eu/eli/dec_impl/2021/173/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4/6530/oj" TargetMode="External"/><Relationship Id="rId67" Type="http://schemas.openxmlformats.org/officeDocument/2006/relationships/hyperlink" Target="http://data.europa.eu/eli/C/2024/5462/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11" Type="http://schemas.openxmlformats.org/officeDocument/2006/relationships/hyperlink" Target="http://data.europa.eu/eli/reg/2023/2841/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32FB-DE9A-4F50-BEB1-961C97936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41968</Words>
  <Characters>248002</Characters>
  <Application>Microsoft Office Word</Application>
  <DocSecurity>0</DocSecurity>
  <Lines>10333</Lines>
  <Paragraphs>4602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2025-05-07T17:28:00Z</dcterms:created>
  <dcterms:modified xsi:type="dcterms:W3CDTF">2025-05-07T17:28:00Z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A10-0074/2025</vt:lpwstr>
  </property>
  <property fmtid="{D5CDD505-2E9C-101B-9397-08002B2CF9AE}" pid="4" name="&lt;Type&gt;">
    <vt:lpwstr>RR</vt:lpwstr>
  </property>
</Properties>
</file>