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01C7C" w14:paraId="0D64FFFE" w14:textId="77777777" w:rsidTr="0010095E">
        <w:trPr>
          <w:trHeight w:hRule="exact" w:val="1418"/>
        </w:trPr>
        <w:tc>
          <w:tcPr>
            <w:tcW w:w="6804" w:type="dxa"/>
            <w:shd w:val="clear" w:color="auto" w:fill="auto"/>
            <w:vAlign w:val="center"/>
          </w:tcPr>
          <w:p w14:paraId="7840CB07" w14:textId="77777777" w:rsidR="00751A4A" w:rsidRPr="00401C7C" w:rsidRDefault="00BF69E2" w:rsidP="0010095E">
            <w:pPr>
              <w:pStyle w:val="EPName"/>
            </w:pPr>
            <w:r w:rsidRPr="00401C7C">
              <w:t>European Parliament</w:t>
            </w:r>
          </w:p>
          <w:p w14:paraId="68B9C97F" w14:textId="77777777" w:rsidR="00751A4A" w:rsidRPr="00401C7C" w:rsidRDefault="005F1B17" w:rsidP="005F1B17">
            <w:pPr>
              <w:pStyle w:val="EPTerm"/>
              <w:rPr>
                <w:rStyle w:val="HideTWBExt"/>
                <w:noProof w:val="0"/>
                <w:vanish w:val="0"/>
                <w:color w:val="auto"/>
              </w:rPr>
            </w:pPr>
            <w:r w:rsidRPr="00401C7C">
              <w:t>2024</w:t>
            </w:r>
            <w:r w:rsidR="00817416" w:rsidRPr="00401C7C">
              <w:t>-202</w:t>
            </w:r>
            <w:r w:rsidRPr="00401C7C">
              <w:t>9</w:t>
            </w:r>
          </w:p>
        </w:tc>
        <w:tc>
          <w:tcPr>
            <w:tcW w:w="2268" w:type="dxa"/>
            <w:shd w:val="clear" w:color="auto" w:fill="auto"/>
          </w:tcPr>
          <w:p w14:paraId="3A73F404" w14:textId="77777777" w:rsidR="00751A4A" w:rsidRPr="00401C7C" w:rsidRDefault="00187494" w:rsidP="0010095E">
            <w:pPr>
              <w:pStyle w:val="EPLogo"/>
            </w:pPr>
            <w:r w:rsidRPr="00401C7C">
              <w:rPr>
                <w:noProof/>
              </w:rPr>
              <w:drawing>
                <wp:inline distT="0" distB="0" distL="0" distR="0" wp14:anchorId="19B863D6" wp14:editId="51DAC50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6BD7223" w14:textId="77777777" w:rsidR="00D058B8" w:rsidRPr="00401C7C" w:rsidRDefault="00D058B8" w:rsidP="004C5D52">
      <w:pPr>
        <w:pStyle w:val="LineTop"/>
      </w:pPr>
    </w:p>
    <w:p w14:paraId="5CD091C3" w14:textId="77777777" w:rsidR="00680577" w:rsidRPr="00401C7C" w:rsidRDefault="00BF69E2" w:rsidP="00680577">
      <w:pPr>
        <w:pStyle w:val="EPBodyTA1"/>
      </w:pPr>
      <w:r w:rsidRPr="00401C7C">
        <w:t>TEXTS ADOPTED</w:t>
      </w:r>
    </w:p>
    <w:p w14:paraId="4874D927" w14:textId="77777777" w:rsidR="00D058B8" w:rsidRPr="00401C7C" w:rsidRDefault="00D058B8" w:rsidP="00D058B8">
      <w:pPr>
        <w:pStyle w:val="LineBottom"/>
      </w:pPr>
    </w:p>
    <w:p w14:paraId="45BB9BE9" w14:textId="2DF3C1D8" w:rsidR="00BF69E2" w:rsidRPr="00401C7C" w:rsidRDefault="00BF69E2" w:rsidP="00BF69E2">
      <w:pPr>
        <w:pStyle w:val="ATHeading1"/>
      </w:pPr>
      <w:bookmarkStart w:id="0" w:name="TANumber"/>
      <w:r w:rsidRPr="00401C7C">
        <w:t>P10_TA(2025)00</w:t>
      </w:r>
      <w:bookmarkEnd w:id="0"/>
      <w:r w:rsidR="00565FA5">
        <w:t>78</w:t>
      </w:r>
    </w:p>
    <w:p w14:paraId="49592551" w14:textId="09EE5CA8" w:rsidR="00BF69E2" w:rsidRPr="00401C7C" w:rsidRDefault="00825B3B" w:rsidP="00BF69E2">
      <w:pPr>
        <w:pStyle w:val="ATHeading2"/>
      </w:pPr>
      <w:bookmarkStart w:id="1" w:name="title"/>
      <w:r>
        <w:t xml:space="preserve">Discharge </w:t>
      </w:r>
      <w:r w:rsidR="00BF69E2" w:rsidRPr="00401C7C">
        <w:t>2023: EU general budget - European Parliament</w:t>
      </w:r>
      <w:bookmarkEnd w:id="1"/>
    </w:p>
    <w:p w14:paraId="7BF96EF0" w14:textId="77777777" w:rsidR="00BF69E2" w:rsidRPr="00401C7C" w:rsidRDefault="00BF69E2" w:rsidP="00BF69E2">
      <w:pPr>
        <w:rPr>
          <w:i/>
          <w:vanish/>
        </w:rPr>
      </w:pPr>
      <w:r w:rsidRPr="00401C7C">
        <w:rPr>
          <w:i/>
        </w:rPr>
        <w:fldChar w:fldCharType="begin"/>
      </w:r>
      <w:r w:rsidRPr="00401C7C">
        <w:rPr>
          <w:i/>
        </w:rPr>
        <w:instrText xml:space="preserve"> TC"(</w:instrText>
      </w:r>
      <w:bookmarkStart w:id="2" w:name="DocNumber"/>
      <w:r w:rsidRPr="00401C7C">
        <w:rPr>
          <w:i/>
        </w:rPr>
        <w:instrText>A10-0062/2025</w:instrText>
      </w:r>
      <w:bookmarkEnd w:id="2"/>
      <w:r w:rsidRPr="00401C7C">
        <w:rPr>
          <w:i/>
        </w:rPr>
        <w:instrText xml:space="preserve"> - Rapporteur: Monika </w:instrText>
      </w:r>
      <w:proofErr w:type="spellStart"/>
      <w:r w:rsidRPr="00401C7C">
        <w:rPr>
          <w:i/>
        </w:rPr>
        <w:instrText>Hohlmeier</w:instrText>
      </w:r>
      <w:proofErr w:type="spellEnd"/>
      <w:r w:rsidRPr="00401C7C">
        <w:rPr>
          <w:i/>
        </w:rPr>
        <w:instrText xml:space="preserve">)"\l3 \n&gt; \* MERGEFORMAT </w:instrText>
      </w:r>
      <w:r w:rsidRPr="00401C7C">
        <w:rPr>
          <w:i/>
        </w:rPr>
        <w:fldChar w:fldCharType="end"/>
      </w:r>
    </w:p>
    <w:p w14:paraId="2B21D736" w14:textId="77777777" w:rsidR="00BF69E2" w:rsidRPr="00401C7C" w:rsidRDefault="00BF69E2" w:rsidP="00BF69E2">
      <w:pPr>
        <w:rPr>
          <w:vanish/>
        </w:rPr>
      </w:pPr>
      <w:bookmarkStart w:id="3" w:name="Commission"/>
      <w:r w:rsidRPr="00401C7C">
        <w:rPr>
          <w:vanish/>
        </w:rPr>
        <w:t>Committee on Budgetary Control</w:t>
      </w:r>
      <w:bookmarkEnd w:id="3"/>
    </w:p>
    <w:p w14:paraId="4C4A0D5B" w14:textId="77777777" w:rsidR="00BF69E2" w:rsidRPr="00401C7C" w:rsidRDefault="00BF69E2" w:rsidP="00BF69E2">
      <w:pPr>
        <w:rPr>
          <w:vanish/>
        </w:rPr>
      </w:pPr>
      <w:bookmarkStart w:id="4" w:name="PE"/>
      <w:r w:rsidRPr="00401C7C">
        <w:rPr>
          <w:vanish/>
        </w:rPr>
        <w:t>PE764.999</w:t>
      </w:r>
      <w:bookmarkEnd w:id="4"/>
    </w:p>
    <w:p w14:paraId="6B57760A" w14:textId="77777777" w:rsidR="008255EF" w:rsidRPr="009369AE" w:rsidRDefault="008255EF" w:rsidP="008255EF">
      <w:pPr>
        <w:pStyle w:val="ATHeading3"/>
      </w:pPr>
      <w:r w:rsidRPr="009369AE">
        <w:t>1. European Parliament decision of 7 May 2025 on discharge in respect of the implementation of the general budget of the European Union for the financial year 2023, Section I – European Parliament  (2024/2020(DEC))</w:t>
      </w:r>
    </w:p>
    <w:p w14:paraId="15584D0E" w14:textId="5C43D268" w:rsidR="008255EF" w:rsidRPr="009369AE" w:rsidRDefault="008255EF" w:rsidP="008255EF">
      <w:pPr>
        <w:spacing w:before="480" w:after="240"/>
        <w:rPr>
          <w:noProof/>
        </w:rPr>
      </w:pPr>
      <w:r w:rsidRPr="008255EF">
        <w:rPr>
          <w:i/>
          <w:noProof/>
        </w:rPr>
        <w:t>The European Parliament</w:t>
      </w:r>
      <w:r w:rsidRPr="009369AE">
        <w:rPr>
          <w:noProof/>
        </w:rPr>
        <w:t>,</w:t>
      </w:r>
    </w:p>
    <w:p w14:paraId="7790C974" w14:textId="77777777" w:rsidR="008255EF" w:rsidRPr="009369AE" w:rsidRDefault="008255EF" w:rsidP="008255EF">
      <w:pPr>
        <w:spacing w:after="240"/>
        <w:ind w:left="567" w:hanging="567"/>
        <w:rPr>
          <w:noProof/>
        </w:rPr>
      </w:pPr>
      <w:r w:rsidRPr="009369AE">
        <w:rPr>
          <w:noProof/>
        </w:rPr>
        <w:t>–</w:t>
      </w:r>
      <w:r w:rsidRPr="009369AE">
        <w:rPr>
          <w:noProof/>
        </w:rPr>
        <w:tab/>
        <w:t>having regard to the general budget of the European Union for the financial year</w:t>
      </w:r>
      <w:r w:rsidRPr="009369AE">
        <w:t xml:space="preserve"> </w:t>
      </w:r>
      <w:r w:rsidRPr="009369AE">
        <w:rPr>
          <w:noProof/>
        </w:rPr>
        <w:t>2023</w:t>
      </w:r>
      <w:r w:rsidRPr="009369AE">
        <w:rPr>
          <w:noProof/>
          <w:vertAlign w:val="superscript"/>
        </w:rPr>
        <w:footnoteReference w:id="1"/>
      </w:r>
      <w:r w:rsidRPr="009369AE">
        <w:rPr>
          <w:noProof/>
        </w:rPr>
        <w:t>,</w:t>
      </w:r>
    </w:p>
    <w:p w14:paraId="088D7043" w14:textId="77777777" w:rsidR="008255EF" w:rsidRPr="009369AE" w:rsidRDefault="008255EF" w:rsidP="008255EF">
      <w:pPr>
        <w:spacing w:after="240"/>
        <w:ind w:left="567" w:hanging="567"/>
        <w:rPr>
          <w:noProof/>
        </w:rPr>
      </w:pPr>
      <w:r w:rsidRPr="009369AE">
        <w:rPr>
          <w:noProof/>
        </w:rPr>
        <w:t>–</w:t>
      </w:r>
      <w:r w:rsidRPr="009369AE">
        <w:rPr>
          <w:noProof/>
        </w:rPr>
        <w:tab/>
        <w:t>having regard to the consolidated annual accounts of the European Union for the financial year</w:t>
      </w:r>
      <w:r w:rsidRPr="009369AE">
        <w:t xml:space="preserve"> </w:t>
      </w:r>
      <w:r w:rsidRPr="009369AE">
        <w:rPr>
          <w:noProof/>
        </w:rPr>
        <w:t>2023 (COM(2024)0272 – C10</w:t>
      </w:r>
      <w:r w:rsidRPr="009369AE">
        <w:rPr>
          <w:noProof/>
        </w:rPr>
        <w:noBreakHyphen/>
        <w:t>0068/2024)</w:t>
      </w:r>
      <w:r w:rsidRPr="009369AE">
        <w:rPr>
          <w:noProof/>
          <w:vertAlign w:val="superscript"/>
        </w:rPr>
        <w:footnoteReference w:id="2"/>
      </w:r>
      <w:r w:rsidRPr="009369AE">
        <w:rPr>
          <w:noProof/>
        </w:rPr>
        <w:t>,</w:t>
      </w:r>
    </w:p>
    <w:p w14:paraId="35187D67" w14:textId="77777777" w:rsidR="008255EF" w:rsidRPr="009369AE" w:rsidRDefault="008255EF" w:rsidP="008255EF">
      <w:pPr>
        <w:spacing w:after="240"/>
        <w:ind w:left="567" w:hanging="567"/>
        <w:rPr>
          <w:noProof/>
        </w:rPr>
      </w:pPr>
      <w:r w:rsidRPr="009369AE">
        <w:rPr>
          <w:noProof/>
        </w:rPr>
        <w:t>–</w:t>
      </w:r>
      <w:r w:rsidRPr="009369AE">
        <w:rPr>
          <w:noProof/>
        </w:rPr>
        <w:tab/>
        <w:t>having regard to the report on budgetary and financial management for the financial year</w:t>
      </w:r>
      <w:r w:rsidRPr="009369AE">
        <w:rPr>
          <w:b/>
        </w:rPr>
        <w:t xml:space="preserve"> </w:t>
      </w:r>
      <w:r w:rsidRPr="009369AE">
        <w:rPr>
          <w:noProof/>
        </w:rPr>
        <w:t>2023, Section I – European Parliament</w:t>
      </w:r>
      <w:r w:rsidRPr="009369AE">
        <w:rPr>
          <w:noProof/>
          <w:vertAlign w:val="superscript"/>
        </w:rPr>
        <w:footnoteReference w:id="3"/>
      </w:r>
      <w:r w:rsidRPr="009369AE">
        <w:rPr>
          <w:noProof/>
        </w:rPr>
        <w:t>,</w:t>
      </w:r>
    </w:p>
    <w:p w14:paraId="078FA1B4" w14:textId="77777777" w:rsidR="008255EF" w:rsidRPr="009369AE" w:rsidRDefault="008255EF" w:rsidP="008255EF">
      <w:pPr>
        <w:spacing w:after="240"/>
        <w:ind w:left="567" w:hanging="567"/>
        <w:rPr>
          <w:noProof/>
        </w:rPr>
      </w:pPr>
      <w:r w:rsidRPr="009369AE">
        <w:rPr>
          <w:noProof/>
        </w:rPr>
        <w:t>–</w:t>
      </w:r>
      <w:r w:rsidRPr="009369AE">
        <w:rPr>
          <w:noProof/>
        </w:rPr>
        <w:tab/>
        <w:t>having regard to the Internal Auditor’s annual report for the financial year</w:t>
      </w:r>
      <w:r w:rsidRPr="009369AE">
        <w:t xml:space="preserve"> </w:t>
      </w:r>
      <w:r w:rsidRPr="009369AE">
        <w:rPr>
          <w:noProof/>
        </w:rPr>
        <w:t>2023,</w:t>
      </w:r>
    </w:p>
    <w:p w14:paraId="2C3B1C3B" w14:textId="77777777" w:rsidR="008255EF" w:rsidRPr="009369AE" w:rsidRDefault="008255EF" w:rsidP="008255EF">
      <w:pPr>
        <w:spacing w:after="240"/>
        <w:ind w:left="567" w:hanging="567"/>
        <w:rPr>
          <w:noProof/>
        </w:rPr>
      </w:pPr>
      <w:r w:rsidRPr="009369AE">
        <w:rPr>
          <w:noProof/>
        </w:rPr>
        <w:t>–</w:t>
      </w:r>
      <w:r w:rsidRPr="009369AE">
        <w:rPr>
          <w:noProof/>
        </w:rPr>
        <w:tab/>
        <w:t>having regard to the Court of Auditors’ annual report on the implementation of the budget for the financial year</w:t>
      </w:r>
      <w:r w:rsidRPr="009369AE">
        <w:t xml:space="preserve"> </w:t>
      </w:r>
      <w:r w:rsidRPr="009369AE">
        <w:rPr>
          <w:noProof/>
        </w:rPr>
        <w:t>2023, together with the institutions’ replies</w:t>
      </w:r>
      <w:r w:rsidRPr="009369AE">
        <w:rPr>
          <w:noProof/>
          <w:vertAlign w:val="superscript"/>
        </w:rPr>
        <w:footnoteReference w:id="4"/>
      </w:r>
      <w:r w:rsidRPr="009369AE">
        <w:rPr>
          <w:noProof/>
        </w:rPr>
        <w:t>,</w:t>
      </w:r>
    </w:p>
    <w:p w14:paraId="72B6D2DB" w14:textId="77777777" w:rsidR="008255EF" w:rsidRPr="009369AE" w:rsidRDefault="008255EF" w:rsidP="008255EF">
      <w:pPr>
        <w:spacing w:after="240"/>
        <w:ind w:left="567" w:hanging="567"/>
        <w:rPr>
          <w:noProof/>
        </w:rPr>
      </w:pPr>
      <w:r w:rsidRPr="009369AE">
        <w:rPr>
          <w:noProof/>
        </w:rPr>
        <w:t>–</w:t>
      </w:r>
      <w:r w:rsidRPr="009369AE">
        <w:rPr>
          <w:noProof/>
        </w:rPr>
        <w:tab/>
        <w:t>having regard to the statement of assurance</w:t>
      </w:r>
      <w:r w:rsidRPr="009369AE">
        <w:rPr>
          <w:noProof/>
          <w:vertAlign w:val="superscript"/>
        </w:rPr>
        <w:footnoteReference w:id="5"/>
      </w:r>
      <w:r w:rsidRPr="009369AE">
        <w:rPr>
          <w:noProof/>
        </w:rPr>
        <w:t xml:space="preserve"> as to the reliability of the accounts and the legality and regularity of the underlying transactions provided by the Court of Auditors for the financial year</w:t>
      </w:r>
      <w:r w:rsidRPr="009369AE">
        <w:t xml:space="preserve"> </w:t>
      </w:r>
      <w:r w:rsidRPr="009369AE">
        <w:rPr>
          <w:noProof/>
        </w:rPr>
        <w:t>2023 pursuant to Article</w:t>
      </w:r>
      <w:r w:rsidRPr="009369AE">
        <w:t xml:space="preserve"> </w:t>
      </w:r>
      <w:r w:rsidRPr="009369AE">
        <w:rPr>
          <w:noProof/>
        </w:rPr>
        <w:t>287 of the Treaty on the Functioning of the European Union,</w:t>
      </w:r>
    </w:p>
    <w:p w14:paraId="6AC40A13" w14:textId="77777777" w:rsidR="008255EF" w:rsidRPr="009369AE" w:rsidRDefault="008255EF" w:rsidP="008255EF">
      <w:pPr>
        <w:spacing w:after="240"/>
        <w:ind w:left="567" w:hanging="567"/>
        <w:rPr>
          <w:noProof/>
        </w:rPr>
      </w:pPr>
      <w:r w:rsidRPr="009369AE">
        <w:rPr>
          <w:noProof/>
        </w:rPr>
        <w:t>–</w:t>
      </w:r>
      <w:r w:rsidRPr="009369AE">
        <w:rPr>
          <w:noProof/>
        </w:rPr>
        <w:tab/>
        <w:t>having regard to Article</w:t>
      </w:r>
      <w:r w:rsidRPr="009369AE">
        <w:t xml:space="preserve"> </w:t>
      </w:r>
      <w:r w:rsidRPr="009369AE">
        <w:rPr>
          <w:noProof/>
        </w:rPr>
        <w:t>314(10) and Article</w:t>
      </w:r>
      <w:r w:rsidRPr="009369AE">
        <w:t xml:space="preserve"> </w:t>
      </w:r>
      <w:r w:rsidRPr="009369AE">
        <w:rPr>
          <w:noProof/>
        </w:rPr>
        <w:t>318 of the Treaty on the Functioning of the European Union,</w:t>
      </w:r>
    </w:p>
    <w:p w14:paraId="7DC3781B" w14:textId="77777777" w:rsidR="008255EF" w:rsidRPr="009369AE" w:rsidRDefault="008255EF" w:rsidP="008255EF">
      <w:pPr>
        <w:spacing w:after="240"/>
        <w:ind w:left="567" w:hanging="567"/>
      </w:pPr>
      <w:r w:rsidRPr="009369AE">
        <w:t>–</w:t>
      </w:r>
      <w:r w:rsidRPr="009369AE">
        <w:tab/>
      </w:r>
      <w:r w:rsidRPr="009369AE">
        <w:rPr>
          <w:noProof/>
        </w:rPr>
        <w:t>having</w:t>
      </w:r>
      <w:r w:rsidRPr="009369AE">
        <w:t xml:space="preserve"> regard to Regulation (EU, Euratom) 2018/1046 of the European Parliament and of the Council of 18 July 2018 on the financial rules applicable to the general budget of </w:t>
      </w:r>
      <w:r w:rsidRPr="009369AE">
        <w:lastRenderedPageBreak/>
        <w:t>the Union, amending Regulations (EU) No 1296/2013, (EU) No 1301/2013, (EU) No 1303/2013, (EU) No 1304/2013, (EU) No 1309/2013, (EU) No 1316/2013, (EU) No 223/2014, (EU) No 283/2014, and Decision No 541/2014/EU and repealing Regulation (EU, Euratom) No 966/2012</w:t>
      </w:r>
      <w:r w:rsidRPr="009369AE">
        <w:rPr>
          <w:vertAlign w:val="superscript"/>
        </w:rPr>
        <w:footnoteReference w:id="6"/>
      </w:r>
      <w:r w:rsidRPr="009369AE">
        <w:t>, and in particular Articles 260, 261 and 262 thereof,</w:t>
      </w:r>
    </w:p>
    <w:p w14:paraId="4EE391A7" w14:textId="77777777" w:rsidR="008255EF" w:rsidRPr="009369AE" w:rsidRDefault="008255EF" w:rsidP="008255EF">
      <w:pPr>
        <w:spacing w:after="240"/>
        <w:ind w:left="567" w:hanging="567"/>
        <w:rPr>
          <w:noProof/>
        </w:rPr>
      </w:pPr>
      <w:r w:rsidRPr="009369AE">
        <w:rPr>
          <w:noProof/>
        </w:rPr>
        <w:t>–</w:t>
      </w:r>
      <w:r w:rsidRPr="009369AE">
        <w:rPr>
          <w:noProof/>
        </w:rPr>
        <w:tab/>
        <w:t>having regard to Regulation (EU, Euratom) 2024/2509 of the European Parliament and of the Council of 23</w:t>
      </w:r>
      <w:r w:rsidRPr="009369AE">
        <w:t> </w:t>
      </w:r>
      <w:r w:rsidRPr="009369AE">
        <w:rPr>
          <w:noProof/>
        </w:rPr>
        <w:t>September</w:t>
      </w:r>
      <w:r w:rsidRPr="009369AE">
        <w:t> </w:t>
      </w:r>
      <w:r w:rsidRPr="009369AE">
        <w:rPr>
          <w:noProof/>
        </w:rPr>
        <w:t>2024 on the financial rules applicable to the general budget of the Union</w:t>
      </w:r>
      <w:r w:rsidRPr="009369AE">
        <w:rPr>
          <w:noProof/>
          <w:vertAlign w:val="superscript"/>
        </w:rPr>
        <w:footnoteReference w:id="7"/>
      </w:r>
      <w:r w:rsidRPr="009369AE">
        <w:rPr>
          <w:noProof/>
        </w:rPr>
        <w:t>, and in particular Articles</w:t>
      </w:r>
      <w:r w:rsidRPr="009369AE">
        <w:t xml:space="preserve"> </w:t>
      </w:r>
      <w:r w:rsidRPr="009369AE">
        <w:rPr>
          <w:noProof/>
        </w:rPr>
        <w:t>266, 267 and 268 thereof,</w:t>
      </w:r>
    </w:p>
    <w:p w14:paraId="0B57989A" w14:textId="77777777" w:rsidR="008255EF" w:rsidRPr="009369AE" w:rsidRDefault="008255EF" w:rsidP="008255EF">
      <w:pPr>
        <w:spacing w:after="240"/>
        <w:ind w:left="567" w:hanging="567"/>
        <w:rPr>
          <w:noProof/>
        </w:rPr>
      </w:pPr>
      <w:r w:rsidRPr="009369AE">
        <w:rPr>
          <w:noProof/>
        </w:rPr>
        <w:t>–</w:t>
      </w:r>
      <w:r w:rsidRPr="009369AE">
        <w:rPr>
          <w:noProof/>
        </w:rPr>
        <w:tab/>
        <w:t>having regard to the Bureau decision of 10</w:t>
      </w:r>
      <w:r w:rsidRPr="009369AE">
        <w:t xml:space="preserve"> </w:t>
      </w:r>
      <w:r w:rsidRPr="009369AE">
        <w:rPr>
          <w:noProof/>
        </w:rPr>
        <w:t>December 2018 on the Internal Rules on the implementation of the European Parliament’s budget, and in particular Article</w:t>
      </w:r>
      <w:r w:rsidRPr="009369AE">
        <w:t xml:space="preserve"> </w:t>
      </w:r>
      <w:r w:rsidRPr="009369AE">
        <w:rPr>
          <w:noProof/>
        </w:rPr>
        <w:t>34 thereof,</w:t>
      </w:r>
    </w:p>
    <w:p w14:paraId="3A85F2C2" w14:textId="77777777" w:rsidR="008255EF" w:rsidRPr="009369AE" w:rsidRDefault="008255EF" w:rsidP="008255EF">
      <w:pPr>
        <w:spacing w:after="240"/>
        <w:ind w:left="567" w:hanging="567"/>
        <w:rPr>
          <w:noProof/>
        </w:rPr>
      </w:pPr>
      <w:r w:rsidRPr="009369AE">
        <w:rPr>
          <w:noProof/>
        </w:rPr>
        <w:t>–</w:t>
      </w:r>
      <w:r w:rsidRPr="009369AE">
        <w:rPr>
          <w:noProof/>
        </w:rPr>
        <w:tab/>
        <w:t>having regard to Rule</w:t>
      </w:r>
      <w:r w:rsidRPr="009369AE">
        <w:t> </w:t>
      </w:r>
      <w:r w:rsidRPr="009369AE">
        <w:rPr>
          <w:noProof/>
        </w:rPr>
        <w:t>102 and Rule</w:t>
      </w:r>
      <w:r w:rsidRPr="009369AE">
        <w:t> </w:t>
      </w:r>
      <w:r w:rsidRPr="009369AE">
        <w:rPr>
          <w:noProof/>
        </w:rPr>
        <w:t>106(3) of, and Annex</w:t>
      </w:r>
      <w:r w:rsidRPr="009369AE">
        <w:t> </w:t>
      </w:r>
      <w:r w:rsidRPr="009369AE">
        <w:rPr>
          <w:noProof/>
        </w:rPr>
        <w:t>V to, its Rules of Procedure,</w:t>
      </w:r>
    </w:p>
    <w:p w14:paraId="3FBED9C3" w14:textId="77777777" w:rsidR="008255EF" w:rsidRPr="009369AE" w:rsidRDefault="008255EF" w:rsidP="008255EF">
      <w:pPr>
        <w:spacing w:after="240"/>
        <w:ind w:left="567" w:hanging="567"/>
      </w:pPr>
      <w:r w:rsidRPr="009369AE">
        <w:t>–</w:t>
      </w:r>
      <w:r w:rsidRPr="009369AE">
        <w:tab/>
      </w:r>
      <w:r w:rsidRPr="009369AE">
        <w:rPr>
          <w:noProof/>
        </w:rPr>
        <w:t>having regard to the opinion of the Committee on Constitutional Affairs,</w:t>
      </w:r>
    </w:p>
    <w:p w14:paraId="17B4ED27" w14:textId="77777777" w:rsidR="008255EF" w:rsidRPr="009369AE" w:rsidRDefault="008255EF" w:rsidP="008255EF">
      <w:pPr>
        <w:spacing w:after="240"/>
        <w:ind w:left="567" w:hanging="567"/>
      </w:pPr>
      <w:r w:rsidRPr="009369AE">
        <w:t>–</w:t>
      </w:r>
      <w:r w:rsidRPr="009369AE">
        <w:tab/>
        <w:t>having regard to the report of the Committee on Budgetary Control (A10-0062/2025),</w:t>
      </w:r>
    </w:p>
    <w:p w14:paraId="12FAA672" w14:textId="77777777" w:rsidR="008255EF" w:rsidRPr="009369AE" w:rsidRDefault="008255EF" w:rsidP="008255EF">
      <w:pPr>
        <w:spacing w:after="240"/>
        <w:ind w:left="567" w:hanging="567"/>
      </w:pPr>
      <w:r w:rsidRPr="009369AE">
        <w:t>A.</w:t>
      </w:r>
      <w:r w:rsidRPr="009369AE">
        <w:tab/>
        <w:t>whereas the President adopted Parliament’s accounts for the financial year 2023 on 19 June 2024;</w:t>
      </w:r>
    </w:p>
    <w:p w14:paraId="34D01C83" w14:textId="77777777" w:rsidR="008255EF" w:rsidRPr="009369AE" w:rsidRDefault="008255EF" w:rsidP="008255EF">
      <w:pPr>
        <w:spacing w:after="240"/>
        <w:ind w:left="567" w:hanging="567"/>
      </w:pPr>
      <w:r w:rsidRPr="009369AE">
        <w:t>B.</w:t>
      </w:r>
      <w:r w:rsidRPr="009369AE">
        <w:tab/>
        <w:t>whereas the Secretary-General, as the principal authorising officer by delegation, certified, on 18 June 2024, his reasonable assurance that the resources assigned for Parliament’s budget have been used for their intended purpose, in accordance with the principles of sound financial management and that control procedures established give the necessary guarantees concerning the legality and regularity of the underlying transactions;</w:t>
      </w:r>
    </w:p>
    <w:p w14:paraId="2EE290CD" w14:textId="77777777" w:rsidR="008255EF" w:rsidRPr="009369AE" w:rsidRDefault="008255EF" w:rsidP="008255EF">
      <w:pPr>
        <w:spacing w:after="240"/>
        <w:ind w:left="567" w:hanging="567"/>
      </w:pPr>
      <w:r w:rsidRPr="009369AE">
        <w:t>C.</w:t>
      </w:r>
      <w:r w:rsidRPr="009369AE">
        <w:tab/>
        <w:t>whereas the Court of Auditors stated in its audit that, in its specific assessment of administrative and other expenditure in 2023, it did not identify any serious weaknesses in the annual activity reports of the institutions and bodies it examined as required by Regulation (EU, Euratom) 2018/1046;</w:t>
      </w:r>
    </w:p>
    <w:p w14:paraId="44D9DFB0" w14:textId="77777777" w:rsidR="008255EF" w:rsidRPr="009369AE" w:rsidRDefault="008255EF" w:rsidP="008255EF">
      <w:pPr>
        <w:spacing w:after="240"/>
        <w:ind w:left="567" w:hanging="567"/>
        <w:rPr>
          <w:noProof/>
        </w:rPr>
      </w:pPr>
      <w:r w:rsidRPr="009369AE">
        <w:rPr>
          <w:noProof/>
        </w:rPr>
        <w:t>1.</w:t>
      </w:r>
      <w:r w:rsidRPr="009369AE">
        <w:rPr>
          <w:noProof/>
        </w:rPr>
        <w:tab/>
        <w:t>Grants its President discharge in respect of the implementation of the budget of the European Parliament for the financial year 2023;</w:t>
      </w:r>
    </w:p>
    <w:p w14:paraId="7D90090E" w14:textId="0662E57E" w:rsidR="00E365E1" w:rsidRPr="00800742" w:rsidRDefault="008255EF" w:rsidP="008255EF">
      <w:pPr>
        <w:spacing w:after="240"/>
        <w:ind w:left="567" w:hanging="567"/>
      </w:pPr>
      <w:r w:rsidRPr="009369AE">
        <w:rPr>
          <w:noProof/>
        </w:rPr>
        <w:t>2.</w:t>
      </w:r>
      <w:r w:rsidRPr="009369AE">
        <w:rPr>
          <w:noProof/>
        </w:rPr>
        <w:tab/>
        <w:t xml:space="preserve">Instructs its President to forward this decision to the Council, the Commission and the Court of Auditors, and to arrange for their publication in the </w:t>
      </w:r>
      <w:r w:rsidRPr="009369AE">
        <w:rPr>
          <w:i/>
          <w:noProof/>
        </w:rPr>
        <w:t>Official Journal of the European Union</w:t>
      </w:r>
      <w:r w:rsidRPr="009369AE">
        <w:rPr>
          <w:noProof/>
        </w:rPr>
        <w:t xml:space="preserve"> (L series).</w:t>
      </w:r>
    </w:p>
    <w:sectPr w:rsidR="00E365E1" w:rsidRPr="00800742" w:rsidSect="0080074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2C477" w14:textId="77777777" w:rsidR="00BF69E2" w:rsidRPr="00800742" w:rsidRDefault="00BF69E2">
      <w:r w:rsidRPr="00800742">
        <w:separator/>
      </w:r>
    </w:p>
  </w:endnote>
  <w:endnote w:type="continuationSeparator" w:id="0">
    <w:p w14:paraId="26A1E9D0" w14:textId="77777777" w:rsidR="00BF69E2" w:rsidRPr="00800742" w:rsidRDefault="00BF69E2">
      <w:r w:rsidRPr="008007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6EC80" w14:textId="77777777" w:rsidR="00064002" w:rsidRPr="0080074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AAB2" w14:textId="77777777" w:rsidR="00064002" w:rsidRPr="0080074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33563" w14:textId="77777777" w:rsidR="00064002" w:rsidRPr="0080074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93B55" w14:textId="77777777" w:rsidR="00BF69E2" w:rsidRPr="00800742" w:rsidRDefault="00BF69E2">
      <w:r w:rsidRPr="00800742">
        <w:separator/>
      </w:r>
    </w:p>
  </w:footnote>
  <w:footnote w:type="continuationSeparator" w:id="0">
    <w:p w14:paraId="563241EE" w14:textId="77777777" w:rsidR="00BF69E2" w:rsidRPr="00800742" w:rsidRDefault="00BF69E2">
      <w:r w:rsidRPr="00800742">
        <w:continuationSeparator/>
      </w:r>
    </w:p>
  </w:footnote>
  <w:footnote w:id="1">
    <w:p w14:paraId="3BBE3037" w14:textId="77777777" w:rsidR="008255EF" w:rsidRPr="00163F02" w:rsidRDefault="008255EF" w:rsidP="008255EF">
      <w:pPr>
        <w:ind w:left="567" w:hanging="567"/>
        <w:rPr>
          <w:lang w:val="fi-FI"/>
        </w:rPr>
      </w:pPr>
      <w:r w:rsidRPr="00163F02">
        <w:rPr>
          <w:rStyle w:val="FootnoteReference"/>
        </w:rPr>
        <w:footnoteRef/>
      </w:r>
      <w:r w:rsidRPr="00163F02">
        <w:rPr>
          <w:lang w:val="fi-FI"/>
        </w:rPr>
        <w:t xml:space="preserve"> </w:t>
      </w:r>
      <w:r w:rsidRPr="009369AE">
        <w:rPr>
          <w:lang w:val="fi-FI"/>
        </w:rPr>
        <w:tab/>
        <w:t xml:space="preserve">OJ L 58, 23.2.2023, p. 1, ELI: </w:t>
      </w:r>
      <w:hyperlink r:id="rId1" w:tooltip="Gives access to this document through its ELI URI." w:history="1">
        <w:r w:rsidRPr="009369AE">
          <w:rPr>
            <w:color w:val="0563C1"/>
            <w:u w:val="single"/>
            <w:shd w:val="clear" w:color="auto" w:fill="FFFFFF"/>
            <w:lang w:val="fi-FI"/>
          </w:rPr>
          <w:t>http://data.europa.eu/eli/budget/2023/1/oj</w:t>
        </w:r>
      </w:hyperlink>
      <w:r w:rsidRPr="009369AE">
        <w:rPr>
          <w:shd w:val="clear" w:color="auto" w:fill="FFFFFF"/>
          <w:lang w:val="fi-FI"/>
        </w:rPr>
        <w:t>.</w:t>
      </w:r>
    </w:p>
  </w:footnote>
  <w:footnote w:id="2">
    <w:p w14:paraId="0A4C8FD7" w14:textId="77777777" w:rsidR="008255EF" w:rsidRPr="00163F02" w:rsidRDefault="008255EF" w:rsidP="008255EF">
      <w:pPr>
        <w:pStyle w:val="FootnoteText"/>
        <w:ind w:left="567" w:hanging="567"/>
        <w:rPr>
          <w:sz w:val="24"/>
          <w:lang w:val="fi-FI"/>
        </w:rPr>
      </w:pPr>
      <w:r w:rsidRPr="00163F02">
        <w:rPr>
          <w:rStyle w:val="FootnoteReference"/>
          <w:sz w:val="24"/>
        </w:rPr>
        <w:footnoteRef/>
      </w:r>
      <w:r w:rsidRPr="00163F02">
        <w:rPr>
          <w:sz w:val="24"/>
          <w:lang w:val="fi-FI"/>
        </w:rPr>
        <w:t xml:space="preserve"> </w:t>
      </w:r>
      <w:r w:rsidRPr="009369AE">
        <w:rPr>
          <w:sz w:val="24"/>
          <w:lang w:val="fi-FI"/>
        </w:rPr>
        <w:tab/>
        <w:t xml:space="preserve">OJ C, C/2024/5462, 10.10.2024, ELI: </w:t>
      </w:r>
      <w:hyperlink r:id="rId2" w:history="1">
        <w:r w:rsidRPr="009369AE">
          <w:rPr>
            <w:rStyle w:val="Hyperlink1"/>
            <w:sz w:val="24"/>
            <w:lang w:val="fi-FI"/>
          </w:rPr>
          <w:t>http://data.europa.eu/eli/C/2024/5462/oj</w:t>
        </w:r>
      </w:hyperlink>
      <w:r w:rsidRPr="009369AE">
        <w:rPr>
          <w:sz w:val="24"/>
          <w:shd w:val="clear" w:color="auto" w:fill="FFFFFF"/>
          <w:lang w:val="fi-FI"/>
        </w:rPr>
        <w:t>.</w:t>
      </w:r>
    </w:p>
  </w:footnote>
  <w:footnote w:id="3">
    <w:p w14:paraId="3636E720" w14:textId="77777777" w:rsidR="008255EF" w:rsidRPr="00163F02" w:rsidRDefault="008255EF" w:rsidP="008255EF">
      <w:pPr>
        <w:pStyle w:val="FootnoteText"/>
        <w:ind w:left="567" w:hanging="567"/>
        <w:rPr>
          <w:sz w:val="24"/>
          <w:lang w:val="fi-FI"/>
        </w:rPr>
      </w:pPr>
      <w:r w:rsidRPr="00163F02">
        <w:rPr>
          <w:rStyle w:val="FootnoteReference"/>
          <w:sz w:val="24"/>
        </w:rPr>
        <w:footnoteRef/>
      </w:r>
      <w:r w:rsidRPr="00163F02">
        <w:rPr>
          <w:sz w:val="24"/>
          <w:lang w:val="fi-FI"/>
        </w:rPr>
        <w:t xml:space="preserve"> </w:t>
      </w:r>
      <w:r w:rsidRPr="009369AE">
        <w:rPr>
          <w:sz w:val="24"/>
          <w:lang w:val="fi-FI"/>
        </w:rPr>
        <w:tab/>
        <w:t xml:space="preserve">OJ C, C/2024/3115, 23.5.2024, ELI: </w:t>
      </w:r>
      <w:hyperlink r:id="rId3" w:history="1">
        <w:r w:rsidRPr="009369AE">
          <w:rPr>
            <w:rStyle w:val="Hyperlink1"/>
            <w:sz w:val="24"/>
            <w:lang w:val="fi-FI"/>
          </w:rPr>
          <w:t>http://data.europa.eu/eli/C/2024/3115/oj</w:t>
        </w:r>
      </w:hyperlink>
      <w:r w:rsidRPr="009369AE">
        <w:rPr>
          <w:sz w:val="24"/>
          <w:shd w:val="clear" w:color="auto" w:fill="FFFFFF"/>
          <w:lang w:val="fi-FI"/>
        </w:rPr>
        <w:t>.</w:t>
      </w:r>
    </w:p>
  </w:footnote>
  <w:footnote w:id="4">
    <w:p w14:paraId="734D7D0E" w14:textId="77777777" w:rsidR="008255EF" w:rsidRPr="00163F02" w:rsidRDefault="008255EF" w:rsidP="008255EF">
      <w:pPr>
        <w:pStyle w:val="FootnoteText"/>
        <w:ind w:left="567" w:hanging="567"/>
        <w:rPr>
          <w:sz w:val="24"/>
          <w:lang w:val="fi-FI"/>
        </w:rPr>
      </w:pPr>
      <w:r w:rsidRPr="00163F02">
        <w:rPr>
          <w:rStyle w:val="FootnoteReference"/>
          <w:sz w:val="24"/>
        </w:rPr>
        <w:footnoteRef/>
      </w:r>
      <w:r w:rsidRPr="00163F02">
        <w:rPr>
          <w:sz w:val="24"/>
          <w:lang w:val="fi-FI"/>
        </w:rPr>
        <w:t xml:space="preserve"> </w:t>
      </w:r>
      <w:r w:rsidRPr="009369AE">
        <w:rPr>
          <w:sz w:val="24"/>
          <w:lang w:val="fi-FI"/>
        </w:rPr>
        <w:tab/>
        <w:t xml:space="preserve">OJ C, C/2024/5882, 9.10.2024, ELI: </w:t>
      </w:r>
      <w:hyperlink r:id="rId4" w:history="1">
        <w:r w:rsidRPr="009369AE">
          <w:rPr>
            <w:rStyle w:val="Hyperlink1"/>
            <w:sz w:val="24"/>
            <w:lang w:val="fi-FI"/>
          </w:rPr>
          <w:t>http://data.europa.eu/eli/C/2024/5882/oj</w:t>
        </w:r>
      </w:hyperlink>
      <w:r w:rsidRPr="009369AE">
        <w:rPr>
          <w:sz w:val="24"/>
          <w:shd w:val="clear" w:color="auto" w:fill="FFFFFF"/>
          <w:lang w:val="fi-FI"/>
        </w:rPr>
        <w:t>.</w:t>
      </w:r>
    </w:p>
  </w:footnote>
  <w:footnote w:id="5">
    <w:p w14:paraId="7EC37865" w14:textId="77777777" w:rsidR="008255EF" w:rsidRPr="00163F02" w:rsidRDefault="008255EF" w:rsidP="008255EF">
      <w:pPr>
        <w:pStyle w:val="FootnoteText"/>
        <w:ind w:left="567" w:hanging="567"/>
        <w:rPr>
          <w:sz w:val="24"/>
          <w:lang w:val="fi-FI"/>
        </w:rPr>
      </w:pPr>
      <w:r w:rsidRPr="00163F02">
        <w:rPr>
          <w:rStyle w:val="FootnoteReference"/>
          <w:sz w:val="24"/>
        </w:rPr>
        <w:footnoteRef/>
      </w:r>
      <w:r w:rsidRPr="00163F02">
        <w:rPr>
          <w:sz w:val="24"/>
          <w:lang w:val="fi-FI"/>
        </w:rPr>
        <w:t xml:space="preserve"> </w:t>
      </w:r>
      <w:r w:rsidRPr="009369AE">
        <w:rPr>
          <w:sz w:val="24"/>
          <w:lang w:val="fi-FI"/>
        </w:rPr>
        <w:tab/>
        <w:t xml:space="preserve">OJ C, C/2024/6041, 10.10.2024, ELI: </w:t>
      </w:r>
      <w:hyperlink r:id="rId5" w:history="1">
        <w:r w:rsidRPr="009369AE">
          <w:rPr>
            <w:rStyle w:val="Hyperlink1"/>
            <w:sz w:val="24"/>
            <w:lang w:val="fi-FI"/>
          </w:rPr>
          <w:t>http://data.europa.eu/eli/C/2024/6041/oj</w:t>
        </w:r>
      </w:hyperlink>
      <w:r w:rsidRPr="009369AE">
        <w:rPr>
          <w:sz w:val="24"/>
          <w:shd w:val="clear" w:color="auto" w:fill="FFFFFF"/>
          <w:lang w:val="fi-FI"/>
        </w:rPr>
        <w:t>.</w:t>
      </w:r>
    </w:p>
  </w:footnote>
  <w:footnote w:id="6">
    <w:p w14:paraId="2BEEB3B4" w14:textId="77777777" w:rsidR="008255EF" w:rsidRPr="00163F02" w:rsidRDefault="008255EF" w:rsidP="008255EF">
      <w:pPr>
        <w:pStyle w:val="FootnoteText"/>
        <w:ind w:left="567" w:hanging="567"/>
        <w:rPr>
          <w:sz w:val="24"/>
          <w:lang w:val="fi-FI"/>
        </w:rPr>
      </w:pPr>
      <w:r w:rsidRPr="00163F02">
        <w:rPr>
          <w:rStyle w:val="FootnoteReference"/>
          <w:sz w:val="24"/>
        </w:rPr>
        <w:footnoteRef/>
      </w:r>
      <w:r w:rsidRPr="00163F02">
        <w:rPr>
          <w:sz w:val="24"/>
          <w:lang w:val="fi-FI"/>
        </w:rPr>
        <w:t xml:space="preserve"> </w:t>
      </w:r>
      <w:r w:rsidRPr="009369AE">
        <w:rPr>
          <w:sz w:val="24"/>
          <w:lang w:val="fi-FI"/>
        </w:rPr>
        <w:tab/>
        <w:t xml:space="preserve">OJ L 193, 30.7.2018, p. 1, ELI: </w:t>
      </w:r>
      <w:hyperlink r:id="rId6" w:history="1">
        <w:r w:rsidRPr="009369AE">
          <w:rPr>
            <w:rStyle w:val="Hyperlink1"/>
            <w:sz w:val="24"/>
            <w:lang w:val="fi-FI"/>
          </w:rPr>
          <w:t>http://data.europa.eu/eli/reg/2018/1046/oj</w:t>
        </w:r>
      </w:hyperlink>
      <w:r w:rsidRPr="009369AE">
        <w:rPr>
          <w:sz w:val="24"/>
          <w:lang w:val="fi-FI"/>
        </w:rPr>
        <w:t>.</w:t>
      </w:r>
    </w:p>
  </w:footnote>
  <w:footnote w:id="7">
    <w:p w14:paraId="7F70C15A" w14:textId="77777777" w:rsidR="008255EF" w:rsidRPr="00163F02" w:rsidRDefault="008255EF" w:rsidP="008255EF">
      <w:pPr>
        <w:pStyle w:val="FootnoteText"/>
        <w:ind w:left="567" w:hanging="567"/>
        <w:rPr>
          <w:sz w:val="24"/>
          <w:szCs w:val="24"/>
          <w:lang w:val="fi-FI"/>
        </w:rPr>
      </w:pPr>
      <w:r w:rsidRPr="00163F02">
        <w:rPr>
          <w:rStyle w:val="FootnoteReference"/>
          <w:sz w:val="24"/>
        </w:rPr>
        <w:footnoteRef/>
      </w:r>
      <w:r w:rsidRPr="00163F02">
        <w:rPr>
          <w:sz w:val="24"/>
          <w:lang w:val="fi-FI"/>
        </w:rPr>
        <w:t xml:space="preserve"> </w:t>
      </w:r>
      <w:r w:rsidRPr="009369AE">
        <w:rPr>
          <w:sz w:val="24"/>
          <w:lang w:val="fi-FI"/>
        </w:rPr>
        <w:tab/>
        <w:t xml:space="preserve">OJ L, 2024/2509, 26.9.2024, ELI: </w:t>
      </w:r>
      <w:hyperlink r:id="rId7" w:tgtFrame="_blank" w:history="1">
        <w:r w:rsidRPr="009369AE">
          <w:rPr>
            <w:rStyle w:val="Hyperlink1"/>
            <w:bCs/>
            <w:sz w:val="24"/>
            <w:shd w:val="clear" w:color="auto" w:fill="FFFFFF"/>
            <w:lang w:val="fi-FI"/>
          </w:rPr>
          <w:t>http://data.europa.eu/eli/reg/2024/2509/oj</w:t>
        </w:r>
      </w:hyperlink>
      <w:r w:rsidRPr="009369AE">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6475" w14:textId="77777777" w:rsidR="00064002" w:rsidRPr="0080074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334D" w14:textId="77777777" w:rsidR="00064002" w:rsidRPr="0080074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E9E51" w14:textId="77777777" w:rsidR="00064002" w:rsidRPr="0080074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47244916">
    <w:abstractNumId w:val="9"/>
  </w:num>
  <w:num w:numId="2" w16cid:durableId="173153815">
    <w:abstractNumId w:val="9"/>
  </w:num>
  <w:num w:numId="3" w16cid:durableId="413747828">
    <w:abstractNumId w:val="7"/>
  </w:num>
  <w:num w:numId="4" w16cid:durableId="1408575724">
    <w:abstractNumId w:val="7"/>
  </w:num>
  <w:num w:numId="5" w16cid:durableId="33308534">
    <w:abstractNumId w:val="6"/>
  </w:num>
  <w:num w:numId="6" w16cid:durableId="727268104">
    <w:abstractNumId w:val="6"/>
  </w:num>
  <w:num w:numId="7" w16cid:durableId="1367024321">
    <w:abstractNumId w:val="5"/>
  </w:num>
  <w:num w:numId="8" w16cid:durableId="937178255">
    <w:abstractNumId w:val="5"/>
  </w:num>
  <w:num w:numId="9" w16cid:durableId="59449758">
    <w:abstractNumId w:val="4"/>
  </w:num>
  <w:num w:numId="10" w16cid:durableId="1232542583">
    <w:abstractNumId w:val="4"/>
  </w:num>
  <w:num w:numId="11" w16cid:durableId="805783823">
    <w:abstractNumId w:val="8"/>
  </w:num>
  <w:num w:numId="12" w16cid:durableId="1941178993">
    <w:abstractNumId w:val="8"/>
  </w:num>
  <w:num w:numId="13" w16cid:durableId="269168020">
    <w:abstractNumId w:val="3"/>
  </w:num>
  <w:num w:numId="14" w16cid:durableId="732511183">
    <w:abstractNumId w:val="3"/>
  </w:num>
  <w:num w:numId="15" w16cid:durableId="245189308">
    <w:abstractNumId w:val="2"/>
  </w:num>
  <w:num w:numId="16" w16cid:durableId="632952698">
    <w:abstractNumId w:val="2"/>
  </w:num>
  <w:num w:numId="17" w16cid:durableId="1324898573">
    <w:abstractNumId w:val="1"/>
  </w:num>
  <w:num w:numId="18" w16cid:durableId="1422869869">
    <w:abstractNumId w:val="1"/>
  </w:num>
  <w:num w:numId="19" w16cid:durableId="969479349">
    <w:abstractNumId w:val="0"/>
  </w:num>
  <w:num w:numId="20" w16cid:durableId="1630430870">
    <w:abstractNumId w:val="0"/>
  </w:num>
  <w:num w:numId="21" w16cid:durableId="360205034">
    <w:abstractNumId w:val="9"/>
  </w:num>
  <w:num w:numId="22" w16cid:durableId="903415291">
    <w:abstractNumId w:val="7"/>
  </w:num>
  <w:num w:numId="23" w16cid:durableId="1963729954">
    <w:abstractNumId w:val="6"/>
  </w:num>
  <w:num w:numId="24" w16cid:durableId="1408923093">
    <w:abstractNumId w:val="5"/>
  </w:num>
  <w:num w:numId="25" w16cid:durableId="429668072">
    <w:abstractNumId w:val="4"/>
  </w:num>
  <w:num w:numId="26" w16cid:durableId="1498571660">
    <w:abstractNumId w:val="8"/>
  </w:num>
  <w:num w:numId="27" w16cid:durableId="1375694064">
    <w:abstractNumId w:val="3"/>
  </w:num>
  <w:num w:numId="28" w16cid:durableId="1201630708">
    <w:abstractNumId w:val="2"/>
  </w:num>
  <w:num w:numId="29" w16cid:durableId="429199406">
    <w:abstractNumId w:val="1"/>
  </w:num>
  <w:num w:numId="30" w16cid:durableId="1575237564">
    <w:abstractNumId w:val="0"/>
  </w:num>
  <w:num w:numId="31" w16cid:durableId="2132554887">
    <w:abstractNumId w:val="9"/>
  </w:num>
  <w:num w:numId="32" w16cid:durableId="1735153462">
    <w:abstractNumId w:val="7"/>
  </w:num>
  <w:num w:numId="33" w16cid:durableId="1578439563">
    <w:abstractNumId w:val="6"/>
  </w:num>
  <w:num w:numId="34" w16cid:durableId="2134445080">
    <w:abstractNumId w:val="5"/>
  </w:num>
  <w:num w:numId="35" w16cid:durableId="303780296">
    <w:abstractNumId w:val="4"/>
  </w:num>
  <w:num w:numId="36" w16cid:durableId="870343599">
    <w:abstractNumId w:val="8"/>
  </w:num>
  <w:num w:numId="37" w16cid:durableId="692534070">
    <w:abstractNumId w:val="3"/>
  </w:num>
  <w:num w:numId="38" w16cid:durableId="1311133825">
    <w:abstractNumId w:val="2"/>
  </w:num>
  <w:num w:numId="39" w16cid:durableId="734471944">
    <w:abstractNumId w:val="1"/>
  </w:num>
  <w:num w:numId="40" w16cid:durableId="1932622009">
    <w:abstractNumId w:val="0"/>
  </w:num>
  <w:num w:numId="41" w16cid:durableId="511604554">
    <w:abstractNumId w:val="10"/>
  </w:num>
  <w:num w:numId="42" w16cid:durableId="777606744">
    <w:abstractNumId w:val="10"/>
  </w:num>
  <w:num w:numId="43" w16cid:durableId="297034384">
    <w:abstractNumId w:val="10"/>
  </w:num>
  <w:num w:numId="44" w16cid:durableId="3789363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62/2025"/>
    <w:docVar w:name="dvlangue" w:val="EN"/>
    <w:docVar w:name="dvnumam" w:val="0"/>
    <w:docVar w:name="dvpe" w:val="764.999"/>
    <w:docVar w:name="dvrapporteur" w:val="Rapporteur: "/>
    <w:docVar w:name="dvtitre" w:val="European Parliament decision of 7 May 2025 on discharge in respect of the implementation of the general budget of the European Union for the financial year 2023, Section I – European Parliament(2024/2020(DEC))"/>
  </w:docVars>
  <w:rsids>
    <w:rsidRoot w:val="00BF69E2"/>
    <w:rsid w:val="00002272"/>
    <w:rsid w:val="00064002"/>
    <w:rsid w:val="000677B9"/>
    <w:rsid w:val="000831BA"/>
    <w:rsid w:val="000A42CC"/>
    <w:rsid w:val="000E7DD9"/>
    <w:rsid w:val="0010095E"/>
    <w:rsid w:val="00125B37"/>
    <w:rsid w:val="00153BBB"/>
    <w:rsid w:val="00187494"/>
    <w:rsid w:val="001F32AE"/>
    <w:rsid w:val="002767FF"/>
    <w:rsid w:val="002B18FE"/>
    <w:rsid w:val="002B5493"/>
    <w:rsid w:val="00343214"/>
    <w:rsid w:val="00361C00"/>
    <w:rsid w:val="00395FA1"/>
    <w:rsid w:val="003E15D4"/>
    <w:rsid w:val="00401C7C"/>
    <w:rsid w:val="00411CCE"/>
    <w:rsid w:val="0041666E"/>
    <w:rsid w:val="00421060"/>
    <w:rsid w:val="00471C19"/>
    <w:rsid w:val="004867E3"/>
    <w:rsid w:val="00494A28"/>
    <w:rsid w:val="004C0004"/>
    <w:rsid w:val="004C5D52"/>
    <w:rsid w:val="0050519A"/>
    <w:rsid w:val="005072A1"/>
    <w:rsid w:val="00514517"/>
    <w:rsid w:val="00545827"/>
    <w:rsid w:val="00560270"/>
    <w:rsid w:val="00565FA5"/>
    <w:rsid w:val="005C2568"/>
    <w:rsid w:val="005F1B17"/>
    <w:rsid w:val="005F5F21"/>
    <w:rsid w:val="006037C0"/>
    <w:rsid w:val="006631B6"/>
    <w:rsid w:val="00680577"/>
    <w:rsid w:val="006F74FA"/>
    <w:rsid w:val="00731ADD"/>
    <w:rsid w:val="00734777"/>
    <w:rsid w:val="00747932"/>
    <w:rsid w:val="00751A4A"/>
    <w:rsid w:val="00756632"/>
    <w:rsid w:val="00762C74"/>
    <w:rsid w:val="00786EC0"/>
    <w:rsid w:val="007A6AF6"/>
    <w:rsid w:val="007D1690"/>
    <w:rsid w:val="007E22AD"/>
    <w:rsid w:val="00800742"/>
    <w:rsid w:val="00817416"/>
    <w:rsid w:val="008255EF"/>
    <w:rsid w:val="00825B3B"/>
    <w:rsid w:val="00842779"/>
    <w:rsid w:val="00865F67"/>
    <w:rsid w:val="00881A7B"/>
    <w:rsid w:val="008840E5"/>
    <w:rsid w:val="008857BE"/>
    <w:rsid w:val="00887B3E"/>
    <w:rsid w:val="008C1E61"/>
    <w:rsid w:val="008C2AC6"/>
    <w:rsid w:val="00930C23"/>
    <w:rsid w:val="0093193B"/>
    <w:rsid w:val="009509D8"/>
    <w:rsid w:val="00950B64"/>
    <w:rsid w:val="00981893"/>
    <w:rsid w:val="00A1687D"/>
    <w:rsid w:val="00A43E52"/>
    <w:rsid w:val="00A4678D"/>
    <w:rsid w:val="00A7367F"/>
    <w:rsid w:val="00A778C7"/>
    <w:rsid w:val="00AB441E"/>
    <w:rsid w:val="00AB6293"/>
    <w:rsid w:val="00AE0928"/>
    <w:rsid w:val="00AF3B82"/>
    <w:rsid w:val="00B12E95"/>
    <w:rsid w:val="00B21C30"/>
    <w:rsid w:val="00B22876"/>
    <w:rsid w:val="00B558F0"/>
    <w:rsid w:val="00BD48FE"/>
    <w:rsid w:val="00BD7BD8"/>
    <w:rsid w:val="00BE6ADC"/>
    <w:rsid w:val="00BF69E2"/>
    <w:rsid w:val="00C05BFE"/>
    <w:rsid w:val="00C23CD4"/>
    <w:rsid w:val="00C4560B"/>
    <w:rsid w:val="00C61C0C"/>
    <w:rsid w:val="00C91EFF"/>
    <w:rsid w:val="00C941CB"/>
    <w:rsid w:val="00CB0B00"/>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229D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E578D"/>
  <w15:chartTrackingRefBased/>
  <w15:docId w15:val="{6FB8A40F-5041-4007-A96A-BFD8D2687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53BBB"/>
    <w:pPr>
      <w:spacing w:before="480" w:after="240"/>
    </w:pPr>
  </w:style>
  <w:style w:type="paragraph" w:customStyle="1" w:styleId="NormalHanging12a">
    <w:name w:val="NormalHanging12a"/>
    <w:basedOn w:val="Normal"/>
    <w:link w:val="NormalHanging12aChar"/>
    <w:rsid w:val="00153BBB"/>
    <w:pPr>
      <w:spacing w:after="240"/>
      <w:ind w:left="567" w:hanging="567"/>
    </w:pPr>
  </w:style>
  <w:style w:type="character" w:styleId="Hyperlink">
    <w:name w:val="Hyperlink"/>
    <w:basedOn w:val="DefaultParagraphFont"/>
    <w:uiPriority w:val="99"/>
    <w:rsid w:val="00153BBB"/>
    <w:rPr>
      <w:color w:val="0563C1" w:themeColor="hyperlink"/>
      <w:u w:val="single"/>
    </w:rPr>
  </w:style>
  <w:style w:type="character" w:customStyle="1" w:styleId="NormalHanging12aChar">
    <w:name w:val="NormalHanging12a Char"/>
    <w:basedOn w:val="DefaultParagraphFont"/>
    <w:link w:val="NormalHanging12a"/>
    <w:locked/>
    <w:rsid w:val="00153BBB"/>
    <w:rPr>
      <w:sz w:val="24"/>
    </w:rPr>
  </w:style>
  <w:style w:type="paragraph" w:styleId="BalloonText">
    <w:name w:val="Balloon Text"/>
    <w:basedOn w:val="Normal"/>
    <w:link w:val="BalloonTextChar"/>
    <w:rsid w:val="00A7367F"/>
    <w:rPr>
      <w:rFonts w:ascii="Segoe UI" w:hAnsi="Segoe UI" w:cs="Segoe UI"/>
      <w:sz w:val="18"/>
      <w:szCs w:val="18"/>
    </w:rPr>
  </w:style>
  <w:style w:type="character" w:customStyle="1" w:styleId="BalloonTextChar">
    <w:name w:val="Balloon Text Char"/>
    <w:basedOn w:val="DefaultParagraphFont"/>
    <w:link w:val="BalloonText"/>
    <w:rsid w:val="00A7367F"/>
    <w:rPr>
      <w:rFonts w:ascii="Segoe UI" w:hAnsi="Segoe UI" w:cs="Segoe UI"/>
      <w:sz w:val="18"/>
      <w:szCs w:val="18"/>
    </w:rPr>
  </w:style>
  <w:style w:type="character" w:styleId="CommentReference">
    <w:name w:val="annotation reference"/>
    <w:basedOn w:val="DefaultParagraphFont"/>
    <w:uiPriority w:val="99"/>
    <w:rsid w:val="005F5F21"/>
    <w:rPr>
      <w:sz w:val="16"/>
      <w:szCs w:val="16"/>
    </w:rPr>
  </w:style>
  <w:style w:type="paragraph" w:styleId="CommentText">
    <w:name w:val="annotation text"/>
    <w:basedOn w:val="Normal"/>
    <w:link w:val="CommentTextChar"/>
    <w:uiPriority w:val="99"/>
    <w:rsid w:val="005F5F21"/>
    <w:rPr>
      <w:sz w:val="20"/>
    </w:rPr>
  </w:style>
  <w:style w:type="character" w:customStyle="1" w:styleId="CommentTextChar">
    <w:name w:val="Comment Text Char"/>
    <w:basedOn w:val="DefaultParagraphFont"/>
    <w:link w:val="CommentText"/>
    <w:uiPriority w:val="99"/>
    <w:rsid w:val="005F5F21"/>
  </w:style>
  <w:style w:type="paragraph" w:styleId="CommentSubject">
    <w:name w:val="annotation subject"/>
    <w:basedOn w:val="CommentText"/>
    <w:next w:val="CommentText"/>
    <w:link w:val="CommentSubjectChar"/>
    <w:rsid w:val="005F5F21"/>
    <w:rPr>
      <w:b/>
      <w:bCs/>
    </w:rPr>
  </w:style>
  <w:style w:type="character" w:customStyle="1" w:styleId="CommentSubjectChar">
    <w:name w:val="Comment Subject Char"/>
    <w:basedOn w:val="CommentTextChar"/>
    <w:link w:val="CommentSubject"/>
    <w:rsid w:val="005F5F21"/>
    <w:rPr>
      <w:b/>
      <w:bCs/>
    </w:rPr>
  </w:style>
  <w:style w:type="character" w:customStyle="1" w:styleId="Hyperlink1">
    <w:name w:val="Hyperlink1"/>
    <w:basedOn w:val="DefaultParagraphFont"/>
    <w:uiPriority w:val="99"/>
    <w:rsid w:val="008255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4/3115/oj" TargetMode="External"/><Relationship Id="rId7" Type="http://schemas.openxmlformats.org/officeDocument/2006/relationships/hyperlink" Target="http://data.europa.eu/eli/reg/2024/2509/oj" TargetMode="External"/><Relationship Id="rId2" Type="http://schemas.openxmlformats.org/officeDocument/2006/relationships/hyperlink" Target="http://data.europa.eu/eli/C/2024/5462/oj" TargetMode="External"/><Relationship Id="rId1" Type="http://schemas.openxmlformats.org/officeDocument/2006/relationships/hyperlink" Target="http://data.europa.eu/eli/budget/2023/1/oj" TargetMode="External"/><Relationship Id="rId6" Type="http://schemas.openxmlformats.org/officeDocument/2006/relationships/hyperlink" Target="http://data.europa.eu/eli/reg/2018/1046/oj" TargetMode="External"/><Relationship Id="rId5" Type="http://schemas.openxmlformats.org/officeDocument/2006/relationships/hyperlink" Target="http://data.europa.eu/eli/C/2024/6041/oj" TargetMode="External"/><Relationship Id="rId4" Type="http://schemas.openxmlformats.org/officeDocument/2006/relationships/hyperlink" Target="http://data.europa.eu/eli/C/2024/588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F64AF-8CC6-4095-8B39-90D8DD8CB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2025-12-04T11:36:00Z</dcterms:created>
  <dcterms:modified xsi:type="dcterms:W3CDTF">2025-12-04T11:36:00Z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P10_TA(2025)0078_</vt:lpwstr>
  </property>
  <property fmtid="{D5CDD505-2E9C-101B-9397-08002B2CF9AE}" pid="4" name="&lt;Type&gt;">
    <vt:lpwstr>RR</vt:lpwstr>
  </property>
</Properties>
</file>