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AC4" w14:paraId="470CF746" w14:textId="77777777" w:rsidTr="0010095E">
        <w:trPr>
          <w:trHeight w:hRule="exact" w:val="1418"/>
        </w:trPr>
        <w:tc>
          <w:tcPr>
            <w:tcW w:w="6804" w:type="dxa"/>
            <w:shd w:val="clear" w:color="auto" w:fill="auto"/>
            <w:vAlign w:val="center"/>
          </w:tcPr>
          <w:p w14:paraId="16CD7DDD" w14:textId="77777777" w:rsidR="00751A4A" w:rsidRPr="00851AC4" w:rsidRDefault="00DE143C" w:rsidP="0010095E">
            <w:pPr>
              <w:pStyle w:val="EPName"/>
            </w:pPr>
            <w:r w:rsidRPr="00851AC4">
              <w:t>Parlamento Europeo</w:t>
            </w:r>
          </w:p>
          <w:p w14:paraId="6462392F" w14:textId="77777777" w:rsidR="00751A4A" w:rsidRPr="00851AC4" w:rsidRDefault="005F1B17" w:rsidP="005F1B17">
            <w:pPr>
              <w:pStyle w:val="EPTerm"/>
              <w:rPr>
                <w:rStyle w:val="HideTWBExt"/>
                <w:noProof w:val="0"/>
                <w:vanish w:val="0"/>
                <w:color w:val="auto"/>
              </w:rPr>
            </w:pPr>
            <w:r w:rsidRPr="00851AC4">
              <w:t>2024</w:t>
            </w:r>
            <w:r w:rsidR="00817416" w:rsidRPr="00851AC4">
              <w:t>-202</w:t>
            </w:r>
            <w:r w:rsidRPr="00851AC4">
              <w:t>9</w:t>
            </w:r>
          </w:p>
        </w:tc>
        <w:tc>
          <w:tcPr>
            <w:tcW w:w="2268" w:type="dxa"/>
            <w:shd w:val="clear" w:color="auto" w:fill="auto"/>
          </w:tcPr>
          <w:p w14:paraId="2738BF3B" w14:textId="77777777" w:rsidR="00751A4A" w:rsidRPr="00851AC4" w:rsidRDefault="00187494" w:rsidP="0010095E">
            <w:pPr>
              <w:pStyle w:val="EPLogo"/>
            </w:pPr>
            <w:r w:rsidRPr="00851AC4">
              <w:rPr>
                <w:noProof/>
                <w:lang w:val="en-GB"/>
              </w:rPr>
              <w:drawing>
                <wp:inline distT="0" distB="0" distL="0" distR="0" wp14:anchorId="4C0911C8" wp14:editId="12FBF4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772526" w14:textId="77777777" w:rsidR="00D058B8" w:rsidRPr="00851AC4" w:rsidRDefault="00D058B8" w:rsidP="004C5D52">
      <w:pPr>
        <w:pStyle w:val="LineTop"/>
      </w:pPr>
    </w:p>
    <w:p w14:paraId="10D91227" w14:textId="77777777" w:rsidR="00680577" w:rsidRPr="00851AC4" w:rsidRDefault="00DE143C" w:rsidP="00680577">
      <w:pPr>
        <w:pStyle w:val="EPBodyTA1"/>
      </w:pPr>
      <w:r w:rsidRPr="00851AC4">
        <w:t>TEXTOS APROBADOS</w:t>
      </w:r>
    </w:p>
    <w:p w14:paraId="729A127E" w14:textId="77777777" w:rsidR="00D058B8" w:rsidRPr="00851AC4" w:rsidRDefault="00D058B8" w:rsidP="00D058B8">
      <w:pPr>
        <w:pStyle w:val="LineBottom"/>
      </w:pPr>
    </w:p>
    <w:p w14:paraId="1BC4720C" w14:textId="77777777" w:rsidR="00DE143C" w:rsidRPr="00851AC4" w:rsidRDefault="00DE143C" w:rsidP="00DE143C">
      <w:pPr>
        <w:pStyle w:val="ATHeading1"/>
      </w:pPr>
      <w:bookmarkStart w:id="0" w:name="TANumber"/>
      <w:r w:rsidRPr="00851AC4">
        <w:t>P10_</w:t>
      </w:r>
      <w:proofErr w:type="gramStart"/>
      <w:r w:rsidRPr="00851AC4">
        <w:t>TA(</w:t>
      </w:r>
      <w:proofErr w:type="gramEnd"/>
      <w:r w:rsidRPr="00851AC4">
        <w:t>2025)00</w:t>
      </w:r>
      <w:r w:rsidR="00582CFE" w:rsidRPr="00851AC4">
        <w:t>78</w:t>
      </w:r>
      <w:bookmarkEnd w:id="0"/>
    </w:p>
    <w:p w14:paraId="5A57FD04" w14:textId="77777777" w:rsidR="00DE143C" w:rsidRPr="00851AC4" w:rsidRDefault="00DE143C" w:rsidP="00DE143C">
      <w:pPr>
        <w:pStyle w:val="ATHeading2"/>
      </w:pPr>
      <w:bookmarkStart w:id="1" w:name="title"/>
      <w:r w:rsidRPr="00851AC4">
        <w:t>Aprobación de la gestión 2023: presupuesto general de la UE – Parlamento Europeo</w:t>
      </w:r>
      <w:bookmarkEnd w:id="1"/>
    </w:p>
    <w:p w14:paraId="7C92674E" w14:textId="77777777" w:rsidR="00DE143C" w:rsidRPr="00851AC4" w:rsidRDefault="00DE143C" w:rsidP="00DE143C">
      <w:pPr>
        <w:rPr>
          <w:i/>
          <w:vanish/>
        </w:rPr>
      </w:pPr>
      <w:r w:rsidRPr="00851AC4">
        <w:rPr>
          <w:i/>
        </w:rPr>
        <w:fldChar w:fldCharType="begin"/>
      </w:r>
      <w:r w:rsidRPr="00851AC4">
        <w:rPr>
          <w:i/>
        </w:rPr>
        <w:instrText xml:space="preserve"> TC"(</w:instrText>
      </w:r>
      <w:bookmarkStart w:id="2" w:name="DocNumber"/>
      <w:r w:rsidRPr="00851AC4">
        <w:rPr>
          <w:i/>
        </w:rPr>
        <w:instrText>A10-0062/2025</w:instrText>
      </w:r>
      <w:bookmarkEnd w:id="2"/>
      <w:r w:rsidRPr="00851AC4">
        <w:rPr>
          <w:i/>
        </w:rPr>
        <w:instrText xml:space="preserve"> - Ponente: Monika </w:instrText>
      </w:r>
      <w:proofErr w:type="spellStart"/>
      <w:r w:rsidRPr="00851AC4">
        <w:rPr>
          <w:i/>
        </w:rPr>
        <w:instrText>Hohlmeier</w:instrText>
      </w:r>
      <w:proofErr w:type="spellEnd"/>
      <w:r w:rsidRPr="00851AC4">
        <w:rPr>
          <w:i/>
        </w:rPr>
        <w:instrText xml:space="preserve">)"\l3 \n&gt; \* MERGEFORMAT </w:instrText>
      </w:r>
      <w:r w:rsidRPr="00851AC4">
        <w:rPr>
          <w:i/>
        </w:rPr>
        <w:fldChar w:fldCharType="end"/>
      </w:r>
    </w:p>
    <w:p w14:paraId="179207E9" w14:textId="77777777" w:rsidR="00DE143C" w:rsidRPr="00851AC4" w:rsidRDefault="00DE143C" w:rsidP="00DE143C">
      <w:pPr>
        <w:rPr>
          <w:vanish/>
        </w:rPr>
      </w:pPr>
      <w:bookmarkStart w:id="3" w:name="Commission"/>
      <w:r w:rsidRPr="00851AC4">
        <w:rPr>
          <w:vanish/>
        </w:rPr>
        <w:t>Comisión de Control Presupuestario</w:t>
      </w:r>
      <w:bookmarkEnd w:id="3"/>
    </w:p>
    <w:p w14:paraId="584630C3" w14:textId="77777777" w:rsidR="00DE143C" w:rsidRPr="00851AC4" w:rsidRDefault="00DE143C" w:rsidP="00DE143C">
      <w:pPr>
        <w:rPr>
          <w:vanish/>
        </w:rPr>
      </w:pPr>
      <w:bookmarkStart w:id="4" w:name="PE"/>
      <w:r w:rsidRPr="00851AC4">
        <w:rPr>
          <w:vanish/>
        </w:rPr>
        <w:t>PE764.999</w:t>
      </w:r>
      <w:bookmarkEnd w:id="4"/>
    </w:p>
    <w:p w14:paraId="2281D1CA" w14:textId="35E09E6E" w:rsidR="00851AC4" w:rsidRPr="00851AC4" w:rsidRDefault="00851AC4" w:rsidP="00851AC4">
      <w:pPr>
        <w:pStyle w:val="ATHeading3"/>
      </w:pPr>
      <w:r w:rsidRPr="00851AC4">
        <w:rPr>
          <w:kern w:val="2"/>
          <w14:ligatures w14:val="standardContextual"/>
        </w:rPr>
        <w:t xml:space="preserve">Decisión del Parlamento Europeo, de 7 de mayo de 2025, sobre la aprobación de la gestión en la ejecución del presupuesto general de la Unión Europea para el ejercicio 2023, sección I </w:t>
      </w:r>
      <w:r w:rsidR="00820642" w:rsidRPr="00401C7C">
        <w:t>–</w:t>
      </w:r>
      <w:r w:rsidRPr="00851AC4">
        <w:rPr>
          <w:kern w:val="2"/>
          <w14:ligatures w14:val="standardContextual"/>
        </w:rPr>
        <w:t xml:space="preserve"> Parlamento Europeo (2024/2020(DEC))</w:t>
      </w:r>
    </w:p>
    <w:p w14:paraId="099D6F4D" w14:textId="4B070AAC" w:rsidR="00851AC4" w:rsidRPr="00851AC4" w:rsidRDefault="00851AC4" w:rsidP="00851AC4">
      <w:pPr>
        <w:spacing w:before="360" w:after="360"/>
        <w:rPr>
          <w:iCs/>
          <w:kern w:val="2"/>
          <w14:ligatures w14:val="standardContextual"/>
        </w:rPr>
      </w:pPr>
      <w:r w:rsidRPr="00F70FA5">
        <w:rPr>
          <w:i/>
        </w:rPr>
        <w:t>El Parlamento Europeo</w:t>
      </w:r>
      <w:r w:rsidRPr="00851AC4">
        <w:rPr>
          <w:iCs/>
          <w:kern w:val="2"/>
          <w14:ligatures w14:val="standardContextual"/>
        </w:rPr>
        <w:t>,</w:t>
      </w:r>
    </w:p>
    <w:p w14:paraId="77C383B5" w14:textId="5ED09FDF"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 el presupuesto general de la Unión Europea para el ejercicio 2023</w:t>
      </w:r>
      <w:r w:rsidRPr="00851AC4">
        <w:rPr>
          <w:rFonts w:eastAsia="Aptos"/>
          <w:kern w:val="2"/>
          <w:szCs w:val="24"/>
          <w:vertAlign w:val="superscript"/>
          <w14:ligatures w14:val="standardContextual"/>
        </w:rPr>
        <w:footnoteReference w:id="1"/>
      </w:r>
      <w:r w:rsidRPr="00851AC4">
        <w:rPr>
          <w:kern w:val="2"/>
          <w14:ligatures w14:val="standardContextual"/>
        </w:rPr>
        <w:t>,</w:t>
      </w:r>
    </w:p>
    <w:p w14:paraId="22A0B370" w14:textId="7729E9EB"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Vistas las cuentas anuales consolidadas de la Unión Europea relativas al ejercicio 2023 [</w:t>
      </w:r>
      <w:proofErr w:type="gramStart"/>
      <w:r w:rsidRPr="00851AC4">
        <w:rPr>
          <w:kern w:val="2"/>
          <w14:ligatures w14:val="standardContextual"/>
        </w:rPr>
        <w:t>COM(</w:t>
      </w:r>
      <w:proofErr w:type="gramEnd"/>
      <w:r w:rsidRPr="00851AC4">
        <w:rPr>
          <w:kern w:val="2"/>
          <w14:ligatures w14:val="standardContextual"/>
        </w:rPr>
        <w:t xml:space="preserve">2024)0272 </w:t>
      </w:r>
      <w:r w:rsidR="003154E4" w:rsidRPr="00401C7C">
        <w:t>–</w:t>
      </w:r>
      <w:r w:rsidRPr="00851AC4">
        <w:rPr>
          <w:kern w:val="2"/>
          <w14:ligatures w14:val="standardContextual"/>
        </w:rPr>
        <w:t xml:space="preserve"> C10</w:t>
      </w:r>
      <w:r w:rsidRPr="00851AC4">
        <w:rPr>
          <w:kern w:val="2"/>
          <w14:ligatures w14:val="standardContextual"/>
        </w:rPr>
        <w:noBreakHyphen/>
        <w:t>0068/2024]</w:t>
      </w:r>
      <w:r w:rsidRPr="00851AC4">
        <w:rPr>
          <w:rFonts w:eastAsia="Aptos"/>
          <w:kern w:val="2"/>
          <w:szCs w:val="24"/>
          <w:vertAlign w:val="superscript"/>
          <w14:ligatures w14:val="standardContextual"/>
        </w:rPr>
        <w:footnoteReference w:id="2"/>
      </w:r>
      <w:r w:rsidRPr="00851AC4">
        <w:rPr>
          <w:kern w:val="2"/>
          <w14:ligatures w14:val="standardContextual"/>
        </w:rPr>
        <w:t>,</w:t>
      </w:r>
    </w:p>
    <w:p w14:paraId="0A108CC2" w14:textId="2E1B105A"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 xml:space="preserve">Visto el Informe sobre la gestión presupuestaria y financiera correspondiente al ejercicio 2023, sección I </w:t>
      </w:r>
      <w:r w:rsidR="003154E4" w:rsidRPr="00401C7C">
        <w:t>–</w:t>
      </w:r>
      <w:r w:rsidRPr="00851AC4">
        <w:rPr>
          <w:kern w:val="2"/>
          <w14:ligatures w14:val="standardContextual"/>
        </w:rPr>
        <w:t xml:space="preserve"> Parlamento Europeo</w:t>
      </w:r>
      <w:r w:rsidRPr="00851AC4">
        <w:rPr>
          <w:rFonts w:eastAsia="Aptos"/>
          <w:kern w:val="2"/>
          <w:szCs w:val="24"/>
          <w:vertAlign w:val="superscript"/>
          <w14:ligatures w14:val="standardContextual"/>
        </w:rPr>
        <w:footnoteReference w:id="3"/>
      </w:r>
      <w:r w:rsidRPr="00851AC4">
        <w:rPr>
          <w:kern w:val="2"/>
          <w14:ligatures w14:val="standardContextual"/>
        </w:rPr>
        <w:t>,</w:t>
      </w:r>
    </w:p>
    <w:p w14:paraId="37F4A360" w14:textId="1B62A529"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 el Informe Anual del auditor interno para el ejercicio 2023,</w:t>
      </w:r>
    </w:p>
    <w:p w14:paraId="3F2C7CDB" w14:textId="2C4DD2ED"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 el Informe Anual del Tribunal de Cuentas sobre la ejecución presupuestaria relativo al ejercicio 2023, acompañado de las respuestas de las instituciones</w:t>
      </w:r>
      <w:r w:rsidRPr="00851AC4">
        <w:rPr>
          <w:rFonts w:eastAsia="Aptos"/>
          <w:kern w:val="2"/>
          <w:szCs w:val="24"/>
          <w:vertAlign w:val="superscript"/>
          <w14:ligatures w14:val="standardContextual"/>
        </w:rPr>
        <w:footnoteReference w:id="4"/>
      </w:r>
      <w:r w:rsidRPr="00851AC4">
        <w:rPr>
          <w:kern w:val="2"/>
          <w14:ligatures w14:val="standardContextual"/>
        </w:rPr>
        <w:t>,</w:t>
      </w:r>
    </w:p>
    <w:p w14:paraId="28BEB560" w14:textId="5F355340"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Vista la declaración sobre la fiabilidad de las cuentas y la regularidad y legalidad de las operaciones correspondientes</w:t>
      </w:r>
      <w:r w:rsidRPr="00851AC4">
        <w:rPr>
          <w:rFonts w:eastAsia="Aptos"/>
          <w:kern w:val="2"/>
          <w:szCs w:val="24"/>
          <w:vertAlign w:val="superscript"/>
          <w14:ligatures w14:val="standardContextual"/>
        </w:rPr>
        <w:footnoteReference w:id="5"/>
      </w:r>
      <w:r w:rsidRPr="00851AC4">
        <w:rPr>
          <w:kern w:val="2"/>
          <w14:ligatures w14:val="standardContextual"/>
        </w:rPr>
        <w:t>, presentada por el Tribunal de Cuentas para el ejercicio 2023 de conformidad con el artículo 287 del Tratado de Funcionamiento de la Unión Europea,</w:t>
      </w:r>
    </w:p>
    <w:p w14:paraId="3740F938" w14:textId="55B1DE8A"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Vistos el artículo 314, apartado 10, y el artículo 318 del Tratado de Funcionamiento de la Unión Europea,</w:t>
      </w:r>
    </w:p>
    <w:p w14:paraId="52A5AEE9" w14:textId="2ED19A48"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 xml:space="preserve">Visto el Reglamento (UE, Euratom) 2018/1046 del Parlamento Europeo y del Consejo, </w:t>
      </w:r>
      <w:r w:rsidRPr="00851AC4">
        <w:rPr>
          <w:kern w:val="2"/>
          <w14:ligatures w14:val="standardContextual"/>
        </w:rPr>
        <w:lastRenderedPageBreak/>
        <w:t>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51AC4">
        <w:rPr>
          <w:rFonts w:eastAsia="Aptos"/>
          <w:kern w:val="2"/>
          <w:szCs w:val="24"/>
          <w:vertAlign w:val="superscript"/>
          <w14:ligatures w14:val="standardContextual"/>
        </w:rPr>
        <w:footnoteReference w:id="6"/>
      </w:r>
      <w:r w:rsidRPr="00851AC4">
        <w:rPr>
          <w:kern w:val="2"/>
          <w14:ligatures w14:val="standardContextual"/>
        </w:rPr>
        <w:t>, y en particular sus artículos 260, 261 y 262,</w:t>
      </w:r>
    </w:p>
    <w:p w14:paraId="39340B1E" w14:textId="5A8A3CF7"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 el Reglamento (UE, Euratom) 2024/2509 del Parlamento Europeo y del Consejo, de 23 de septiembre de 2024, sobre las normas financieras aplicables al presupuesto general de la Unión</w:t>
      </w:r>
      <w:r w:rsidRPr="00851AC4">
        <w:rPr>
          <w:rFonts w:eastAsia="Aptos"/>
          <w:kern w:val="2"/>
          <w:szCs w:val="24"/>
          <w:vertAlign w:val="superscript"/>
          <w14:ligatures w14:val="standardContextual"/>
        </w:rPr>
        <w:footnoteReference w:id="7"/>
      </w:r>
      <w:r w:rsidRPr="00851AC4">
        <w:rPr>
          <w:kern w:val="2"/>
          <w14:ligatures w14:val="standardContextual"/>
        </w:rPr>
        <w:t>, y en particular sus artículos 266, 267 y 268,</w:t>
      </w:r>
    </w:p>
    <w:p w14:paraId="1C9B5C03" w14:textId="4DB4C2C2" w:rsidR="00851AC4" w:rsidRPr="00851AC4" w:rsidRDefault="00851AC4" w:rsidP="00851AC4">
      <w:pPr>
        <w:widowControl/>
        <w:spacing w:after="240"/>
        <w:ind w:left="567" w:hanging="567"/>
        <w:rPr>
          <w:kern w:val="2"/>
          <w14:ligatures w14:val="standardContextual"/>
        </w:rPr>
      </w:pPr>
      <w:r>
        <w:rPr>
          <w:kern w:val="2"/>
          <w14:ligatures w14:val="standardContextual"/>
        </w:rPr>
        <w:t>–</w:t>
      </w:r>
      <w:r w:rsidRPr="00851AC4">
        <w:rPr>
          <w:kern w:val="2"/>
          <w14:ligatures w14:val="standardContextual"/>
        </w:rPr>
        <w:tab/>
        <w:t>Vista la Decisión de la Mesa, de 10 de diciembre de 2018, sobre las normas internas de ejecución del presupuesto del Parlamento Europeo, y en particular su artículo 34,</w:t>
      </w:r>
    </w:p>
    <w:p w14:paraId="0F2597F7" w14:textId="69E05C4C"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Vistos el artículo 102, el artículo 106, apartado 3, y el anexo V de su Reglamento interno,</w:t>
      </w:r>
    </w:p>
    <w:p w14:paraId="30438D0A" w14:textId="796F8002" w:rsidR="00851AC4" w:rsidRPr="00851AC4" w:rsidRDefault="00851AC4" w:rsidP="00851AC4">
      <w:pPr>
        <w:spacing w:after="240"/>
        <w:ind w:left="567" w:hanging="567"/>
        <w:rPr>
          <w:kern w:val="2"/>
          <w14:ligatures w14:val="standardContextual"/>
        </w:rPr>
      </w:pPr>
      <w:r>
        <w:rPr>
          <w:kern w:val="2"/>
          <w14:ligatures w14:val="standardContextual"/>
        </w:rPr>
        <w:t>–</w:t>
      </w:r>
      <w:r w:rsidRPr="00851AC4">
        <w:rPr>
          <w:kern w:val="2"/>
          <w14:ligatures w14:val="standardContextual"/>
        </w:rPr>
        <w:tab/>
        <w:t>Vista la opinión de la Comisión de Asuntos Constitucionales,</w:t>
      </w:r>
    </w:p>
    <w:p w14:paraId="2A8675DA" w14:textId="12E29201" w:rsidR="00851AC4" w:rsidRPr="00851AC4" w:rsidRDefault="00851AC4" w:rsidP="00851AC4">
      <w:pPr>
        <w:tabs>
          <w:tab w:val="left" w:pos="-720"/>
        </w:tabs>
        <w:spacing w:after="240"/>
        <w:ind w:left="567" w:hanging="567"/>
        <w:rPr>
          <w:kern w:val="2"/>
          <w14:ligatures w14:val="standardContextual"/>
        </w:rPr>
      </w:pPr>
      <w:r>
        <w:rPr>
          <w:kern w:val="2"/>
          <w14:ligatures w14:val="standardContextual"/>
        </w:rPr>
        <w:t>–</w:t>
      </w:r>
      <w:r w:rsidRPr="00851AC4">
        <w:rPr>
          <w:kern w:val="2"/>
          <w14:ligatures w14:val="standardContextual"/>
        </w:rPr>
        <w:tab/>
        <w:t>Visto el informe de la Comisión de Control Presupuestario (A10-0062/2025),</w:t>
      </w:r>
    </w:p>
    <w:p w14:paraId="0363EF09" w14:textId="77777777" w:rsidR="00851AC4" w:rsidRPr="00851AC4" w:rsidRDefault="00851AC4" w:rsidP="00851AC4">
      <w:pPr>
        <w:widowControl/>
        <w:spacing w:after="240"/>
        <w:ind w:left="567" w:hanging="567"/>
        <w:rPr>
          <w:kern w:val="2"/>
          <w14:ligatures w14:val="standardContextual"/>
        </w:rPr>
      </w:pPr>
      <w:r w:rsidRPr="00851AC4">
        <w:rPr>
          <w:kern w:val="2"/>
          <w14:ligatures w14:val="standardContextual"/>
        </w:rPr>
        <w:t>A.</w:t>
      </w:r>
      <w:r w:rsidRPr="00851AC4">
        <w:rPr>
          <w:kern w:val="2"/>
          <w14:ligatures w14:val="standardContextual"/>
        </w:rPr>
        <w:tab/>
        <w:t>Considerando que la presidenta aprobó las cuentas del Parlamento para el ejercicio 2023 el 19 de junio de 2024;</w:t>
      </w:r>
    </w:p>
    <w:p w14:paraId="2BD5E0A5" w14:textId="77777777" w:rsidR="00851AC4" w:rsidRPr="00851AC4" w:rsidRDefault="00851AC4" w:rsidP="00851AC4">
      <w:pPr>
        <w:widowControl/>
        <w:spacing w:after="240"/>
        <w:ind w:left="567" w:hanging="567"/>
        <w:rPr>
          <w:kern w:val="2"/>
          <w14:ligatures w14:val="standardContextual"/>
        </w:rPr>
      </w:pPr>
      <w:r w:rsidRPr="00851AC4">
        <w:rPr>
          <w:kern w:val="2"/>
          <w14:ligatures w14:val="standardContextual"/>
        </w:rPr>
        <w:t>B.</w:t>
      </w:r>
      <w:r w:rsidRPr="00851AC4">
        <w:rPr>
          <w:kern w:val="2"/>
          <w14:ligatures w14:val="standardContextual"/>
        </w:rPr>
        <w:tab/>
        <w:t>Considerando que el secretario general, como ordenador delegado principal, declaró el 18 de junio de 2024 que consideraba razonablemente garantizado que los recursos asignados al presupuesto del Parlamento se han utilizado para el objeto previsto, de conformidad con los principios de buena gestión financiera, y que los procedimientos de control establecidos ofrecen las garantías necesarias en relación con la legalidad y regularidad de las operaciones correspondientes;</w:t>
      </w:r>
    </w:p>
    <w:p w14:paraId="4717F282" w14:textId="77777777" w:rsidR="00851AC4" w:rsidRPr="00851AC4" w:rsidRDefault="00851AC4" w:rsidP="00851AC4">
      <w:pPr>
        <w:widowControl/>
        <w:spacing w:after="240"/>
        <w:ind w:left="567" w:hanging="567"/>
        <w:rPr>
          <w:kern w:val="2"/>
          <w14:ligatures w14:val="standardContextual"/>
        </w:rPr>
      </w:pPr>
      <w:r w:rsidRPr="00851AC4">
        <w:rPr>
          <w:kern w:val="2"/>
          <w14:ligatures w14:val="standardContextual"/>
        </w:rPr>
        <w:t>C.</w:t>
      </w:r>
      <w:r w:rsidRPr="00851AC4">
        <w:rPr>
          <w:kern w:val="2"/>
          <w14:ligatures w14:val="standardContextual"/>
        </w:rPr>
        <w:tab/>
        <w:t>Considerando que el Tribunal de Cuentas concluye en su auditoría que, en la evaluación específica de los gastos administrativos y de otro tipo correspondiente a 2023, no se han detectado deficiencias significativas en los informes de actividad anual de las instituciones y órganos que examinó según lo exigido por el Reglamento (UE, Euratom) 2018/1046;</w:t>
      </w:r>
    </w:p>
    <w:p w14:paraId="7CBF3386" w14:textId="77777777" w:rsidR="00851AC4" w:rsidRPr="00851AC4" w:rsidRDefault="00851AC4" w:rsidP="00851AC4">
      <w:pPr>
        <w:spacing w:after="240"/>
        <w:ind w:left="567" w:hanging="567"/>
        <w:rPr>
          <w:kern w:val="2"/>
          <w14:ligatures w14:val="standardContextual"/>
        </w:rPr>
      </w:pPr>
      <w:r w:rsidRPr="00851AC4">
        <w:rPr>
          <w:kern w:val="2"/>
          <w14:ligatures w14:val="standardContextual"/>
        </w:rPr>
        <w:t>1.</w:t>
      </w:r>
      <w:r w:rsidRPr="00851AC4">
        <w:rPr>
          <w:kern w:val="2"/>
          <w14:ligatures w14:val="standardContextual"/>
        </w:rPr>
        <w:tab/>
        <w:t>Concede a su presidenta la aprobación de la gestión en la ejecución del presupuesto del Parlamento Europeo para el ejercicio 2023;</w:t>
      </w:r>
    </w:p>
    <w:p w14:paraId="4E2894C3" w14:textId="77777777" w:rsidR="00851AC4" w:rsidRPr="00851AC4" w:rsidRDefault="00851AC4" w:rsidP="00851AC4">
      <w:pPr>
        <w:spacing w:after="240"/>
        <w:ind w:left="567" w:hanging="567"/>
        <w:rPr>
          <w:kern w:val="2"/>
          <w14:ligatures w14:val="standardContextual"/>
        </w:rPr>
      </w:pPr>
      <w:r w:rsidRPr="00851AC4">
        <w:rPr>
          <w:kern w:val="2"/>
          <w14:ligatures w14:val="standardContextual"/>
        </w:rPr>
        <w:t>2.</w:t>
      </w:r>
      <w:r w:rsidRPr="00851AC4">
        <w:rPr>
          <w:kern w:val="2"/>
          <w14:ligatures w14:val="standardContextual"/>
        </w:rPr>
        <w:tab/>
        <w:t xml:space="preserve">Encarga a su presidenta que transmita la presente Decisión al Consejo, a la Comisión y al Tribunal de Cuentas, y que disponga su publicación en el </w:t>
      </w:r>
      <w:r w:rsidRPr="00851AC4">
        <w:rPr>
          <w:i/>
          <w:kern w:val="2"/>
          <w14:ligatures w14:val="standardContextual"/>
        </w:rPr>
        <w:t>Diario Oficial de la Unión Europea</w:t>
      </w:r>
      <w:r w:rsidRPr="00851AC4">
        <w:rPr>
          <w:kern w:val="2"/>
          <w14:ligatures w14:val="standardContextual"/>
        </w:rPr>
        <w:t xml:space="preserve"> (serie L).</w:t>
      </w:r>
    </w:p>
    <w:p w14:paraId="3FEB96E8" w14:textId="77777777" w:rsidR="00E365E1" w:rsidRPr="00851AC4" w:rsidRDefault="00E365E1" w:rsidP="00DE143C"/>
    <w:sectPr w:rsidR="00E365E1" w:rsidRPr="00851AC4" w:rsidSect="005B1C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9D58F" w14:textId="77777777" w:rsidR="00DE143C" w:rsidRPr="005B1C76" w:rsidRDefault="00DE143C">
      <w:r w:rsidRPr="005B1C76">
        <w:separator/>
      </w:r>
    </w:p>
  </w:endnote>
  <w:endnote w:type="continuationSeparator" w:id="0">
    <w:p w14:paraId="1661FE06" w14:textId="77777777" w:rsidR="00DE143C" w:rsidRPr="005B1C76" w:rsidRDefault="00DE143C">
      <w:r w:rsidRPr="005B1C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00872" w14:textId="77777777" w:rsidR="00064002" w:rsidRPr="005B1C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0ED0" w14:textId="77777777" w:rsidR="00064002" w:rsidRPr="005B1C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9D274" w14:textId="77777777" w:rsidR="00064002" w:rsidRPr="005B1C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CC439" w14:textId="77777777" w:rsidR="00DE143C" w:rsidRPr="005B1C76" w:rsidRDefault="00DE143C">
      <w:r w:rsidRPr="005B1C76">
        <w:separator/>
      </w:r>
    </w:p>
  </w:footnote>
  <w:footnote w:type="continuationSeparator" w:id="0">
    <w:p w14:paraId="6763B09D" w14:textId="77777777" w:rsidR="00DE143C" w:rsidRPr="005B1C76" w:rsidRDefault="00DE143C">
      <w:r w:rsidRPr="005B1C76">
        <w:continuationSeparator/>
      </w:r>
    </w:p>
  </w:footnote>
  <w:footnote w:id="1">
    <w:p w14:paraId="7A497FB4" w14:textId="77777777" w:rsidR="00851AC4" w:rsidRPr="00824490" w:rsidRDefault="00851AC4" w:rsidP="00851AC4">
      <w:pPr>
        <w:ind w:left="567" w:hanging="567"/>
        <w:rPr>
          <w:lang w:val="pt-PT"/>
        </w:rPr>
      </w:pPr>
      <w:r w:rsidRPr="00824490">
        <w:rPr>
          <w:rStyle w:val="FootnoteReference"/>
        </w:rPr>
        <w:footnoteRef/>
      </w:r>
      <w:r w:rsidRPr="00824490">
        <w:rPr>
          <w:lang w:val="pt-PT"/>
        </w:rPr>
        <w:t xml:space="preserve"> </w:t>
      </w:r>
      <w:r w:rsidRPr="00314A8F">
        <w:rPr>
          <w:lang w:val="pt-PT"/>
        </w:rPr>
        <w:tab/>
        <w:t xml:space="preserve">DO L 58 de 23.2.2023, p. 1, ELI: </w:t>
      </w:r>
      <w:hyperlink r:id="rId1" w:tooltip="Da acceso a este documento a través de su URI ELI." w:history="1">
        <w:r w:rsidRPr="00314A8F">
          <w:rPr>
            <w:color w:val="0563C1"/>
            <w:u w:val="single"/>
            <w:shd w:val="clear" w:color="auto" w:fill="FFFFFF"/>
            <w:lang w:val="pt-PT"/>
          </w:rPr>
          <w:t>http://data.europa.eu/eli/budget/2023/1/oj</w:t>
        </w:r>
      </w:hyperlink>
      <w:r w:rsidRPr="00314A8F">
        <w:rPr>
          <w:shd w:val="clear" w:color="auto" w:fill="FFFFFF"/>
          <w:lang w:val="pt-PT"/>
        </w:rPr>
        <w:t>.</w:t>
      </w:r>
    </w:p>
  </w:footnote>
  <w:footnote w:id="2">
    <w:p w14:paraId="70B513C0" w14:textId="77777777" w:rsidR="00851AC4" w:rsidRPr="00824490" w:rsidRDefault="00851AC4" w:rsidP="00851AC4">
      <w:pPr>
        <w:pStyle w:val="FootnoteText"/>
        <w:ind w:left="567" w:hanging="567"/>
        <w:rPr>
          <w:sz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C, C/2024/5462, 10.10.2024, ELI: </w:t>
      </w:r>
      <w:r w:rsidR="003154E4">
        <w:fldChar w:fldCharType="begin"/>
      </w:r>
      <w:r w:rsidR="003154E4" w:rsidRPr="00B7357C">
        <w:rPr>
          <w:lang w:val="pt-PT"/>
        </w:rPr>
        <w:instrText>HYPERLINK "http://data.europa.eu/eli/C/2024/5462/oj"</w:instrText>
      </w:r>
      <w:r w:rsidR="003154E4">
        <w:fldChar w:fldCharType="separate"/>
      </w:r>
      <w:r w:rsidRPr="00314A8F">
        <w:rPr>
          <w:rStyle w:val="Hyperlink1"/>
          <w:sz w:val="24"/>
          <w:lang w:val="pt-PT"/>
        </w:rPr>
        <w:t>http://data.europa.eu/eli/C/2024/5462/oj</w:t>
      </w:r>
      <w:r w:rsidR="003154E4">
        <w:rPr>
          <w:rStyle w:val="Hyperlink1"/>
          <w:sz w:val="24"/>
          <w:lang w:val="pt-PT"/>
        </w:rPr>
        <w:fldChar w:fldCharType="end"/>
      </w:r>
      <w:r w:rsidRPr="00314A8F">
        <w:rPr>
          <w:sz w:val="24"/>
          <w:shd w:val="clear" w:color="auto" w:fill="FFFFFF"/>
          <w:lang w:val="pt-PT"/>
        </w:rPr>
        <w:t>.</w:t>
      </w:r>
    </w:p>
  </w:footnote>
  <w:footnote w:id="3">
    <w:p w14:paraId="6DC39439" w14:textId="77777777" w:rsidR="00851AC4" w:rsidRPr="00824490" w:rsidRDefault="00851AC4" w:rsidP="00851AC4">
      <w:pPr>
        <w:pStyle w:val="FootnoteText"/>
        <w:ind w:left="567" w:hanging="567"/>
        <w:rPr>
          <w:sz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C, C/2024/3115, 23.5.2024, ELI: </w:t>
      </w:r>
      <w:r w:rsidR="003154E4">
        <w:fldChar w:fldCharType="begin"/>
      </w:r>
      <w:r w:rsidR="003154E4" w:rsidRPr="00B7357C">
        <w:rPr>
          <w:lang w:val="pt-PT"/>
        </w:rPr>
        <w:instrText>HYPERLINK "http://data.europa.eu/eli/C/2024/3115/oj"</w:instrText>
      </w:r>
      <w:r w:rsidR="003154E4">
        <w:fldChar w:fldCharType="separate"/>
      </w:r>
      <w:r w:rsidRPr="00314A8F">
        <w:rPr>
          <w:rStyle w:val="Hyperlink1"/>
          <w:sz w:val="24"/>
          <w:lang w:val="pt-PT"/>
        </w:rPr>
        <w:t>http://data.europa.eu/eli/C/2024/3115/oj</w:t>
      </w:r>
      <w:r w:rsidR="003154E4">
        <w:rPr>
          <w:rStyle w:val="Hyperlink1"/>
          <w:sz w:val="24"/>
          <w:lang w:val="pt-PT"/>
        </w:rPr>
        <w:fldChar w:fldCharType="end"/>
      </w:r>
      <w:r w:rsidRPr="00314A8F">
        <w:rPr>
          <w:sz w:val="24"/>
          <w:shd w:val="clear" w:color="auto" w:fill="FFFFFF"/>
          <w:lang w:val="pt-PT"/>
        </w:rPr>
        <w:t>.</w:t>
      </w:r>
    </w:p>
  </w:footnote>
  <w:footnote w:id="4">
    <w:p w14:paraId="031A4912" w14:textId="77777777" w:rsidR="00851AC4" w:rsidRPr="00824490" w:rsidRDefault="00851AC4" w:rsidP="00851AC4">
      <w:pPr>
        <w:pStyle w:val="FootnoteText"/>
        <w:ind w:left="567" w:hanging="567"/>
        <w:rPr>
          <w:sz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C, C/2024/5882, 9.10.2024, ELI: </w:t>
      </w:r>
      <w:r w:rsidR="003154E4">
        <w:fldChar w:fldCharType="begin"/>
      </w:r>
      <w:r w:rsidR="003154E4" w:rsidRPr="00B7357C">
        <w:rPr>
          <w:lang w:val="pt-PT"/>
        </w:rPr>
        <w:instrText>HYPERLINK "http://data.europa.eu/eli/C/2024/5882/oj"</w:instrText>
      </w:r>
      <w:r w:rsidR="003154E4">
        <w:fldChar w:fldCharType="separate"/>
      </w:r>
      <w:r w:rsidRPr="00314A8F">
        <w:rPr>
          <w:rStyle w:val="Hyperlink1"/>
          <w:sz w:val="24"/>
          <w:lang w:val="pt-PT"/>
        </w:rPr>
        <w:t>http://data.europa.eu/eli/C/2024/5882/oj</w:t>
      </w:r>
      <w:r w:rsidR="003154E4">
        <w:rPr>
          <w:rStyle w:val="Hyperlink1"/>
          <w:sz w:val="24"/>
          <w:lang w:val="pt-PT"/>
        </w:rPr>
        <w:fldChar w:fldCharType="end"/>
      </w:r>
      <w:r w:rsidRPr="00314A8F">
        <w:rPr>
          <w:sz w:val="24"/>
          <w:shd w:val="clear" w:color="auto" w:fill="FFFFFF"/>
          <w:lang w:val="pt-PT"/>
        </w:rPr>
        <w:t>.</w:t>
      </w:r>
    </w:p>
  </w:footnote>
  <w:footnote w:id="5">
    <w:p w14:paraId="2271DC7B" w14:textId="77777777" w:rsidR="00851AC4" w:rsidRPr="00824490" w:rsidRDefault="00851AC4" w:rsidP="00851AC4">
      <w:pPr>
        <w:pStyle w:val="FootnoteText"/>
        <w:ind w:left="567" w:hanging="567"/>
        <w:rPr>
          <w:sz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C, C/2024/6041, 10.10.2024, ELI: </w:t>
      </w:r>
      <w:r w:rsidR="003154E4">
        <w:fldChar w:fldCharType="begin"/>
      </w:r>
      <w:r w:rsidR="003154E4" w:rsidRPr="00B7357C">
        <w:rPr>
          <w:lang w:val="pt-PT"/>
        </w:rPr>
        <w:instrText>HYPERLINK "http://data.europa.eu/eli/C/2024/6041/oj"</w:instrText>
      </w:r>
      <w:r w:rsidR="003154E4">
        <w:fldChar w:fldCharType="separate"/>
      </w:r>
      <w:r w:rsidRPr="00314A8F">
        <w:rPr>
          <w:rStyle w:val="Hyperlink1"/>
          <w:sz w:val="24"/>
          <w:lang w:val="pt-PT"/>
        </w:rPr>
        <w:t>http://data.europa.eu/eli/C/2024/6041/oj</w:t>
      </w:r>
      <w:r w:rsidR="003154E4">
        <w:rPr>
          <w:rStyle w:val="Hyperlink1"/>
          <w:sz w:val="24"/>
          <w:lang w:val="pt-PT"/>
        </w:rPr>
        <w:fldChar w:fldCharType="end"/>
      </w:r>
      <w:r w:rsidRPr="00314A8F">
        <w:rPr>
          <w:sz w:val="24"/>
          <w:shd w:val="clear" w:color="auto" w:fill="FFFFFF"/>
          <w:lang w:val="pt-PT"/>
        </w:rPr>
        <w:t>.</w:t>
      </w:r>
    </w:p>
  </w:footnote>
  <w:footnote w:id="6">
    <w:p w14:paraId="05242338" w14:textId="77777777" w:rsidR="00851AC4" w:rsidRPr="00824490" w:rsidRDefault="00851AC4" w:rsidP="00851AC4">
      <w:pPr>
        <w:pStyle w:val="FootnoteText"/>
        <w:ind w:left="567" w:hanging="567"/>
        <w:rPr>
          <w:sz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L 193 de 30.7.2018, p. 1, ELI: </w:t>
      </w:r>
      <w:r w:rsidR="003154E4">
        <w:fldChar w:fldCharType="begin"/>
      </w:r>
      <w:r w:rsidR="003154E4" w:rsidRPr="00B7357C">
        <w:rPr>
          <w:lang w:val="pt-PT"/>
        </w:rPr>
        <w:instrText>HYPERLINK "http://data.europa.eu/eli/reg/2018/1046/oj"</w:instrText>
      </w:r>
      <w:r w:rsidR="003154E4">
        <w:fldChar w:fldCharType="separate"/>
      </w:r>
      <w:r w:rsidRPr="00314A8F">
        <w:rPr>
          <w:rStyle w:val="Hyperlink1"/>
          <w:sz w:val="24"/>
          <w:lang w:val="pt-PT"/>
        </w:rPr>
        <w:t>http://data.europa.eu/eli/reg/2018/1046/oj</w:t>
      </w:r>
      <w:r w:rsidR="003154E4">
        <w:rPr>
          <w:rStyle w:val="Hyperlink1"/>
          <w:sz w:val="24"/>
          <w:lang w:val="pt-PT"/>
        </w:rPr>
        <w:fldChar w:fldCharType="end"/>
      </w:r>
      <w:r w:rsidRPr="00314A8F">
        <w:rPr>
          <w:sz w:val="24"/>
          <w:lang w:val="pt-PT"/>
        </w:rPr>
        <w:t>.</w:t>
      </w:r>
    </w:p>
  </w:footnote>
  <w:footnote w:id="7">
    <w:p w14:paraId="5667DF3A" w14:textId="77777777" w:rsidR="00851AC4" w:rsidRPr="00824490" w:rsidRDefault="00851AC4" w:rsidP="00851AC4">
      <w:pPr>
        <w:pStyle w:val="FootnoteText"/>
        <w:ind w:left="567" w:hanging="567"/>
        <w:rPr>
          <w:sz w:val="24"/>
          <w:szCs w:val="24"/>
          <w:lang w:val="pt-PT"/>
        </w:rPr>
      </w:pPr>
      <w:r w:rsidRPr="00824490">
        <w:rPr>
          <w:rStyle w:val="FootnoteReference"/>
          <w:sz w:val="24"/>
          <w:lang w:val="es-ES_tradnl"/>
        </w:rPr>
        <w:footnoteRef/>
      </w:r>
      <w:r w:rsidRPr="00824490">
        <w:rPr>
          <w:sz w:val="24"/>
          <w:lang w:val="pt-PT"/>
        </w:rPr>
        <w:t xml:space="preserve"> </w:t>
      </w:r>
      <w:r w:rsidRPr="00314A8F">
        <w:rPr>
          <w:sz w:val="24"/>
          <w:lang w:val="pt-PT"/>
        </w:rPr>
        <w:tab/>
        <w:t xml:space="preserve">DO L, 2024/2509, 26.9.2024, ELI: </w:t>
      </w:r>
      <w:r w:rsidR="003154E4">
        <w:fldChar w:fldCharType="begin"/>
      </w:r>
      <w:r w:rsidR="003154E4" w:rsidRPr="00B7357C">
        <w:rPr>
          <w:lang w:val="pt-PT"/>
        </w:rPr>
        <w:instrText>HYPERLINK "http://data.europa.eu/eli/reg/2024/2509/oj" \t "_blank"</w:instrText>
      </w:r>
      <w:r w:rsidR="003154E4">
        <w:fldChar w:fldCharType="separate"/>
      </w:r>
      <w:r w:rsidRPr="00314A8F">
        <w:rPr>
          <w:rStyle w:val="Hyperlink1"/>
          <w:sz w:val="24"/>
          <w:shd w:val="clear" w:color="auto" w:fill="FFFFFF"/>
          <w:lang w:val="pt-PT"/>
        </w:rPr>
        <w:t>http://data.europa.eu/eli/reg/2024/2509/oj</w:t>
      </w:r>
      <w:r w:rsidR="003154E4">
        <w:rPr>
          <w:rStyle w:val="Hyperlink1"/>
          <w:sz w:val="24"/>
          <w:shd w:val="clear" w:color="auto" w:fill="FFFFFF"/>
          <w:lang w:val="pt-PT"/>
        </w:rPr>
        <w:fldChar w:fldCharType="end"/>
      </w:r>
      <w:r w:rsidRPr="00314A8F">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F558" w14:textId="77777777" w:rsidR="00064002" w:rsidRPr="005B1C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64F6E" w14:textId="77777777" w:rsidR="00064002" w:rsidRPr="005B1C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40C6" w14:textId="77777777" w:rsidR="00064002" w:rsidRPr="005B1C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9893988">
    <w:abstractNumId w:val="9"/>
  </w:num>
  <w:num w:numId="2" w16cid:durableId="1886870374">
    <w:abstractNumId w:val="9"/>
  </w:num>
  <w:num w:numId="3" w16cid:durableId="1805192330">
    <w:abstractNumId w:val="7"/>
  </w:num>
  <w:num w:numId="4" w16cid:durableId="748815079">
    <w:abstractNumId w:val="7"/>
  </w:num>
  <w:num w:numId="5" w16cid:durableId="1840077604">
    <w:abstractNumId w:val="6"/>
  </w:num>
  <w:num w:numId="6" w16cid:durableId="971715948">
    <w:abstractNumId w:val="6"/>
  </w:num>
  <w:num w:numId="7" w16cid:durableId="127860901">
    <w:abstractNumId w:val="5"/>
  </w:num>
  <w:num w:numId="8" w16cid:durableId="817379034">
    <w:abstractNumId w:val="5"/>
  </w:num>
  <w:num w:numId="9" w16cid:durableId="1503932290">
    <w:abstractNumId w:val="4"/>
  </w:num>
  <w:num w:numId="10" w16cid:durableId="571895004">
    <w:abstractNumId w:val="4"/>
  </w:num>
  <w:num w:numId="11" w16cid:durableId="334917292">
    <w:abstractNumId w:val="8"/>
  </w:num>
  <w:num w:numId="12" w16cid:durableId="2009165065">
    <w:abstractNumId w:val="8"/>
  </w:num>
  <w:num w:numId="13" w16cid:durableId="639265188">
    <w:abstractNumId w:val="3"/>
  </w:num>
  <w:num w:numId="14" w16cid:durableId="1376465823">
    <w:abstractNumId w:val="3"/>
  </w:num>
  <w:num w:numId="15" w16cid:durableId="538394380">
    <w:abstractNumId w:val="2"/>
  </w:num>
  <w:num w:numId="16" w16cid:durableId="1422721130">
    <w:abstractNumId w:val="2"/>
  </w:num>
  <w:num w:numId="17" w16cid:durableId="924996500">
    <w:abstractNumId w:val="1"/>
  </w:num>
  <w:num w:numId="18" w16cid:durableId="737440466">
    <w:abstractNumId w:val="1"/>
  </w:num>
  <w:num w:numId="19" w16cid:durableId="268974726">
    <w:abstractNumId w:val="0"/>
  </w:num>
  <w:num w:numId="20" w16cid:durableId="1125663654">
    <w:abstractNumId w:val="0"/>
  </w:num>
  <w:num w:numId="21" w16cid:durableId="1493836076">
    <w:abstractNumId w:val="9"/>
  </w:num>
  <w:num w:numId="22" w16cid:durableId="871839479">
    <w:abstractNumId w:val="7"/>
  </w:num>
  <w:num w:numId="23" w16cid:durableId="1645886027">
    <w:abstractNumId w:val="6"/>
  </w:num>
  <w:num w:numId="24" w16cid:durableId="2134711242">
    <w:abstractNumId w:val="5"/>
  </w:num>
  <w:num w:numId="25" w16cid:durableId="1331102725">
    <w:abstractNumId w:val="4"/>
  </w:num>
  <w:num w:numId="26" w16cid:durableId="976640133">
    <w:abstractNumId w:val="8"/>
  </w:num>
  <w:num w:numId="27" w16cid:durableId="1097748762">
    <w:abstractNumId w:val="3"/>
  </w:num>
  <w:num w:numId="28" w16cid:durableId="310643510">
    <w:abstractNumId w:val="2"/>
  </w:num>
  <w:num w:numId="29" w16cid:durableId="2114013417">
    <w:abstractNumId w:val="1"/>
  </w:num>
  <w:num w:numId="30" w16cid:durableId="857349993">
    <w:abstractNumId w:val="0"/>
  </w:num>
  <w:num w:numId="31" w16cid:durableId="896162544">
    <w:abstractNumId w:val="9"/>
  </w:num>
  <w:num w:numId="32" w16cid:durableId="580257556">
    <w:abstractNumId w:val="7"/>
  </w:num>
  <w:num w:numId="33" w16cid:durableId="976296854">
    <w:abstractNumId w:val="6"/>
  </w:num>
  <w:num w:numId="34" w16cid:durableId="769275673">
    <w:abstractNumId w:val="5"/>
  </w:num>
  <w:num w:numId="35" w16cid:durableId="748112111">
    <w:abstractNumId w:val="4"/>
  </w:num>
  <w:num w:numId="36" w16cid:durableId="869956505">
    <w:abstractNumId w:val="8"/>
  </w:num>
  <w:num w:numId="37" w16cid:durableId="1632780648">
    <w:abstractNumId w:val="3"/>
  </w:num>
  <w:num w:numId="38" w16cid:durableId="1466894755">
    <w:abstractNumId w:val="2"/>
  </w:num>
  <w:num w:numId="39" w16cid:durableId="1473211958">
    <w:abstractNumId w:val="1"/>
  </w:num>
  <w:num w:numId="40" w16cid:durableId="1226181836">
    <w:abstractNumId w:val="0"/>
  </w:num>
  <w:num w:numId="41" w16cid:durableId="1006640901">
    <w:abstractNumId w:val="10"/>
  </w:num>
  <w:num w:numId="42" w16cid:durableId="791485240">
    <w:abstractNumId w:val="10"/>
  </w:num>
  <w:num w:numId="43" w16cid:durableId="698117426">
    <w:abstractNumId w:val="10"/>
  </w:num>
  <w:num w:numId="44" w16cid:durableId="498885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ES"/>
    <w:docVar w:name="dvnumam" w:val="0"/>
    <w:docVar w:name="dvpe" w:val="764.999"/>
    <w:docVar w:name="dvrapporteur" w:val="Ponente: "/>
    <w:docVar w:name="dvtitre" w:val="Decisión del Parlamento Europeo, de 7 de mayo de 2025, sobre la aprobación de la gestión en la ejecución del presupuesto general de la Unión Europea para el ejercicio 2023, sección I – Parlamento Europeo(2024/2020(DEC))"/>
  </w:docVars>
  <w:rsids>
    <w:rsidRoot w:val="00DE143C"/>
    <w:rsid w:val="00000007"/>
    <w:rsid w:val="00002272"/>
    <w:rsid w:val="00064002"/>
    <w:rsid w:val="000677B9"/>
    <w:rsid w:val="000831BA"/>
    <w:rsid w:val="000A42CC"/>
    <w:rsid w:val="000E7DD9"/>
    <w:rsid w:val="0010095E"/>
    <w:rsid w:val="00125B37"/>
    <w:rsid w:val="00141C99"/>
    <w:rsid w:val="00145D21"/>
    <w:rsid w:val="00187494"/>
    <w:rsid w:val="001F32AE"/>
    <w:rsid w:val="002767FF"/>
    <w:rsid w:val="002B18FE"/>
    <w:rsid w:val="002B5493"/>
    <w:rsid w:val="003154E4"/>
    <w:rsid w:val="00343214"/>
    <w:rsid w:val="00361C00"/>
    <w:rsid w:val="00395FA1"/>
    <w:rsid w:val="003E15D4"/>
    <w:rsid w:val="003E5352"/>
    <w:rsid w:val="00407900"/>
    <w:rsid w:val="00411CCE"/>
    <w:rsid w:val="0041666E"/>
    <w:rsid w:val="00420B6E"/>
    <w:rsid w:val="00421060"/>
    <w:rsid w:val="00471C19"/>
    <w:rsid w:val="004867E3"/>
    <w:rsid w:val="00494A28"/>
    <w:rsid w:val="004C0004"/>
    <w:rsid w:val="004C5D52"/>
    <w:rsid w:val="0050519A"/>
    <w:rsid w:val="00505EE9"/>
    <w:rsid w:val="00507253"/>
    <w:rsid w:val="005072A1"/>
    <w:rsid w:val="00514517"/>
    <w:rsid w:val="00545827"/>
    <w:rsid w:val="00560270"/>
    <w:rsid w:val="00582CFE"/>
    <w:rsid w:val="005B1C7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642"/>
    <w:rsid w:val="00842779"/>
    <w:rsid w:val="00851AC4"/>
    <w:rsid w:val="00865F67"/>
    <w:rsid w:val="00881A7B"/>
    <w:rsid w:val="008840E5"/>
    <w:rsid w:val="00887B3E"/>
    <w:rsid w:val="008C2AC6"/>
    <w:rsid w:val="00930C23"/>
    <w:rsid w:val="0093193B"/>
    <w:rsid w:val="009509D8"/>
    <w:rsid w:val="00950B64"/>
    <w:rsid w:val="00981893"/>
    <w:rsid w:val="00A1687D"/>
    <w:rsid w:val="00A2324E"/>
    <w:rsid w:val="00A43E52"/>
    <w:rsid w:val="00A4678D"/>
    <w:rsid w:val="00A778C7"/>
    <w:rsid w:val="00AB441E"/>
    <w:rsid w:val="00AB6293"/>
    <w:rsid w:val="00AE0928"/>
    <w:rsid w:val="00AF3B82"/>
    <w:rsid w:val="00B12E95"/>
    <w:rsid w:val="00B22876"/>
    <w:rsid w:val="00B558F0"/>
    <w:rsid w:val="00B7357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43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7901A"/>
  <w15:chartTrackingRefBased/>
  <w15:docId w15:val="{CA37A6DE-D5E9-485B-907F-24A559AFE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5D21"/>
    <w:pPr>
      <w:spacing w:before="480" w:after="240"/>
    </w:pPr>
  </w:style>
  <w:style w:type="paragraph" w:customStyle="1" w:styleId="NormalHanging12a">
    <w:name w:val="NormalHanging12a"/>
    <w:basedOn w:val="Normal"/>
    <w:link w:val="NormalHanging12aChar"/>
    <w:rsid w:val="00145D21"/>
    <w:pPr>
      <w:spacing w:after="240"/>
      <w:ind w:left="567" w:hanging="567"/>
    </w:pPr>
  </w:style>
  <w:style w:type="character" w:styleId="Hyperlink">
    <w:name w:val="Hyperlink"/>
    <w:basedOn w:val="DefaultParagraphFont"/>
    <w:uiPriority w:val="99"/>
    <w:rsid w:val="00145D21"/>
    <w:rPr>
      <w:color w:val="0563C1" w:themeColor="hyperlink"/>
      <w:u w:val="single"/>
    </w:rPr>
  </w:style>
  <w:style w:type="character" w:customStyle="1" w:styleId="NormalHanging12aChar">
    <w:name w:val="NormalHanging12a Char"/>
    <w:basedOn w:val="DefaultParagraphFont"/>
    <w:link w:val="NormalHanging12a"/>
    <w:locked/>
    <w:rsid w:val="00145D21"/>
    <w:rPr>
      <w:sz w:val="24"/>
      <w:lang w:val="es-ES_tradnl"/>
    </w:rPr>
  </w:style>
  <w:style w:type="paragraph" w:styleId="BalloonText">
    <w:name w:val="Balloon Text"/>
    <w:basedOn w:val="Normal"/>
    <w:link w:val="BalloonTextChar"/>
    <w:rsid w:val="00407900"/>
    <w:rPr>
      <w:rFonts w:ascii="Segoe UI" w:hAnsi="Segoe UI" w:cs="Segoe UI"/>
      <w:sz w:val="18"/>
      <w:szCs w:val="18"/>
    </w:rPr>
  </w:style>
  <w:style w:type="character" w:customStyle="1" w:styleId="BalloonTextChar">
    <w:name w:val="Balloon Text Char"/>
    <w:basedOn w:val="DefaultParagraphFont"/>
    <w:link w:val="BalloonText"/>
    <w:rsid w:val="00407900"/>
    <w:rPr>
      <w:rFonts w:ascii="Segoe UI" w:hAnsi="Segoe UI" w:cs="Segoe UI"/>
      <w:sz w:val="18"/>
      <w:szCs w:val="18"/>
      <w:lang w:val="es-ES_tradnl"/>
    </w:rPr>
  </w:style>
  <w:style w:type="character" w:customStyle="1" w:styleId="Hyperlink1">
    <w:name w:val="Hyperlink1"/>
    <w:basedOn w:val="DefaultParagraphFont"/>
    <w:uiPriority w:val="99"/>
    <w:rsid w:val="00851AC4"/>
    <w:rPr>
      <w:color w:val="0563C1"/>
      <w:u w:val="single"/>
    </w:rPr>
  </w:style>
  <w:style w:type="character" w:styleId="CommentReference">
    <w:name w:val="annotation reference"/>
    <w:basedOn w:val="DefaultParagraphFont"/>
    <w:uiPriority w:val="99"/>
    <w:unhideWhenUsed/>
    <w:rsid w:val="00851AC4"/>
    <w:rPr>
      <w:sz w:val="16"/>
      <w:szCs w:val="16"/>
    </w:rPr>
  </w:style>
  <w:style w:type="paragraph" w:customStyle="1" w:styleId="CommentText1">
    <w:name w:val="Comment Text1"/>
    <w:basedOn w:val="Normal"/>
    <w:next w:val="CommentText"/>
    <w:link w:val="CommentTextChar"/>
    <w:uiPriority w:val="99"/>
    <w:semiHidden/>
    <w:unhideWhenUsed/>
    <w:rsid w:val="00851AC4"/>
    <w:pPr>
      <w:widowControl/>
      <w:jc w:val="both"/>
    </w:pPr>
    <w:rPr>
      <w:sz w:val="20"/>
      <w:lang w:val="en-GB"/>
    </w:rPr>
  </w:style>
  <w:style w:type="character" w:customStyle="1" w:styleId="CommentTextChar">
    <w:name w:val="Comment Text Char"/>
    <w:basedOn w:val="DefaultParagraphFont"/>
    <w:link w:val="CommentText1"/>
    <w:uiPriority w:val="99"/>
    <w:semiHidden/>
    <w:rsid w:val="00851AC4"/>
    <w:rPr>
      <w:rFonts w:ascii="Times New Roman" w:hAnsi="Times New Roman"/>
      <w:sz w:val="20"/>
      <w:szCs w:val="20"/>
    </w:rPr>
  </w:style>
  <w:style w:type="paragraph" w:styleId="CommentText">
    <w:name w:val="annotation text"/>
    <w:basedOn w:val="Normal"/>
    <w:link w:val="CommentTextChar1"/>
    <w:rsid w:val="00851AC4"/>
    <w:rPr>
      <w:sz w:val="20"/>
    </w:rPr>
  </w:style>
  <w:style w:type="character" w:customStyle="1" w:styleId="CommentTextChar1">
    <w:name w:val="Comment Text Char1"/>
    <w:basedOn w:val="DefaultParagraphFont"/>
    <w:link w:val="CommentText"/>
    <w:rsid w:val="00851AC4"/>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FDC7B-4453-4489-B732-E69828050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Fernan Rodriguez</cp:lastModifiedBy>
  <cp:revision>2</cp:revision>
  <cp:lastPrinted>2004-11-19T15:42:00Z</cp:lastPrinted>
  <dcterms:created xsi:type="dcterms:W3CDTF">2025-12-03T10:40:00Z</dcterms:created>
  <dcterms:modified xsi:type="dcterms:W3CDTF">2025-12-03T10:40:00Z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P10_TA(2025)0078_</vt:lpwstr>
  </property>
  <property fmtid="{D5CDD505-2E9C-101B-9397-08002B2CF9AE}" pid="4" name="&lt;Type&gt;">
    <vt:lpwstr>RR</vt:lpwstr>
  </property>
</Properties>
</file>