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20B75">
        <w:trPr>
          <w:trHeight w:hRule="exact" w:val="1418"/>
        </w:trPr>
        <w:tc>
          <w:tcPr>
            <w:tcW w:w="6804" w:type="dxa"/>
            <w:shd w:val="clear" w:color="auto" w:fill="auto"/>
            <w:vAlign w:val="center"/>
          </w:tcPr>
          <w:p w:rsidR="00C20B75" w:rsidRDefault="00D2131D">
            <w:pPr>
              <w:pStyle w:val="EPName"/>
            </w:pPr>
            <w:r>
              <w:t>Parlement européen</w:t>
            </w:r>
          </w:p>
          <w:p w:rsidR="00C20B75" w:rsidRDefault="00D2131D">
            <w:pPr>
              <w:pStyle w:val="EPTerm"/>
              <w:rPr>
                <w:rStyle w:val="HideTWBExt"/>
                <w:noProof w:val="0"/>
                <w:vanish w:val="0"/>
                <w:color w:val="auto"/>
              </w:rPr>
            </w:pPr>
            <w:r>
              <w:t>2024-2029</w:t>
            </w:r>
          </w:p>
        </w:tc>
        <w:tc>
          <w:tcPr>
            <w:tcW w:w="2268" w:type="dxa"/>
            <w:shd w:val="clear" w:color="auto" w:fill="auto"/>
          </w:tcPr>
          <w:p w:rsidR="00C20B75" w:rsidRDefault="00D2131D">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20B75" w:rsidRDefault="00C20B75">
      <w:pPr>
        <w:pStyle w:val="LineTop"/>
      </w:pPr>
    </w:p>
    <w:p w:rsidR="00C20B75" w:rsidRDefault="00D2131D">
      <w:pPr>
        <w:pStyle w:val="EPBodyTA1"/>
      </w:pPr>
      <w:r>
        <w:t>TEXTES ADOPTÉS</w:t>
      </w:r>
    </w:p>
    <w:p w:rsidR="00C20B75" w:rsidRDefault="00C20B75">
      <w:pPr>
        <w:pStyle w:val="LineBottom"/>
      </w:pPr>
    </w:p>
    <w:p w:rsidR="00C20B75" w:rsidRDefault="00D2131D">
      <w:pPr>
        <w:pStyle w:val="ATHeading1"/>
      </w:pPr>
      <w:bookmarkStart w:id="0" w:name="TANumber"/>
      <w:r>
        <w:t>P10_</w:t>
      </w:r>
      <w:proofErr w:type="gramStart"/>
      <w:r>
        <w:t>TA(</w:t>
      </w:r>
      <w:proofErr w:type="gramEnd"/>
      <w:r>
        <w:t>2025)0078</w:t>
      </w:r>
      <w:bookmarkEnd w:id="0"/>
    </w:p>
    <w:p w:rsidR="00C20B75" w:rsidRDefault="00D2131D">
      <w:pPr>
        <w:pStyle w:val="ATHeading2"/>
      </w:pPr>
      <w:bookmarkStart w:id="1" w:name="title"/>
      <w:r>
        <w:t xml:space="preserve">Décharge 2023: budget général de l'Union européenne </w:t>
      </w:r>
      <w:r>
        <w:t>- Parlement européen</w:t>
      </w:r>
      <w:bookmarkEnd w:id="1"/>
    </w:p>
    <w:p w:rsidR="00C20B75" w:rsidRDefault="00D2131D">
      <w:pPr>
        <w:rPr>
          <w:i/>
          <w:vanish/>
        </w:rPr>
      </w:pPr>
      <w:r>
        <w:rPr>
          <w:i/>
        </w:rPr>
        <w:fldChar w:fldCharType="begin"/>
      </w:r>
      <w:r>
        <w:rPr>
          <w:i/>
        </w:rPr>
        <w:instrText xml:space="preserve"> TC"(</w:instrText>
      </w:r>
      <w:bookmarkStart w:id="2" w:name="DocNumber"/>
      <w:r>
        <w:rPr>
          <w:i/>
        </w:rPr>
        <w:instrText>A10-0062/2025</w:instrText>
      </w:r>
      <w:bookmarkEnd w:id="2"/>
      <w:r>
        <w:rPr>
          <w:i/>
        </w:rPr>
        <w:instrText xml:space="preserve"> - Rapporteur: Monika </w:instrText>
      </w:r>
      <w:proofErr w:type="spellStart"/>
      <w:r>
        <w:rPr>
          <w:i/>
        </w:rPr>
        <w:instrText>Hohlmeier</w:instrText>
      </w:r>
      <w:proofErr w:type="spellEnd"/>
      <w:r>
        <w:rPr>
          <w:i/>
        </w:rPr>
        <w:instrText xml:space="preserve">)"\l3 \n&gt; \* MERGEFORMAT </w:instrText>
      </w:r>
      <w:r>
        <w:rPr>
          <w:i/>
        </w:rPr>
        <w:fldChar w:fldCharType="end"/>
      </w:r>
    </w:p>
    <w:p w:rsidR="00C20B75" w:rsidRDefault="00D2131D">
      <w:pPr>
        <w:rPr>
          <w:vanish/>
        </w:rPr>
      </w:pPr>
      <w:bookmarkStart w:id="3" w:name="Commission"/>
      <w:r>
        <w:rPr>
          <w:vanish/>
        </w:rPr>
        <w:t>Commission du contrôle budgétaire</w:t>
      </w:r>
      <w:bookmarkEnd w:id="3"/>
    </w:p>
    <w:p w:rsidR="00C20B75" w:rsidRDefault="00D2131D">
      <w:pPr>
        <w:rPr>
          <w:vanish/>
        </w:rPr>
      </w:pPr>
      <w:bookmarkStart w:id="4" w:name="PE"/>
      <w:r>
        <w:rPr>
          <w:vanish/>
        </w:rPr>
        <w:t>PE764.999</w:t>
      </w:r>
      <w:bookmarkEnd w:id="4"/>
    </w:p>
    <w:p w:rsidR="00C20B75" w:rsidRDefault="00D2131D">
      <w:pPr>
        <w:pStyle w:val="ATHeading3"/>
      </w:pPr>
      <w:bookmarkStart w:id="5" w:name="Sujet"/>
      <w:r>
        <w:t>Décision du Parlement européen du 7 mai 2025 concernant la décharge sur l’exécution du budget général de l’Union européenne pour l’exercice 2023, section I – Parlement européen</w:t>
      </w:r>
      <w:bookmarkEnd w:id="5"/>
      <w:r>
        <w:t xml:space="preserve"> </w:t>
      </w:r>
      <w:bookmarkStart w:id="6" w:name="References"/>
      <w:r>
        <w:t>(2024/2020(DEC))</w:t>
      </w:r>
      <w:bookmarkEnd w:id="6"/>
    </w:p>
    <w:p w:rsidR="00C20B75" w:rsidRDefault="00D2131D">
      <w:pPr>
        <w:pStyle w:val="EPComma"/>
        <w:widowControl/>
        <w:rPr>
          <w:noProof/>
        </w:rPr>
      </w:pPr>
      <w:bookmarkStart w:id="7" w:name="TextBodyBegin"/>
      <w:bookmarkEnd w:id="7"/>
      <w:r>
        <w:rPr>
          <w:i/>
        </w:rPr>
        <w:t>Le Parlement européen</w:t>
      </w:r>
      <w:r>
        <w:t>,</w:t>
      </w:r>
    </w:p>
    <w:p w:rsidR="00C20B75" w:rsidRDefault="00D2131D">
      <w:pPr>
        <w:pStyle w:val="NormalHanging12a"/>
        <w:widowControl/>
        <w:rPr>
          <w:noProof/>
        </w:rPr>
      </w:pPr>
      <w:r>
        <w:t>–</w:t>
      </w:r>
      <w:r>
        <w:tab/>
        <w:t>vu le budget général de l’Union europ</w:t>
      </w:r>
      <w:r>
        <w:t>éenne pour l’exercice 2023</w:t>
      </w:r>
      <w:r>
        <w:rPr>
          <w:rStyle w:val="FootnoteReference"/>
          <w:noProof/>
        </w:rPr>
        <w:footnoteReference w:id="1"/>
      </w:r>
      <w:r>
        <w:t>,</w:t>
      </w:r>
    </w:p>
    <w:p w:rsidR="00C20B75" w:rsidRDefault="00D2131D">
      <w:pPr>
        <w:pStyle w:val="NormalHanging12a"/>
        <w:widowControl/>
        <w:rPr>
          <w:noProof/>
        </w:rPr>
      </w:pPr>
      <w:r>
        <w:t>–</w:t>
      </w:r>
      <w:r>
        <w:tab/>
        <w:t>vu les comptes annuels consolidés de l’Union européenne relatifs à l’exercice 2023 (COM(2024)0272 – C10</w:t>
      </w:r>
      <w:r>
        <w:noBreakHyphen/>
        <w:t>0068/2024)</w:t>
      </w:r>
      <w:r>
        <w:rPr>
          <w:rStyle w:val="FootnoteReference"/>
          <w:noProof/>
        </w:rPr>
        <w:footnoteReference w:id="2"/>
      </w:r>
      <w:r>
        <w:t>,</w:t>
      </w:r>
    </w:p>
    <w:p w:rsidR="00C20B75" w:rsidRDefault="00D2131D">
      <w:pPr>
        <w:pStyle w:val="NormalHanging12a"/>
        <w:widowControl/>
        <w:rPr>
          <w:noProof/>
        </w:rPr>
      </w:pPr>
      <w:r>
        <w:t>–</w:t>
      </w:r>
      <w:r>
        <w:tab/>
        <w:t>vu le rapport sur la gestion budgétaire et financière pour l’exercice 2023, section I – Parlement européen</w:t>
      </w:r>
      <w:r>
        <w:rPr>
          <w:rStyle w:val="FootnoteReference"/>
          <w:noProof/>
        </w:rPr>
        <w:footnoteReference w:id="3"/>
      </w:r>
      <w:r>
        <w:t>,</w:t>
      </w:r>
    </w:p>
    <w:p w:rsidR="00C20B75" w:rsidRDefault="00D2131D">
      <w:pPr>
        <w:pStyle w:val="NormalHanging12a"/>
        <w:widowControl/>
        <w:rPr>
          <w:noProof/>
        </w:rPr>
      </w:pPr>
      <w:r>
        <w:t>–</w:t>
      </w:r>
      <w:r>
        <w:tab/>
        <w:t>vu le rapport annuel de l’auditeur interne pour l’exercice 2023,</w:t>
      </w:r>
    </w:p>
    <w:p w:rsidR="00C20B75" w:rsidRDefault="00D2131D">
      <w:pPr>
        <w:pStyle w:val="NormalHanging12a"/>
        <w:widowControl/>
        <w:rPr>
          <w:noProof/>
        </w:rPr>
      </w:pPr>
      <w:r>
        <w:t>–</w:t>
      </w:r>
      <w:r>
        <w:tab/>
        <w:t>vu le rapport annuel de la Cour des comptes sur l’exécution du budget relatif à l’exercice 2023, accompagné des réponses des institutions</w:t>
      </w:r>
      <w:r>
        <w:rPr>
          <w:rStyle w:val="FootnoteReference"/>
          <w:noProof/>
        </w:rPr>
        <w:footnoteReference w:id="4"/>
      </w:r>
      <w:r>
        <w:t>,</w:t>
      </w:r>
    </w:p>
    <w:p w:rsidR="00C20B75" w:rsidRDefault="00D2131D">
      <w:pPr>
        <w:pStyle w:val="NormalHanging12a"/>
        <w:widowControl/>
        <w:rPr>
          <w:noProof/>
        </w:rPr>
      </w:pPr>
      <w:r>
        <w:t>–</w:t>
      </w:r>
      <w:r>
        <w:tab/>
        <w:t>vu la déclaration d’assurance</w:t>
      </w:r>
      <w:r>
        <w:rPr>
          <w:rStyle w:val="FootnoteReference"/>
          <w:noProof/>
        </w:rPr>
        <w:footnoteReference w:id="5"/>
      </w:r>
      <w:r>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C20B75" w:rsidRDefault="00D2131D">
      <w:pPr>
        <w:pStyle w:val="NormalHanging12a"/>
        <w:widowControl/>
        <w:rPr>
          <w:noProof/>
        </w:rPr>
      </w:pPr>
      <w:r>
        <w:t>–</w:t>
      </w:r>
      <w:r>
        <w:tab/>
        <w:t>vu l’articl</w:t>
      </w:r>
      <w:r>
        <w:t>e 314, paragraphe 10, et l’article 318 du traité sur le fonctionnement de l’Union européenne,</w:t>
      </w:r>
    </w:p>
    <w:p w:rsidR="00C20B75" w:rsidRDefault="00D2131D">
      <w:pPr>
        <w:pStyle w:val="NormalHanging12a"/>
        <w:widowControl/>
      </w:pPr>
      <w:r>
        <w:lastRenderedPageBreak/>
        <w:t>–</w:t>
      </w:r>
      <w:r>
        <w:tab/>
        <w:t>vu le règlement (UE, Euratom) 2018/1046 du Parlement européen et du Conseil du 18 juillet 2018 relatif aux règles financières applicables au budget général de l</w:t>
      </w:r>
      <w:r>
        <w:t>’Union, modifiant les règlements (UE) nº 1296/2013, (UE) nº 1301/2013, (UE) nº 1303/2013, (UE) nº 1304/2013, (UE) nº 1309/2013, (UE) nº 1316/2013, (UE) nº 223/2014, (UE) nº 283/2014 et la décision nº 541/2014/UE, et abrogeant le règlement (UE, Euratom) nº </w:t>
      </w:r>
      <w:r>
        <w:t>966/2012</w:t>
      </w:r>
      <w:r>
        <w:rPr>
          <w:vertAlign w:val="superscript"/>
        </w:rPr>
        <w:footnoteReference w:id="6"/>
      </w:r>
      <w:r>
        <w:t>, et notamment ses articles 260, 261 et 262,</w:t>
      </w:r>
    </w:p>
    <w:p w:rsidR="00C20B75" w:rsidRDefault="00D2131D">
      <w:pPr>
        <w:pStyle w:val="NormalHanging12a"/>
        <w:widowControl/>
        <w:rPr>
          <w:noProof/>
        </w:rPr>
      </w:pPr>
      <w:r>
        <w:t>–</w:t>
      </w:r>
      <w:r>
        <w:tab/>
        <w:t>vu le règlement (UE, Euratom) 2024/2509 du Parlement européen et du Conseil du 23 septembre 2024 relatif aux règles financières applicables au budget général de l’Union</w:t>
      </w:r>
      <w:r>
        <w:rPr>
          <w:rStyle w:val="FootnoteReference"/>
          <w:noProof/>
        </w:rPr>
        <w:footnoteReference w:id="7"/>
      </w:r>
      <w:r>
        <w:t>, et notamment ses articles 266</w:t>
      </w:r>
      <w:r>
        <w:t>, 267 et 268,</w:t>
      </w:r>
    </w:p>
    <w:p w:rsidR="00C20B75" w:rsidRDefault="00D2131D">
      <w:pPr>
        <w:pStyle w:val="NormalHanging12a"/>
        <w:widowControl/>
        <w:rPr>
          <w:noProof/>
        </w:rPr>
      </w:pPr>
      <w:r>
        <w:t>–</w:t>
      </w:r>
      <w:r>
        <w:tab/>
        <w:t>vu la décision du Bureau du 10 décembre 2018 sur les règles internes relatives à l’exécution du budget du Parlement européen, et notamment son article 34,</w:t>
      </w:r>
    </w:p>
    <w:p w:rsidR="00C20B75" w:rsidRDefault="00D2131D">
      <w:pPr>
        <w:pStyle w:val="NormalHanging12a"/>
        <w:widowControl/>
        <w:rPr>
          <w:noProof/>
        </w:rPr>
      </w:pPr>
      <w:r>
        <w:t>–</w:t>
      </w:r>
      <w:r>
        <w:tab/>
        <w:t>vu l’article 102, l’article 106, paragraphe 3, et l’annexe V de son règlement intér</w:t>
      </w:r>
      <w:r>
        <w:t>ieur,</w:t>
      </w:r>
    </w:p>
    <w:p w:rsidR="00C20B75" w:rsidRDefault="00D2131D">
      <w:pPr>
        <w:pStyle w:val="NormalHanging12a"/>
        <w:widowControl/>
      </w:pPr>
      <w:r>
        <w:t>–</w:t>
      </w:r>
      <w:r>
        <w:tab/>
        <w:t>vu l’avis de la commission des affaires constitutionnelles,</w:t>
      </w:r>
    </w:p>
    <w:p w:rsidR="00C20B75" w:rsidRDefault="00D2131D">
      <w:pPr>
        <w:widowControl/>
        <w:tabs>
          <w:tab w:val="left" w:pos="-720"/>
        </w:tabs>
        <w:spacing w:after="240"/>
        <w:ind w:left="567" w:hanging="567"/>
      </w:pPr>
      <w:r>
        <w:t>–</w:t>
      </w:r>
      <w:r>
        <w:tab/>
        <w:t>vu le rapport de la commission du contrôle budgétaire (A10-0062/2025),</w:t>
      </w:r>
    </w:p>
    <w:p w:rsidR="00C20B75" w:rsidRDefault="00D2131D">
      <w:pPr>
        <w:pStyle w:val="NormalHanging12a"/>
        <w:widowControl/>
      </w:pPr>
      <w:r>
        <w:t>A.</w:t>
      </w:r>
      <w:r>
        <w:tab/>
        <w:t>considérant que la Présidente a adopté, le 19 juin 2024, les comptes du Parlement européen pour l’exercice 2023;</w:t>
      </w:r>
    </w:p>
    <w:p w:rsidR="00C20B75" w:rsidRDefault="00D2131D">
      <w:pPr>
        <w:pStyle w:val="NormalHanging12a"/>
        <w:widowControl/>
      </w:pPr>
      <w:r>
        <w:t>B.</w:t>
      </w:r>
      <w:r>
        <w:tab/>
        <w:t>considérant que le secrétaire général, en tant qu’ordonnateur délégué principal, a certifié, le 18 juin 2024, qu’il disposait de l’assurance raisonnable que les ressources du budget du Parlement avaient été utilisées aux fins prévues et conformément au</w:t>
      </w:r>
      <w:r>
        <w:t xml:space="preserve"> principe de bonne gestion financière et que les procédures de contrôle mises en place offraient les garanties nécessaires quant à la légalité et à la régularité des opérations sous</w:t>
      </w:r>
      <w:r>
        <w:noBreakHyphen/>
        <w:t>jacentes;</w:t>
      </w:r>
    </w:p>
    <w:p w:rsidR="00C20B75" w:rsidRDefault="00D2131D">
      <w:pPr>
        <w:pStyle w:val="NormalHanging12a"/>
        <w:widowControl/>
      </w:pPr>
      <w:r>
        <w:t>C.</w:t>
      </w:r>
      <w:r>
        <w:tab/>
        <w:t xml:space="preserve">considérant que la Cour des comptes a indiqué dans son audit </w:t>
      </w:r>
      <w:r>
        <w:t xml:space="preserve">que, dans son évaluation spécifique des dépenses administratives et autres dépenses effectuées en 2023, elle n’a mis en évidence aucune faiblesse significative dans les rapports annuels d’activité des institutions et organes qu’elle a examinés en vertu du </w:t>
      </w:r>
      <w:r>
        <w:t>règlement (UE, Euratom) 2018/1046;</w:t>
      </w:r>
    </w:p>
    <w:p w:rsidR="00C20B75" w:rsidRDefault="00D2131D">
      <w:pPr>
        <w:pStyle w:val="NormalHanging12a"/>
        <w:widowControl/>
        <w:rPr>
          <w:noProof/>
        </w:rPr>
      </w:pPr>
      <w:r>
        <w:t>1.</w:t>
      </w:r>
      <w:r>
        <w:tab/>
        <w:t>donne décharge à sa Présidente sur l’exécution du budget du Parlement européen pour l’exercice 2023;</w:t>
      </w:r>
    </w:p>
    <w:p w:rsidR="00C20B75" w:rsidRDefault="00D2131D" w:rsidP="00D2131D">
      <w:pPr>
        <w:pStyle w:val="NormalHanging12a"/>
        <w:widowControl/>
      </w:pPr>
      <w:r>
        <w:t>2.</w:t>
      </w:r>
      <w:r>
        <w:tab/>
      </w:r>
      <w:r>
        <w:t xml:space="preserve">charge sa Présidente de transmettre la présente décision au Conseil, à la Commission et à la Cour des comptes, et d’en assurer la publication au </w:t>
      </w:r>
      <w:r>
        <w:rPr>
          <w:i/>
        </w:rPr>
        <w:t>Journal officiel de l’Union européenne</w:t>
      </w:r>
      <w:r>
        <w:t xml:space="preserve"> (série L).</w:t>
      </w:r>
      <w:bookmarkStart w:id="8" w:name="_GoBack"/>
      <w:bookmarkEnd w:id="8"/>
    </w:p>
    <w:sectPr w:rsidR="00C20B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B75" w:rsidRDefault="00D2131D">
      <w:r>
        <w:separator/>
      </w:r>
    </w:p>
  </w:endnote>
  <w:endnote w:type="continuationSeparator" w:id="0">
    <w:p w:rsidR="00C20B75" w:rsidRDefault="00D21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75" w:rsidRDefault="00C20B7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75" w:rsidRDefault="00C20B7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75" w:rsidRDefault="00C20B7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B75" w:rsidRDefault="00D2131D">
      <w:r>
        <w:separator/>
      </w:r>
    </w:p>
  </w:footnote>
  <w:footnote w:type="continuationSeparator" w:id="0">
    <w:p w:rsidR="00C20B75" w:rsidRDefault="00D2131D">
      <w:r>
        <w:continuationSeparator/>
      </w:r>
    </w:p>
  </w:footnote>
  <w:footnote w:id="1">
    <w:p w:rsidR="00C20B75" w:rsidRDefault="00D2131D">
      <w:pPr>
        <w:ind w:left="567" w:hanging="567"/>
        <w:rPr>
          <w:lang w:val="fi-FI"/>
        </w:rPr>
      </w:pPr>
      <w:r>
        <w:rPr>
          <w:rStyle w:val="FootnoteReference"/>
        </w:rPr>
        <w:footnoteRef/>
      </w:r>
      <w:r>
        <w:rPr>
          <w:lang w:val="fi-FI"/>
        </w:rPr>
        <w:t xml:space="preserve"> </w:t>
      </w:r>
      <w:r>
        <w:rPr>
          <w:lang w:val="fi-FI"/>
        </w:rPr>
        <w:tab/>
        <w:t xml:space="preserve">JO L 58 du 23.2.2023, p. 1, ELI: </w:t>
      </w:r>
      <w:hyperlink r:id="rId1" w:tooltip="Donne accès à ce document par l’intermédiaire des identifiants URI et ELI." w:history="1">
        <w:r>
          <w:rPr>
            <w:color w:val="0563C1"/>
            <w:u w:val="single"/>
            <w:shd w:val="clear" w:color="auto" w:fill="FFFFFF"/>
            <w:lang w:val="fi-FI"/>
          </w:rPr>
          <w:t>http://data.europa.eu/eli/budget/2023/1/oj</w:t>
        </w:r>
      </w:hyperlink>
      <w:r>
        <w:rPr>
          <w:shd w:val="clear" w:color="auto" w:fill="FFFFFF"/>
          <w:lang w:val="fi-FI"/>
        </w:rPr>
        <w:t>.</w:t>
      </w:r>
    </w:p>
  </w:footnote>
  <w:footnote w:id="2">
    <w:p w:rsidR="00C20B75" w:rsidRDefault="00D2131D">
      <w:pPr>
        <w:pStyle w:val="FootnoteText"/>
        <w:ind w:left="567" w:hanging="567"/>
        <w:rPr>
          <w:sz w:val="24"/>
          <w:lang w:val="fi-FI"/>
        </w:rPr>
      </w:pPr>
      <w:r>
        <w:rPr>
          <w:rStyle w:val="FootnoteReference"/>
          <w:sz w:val="24"/>
        </w:rPr>
        <w:footnoteRef/>
      </w:r>
      <w:r>
        <w:rPr>
          <w:sz w:val="24"/>
          <w:lang w:val="fi-FI"/>
        </w:rPr>
        <w:t xml:space="preserve"> </w:t>
      </w:r>
      <w:r>
        <w:rPr>
          <w:sz w:val="24"/>
          <w:lang w:val="fi-FI"/>
        </w:rPr>
        <w:tab/>
      </w:r>
      <w:r>
        <w:rPr>
          <w:sz w:val="24"/>
          <w:lang w:val="fi-FI"/>
        </w:rPr>
        <w:t xml:space="preserve">JO C, C/2024/5462, 10.10.2024, ELI: </w:t>
      </w:r>
      <w:r>
        <w:fldChar w:fldCharType="begin"/>
      </w:r>
      <w:r w:rsidRPr="00D2131D">
        <w:rPr>
          <w:lang w:val="fi-FI"/>
        </w:rPr>
        <w:instrText xml:space="preserve"> HYPERLINK "http://data.europa.eu/eli/C/2024/5462/oj" </w:instrText>
      </w:r>
      <w:r>
        <w:fldChar w:fldCharType="separate"/>
      </w:r>
      <w:r>
        <w:rPr>
          <w:rStyle w:val="Hyperlink"/>
          <w:sz w:val="24"/>
          <w:lang w:val="fi-FI"/>
        </w:rPr>
        <w:t>http://data.europa.eu/eli/C/2024/5462/oj</w:t>
      </w:r>
      <w:r>
        <w:rPr>
          <w:rStyle w:val="Hyperlink"/>
          <w:sz w:val="24"/>
          <w:lang w:val="fi-FI"/>
        </w:rPr>
        <w:fldChar w:fldCharType="end"/>
      </w:r>
      <w:r>
        <w:rPr>
          <w:sz w:val="24"/>
          <w:shd w:val="clear" w:color="auto" w:fill="FFFFFF"/>
          <w:lang w:val="fi-FI"/>
        </w:rPr>
        <w:t>.</w:t>
      </w:r>
    </w:p>
  </w:footnote>
  <w:footnote w:id="3">
    <w:p w:rsidR="00C20B75" w:rsidRDefault="00D2131D">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C/2024/3115, 23.5.2024, ELI: </w:t>
      </w:r>
      <w:r>
        <w:fldChar w:fldCharType="begin"/>
      </w:r>
      <w:r w:rsidRPr="00D2131D">
        <w:rPr>
          <w:lang w:val="fi-FI"/>
        </w:rPr>
        <w:instrText xml:space="preserve"> HYPERLINK "http://data.europa.eu/eli/C/2024/3115/oj" </w:instrText>
      </w:r>
      <w:r>
        <w:fldChar w:fldCharType="separate"/>
      </w:r>
      <w:r>
        <w:rPr>
          <w:rStyle w:val="Hyperlink"/>
          <w:sz w:val="24"/>
          <w:lang w:val="fi-FI"/>
        </w:rPr>
        <w:t>http://data.europa.eu/eli/</w:t>
      </w:r>
      <w:r>
        <w:rPr>
          <w:rStyle w:val="Hyperlink"/>
          <w:sz w:val="24"/>
          <w:lang w:val="fi-FI"/>
        </w:rPr>
        <w:t>C/2024/3115/oj</w:t>
      </w:r>
      <w:r>
        <w:rPr>
          <w:rStyle w:val="Hyperlink"/>
          <w:sz w:val="24"/>
          <w:lang w:val="fi-FI"/>
        </w:rPr>
        <w:fldChar w:fldCharType="end"/>
      </w:r>
      <w:r>
        <w:rPr>
          <w:sz w:val="24"/>
          <w:shd w:val="clear" w:color="auto" w:fill="FFFFFF"/>
          <w:lang w:val="fi-FI"/>
        </w:rPr>
        <w:t>.</w:t>
      </w:r>
    </w:p>
  </w:footnote>
  <w:footnote w:id="4">
    <w:p w:rsidR="00C20B75" w:rsidRDefault="00D2131D">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C/2024/5882, 9.10.2024, ELI: </w:t>
      </w:r>
      <w:r>
        <w:fldChar w:fldCharType="begin"/>
      </w:r>
      <w:r w:rsidRPr="00D2131D">
        <w:rPr>
          <w:lang w:val="fi-FI"/>
        </w:rPr>
        <w:instrText xml:space="preserve"> HYPERLINK "http://data.europa.eu/eli/C/2024/5882/oj" </w:instrText>
      </w:r>
      <w:r>
        <w:fldChar w:fldCharType="separate"/>
      </w:r>
      <w:r>
        <w:rPr>
          <w:rStyle w:val="Hyperlink"/>
          <w:sz w:val="24"/>
          <w:lang w:val="fi-FI"/>
        </w:rPr>
        <w:t>http://data.europa.eu/eli/C/2024/5882/oj</w:t>
      </w:r>
      <w:r>
        <w:rPr>
          <w:rStyle w:val="Hyperlink"/>
          <w:sz w:val="24"/>
          <w:lang w:val="fi-FI"/>
        </w:rPr>
        <w:fldChar w:fldCharType="end"/>
      </w:r>
      <w:r>
        <w:rPr>
          <w:sz w:val="24"/>
          <w:shd w:val="clear" w:color="auto" w:fill="FFFFFF"/>
          <w:lang w:val="fi-FI"/>
        </w:rPr>
        <w:t>.</w:t>
      </w:r>
    </w:p>
  </w:footnote>
  <w:footnote w:id="5">
    <w:p w:rsidR="00C20B75" w:rsidRDefault="00D2131D">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C/2024/6041, 10.10.2024, ELI: </w:t>
      </w:r>
      <w:r>
        <w:fldChar w:fldCharType="begin"/>
      </w:r>
      <w:r w:rsidRPr="00D2131D">
        <w:rPr>
          <w:lang w:val="fi-FI"/>
        </w:rPr>
        <w:instrText xml:space="preserve"> HYPERLINK "http://data.europa.eu/eli/C/2024/6041/oj" </w:instrText>
      </w:r>
      <w:r>
        <w:fldChar w:fldCharType="separate"/>
      </w:r>
      <w:r>
        <w:rPr>
          <w:rStyle w:val="Hyperlink"/>
          <w:sz w:val="24"/>
          <w:lang w:val="fi-FI"/>
        </w:rPr>
        <w:t>http://</w:t>
      </w:r>
      <w:r>
        <w:rPr>
          <w:rStyle w:val="Hyperlink"/>
          <w:sz w:val="24"/>
          <w:lang w:val="fi-FI"/>
        </w:rPr>
        <w:t>data.europa.eu/eli/C/2024/6041/oj</w:t>
      </w:r>
      <w:r>
        <w:rPr>
          <w:rStyle w:val="Hyperlink"/>
          <w:sz w:val="24"/>
          <w:lang w:val="fi-FI"/>
        </w:rPr>
        <w:fldChar w:fldCharType="end"/>
      </w:r>
      <w:r>
        <w:rPr>
          <w:sz w:val="24"/>
          <w:shd w:val="clear" w:color="auto" w:fill="FFFFFF"/>
          <w:lang w:val="fi-FI"/>
        </w:rPr>
        <w:t>.</w:t>
      </w:r>
    </w:p>
  </w:footnote>
  <w:footnote w:id="6">
    <w:p w:rsidR="00C20B75" w:rsidRDefault="00D2131D">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193 du 30.7.2018, p. 1, ELI: </w:t>
      </w:r>
      <w:r>
        <w:fldChar w:fldCharType="begin"/>
      </w:r>
      <w:r w:rsidRPr="00D2131D">
        <w:rPr>
          <w:lang w:val="fi-FI"/>
        </w:rPr>
        <w:instrText xml:space="preserve"> HYPERLINK "http://data.europa.eu/eli/reg/2018/1046/oj" </w:instrText>
      </w:r>
      <w:r>
        <w:fldChar w:fldCharType="separate"/>
      </w:r>
      <w:r>
        <w:rPr>
          <w:rStyle w:val="Hyperlink"/>
          <w:sz w:val="24"/>
          <w:lang w:val="fi-FI"/>
        </w:rPr>
        <w:t>http://data.europa.eu/eli/reg/2018/1046/oj</w:t>
      </w:r>
      <w:r>
        <w:rPr>
          <w:rStyle w:val="Hyperlink"/>
          <w:sz w:val="24"/>
          <w:lang w:val="fi-FI"/>
        </w:rPr>
        <w:fldChar w:fldCharType="end"/>
      </w:r>
      <w:r>
        <w:rPr>
          <w:sz w:val="24"/>
          <w:lang w:val="fi-FI"/>
        </w:rPr>
        <w:t>.</w:t>
      </w:r>
    </w:p>
  </w:footnote>
  <w:footnote w:id="7">
    <w:p w:rsidR="00C20B75" w:rsidRDefault="00D2131D">
      <w:pPr>
        <w:pStyle w:val="FootnoteText"/>
        <w:ind w:left="567" w:hanging="567"/>
        <w:rPr>
          <w:sz w:val="24"/>
          <w:szCs w:val="24"/>
          <w:lang w:val="fi-FI"/>
        </w:rPr>
      </w:pPr>
      <w:r>
        <w:rPr>
          <w:rStyle w:val="FootnoteReference"/>
          <w:sz w:val="24"/>
        </w:rPr>
        <w:footnoteRef/>
      </w:r>
      <w:r>
        <w:rPr>
          <w:sz w:val="24"/>
          <w:lang w:val="fi-FI"/>
        </w:rPr>
        <w:t xml:space="preserve"> </w:t>
      </w:r>
      <w:r>
        <w:rPr>
          <w:sz w:val="24"/>
          <w:lang w:val="fi-FI"/>
        </w:rPr>
        <w:tab/>
        <w:t xml:space="preserve">JO L, 2024/2509, 26.9.2024, ELI: </w:t>
      </w:r>
      <w:r>
        <w:fldChar w:fldCharType="begin"/>
      </w:r>
      <w:r w:rsidRPr="00D2131D">
        <w:rPr>
          <w:lang w:val="fi-FI"/>
        </w:rPr>
        <w:instrText xml:space="preserve"> HYPERLINK "http://data.europa.eu/eli/reg/2024/2509/oj" \t "_blank" </w:instrText>
      </w:r>
      <w:r>
        <w:fldChar w:fldCharType="separate"/>
      </w:r>
      <w:r>
        <w:rPr>
          <w:rStyle w:val="Hyperlink"/>
          <w:sz w:val="24"/>
          <w:shd w:val="clear" w:color="auto" w:fill="FFFFFF"/>
          <w:lang w:val="fi-FI"/>
        </w:rPr>
        <w:t>http://data.europa.eu/eli/reg/2024/2509/oj</w:t>
      </w:r>
      <w:r>
        <w:rPr>
          <w:rStyle w:val="Hyperlink"/>
          <w:sz w:val="24"/>
          <w:shd w:val="clear" w:color="auto" w:fill="FFFFFF"/>
          <w:lang w:val="fi-FI"/>
        </w:rPr>
        <w:fldChar w:fldCharType="end"/>
      </w:r>
      <w:r>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75" w:rsidRDefault="00C20B7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75" w:rsidRDefault="00C20B7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B75" w:rsidRDefault="00C20B7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2/2025"/>
    <w:docVar w:name="dvlangue" w:val="FR"/>
    <w:docVar w:name="dvnumam" w:val="0"/>
    <w:docVar w:name="dvpe" w:val="764.999"/>
    <w:docVar w:name="dvrapporteur" w:val="Rapporteur: "/>
    <w:docVar w:name="dvtitre" w:val="1. Décision du Parlement européen du 7 mai 2025 concernant la décharge sur l’exécution du budget général de l’Union européenne pour l’exercice 2023, section I – Parlement européen(2024/2020(DEC))"/>
  </w:docVars>
  <w:rsids>
    <w:rsidRoot w:val="00C20B75"/>
    <w:rsid w:val="00C20B75"/>
    <w:rsid w:val="00D2131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02E95"/>
  <w15:chartTrackingRefBased/>
  <w15:docId w15:val="{46292ACF-68CC-43A4-92F9-C30E9BF5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fr-FR"/>
    </w:rPr>
  </w:style>
  <w:style w:type="paragraph" w:styleId="Heading1">
    <w:name w:val="heading 1"/>
    <w:basedOn w:val="Normal"/>
    <w:next w:val="Normal"/>
    <w:semiHidden/>
    <w:qFormat/>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pPr>
      <w:keepNext/>
      <w:widowControl/>
      <w:numPr>
        <w:ilvl w:val="1"/>
        <w:numId w:val="43"/>
      </w:numPr>
      <w:spacing w:before="240" w:after="60"/>
      <w:outlineLvl w:val="1"/>
    </w:pPr>
    <w:rPr>
      <w:lang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eastAsia="fr-FR"/>
    </w:rPr>
  </w:style>
  <w:style w:type="paragraph" w:styleId="TOC3">
    <w:name w:val="toc 3"/>
    <w:basedOn w:val="Normal"/>
    <w:next w:val="Normal"/>
    <w:autoRedefine/>
    <w:semiHidden/>
    <w:pPr>
      <w:keepLines/>
      <w:widowControl/>
      <w:ind w:right="510"/>
    </w:pPr>
    <w:rPr>
      <w:noProof/>
      <w:lang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Hanging12a">
    <w:name w:val="NormalHanging12a"/>
    <w:basedOn w:val="Normal"/>
    <w:link w:val="NormalHanging12aChar"/>
    <w:pPr>
      <w:spacing w:after="240"/>
      <w:ind w:left="567" w:hanging="567"/>
    </w:pPr>
  </w:style>
  <w:style w:type="character" w:styleId="Hyperlink">
    <w:name w:val="Hyperlink"/>
    <w:basedOn w:val="DefaultParagraphFont"/>
    <w:uiPriority w:val="99"/>
    <w:rPr>
      <w:color w:val="0563C1" w:themeColor="hyperlink"/>
      <w:u w:val="single"/>
    </w:rPr>
  </w:style>
  <w:style w:type="character" w:customStyle="1" w:styleId="NormalHanging12aChar">
    <w:name w:val="NormalHanging12a Char"/>
    <w:basedOn w:val="DefaultParagraphFont"/>
    <w:link w:val="NormalHanging12a"/>
    <w:locke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4009E-51CB-4F07-A290-D68C674DC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534</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DELECROIX Dorothee</cp:lastModifiedBy>
  <cp:revision>2</cp:revision>
  <cp:lastPrinted>2004-11-19T15:42:00Z</cp:lastPrinted>
  <dcterms:created xsi:type="dcterms:W3CDTF">2025-05-07T17:17:00Z</dcterms:created>
  <dcterms:modified xsi:type="dcterms:W3CDTF">2025-05-07T17:17:00Z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P10_TA(2025)0078_</vt:lpwstr>
  </property>
  <property fmtid="{D5CDD505-2E9C-101B-9397-08002B2CF9AE}" pid="4" name="&lt;Type&gt;">
    <vt:lpwstr>RR</vt:lpwstr>
  </property>
</Properties>
</file>