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C0E98" w14:paraId="5A4B6B3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D72C248" w14:textId="77777777" w:rsidR="00751A4A" w:rsidRPr="007C0E98" w:rsidRDefault="00A750A5" w:rsidP="0010095E">
            <w:pPr>
              <w:pStyle w:val="EPName"/>
            </w:pPr>
            <w:r w:rsidRPr="007C0E98">
              <w:t>Europski parlament</w:t>
            </w:r>
          </w:p>
          <w:p w14:paraId="5693F36F" w14:textId="77777777" w:rsidR="00751A4A" w:rsidRPr="007C0E9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C0E98">
              <w:t>2024</w:t>
            </w:r>
            <w:r w:rsidR="00817416" w:rsidRPr="007C0E98">
              <w:t>-202</w:t>
            </w:r>
            <w:r w:rsidRPr="007C0E98">
              <w:t>9</w:t>
            </w:r>
          </w:p>
        </w:tc>
        <w:tc>
          <w:tcPr>
            <w:tcW w:w="2268" w:type="dxa"/>
            <w:shd w:val="clear" w:color="auto" w:fill="auto"/>
          </w:tcPr>
          <w:p w14:paraId="04EEDAC5" w14:textId="77777777" w:rsidR="00751A4A" w:rsidRPr="007C0E98" w:rsidRDefault="00187494" w:rsidP="0010095E">
            <w:pPr>
              <w:pStyle w:val="EPLogo"/>
            </w:pPr>
            <w:r w:rsidRPr="007C0E98">
              <w:rPr>
                <w:noProof/>
                <w:lang w:val="en-GB" w:eastAsia="zh-CN"/>
              </w:rPr>
              <w:drawing>
                <wp:inline distT="0" distB="0" distL="0" distR="0" wp14:anchorId="32409291" wp14:editId="7243961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5C1669" w14:textId="77777777" w:rsidR="00D058B8" w:rsidRPr="007C0E98" w:rsidRDefault="00D058B8" w:rsidP="004C5D52">
      <w:pPr>
        <w:pStyle w:val="LineTop"/>
      </w:pPr>
    </w:p>
    <w:p w14:paraId="59D48B4A" w14:textId="77777777" w:rsidR="00680577" w:rsidRPr="007C0E98" w:rsidRDefault="00A750A5" w:rsidP="00680577">
      <w:pPr>
        <w:pStyle w:val="EPBodyTA1"/>
      </w:pPr>
      <w:r w:rsidRPr="007C0E98">
        <w:t>USVOJENI TEKSTOVI</w:t>
      </w:r>
    </w:p>
    <w:p w14:paraId="49F08B38" w14:textId="77777777" w:rsidR="00D058B8" w:rsidRPr="007C0E98" w:rsidRDefault="00D058B8" w:rsidP="00D058B8">
      <w:pPr>
        <w:pStyle w:val="LineBottom"/>
      </w:pPr>
    </w:p>
    <w:p w14:paraId="2C19CE6B" w14:textId="77777777" w:rsidR="00A750A5" w:rsidRPr="007C0E98" w:rsidRDefault="00A750A5" w:rsidP="00A750A5">
      <w:pPr>
        <w:pStyle w:val="ATHeading1"/>
      </w:pPr>
      <w:bookmarkStart w:id="0" w:name="TANumber"/>
      <w:r w:rsidRPr="007C0E98">
        <w:t>P10_TA(2025)00</w:t>
      </w:r>
      <w:r w:rsidR="00237FD8">
        <w:t>78</w:t>
      </w:r>
      <w:bookmarkEnd w:id="0"/>
    </w:p>
    <w:p w14:paraId="7510A800" w14:textId="77777777" w:rsidR="00A750A5" w:rsidRPr="007C0E98" w:rsidRDefault="00A750A5" w:rsidP="00A750A5">
      <w:pPr>
        <w:pStyle w:val="ATHeading2"/>
      </w:pPr>
      <w:bookmarkStart w:id="1" w:name="title"/>
      <w:r w:rsidRPr="007C0E98">
        <w:t>Razrješnica za 2023.: Opći proračun EU-a – Europski parlament</w:t>
      </w:r>
      <w:bookmarkEnd w:id="1"/>
    </w:p>
    <w:p w14:paraId="1B09ECA2" w14:textId="77777777" w:rsidR="00A750A5" w:rsidRPr="007C0E98" w:rsidRDefault="00A750A5" w:rsidP="00A750A5">
      <w:pPr>
        <w:rPr>
          <w:i/>
          <w:vanish/>
        </w:rPr>
      </w:pPr>
      <w:r w:rsidRPr="007C0E98">
        <w:rPr>
          <w:i/>
        </w:rPr>
        <w:fldChar w:fldCharType="begin"/>
      </w:r>
      <w:r w:rsidRPr="007C0E98">
        <w:rPr>
          <w:i/>
        </w:rPr>
        <w:instrText xml:space="preserve"> TC"(</w:instrText>
      </w:r>
      <w:bookmarkStart w:id="2" w:name="DocNumber"/>
      <w:r w:rsidRPr="007C0E98">
        <w:rPr>
          <w:i/>
        </w:rPr>
        <w:instrText>A10-0062/2025</w:instrText>
      </w:r>
      <w:bookmarkEnd w:id="2"/>
      <w:r w:rsidRPr="007C0E98">
        <w:rPr>
          <w:i/>
        </w:rPr>
        <w:instrText xml:space="preserve"> - Izvjestiteljica: Monika </w:instrText>
      </w:r>
      <w:proofErr w:type="spellStart"/>
      <w:r w:rsidRPr="007C0E98">
        <w:rPr>
          <w:i/>
        </w:rPr>
        <w:instrText>Hohlmeier</w:instrText>
      </w:r>
      <w:proofErr w:type="spellEnd"/>
      <w:r w:rsidRPr="007C0E98">
        <w:rPr>
          <w:i/>
        </w:rPr>
        <w:instrText xml:space="preserve">)"\l3 \n&gt; \* MERGEFORMAT </w:instrText>
      </w:r>
      <w:r w:rsidRPr="007C0E98">
        <w:rPr>
          <w:i/>
        </w:rPr>
        <w:fldChar w:fldCharType="end"/>
      </w:r>
    </w:p>
    <w:p w14:paraId="66C7B43A" w14:textId="77777777" w:rsidR="00A750A5" w:rsidRPr="007C0E98" w:rsidRDefault="00A750A5" w:rsidP="00A750A5">
      <w:pPr>
        <w:rPr>
          <w:vanish/>
        </w:rPr>
      </w:pPr>
      <w:bookmarkStart w:id="3" w:name="Commission"/>
      <w:r w:rsidRPr="007C0E98">
        <w:rPr>
          <w:vanish/>
        </w:rPr>
        <w:t>Odbor za proračunski nadzor</w:t>
      </w:r>
      <w:bookmarkEnd w:id="3"/>
    </w:p>
    <w:p w14:paraId="165A09D0" w14:textId="77777777" w:rsidR="00A750A5" w:rsidRPr="007C0E98" w:rsidRDefault="00A750A5" w:rsidP="00A750A5">
      <w:pPr>
        <w:rPr>
          <w:vanish/>
        </w:rPr>
      </w:pPr>
      <w:bookmarkStart w:id="4" w:name="PE"/>
      <w:r w:rsidRPr="007C0E98">
        <w:rPr>
          <w:vanish/>
        </w:rPr>
        <w:t>PE764.999</w:t>
      </w:r>
      <w:bookmarkEnd w:id="4"/>
    </w:p>
    <w:p w14:paraId="173723E4" w14:textId="77777777" w:rsidR="00A750A5" w:rsidRPr="007C0E98" w:rsidRDefault="00A750A5" w:rsidP="00A750A5">
      <w:pPr>
        <w:pStyle w:val="ATHeading3"/>
      </w:pPr>
      <w:bookmarkStart w:id="5" w:name="Sujet"/>
      <w:r w:rsidRPr="007C0E98">
        <w:t>Od</w:t>
      </w:r>
      <w:r w:rsidR="007C0E98">
        <w:t>luka Europskog parlamenta od 7</w:t>
      </w:r>
      <w:r w:rsidRPr="007C0E98">
        <w:t xml:space="preserve">. </w:t>
      </w:r>
      <w:r w:rsidR="007C0E98">
        <w:t xml:space="preserve">svibnja </w:t>
      </w:r>
      <w:r w:rsidRPr="007C0E98">
        <w:t>2025. o razrješnici za izvršenje općeg proračuna Europske unije za financijsku godinu 2023., dio I. – Europski parlament</w:t>
      </w:r>
      <w:bookmarkEnd w:id="5"/>
      <w:r w:rsidRPr="007C0E98">
        <w:t xml:space="preserve"> </w:t>
      </w:r>
      <w:bookmarkStart w:id="6" w:name="References"/>
      <w:r w:rsidRPr="007C0E98">
        <w:t>(2024/2020(DEC))</w:t>
      </w:r>
      <w:bookmarkEnd w:id="6"/>
    </w:p>
    <w:p w14:paraId="3968A590" w14:textId="77777777" w:rsidR="00210702" w:rsidRDefault="00210702" w:rsidP="00210702">
      <w:pPr>
        <w:pStyle w:val="EPComma"/>
      </w:pPr>
      <w:bookmarkStart w:id="7" w:name="TextBodyBegin"/>
      <w:bookmarkEnd w:id="7"/>
      <w:r w:rsidRPr="007C0E98">
        <w:rPr>
          <w:i/>
        </w:rPr>
        <w:t>Europski parlament</w:t>
      </w:r>
      <w:r w:rsidRPr="007C0E98">
        <w:t>,</w:t>
      </w:r>
    </w:p>
    <w:p w14:paraId="10976A14" w14:textId="77777777" w:rsidR="008F2D8F" w:rsidRPr="008F2D8F" w:rsidRDefault="008F2D8F" w:rsidP="008F2D8F">
      <w:pPr>
        <w:spacing w:after="240"/>
        <w:ind w:left="567" w:hanging="567"/>
        <w:rPr>
          <w:noProof/>
          <w:kern w:val="2"/>
          <w14:ligatures w14:val="standardContextual"/>
        </w:rPr>
      </w:pPr>
      <w:r w:rsidRPr="008F2D8F">
        <w:rPr>
          <w:kern w:val="2"/>
          <w14:ligatures w14:val="standardContextual"/>
        </w:rPr>
        <w:t>–</w:t>
      </w:r>
      <w:r w:rsidRPr="008F2D8F">
        <w:rPr>
          <w:kern w:val="2"/>
          <w14:ligatures w14:val="standardContextual"/>
        </w:rPr>
        <w:tab/>
        <w:t>uzimajući u obzir opći proračun Europske unije za financijsku godinu 2023.</w:t>
      </w:r>
      <w:r w:rsidRPr="008F2D8F">
        <w:rPr>
          <w:noProof/>
          <w:kern w:val="2"/>
          <w:vertAlign w:val="superscript"/>
          <w14:ligatures w14:val="standardContextual"/>
        </w:rPr>
        <w:footnoteReference w:id="1"/>
      </w:r>
      <w:r w:rsidRPr="008F2D8F">
        <w:rPr>
          <w:kern w:val="2"/>
          <w14:ligatures w14:val="standardContextual"/>
        </w:rPr>
        <w:t>,</w:t>
      </w:r>
    </w:p>
    <w:p w14:paraId="1BCD44DA" w14:textId="77777777" w:rsidR="008F2D8F" w:rsidRPr="008F2D8F" w:rsidRDefault="008F2D8F" w:rsidP="008F2D8F">
      <w:pPr>
        <w:spacing w:after="240"/>
        <w:ind w:left="567" w:hanging="567"/>
        <w:rPr>
          <w:noProof/>
          <w:kern w:val="2"/>
          <w14:ligatures w14:val="standardContextual"/>
        </w:rPr>
      </w:pPr>
      <w:r w:rsidRPr="008F2D8F">
        <w:rPr>
          <w:kern w:val="2"/>
          <w14:ligatures w14:val="standardContextual"/>
        </w:rPr>
        <w:t>–</w:t>
      </w:r>
      <w:r w:rsidRPr="008F2D8F">
        <w:rPr>
          <w:kern w:val="2"/>
          <w14:ligatures w14:val="standardContextual"/>
        </w:rPr>
        <w:tab/>
        <w:t>uzimajući u obzir konsolidiranu godišnju računovodstvenu dokumentaciju Europske unije za financijsku godinu 2023. (COM(2024)0272 – C10</w:t>
      </w:r>
      <w:r w:rsidRPr="008F2D8F">
        <w:rPr>
          <w:kern w:val="2"/>
          <w14:ligatures w14:val="standardContextual"/>
        </w:rPr>
        <w:noBreakHyphen/>
        <w:t>0068/2024)</w:t>
      </w:r>
      <w:r w:rsidRPr="008F2D8F">
        <w:rPr>
          <w:noProof/>
          <w:kern w:val="2"/>
          <w:vertAlign w:val="superscript"/>
          <w14:ligatures w14:val="standardContextual"/>
        </w:rPr>
        <w:footnoteReference w:id="2"/>
      </w:r>
      <w:r w:rsidRPr="008F2D8F">
        <w:rPr>
          <w:kern w:val="2"/>
          <w14:ligatures w14:val="standardContextual"/>
        </w:rPr>
        <w:t>,</w:t>
      </w:r>
    </w:p>
    <w:p w14:paraId="2CD732E4" w14:textId="77777777" w:rsidR="008F2D8F" w:rsidRPr="008F2D8F" w:rsidRDefault="008F2D8F" w:rsidP="008F2D8F">
      <w:pPr>
        <w:spacing w:after="240"/>
        <w:ind w:left="567" w:hanging="567"/>
        <w:rPr>
          <w:noProof/>
          <w:kern w:val="2"/>
          <w14:ligatures w14:val="standardContextual"/>
        </w:rPr>
      </w:pPr>
      <w:r w:rsidRPr="008F2D8F">
        <w:rPr>
          <w:kern w:val="2"/>
          <w14:ligatures w14:val="standardContextual"/>
        </w:rPr>
        <w:t>–</w:t>
      </w:r>
      <w:r w:rsidRPr="008F2D8F">
        <w:rPr>
          <w:kern w:val="2"/>
          <w14:ligatures w14:val="standardContextual"/>
        </w:rPr>
        <w:tab/>
        <w:t>uzimajući u obzir izvješće o proračunskom i financijskom upravljanju za financijsku godinu 2023., dio I. – Europski parlament</w:t>
      </w:r>
      <w:r w:rsidRPr="008F2D8F">
        <w:rPr>
          <w:noProof/>
          <w:kern w:val="2"/>
          <w:vertAlign w:val="superscript"/>
          <w14:ligatures w14:val="standardContextual"/>
        </w:rPr>
        <w:footnoteReference w:id="3"/>
      </w:r>
      <w:r w:rsidRPr="008F2D8F">
        <w:rPr>
          <w:kern w:val="2"/>
          <w14:ligatures w14:val="standardContextual"/>
        </w:rPr>
        <w:t>,</w:t>
      </w:r>
    </w:p>
    <w:p w14:paraId="56C82A8C" w14:textId="77777777" w:rsidR="008F2D8F" w:rsidRPr="008F2D8F" w:rsidRDefault="008F2D8F" w:rsidP="008F2D8F">
      <w:pPr>
        <w:spacing w:after="240"/>
        <w:ind w:left="567" w:hanging="567"/>
        <w:rPr>
          <w:noProof/>
          <w:kern w:val="2"/>
          <w14:ligatures w14:val="standardContextual"/>
        </w:rPr>
      </w:pPr>
      <w:r w:rsidRPr="008F2D8F">
        <w:rPr>
          <w:kern w:val="2"/>
          <w14:ligatures w14:val="standardContextual"/>
        </w:rPr>
        <w:t>–</w:t>
      </w:r>
      <w:r w:rsidRPr="008F2D8F">
        <w:rPr>
          <w:kern w:val="2"/>
          <w14:ligatures w14:val="standardContextual"/>
        </w:rPr>
        <w:tab/>
        <w:t>uzimajući u obzir godišnje izvješće unutarnjeg revizora za financijsku godinu 2023.,</w:t>
      </w:r>
    </w:p>
    <w:p w14:paraId="58150EE8" w14:textId="77777777" w:rsidR="008F2D8F" w:rsidRPr="008F2D8F" w:rsidRDefault="008F2D8F" w:rsidP="008F2D8F">
      <w:pPr>
        <w:spacing w:after="240"/>
        <w:ind w:left="567" w:hanging="567"/>
        <w:rPr>
          <w:noProof/>
          <w:kern w:val="2"/>
          <w14:ligatures w14:val="standardContextual"/>
        </w:rPr>
      </w:pPr>
      <w:r w:rsidRPr="008F2D8F">
        <w:rPr>
          <w:kern w:val="2"/>
          <w14:ligatures w14:val="standardContextual"/>
        </w:rPr>
        <w:t>–</w:t>
      </w:r>
      <w:r w:rsidRPr="008F2D8F">
        <w:rPr>
          <w:kern w:val="2"/>
          <w14:ligatures w14:val="standardContextual"/>
        </w:rPr>
        <w:tab/>
        <w:t>uzimajući u obzir godišnje izvješće Revizorskog suda o izvršenju proračuna za financijsku godinu 2023., s odgovorima institucija</w:t>
      </w:r>
      <w:r w:rsidRPr="008F2D8F">
        <w:rPr>
          <w:noProof/>
          <w:kern w:val="2"/>
          <w:vertAlign w:val="superscript"/>
          <w14:ligatures w14:val="standardContextual"/>
        </w:rPr>
        <w:footnoteReference w:id="4"/>
      </w:r>
      <w:r w:rsidRPr="008F2D8F">
        <w:rPr>
          <w:kern w:val="2"/>
          <w14:ligatures w14:val="standardContextual"/>
        </w:rPr>
        <w:t>,</w:t>
      </w:r>
    </w:p>
    <w:p w14:paraId="3AE9B026" w14:textId="77777777" w:rsidR="008F2D8F" w:rsidRPr="008F2D8F" w:rsidRDefault="008F2D8F" w:rsidP="008F2D8F">
      <w:pPr>
        <w:spacing w:after="240"/>
        <w:ind w:left="567" w:hanging="567"/>
        <w:rPr>
          <w:noProof/>
          <w:kern w:val="2"/>
          <w14:ligatures w14:val="standardContextual"/>
        </w:rPr>
      </w:pPr>
      <w:r w:rsidRPr="008F2D8F">
        <w:rPr>
          <w:kern w:val="2"/>
          <w14:ligatures w14:val="standardContextual"/>
        </w:rPr>
        <w:t>–</w:t>
      </w:r>
      <w:r w:rsidRPr="008F2D8F">
        <w:rPr>
          <w:kern w:val="2"/>
          <w14:ligatures w14:val="standardContextual"/>
        </w:rPr>
        <w:tab/>
        <w:t>uzimajući u obzir izjavu o jamstvu</w:t>
      </w:r>
      <w:r w:rsidRPr="008F2D8F">
        <w:rPr>
          <w:noProof/>
          <w:kern w:val="2"/>
          <w:vertAlign w:val="superscript"/>
          <w14:ligatures w14:val="standardContextual"/>
        </w:rPr>
        <w:footnoteReference w:id="5"/>
      </w:r>
      <w:r w:rsidRPr="008F2D8F">
        <w:rPr>
          <w:kern w:val="2"/>
          <w14:ligatures w14:val="standardContextual"/>
        </w:rPr>
        <w:t xml:space="preserve"> u pogledu pouzdanosti računovodstvene dokumentacije te zakonitosti i pravilnosti temeljnih transakcija, koju je u skladu s člankom 287. Ugovora o funkcioniranju Europske unije Revizorski sud podnio za financijsku godinu 2023.,</w:t>
      </w:r>
    </w:p>
    <w:p w14:paraId="321781CA" w14:textId="77777777" w:rsidR="008F2D8F" w:rsidRPr="008F2D8F" w:rsidRDefault="008F2D8F" w:rsidP="008F2D8F">
      <w:pPr>
        <w:spacing w:after="240"/>
        <w:ind w:left="567" w:hanging="567"/>
        <w:rPr>
          <w:noProof/>
          <w:kern w:val="2"/>
          <w14:ligatures w14:val="standardContextual"/>
        </w:rPr>
      </w:pPr>
      <w:r w:rsidRPr="008F2D8F">
        <w:rPr>
          <w:kern w:val="2"/>
          <w14:ligatures w14:val="standardContextual"/>
        </w:rPr>
        <w:t>–</w:t>
      </w:r>
      <w:r w:rsidRPr="008F2D8F">
        <w:rPr>
          <w:kern w:val="2"/>
          <w14:ligatures w14:val="standardContextual"/>
        </w:rPr>
        <w:tab/>
        <w:t>uzimajući u obzir članak 314. stavak 10. i članak 318. Ugovora o funkcioniranju Europske unije,</w:t>
      </w:r>
    </w:p>
    <w:p w14:paraId="4ADAF002" w14:textId="77777777" w:rsidR="008F2D8F" w:rsidRPr="008F2D8F" w:rsidRDefault="008F2D8F" w:rsidP="008F2D8F">
      <w:pPr>
        <w:spacing w:after="240"/>
        <w:ind w:left="567" w:hanging="567"/>
        <w:rPr>
          <w:kern w:val="2"/>
          <w14:ligatures w14:val="standardContextual"/>
        </w:rPr>
      </w:pPr>
      <w:r w:rsidRPr="008F2D8F">
        <w:rPr>
          <w:kern w:val="2"/>
          <w14:ligatures w14:val="standardContextual"/>
        </w:rPr>
        <w:t>–</w:t>
      </w:r>
      <w:r w:rsidRPr="008F2D8F">
        <w:rPr>
          <w:kern w:val="2"/>
          <w14:ligatures w14:val="standardContextual"/>
        </w:rPr>
        <w:tab/>
        <w:t xml:space="preserve">uzimajući u obzir Uredbu (EU, Euratom) 2018/1046 Europskog parlamenta i Vijeća od 18. srpnja 2018. o financijskim pravilima koja se primjenjuju na opći proračun Unije, o </w:t>
      </w:r>
      <w:r w:rsidRPr="008F2D8F">
        <w:rPr>
          <w:kern w:val="2"/>
          <w14:ligatures w14:val="standardContextual"/>
        </w:rPr>
        <w:lastRenderedPageBreak/>
        <w:t>izmjeni uredaba (EU) br. 1296/2013, (EU) br. 1301/2013, (EU) br. 1303/2013, (EU) br. 1304/2013, (EU) br. 1309/2013, (EU) br. 1316/2013, (EU) br. 223/2014, (EU) br. 283/2014 i Odluke br. 541/2014/EU te o stavljanju izvan snage Uredbe (EU, Euratom) br. 966/2012</w:t>
      </w:r>
      <w:r w:rsidRPr="008F2D8F">
        <w:rPr>
          <w:noProof/>
          <w:kern w:val="2"/>
          <w:vertAlign w:val="superscript"/>
          <w14:ligatures w14:val="standardContextual"/>
        </w:rPr>
        <w:footnoteReference w:id="6"/>
      </w:r>
      <w:r w:rsidRPr="008F2D8F">
        <w:rPr>
          <w:kern w:val="2"/>
          <w14:ligatures w14:val="standardContextual"/>
        </w:rPr>
        <w:t>, a posebno njezine članke 260., 261. i 262.,</w:t>
      </w:r>
    </w:p>
    <w:p w14:paraId="4C365D75" w14:textId="77777777" w:rsidR="008F2D8F" w:rsidRPr="008F2D8F" w:rsidRDefault="008F2D8F" w:rsidP="008F2D8F">
      <w:pPr>
        <w:spacing w:after="240"/>
        <w:ind w:left="567" w:hanging="567"/>
        <w:rPr>
          <w:noProof/>
          <w:kern w:val="2"/>
          <w14:ligatures w14:val="standardContextual"/>
        </w:rPr>
      </w:pPr>
      <w:r w:rsidRPr="008F2D8F">
        <w:rPr>
          <w:kern w:val="2"/>
          <w14:ligatures w14:val="standardContextual"/>
        </w:rPr>
        <w:t>–</w:t>
      </w:r>
      <w:r w:rsidRPr="008F2D8F">
        <w:rPr>
          <w:kern w:val="2"/>
          <w14:ligatures w14:val="standardContextual"/>
        </w:rPr>
        <w:tab/>
        <w:t>uzimajući u obzir Uredbu (EU, Euratom) 2024/2509 Europskog parlamenta i Vijeća od 23. rujna 2024. o financijskim pravilima koja se primjenjuju na opći proračun Unije</w:t>
      </w:r>
      <w:r w:rsidRPr="008F2D8F">
        <w:rPr>
          <w:noProof/>
          <w:kern w:val="2"/>
          <w:vertAlign w:val="superscript"/>
          <w14:ligatures w14:val="standardContextual"/>
        </w:rPr>
        <w:footnoteReference w:id="7"/>
      </w:r>
      <w:r w:rsidRPr="008F2D8F">
        <w:rPr>
          <w:kern w:val="2"/>
          <w14:ligatures w14:val="standardContextual"/>
        </w:rPr>
        <w:t>, a posebno njezine članke 266., 267. i 268.,</w:t>
      </w:r>
    </w:p>
    <w:p w14:paraId="5CAC3E73" w14:textId="77777777" w:rsidR="008F2D8F" w:rsidRPr="008F2D8F" w:rsidRDefault="008F2D8F" w:rsidP="008F2D8F">
      <w:pPr>
        <w:spacing w:after="240"/>
        <w:ind w:left="567" w:hanging="567"/>
        <w:rPr>
          <w:noProof/>
          <w:kern w:val="2"/>
          <w14:ligatures w14:val="standardContextual"/>
        </w:rPr>
      </w:pPr>
      <w:r w:rsidRPr="008F2D8F">
        <w:rPr>
          <w:kern w:val="2"/>
          <w14:ligatures w14:val="standardContextual"/>
        </w:rPr>
        <w:t>–</w:t>
      </w:r>
      <w:r w:rsidRPr="008F2D8F">
        <w:rPr>
          <w:kern w:val="2"/>
          <w14:ligatures w14:val="standardContextual"/>
        </w:rPr>
        <w:tab/>
        <w:t>uzimajući u obzir Odluku Predsjedništva od 10. prosinca 2018. o internom pravilniku o izvršenju proračuna Europskog parlamenta, a posebno njezin članak 34.,</w:t>
      </w:r>
    </w:p>
    <w:p w14:paraId="56E49FA9" w14:textId="77777777" w:rsidR="008F2D8F" w:rsidRPr="008F2D8F" w:rsidRDefault="008F2D8F" w:rsidP="008F2D8F">
      <w:pPr>
        <w:spacing w:after="240"/>
        <w:ind w:left="567" w:hanging="567"/>
        <w:rPr>
          <w:noProof/>
          <w:kern w:val="2"/>
          <w14:ligatures w14:val="standardContextual"/>
        </w:rPr>
      </w:pPr>
      <w:r w:rsidRPr="008F2D8F">
        <w:rPr>
          <w:kern w:val="2"/>
          <w14:ligatures w14:val="standardContextual"/>
        </w:rPr>
        <w:t>–</w:t>
      </w:r>
      <w:r w:rsidRPr="008F2D8F">
        <w:rPr>
          <w:kern w:val="2"/>
          <w14:ligatures w14:val="standardContextual"/>
        </w:rPr>
        <w:tab/>
        <w:t>uzimajući u obzir članak 102. i članak 106. stavak 3. Poslovnika te Prilog V. Poslovniku,</w:t>
      </w:r>
    </w:p>
    <w:p w14:paraId="1BCE0717" w14:textId="77777777" w:rsidR="008F2D8F" w:rsidRPr="008F2D8F" w:rsidRDefault="008F2D8F" w:rsidP="008F2D8F">
      <w:pPr>
        <w:spacing w:after="240"/>
        <w:ind w:left="567" w:hanging="567"/>
        <w:rPr>
          <w:kern w:val="2"/>
          <w14:ligatures w14:val="standardContextual"/>
        </w:rPr>
      </w:pPr>
      <w:r w:rsidRPr="008F2D8F">
        <w:rPr>
          <w:kern w:val="2"/>
          <w14:ligatures w14:val="standardContextual"/>
        </w:rPr>
        <w:t>–</w:t>
      </w:r>
      <w:r w:rsidRPr="008F2D8F">
        <w:rPr>
          <w:kern w:val="2"/>
          <w14:ligatures w14:val="standardContextual"/>
        </w:rPr>
        <w:tab/>
        <w:t>uzimajući u obzir mišljenje Odbora za ustavna pitanja,</w:t>
      </w:r>
    </w:p>
    <w:p w14:paraId="49F2B806" w14:textId="77777777" w:rsidR="008F2D8F" w:rsidRPr="008F2D8F" w:rsidRDefault="008F2D8F" w:rsidP="008F2D8F">
      <w:pPr>
        <w:spacing w:after="240"/>
        <w:ind w:left="567" w:hanging="567"/>
        <w:rPr>
          <w:kern w:val="2"/>
          <w14:ligatures w14:val="standardContextual"/>
        </w:rPr>
      </w:pPr>
      <w:r w:rsidRPr="008F2D8F">
        <w:rPr>
          <w:kern w:val="2"/>
          <w14:ligatures w14:val="standardContextual"/>
        </w:rPr>
        <w:t>–</w:t>
      </w:r>
      <w:r w:rsidRPr="008F2D8F">
        <w:rPr>
          <w:kern w:val="2"/>
          <w14:ligatures w14:val="standardContextual"/>
        </w:rPr>
        <w:tab/>
        <w:t>uzimajući u obzir izvješće Odbora za proračunski nadzor (A10</w:t>
      </w:r>
      <w:r w:rsidRPr="008F2D8F">
        <w:rPr>
          <w:kern w:val="2"/>
          <w14:ligatures w14:val="standardContextual"/>
        </w:rPr>
        <w:noBreakHyphen/>
        <w:t>0062/2025),</w:t>
      </w:r>
    </w:p>
    <w:p w14:paraId="7F8AA0A2" w14:textId="77777777" w:rsidR="008F2D8F" w:rsidRPr="008F2D8F" w:rsidRDefault="008F2D8F" w:rsidP="008F2D8F">
      <w:pPr>
        <w:widowControl/>
        <w:spacing w:after="240"/>
        <w:ind w:left="567" w:hanging="567"/>
        <w:rPr>
          <w:kern w:val="2"/>
          <w14:ligatures w14:val="standardContextual"/>
        </w:rPr>
      </w:pPr>
      <w:r w:rsidRPr="008F2D8F">
        <w:rPr>
          <w:kern w:val="2"/>
          <w14:ligatures w14:val="standardContextual"/>
        </w:rPr>
        <w:t>A.</w:t>
      </w:r>
      <w:r w:rsidRPr="008F2D8F">
        <w:rPr>
          <w:kern w:val="2"/>
          <w14:ligatures w14:val="standardContextual"/>
        </w:rPr>
        <w:tab/>
        <w:t>budući da je predsjednica Parlamenta 19. lipnja 2024. usvojila poslovne knjige Parlamenta za financijsku godinu 2023.;</w:t>
      </w:r>
    </w:p>
    <w:p w14:paraId="04415A9F" w14:textId="77777777" w:rsidR="008F2D8F" w:rsidRPr="008F2D8F" w:rsidRDefault="008F2D8F" w:rsidP="008F2D8F">
      <w:pPr>
        <w:widowControl/>
        <w:spacing w:after="240"/>
        <w:ind w:left="567" w:hanging="567"/>
        <w:rPr>
          <w:kern w:val="2"/>
          <w14:ligatures w14:val="standardContextual"/>
        </w:rPr>
      </w:pPr>
      <w:r w:rsidRPr="008F2D8F">
        <w:rPr>
          <w:kern w:val="2"/>
          <w14:ligatures w14:val="standardContextual"/>
        </w:rPr>
        <w:t>B.</w:t>
      </w:r>
      <w:r w:rsidRPr="008F2D8F">
        <w:rPr>
          <w:kern w:val="2"/>
          <w14:ligatures w14:val="standardContextual"/>
        </w:rPr>
        <w:tab/>
        <w:t>budući da je glavni tajnik, kao glavni dužnosnik za ovjeravanje na osnovi delegiranja ovlasti, 18. lipnja 2024. potvrdio svoje razumno jamstvo da su sredstva dodijeljena proračunu Parlamenta upotrijebljena u svrhu za koju su namijenjena i u skladu s načelima dobrog financijskog upravljanja te da uspostavljeni postupci nadzora daju potrebna jamstva u vezi sa zakonitošću i pravilnošću temeljnih transakcija;</w:t>
      </w:r>
    </w:p>
    <w:p w14:paraId="5A3E2B4D" w14:textId="77777777" w:rsidR="008F2D8F" w:rsidRPr="008F2D8F" w:rsidRDefault="008F2D8F" w:rsidP="008F2D8F">
      <w:pPr>
        <w:widowControl/>
        <w:spacing w:after="240"/>
        <w:ind w:left="567" w:hanging="567"/>
        <w:rPr>
          <w:kern w:val="2"/>
          <w14:ligatures w14:val="standardContextual"/>
        </w:rPr>
      </w:pPr>
      <w:r w:rsidRPr="008F2D8F">
        <w:rPr>
          <w:kern w:val="2"/>
          <w14:ligatures w14:val="standardContextual"/>
        </w:rPr>
        <w:t>C.</w:t>
      </w:r>
      <w:r w:rsidRPr="008F2D8F">
        <w:rPr>
          <w:kern w:val="2"/>
          <w14:ligatures w14:val="standardContextual"/>
        </w:rPr>
        <w:tab/>
        <w:t>budući da Revizorski sud u svojoj reviziji navodi da u pogledu posebne ocjene administrativnih i drugih rashoda 2023. nije utvrdio ozbiljne nedostatke u godišnjim izvješćima o radu institucija i tijela koje je ispitao, kako se zahtijeva Uredbom (EU, Euratom) 2018/1046;</w:t>
      </w:r>
    </w:p>
    <w:p w14:paraId="1E1002E4" w14:textId="77777777" w:rsidR="008F2D8F" w:rsidRPr="008F2D8F" w:rsidRDefault="008F2D8F" w:rsidP="008F2D8F">
      <w:pPr>
        <w:spacing w:after="240"/>
        <w:ind w:left="567" w:hanging="567"/>
        <w:rPr>
          <w:noProof/>
          <w:kern w:val="2"/>
          <w14:ligatures w14:val="standardContextual"/>
        </w:rPr>
      </w:pPr>
      <w:r w:rsidRPr="008F2D8F">
        <w:rPr>
          <w:kern w:val="2"/>
          <w14:ligatures w14:val="standardContextual"/>
        </w:rPr>
        <w:t>1.</w:t>
      </w:r>
      <w:r w:rsidRPr="008F2D8F">
        <w:rPr>
          <w:kern w:val="2"/>
          <w14:ligatures w14:val="standardContextual"/>
        </w:rPr>
        <w:tab/>
        <w:t>daje svojoj predsjednici razrješnicu za izvršenje proračuna Europskog parlamenta za financijsku godinu 2023.;</w:t>
      </w:r>
    </w:p>
    <w:p w14:paraId="674B971A" w14:textId="77777777" w:rsidR="008F2D8F" w:rsidRPr="008F2D8F" w:rsidRDefault="008F2D8F" w:rsidP="008F2D8F">
      <w:pPr>
        <w:ind w:left="567" w:hanging="567"/>
        <w:rPr>
          <w:kern w:val="2"/>
          <w14:ligatures w14:val="standardContextual"/>
        </w:rPr>
      </w:pPr>
      <w:r w:rsidRPr="008F2D8F">
        <w:rPr>
          <w:kern w:val="2"/>
          <w14:ligatures w14:val="standardContextual"/>
        </w:rPr>
        <w:t>2.</w:t>
      </w:r>
      <w:r w:rsidRPr="008F2D8F">
        <w:rPr>
          <w:kern w:val="2"/>
          <w14:ligatures w14:val="standardContextual"/>
        </w:rPr>
        <w:tab/>
        <w:t xml:space="preserve">nalaže svojoj predsjednici da ovu Odluku proslijedi Vijeću, Komisiji i Revizorskom sudu te da je da na objavu u </w:t>
      </w:r>
      <w:r w:rsidRPr="008F2D8F">
        <w:rPr>
          <w:i/>
          <w:kern w:val="2"/>
          <w14:ligatures w14:val="standardContextual"/>
        </w:rPr>
        <w:t>Službenom listu Europske unije</w:t>
      </w:r>
      <w:r w:rsidRPr="008F2D8F">
        <w:rPr>
          <w:kern w:val="2"/>
          <w14:ligatures w14:val="standardContextual"/>
        </w:rPr>
        <w:t xml:space="preserve"> (serija L).</w:t>
      </w:r>
    </w:p>
    <w:p w14:paraId="55F0C3E1" w14:textId="77777777" w:rsidR="008F2D8F" w:rsidRPr="007C0E98" w:rsidRDefault="008F2D8F" w:rsidP="00210702">
      <w:pPr>
        <w:pStyle w:val="EPComma"/>
        <w:rPr>
          <w:noProof/>
        </w:rPr>
      </w:pPr>
    </w:p>
    <w:sectPr w:rsidR="008F2D8F" w:rsidRPr="007C0E98" w:rsidSect="000B5E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A6094" w14:textId="77777777" w:rsidR="00A750A5" w:rsidRPr="000B5E3E" w:rsidRDefault="00A750A5">
      <w:r w:rsidRPr="000B5E3E">
        <w:separator/>
      </w:r>
    </w:p>
  </w:endnote>
  <w:endnote w:type="continuationSeparator" w:id="0">
    <w:p w14:paraId="3DB9CC64" w14:textId="77777777" w:rsidR="00A750A5" w:rsidRPr="000B5E3E" w:rsidRDefault="00A750A5">
      <w:r w:rsidRPr="000B5E3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1DCA8" w14:textId="77777777" w:rsidR="00064002" w:rsidRPr="000B5E3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041C1" w14:textId="77777777" w:rsidR="00064002" w:rsidRPr="000B5E3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5DE97" w14:textId="77777777" w:rsidR="00064002" w:rsidRPr="000B5E3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A122EA" w14:textId="77777777" w:rsidR="00A750A5" w:rsidRPr="000B5E3E" w:rsidRDefault="00A750A5">
      <w:r w:rsidRPr="000B5E3E">
        <w:separator/>
      </w:r>
    </w:p>
  </w:footnote>
  <w:footnote w:type="continuationSeparator" w:id="0">
    <w:p w14:paraId="06FE6EEC" w14:textId="77777777" w:rsidR="00A750A5" w:rsidRPr="000B5E3E" w:rsidRDefault="00A750A5">
      <w:r w:rsidRPr="000B5E3E">
        <w:continuationSeparator/>
      </w:r>
    </w:p>
  </w:footnote>
  <w:footnote w:id="1">
    <w:p w14:paraId="59F0BC13" w14:textId="77777777" w:rsidR="008F2D8F" w:rsidRPr="000C7D2C" w:rsidRDefault="008F2D8F" w:rsidP="008F2D8F">
      <w:pPr>
        <w:pStyle w:val="FootnoteText"/>
        <w:ind w:left="567" w:hanging="567"/>
        <w:rPr>
          <w:sz w:val="24"/>
          <w:szCs w:val="24"/>
          <w:lang w:val="hr-HR"/>
        </w:rPr>
      </w:pPr>
      <w:r w:rsidRPr="000C7D2C">
        <w:rPr>
          <w:rStyle w:val="FootnoteReference"/>
          <w:sz w:val="24"/>
          <w:szCs w:val="24"/>
          <w:lang w:val="hr-HR"/>
        </w:rPr>
        <w:footnoteRef/>
      </w:r>
      <w:r w:rsidRPr="000C7D2C">
        <w:rPr>
          <w:sz w:val="24"/>
          <w:szCs w:val="24"/>
          <w:lang w:val="hr-HR"/>
        </w:rPr>
        <w:t xml:space="preserve"> </w:t>
      </w:r>
      <w:r w:rsidRPr="000C7D2C">
        <w:rPr>
          <w:sz w:val="24"/>
          <w:szCs w:val="24"/>
          <w:lang w:val="hr-HR"/>
        </w:rPr>
        <w:tab/>
        <w:t xml:space="preserve">SL L 58, 23.2.2023., str. 1., ELI: </w:t>
      </w:r>
      <w:hyperlink r:id="rId1" w:tooltip="Omogućuje pristup tom dokumentu putem identifikatora ELI URI." w:history="1">
        <w:r w:rsidRPr="000C7D2C">
          <w:rPr>
            <w:rStyle w:val="Hyperlink1"/>
            <w:sz w:val="24"/>
            <w:szCs w:val="24"/>
            <w:lang w:val="hr-HR"/>
          </w:rPr>
          <w:t>http://data.europa.eu/eli/budget/2023/1/oj</w:t>
        </w:r>
      </w:hyperlink>
      <w:r w:rsidRPr="000C7D2C">
        <w:rPr>
          <w:sz w:val="24"/>
          <w:szCs w:val="24"/>
          <w:lang w:val="hr-HR"/>
        </w:rPr>
        <w:t>.</w:t>
      </w:r>
    </w:p>
  </w:footnote>
  <w:footnote w:id="2">
    <w:p w14:paraId="036C19DF" w14:textId="77777777" w:rsidR="008F2D8F" w:rsidRPr="000C7D2C" w:rsidRDefault="008F2D8F" w:rsidP="008F2D8F">
      <w:pPr>
        <w:pStyle w:val="FootnoteText"/>
        <w:ind w:left="567" w:hanging="567"/>
        <w:rPr>
          <w:sz w:val="24"/>
          <w:szCs w:val="24"/>
          <w:lang w:val="hr-HR"/>
        </w:rPr>
      </w:pPr>
      <w:r w:rsidRPr="000C7D2C">
        <w:rPr>
          <w:rStyle w:val="FootnoteReference"/>
          <w:sz w:val="24"/>
          <w:szCs w:val="24"/>
          <w:lang w:val="hr-HR"/>
        </w:rPr>
        <w:footnoteRef/>
      </w:r>
      <w:r w:rsidRPr="000C7D2C">
        <w:rPr>
          <w:sz w:val="24"/>
          <w:szCs w:val="24"/>
          <w:lang w:val="hr-HR"/>
        </w:rPr>
        <w:t xml:space="preserve"> </w:t>
      </w:r>
      <w:r w:rsidRPr="000C7D2C">
        <w:rPr>
          <w:sz w:val="24"/>
          <w:szCs w:val="24"/>
          <w:lang w:val="hr-HR"/>
        </w:rPr>
        <w:tab/>
      </w:r>
      <w:r w:rsidRPr="000C7D2C">
        <w:rPr>
          <w:sz w:val="24"/>
          <w:szCs w:val="24"/>
          <w:lang w:val="hr-HR"/>
        </w:rPr>
        <w:t xml:space="preserve">SL C, C/2024/5462, 10.10.2024., ELI: </w:t>
      </w:r>
      <w:hyperlink r:id="rId2" w:history="1">
        <w:r w:rsidRPr="000C7D2C">
          <w:rPr>
            <w:rStyle w:val="Hyperlink1"/>
            <w:sz w:val="24"/>
            <w:szCs w:val="24"/>
            <w:lang w:val="hr-HR"/>
          </w:rPr>
          <w:t>http://data.europa.eu/eli/C/2024/5462/oj</w:t>
        </w:r>
      </w:hyperlink>
      <w:r w:rsidRPr="000C7D2C">
        <w:rPr>
          <w:sz w:val="24"/>
          <w:szCs w:val="24"/>
          <w:lang w:val="hr-HR"/>
        </w:rPr>
        <w:t>.</w:t>
      </w:r>
    </w:p>
  </w:footnote>
  <w:footnote w:id="3">
    <w:p w14:paraId="652921E1" w14:textId="77777777" w:rsidR="008F2D8F" w:rsidRPr="000C7D2C" w:rsidRDefault="008F2D8F" w:rsidP="008F2D8F">
      <w:pPr>
        <w:pStyle w:val="FootnoteText"/>
        <w:ind w:left="567" w:hanging="567"/>
        <w:rPr>
          <w:sz w:val="24"/>
          <w:szCs w:val="24"/>
          <w:lang w:val="hr-HR"/>
        </w:rPr>
      </w:pPr>
      <w:r w:rsidRPr="000C7D2C">
        <w:rPr>
          <w:rStyle w:val="FootnoteReference"/>
          <w:sz w:val="24"/>
          <w:szCs w:val="24"/>
          <w:lang w:val="hr-HR"/>
        </w:rPr>
        <w:footnoteRef/>
      </w:r>
      <w:r w:rsidRPr="000C7D2C">
        <w:rPr>
          <w:sz w:val="24"/>
          <w:szCs w:val="24"/>
          <w:lang w:val="hr-HR"/>
        </w:rPr>
        <w:t xml:space="preserve"> </w:t>
      </w:r>
      <w:r w:rsidRPr="000C7D2C">
        <w:rPr>
          <w:sz w:val="24"/>
          <w:szCs w:val="24"/>
          <w:lang w:val="hr-HR"/>
        </w:rPr>
        <w:tab/>
      </w:r>
      <w:r w:rsidRPr="000C7D2C">
        <w:rPr>
          <w:sz w:val="24"/>
          <w:szCs w:val="24"/>
          <w:lang w:val="hr-HR"/>
        </w:rPr>
        <w:t xml:space="preserve">SL C, C/2024/3115, 23.5.2024., ELI: </w:t>
      </w:r>
      <w:hyperlink r:id="rId3" w:history="1">
        <w:r w:rsidRPr="000C7D2C">
          <w:rPr>
            <w:rStyle w:val="Hyperlink1"/>
            <w:sz w:val="24"/>
            <w:szCs w:val="24"/>
            <w:lang w:val="hr-HR"/>
          </w:rPr>
          <w:t>http://data.europa.eu/eli/C/2024/3115/oj</w:t>
        </w:r>
      </w:hyperlink>
      <w:r w:rsidRPr="000C7D2C">
        <w:rPr>
          <w:sz w:val="24"/>
          <w:szCs w:val="24"/>
          <w:lang w:val="hr-HR"/>
        </w:rPr>
        <w:t>.</w:t>
      </w:r>
    </w:p>
  </w:footnote>
  <w:footnote w:id="4">
    <w:p w14:paraId="76059278" w14:textId="77777777" w:rsidR="008F2D8F" w:rsidRPr="000C7D2C" w:rsidRDefault="008F2D8F" w:rsidP="008F2D8F">
      <w:pPr>
        <w:pStyle w:val="FootnoteText"/>
        <w:ind w:left="567" w:hanging="567"/>
        <w:rPr>
          <w:sz w:val="24"/>
          <w:szCs w:val="24"/>
          <w:lang w:val="hr-HR"/>
        </w:rPr>
      </w:pPr>
      <w:r w:rsidRPr="000C7D2C">
        <w:rPr>
          <w:rStyle w:val="FootnoteReference"/>
          <w:sz w:val="24"/>
          <w:szCs w:val="24"/>
          <w:lang w:val="hr-HR"/>
        </w:rPr>
        <w:footnoteRef/>
      </w:r>
      <w:r w:rsidRPr="000C7D2C">
        <w:rPr>
          <w:sz w:val="24"/>
          <w:szCs w:val="24"/>
          <w:lang w:val="hr-HR"/>
        </w:rPr>
        <w:t xml:space="preserve"> </w:t>
      </w:r>
      <w:r w:rsidRPr="000C7D2C">
        <w:rPr>
          <w:sz w:val="24"/>
          <w:szCs w:val="24"/>
          <w:lang w:val="hr-HR"/>
        </w:rPr>
        <w:tab/>
      </w:r>
      <w:r w:rsidRPr="000C7D2C">
        <w:rPr>
          <w:sz w:val="24"/>
          <w:szCs w:val="24"/>
          <w:lang w:val="hr-HR"/>
        </w:rPr>
        <w:t xml:space="preserve">SL C, C/2024/5882, 9.10.2024., ELI: </w:t>
      </w:r>
      <w:hyperlink r:id="rId4" w:history="1">
        <w:r w:rsidRPr="000C7D2C">
          <w:rPr>
            <w:rStyle w:val="Hyperlink1"/>
            <w:sz w:val="24"/>
            <w:szCs w:val="24"/>
            <w:lang w:val="hr-HR"/>
          </w:rPr>
          <w:t>http://data.europa.eu/eli/C/2024/5882/oj</w:t>
        </w:r>
      </w:hyperlink>
      <w:r w:rsidRPr="000C7D2C">
        <w:rPr>
          <w:sz w:val="24"/>
          <w:szCs w:val="24"/>
          <w:lang w:val="hr-HR"/>
        </w:rPr>
        <w:t>.</w:t>
      </w:r>
    </w:p>
  </w:footnote>
  <w:footnote w:id="5">
    <w:p w14:paraId="4ED10EB6" w14:textId="77777777" w:rsidR="008F2D8F" w:rsidRPr="000C7D2C" w:rsidRDefault="008F2D8F" w:rsidP="008F2D8F">
      <w:pPr>
        <w:pStyle w:val="FootnoteText"/>
        <w:ind w:left="567" w:hanging="567"/>
        <w:rPr>
          <w:sz w:val="24"/>
          <w:szCs w:val="24"/>
          <w:lang w:val="hr-HR"/>
        </w:rPr>
      </w:pPr>
      <w:r w:rsidRPr="000C7D2C">
        <w:rPr>
          <w:rStyle w:val="FootnoteReference"/>
          <w:sz w:val="24"/>
          <w:szCs w:val="24"/>
          <w:lang w:val="hr-HR"/>
        </w:rPr>
        <w:footnoteRef/>
      </w:r>
      <w:r w:rsidRPr="000C7D2C">
        <w:rPr>
          <w:sz w:val="24"/>
          <w:szCs w:val="24"/>
          <w:lang w:val="hr-HR"/>
        </w:rPr>
        <w:t xml:space="preserve"> </w:t>
      </w:r>
      <w:r w:rsidRPr="000C7D2C">
        <w:rPr>
          <w:sz w:val="24"/>
          <w:szCs w:val="24"/>
          <w:lang w:val="hr-HR"/>
        </w:rPr>
        <w:tab/>
      </w:r>
      <w:r w:rsidRPr="000C7D2C">
        <w:rPr>
          <w:sz w:val="24"/>
          <w:szCs w:val="24"/>
          <w:lang w:val="hr-HR"/>
        </w:rPr>
        <w:t xml:space="preserve">SL C, C/2024/6041, 10.10.2024., ELI: </w:t>
      </w:r>
      <w:hyperlink r:id="rId5" w:history="1">
        <w:r w:rsidRPr="000C7D2C">
          <w:rPr>
            <w:rStyle w:val="Hyperlink1"/>
            <w:sz w:val="24"/>
            <w:szCs w:val="24"/>
            <w:lang w:val="hr-HR"/>
          </w:rPr>
          <w:t>http://data.europa.eu/eli/C/2024/6041/oj</w:t>
        </w:r>
      </w:hyperlink>
      <w:r w:rsidRPr="000C7D2C">
        <w:rPr>
          <w:sz w:val="24"/>
          <w:szCs w:val="24"/>
          <w:lang w:val="hr-HR"/>
        </w:rPr>
        <w:t>.</w:t>
      </w:r>
    </w:p>
  </w:footnote>
  <w:footnote w:id="6">
    <w:p w14:paraId="452E458B" w14:textId="77777777" w:rsidR="008F2D8F" w:rsidRPr="000C7D2C" w:rsidRDefault="008F2D8F" w:rsidP="008F2D8F">
      <w:pPr>
        <w:pStyle w:val="FootnoteText"/>
        <w:ind w:left="567" w:hanging="567"/>
        <w:rPr>
          <w:sz w:val="24"/>
          <w:szCs w:val="24"/>
          <w:lang w:val="hr-HR"/>
        </w:rPr>
      </w:pPr>
      <w:r w:rsidRPr="000C7D2C">
        <w:rPr>
          <w:rStyle w:val="FootnoteReference"/>
          <w:sz w:val="24"/>
          <w:szCs w:val="24"/>
          <w:lang w:val="hr-HR"/>
        </w:rPr>
        <w:footnoteRef/>
      </w:r>
      <w:r w:rsidRPr="000C7D2C">
        <w:rPr>
          <w:sz w:val="24"/>
          <w:szCs w:val="24"/>
          <w:lang w:val="hr-HR"/>
        </w:rPr>
        <w:t xml:space="preserve"> </w:t>
      </w:r>
      <w:r w:rsidRPr="000C7D2C">
        <w:rPr>
          <w:sz w:val="24"/>
          <w:szCs w:val="24"/>
          <w:lang w:val="hr-HR"/>
        </w:rPr>
        <w:tab/>
      </w:r>
      <w:r w:rsidRPr="000C7D2C">
        <w:rPr>
          <w:sz w:val="24"/>
          <w:szCs w:val="24"/>
          <w:lang w:val="hr-HR"/>
        </w:rPr>
        <w:t xml:space="preserve">SL L 193, 30.7.2018., str. 1., ELI: </w:t>
      </w:r>
      <w:hyperlink r:id="rId6" w:history="1">
        <w:r w:rsidRPr="000C7D2C">
          <w:rPr>
            <w:rStyle w:val="Hyperlink1"/>
            <w:sz w:val="24"/>
            <w:szCs w:val="24"/>
            <w:lang w:val="hr-HR"/>
          </w:rPr>
          <w:t>http://data.europa.eu/eli/reg/2018/1046/oj</w:t>
        </w:r>
      </w:hyperlink>
      <w:r w:rsidRPr="000C7D2C">
        <w:rPr>
          <w:sz w:val="24"/>
          <w:szCs w:val="24"/>
          <w:lang w:val="hr-HR"/>
        </w:rPr>
        <w:t>.</w:t>
      </w:r>
    </w:p>
  </w:footnote>
  <w:footnote w:id="7">
    <w:p w14:paraId="1B2EAEC7" w14:textId="77777777" w:rsidR="008F2D8F" w:rsidRPr="000C7D2C" w:rsidRDefault="008F2D8F" w:rsidP="008F2D8F">
      <w:pPr>
        <w:pStyle w:val="FootnoteText"/>
        <w:ind w:left="567" w:hanging="567"/>
        <w:rPr>
          <w:sz w:val="24"/>
          <w:szCs w:val="24"/>
          <w:lang w:val="hr-HR"/>
        </w:rPr>
      </w:pPr>
      <w:r w:rsidRPr="000C7D2C">
        <w:rPr>
          <w:rStyle w:val="FootnoteReference"/>
          <w:sz w:val="24"/>
          <w:szCs w:val="24"/>
          <w:lang w:val="hr-HR"/>
        </w:rPr>
        <w:footnoteRef/>
      </w:r>
      <w:r w:rsidRPr="000C7D2C">
        <w:rPr>
          <w:sz w:val="24"/>
          <w:szCs w:val="24"/>
          <w:lang w:val="hr-HR"/>
        </w:rPr>
        <w:t xml:space="preserve"> </w:t>
      </w:r>
      <w:r w:rsidRPr="000C7D2C">
        <w:rPr>
          <w:sz w:val="24"/>
          <w:szCs w:val="24"/>
          <w:lang w:val="hr-HR"/>
        </w:rPr>
        <w:tab/>
      </w:r>
      <w:r w:rsidRPr="000C7D2C">
        <w:rPr>
          <w:sz w:val="24"/>
          <w:szCs w:val="24"/>
          <w:lang w:val="hr-HR"/>
        </w:rPr>
        <w:t xml:space="preserve">SL L, 2024/2509, 26.9.2024., ELI: </w:t>
      </w:r>
      <w:hyperlink r:id="rId7" w:tgtFrame="_blank" w:history="1">
        <w:r w:rsidRPr="000C7D2C">
          <w:rPr>
            <w:rStyle w:val="Hyperlink1"/>
            <w:sz w:val="24"/>
            <w:szCs w:val="24"/>
            <w:shd w:val="clear" w:color="auto" w:fill="FFFFFF"/>
            <w:lang w:val="hr-HR"/>
          </w:rPr>
          <w:t>http://data.europa.eu/eli/reg/2024/2509/oj</w:t>
        </w:r>
      </w:hyperlink>
      <w:r w:rsidRPr="000C7D2C">
        <w:rPr>
          <w:sz w:val="24"/>
          <w:szCs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975E2" w14:textId="77777777" w:rsidR="00064002" w:rsidRPr="000B5E3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3434B" w14:textId="77777777" w:rsidR="00064002" w:rsidRPr="000B5E3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22E07" w14:textId="77777777" w:rsidR="00064002" w:rsidRPr="000B5E3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92940041">
    <w:abstractNumId w:val="9"/>
  </w:num>
  <w:num w:numId="2" w16cid:durableId="936904932">
    <w:abstractNumId w:val="9"/>
  </w:num>
  <w:num w:numId="3" w16cid:durableId="1300109950">
    <w:abstractNumId w:val="7"/>
  </w:num>
  <w:num w:numId="4" w16cid:durableId="229318175">
    <w:abstractNumId w:val="7"/>
  </w:num>
  <w:num w:numId="5" w16cid:durableId="1092628056">
    <w:abstractNumId w:val="6"/>
  </w:num>
  <w:num w:numId="6" w16cid:durableId="724333768">
    <w:abstractNumId w:val="6"/>
  </w:num>
  <w:num w:numId="7" w16cid:durableId="646016855">
    <w:abstractNumId w:val="5"/>
  </w:num>
  <w:num w:numId="8" w16cid:durableId="673650368">
    <w:abstractNumId w:val="5"/>
  </w:num>
  <w:num w:numId="9" w16cid:durableId="1087774578">
    <w:abstractNumId w:val="4"/>
  </w:num>
  <w:num w:numId="10" w16cid:durableId="1892884028">
    <w:abstractNumId w:val="4"/>
  </w:num>
  <w:num w:numId="11" w16cid:durableId="1546066131">
    <w:abstractNumId w:val="8"/>
  </w:num>
  <w:num w:numId="12" w16cid:durableId="1262446791">
    <w:abstractNumId w:val="8"/>
  </w:num>
  <w:num w:numId="13" w16cid:durableId="1583948678">
    <w:abstractNumId w:val="3"/>
  </w:num>
  <w:num w:numId="14" w16cid:durableId="1546990451">
    <w:abstractNumId w:val="3"/>
  </w:num>
  <w:num w:numId="15" w16cid:durableId="934677818">
    <w:abstractNumId w:val="2"/>
  </w:num>
  <w:num w:numId="16" w16cid:durableId="799881071">
    <w:abstractNumId w:val="2"/>
  </w:num>
  <w:num w:numId="17" w16cid:durableId="777018938">
    <w:abstractNumId w:val="1"/>
  </w:num>
  <w:num w:numId="18" w16cid:durableId="1485971419">
    <w:abstractNumId w:val="1"/>
  </w:num>
  <w:num w:numId="19" w16cid:durableId="1532452637">
    <w:abstractNumId w:val="0"/>
  </w:num>
  <w:num w:numId="20" w16cid:durableId="1340737892">
    <w:abstractNumId w:val="0"/>
  </w:num>
  <w:num w:numId="21" w16cid:durableId="607395247">
    <w:abstractNumId w:val="9"/>
  </w:num>
  <w:num w:numId="22" w16cid:durableId="555970079">
    <w:abstractNumId w:val="7"/>
  </w:num>
  <w:num w:numId="23" w16cid:durableId="1475878140">
    <w:abstractNumId w:val="6"/>
  </w:num>
  <w:num w:numId="24" w16cid:durableId="147596945">
    <w:abstractNumId w:val="5"/>
  </w:num>
  <w:num w:numId="25" w16cid:durableId="1893616194">
    <w:abstractNumId w:val="4"/>
  </w:num>
  <w:num w:numId="26" w16cid:durableId="645282859">
    <w:abstractNumId w:val="8"/>
  </w:num>
  <w:num w:numId="27" w16cid:durableId="25183101">
    <w:abstractNumId w:val="3"/>
  </w:num>
  <w:num w:numId="28" w16cid:durableId="2059426368">
    <w:abstractNumId w:val="2"/>
  </w:num>
  <w:num w:numId="29" w16cid:durableId="1350913853">
    <w:abstractNumId w:val="1"/>
  </w:num>
  <w:num w:numId="30" w16cid:durableId="934896273">
    <w:abstractNumId w:val="0"/>
  </w:num>
  <w:num w:numId="31" w16cid:durableId="1157652576">
    <w:abstractNumId w:val="9"/>
  </w:num>
  <w:num w:numId="32" w16cid:durableId="1824421350">
    <w:abstractNumId w:val="7"/>
  </w:num>
  <w:num w:numId="33" w16cid:durableId="627245342">
    <w:abstractNumId w:val="6"/>
  </w:num>
  <w:num w:numId="34" w16cid:durableId="70468760">
    <w:abstractNumId w:val="5"/>
  </w:num>
  <w:num w:numId="35" w16cid:durableId="66000531">
    <w:abstractNumId w:val="4"/>
  </w:num>
  <w:num w:numId="36" w16cid:durableId="397559777">
    <w:abstractNumId w:val="8"/>
  </w:num>
  <w:num w:numId="37" w16cid:durableId="523448678">
    <w:abstractNumId w:val="3"/>
  </w:num>
  <w:num w:numId="38" w16cid:durableId="301078076">
    <w:abstractNumId w:val="2"/>
  </w:num>
  <w:num w:numId="39" w16cid:durableId="717819281">
    <w:abstractNumId w:val="1"/>
  </w:num>
  <w:num w:numId="40" w16cid:durableId="376665554">
    <w:abstractNumId w:val="0"/>
  </w:num>
  <w:num w:numId="41" w16cid:durableId="1372340750">
    <w:abstractNumId w:val="10"/>
  </w:num>
  <w:num w:numId="42" w16cid:durableId="1575896634">
    <w:abstractNumId w:val="10"/>
  </w:num>
  <w:num w:numId="43" w16cid:durableId="2094350279">
    <w:abstractNumId w:val="10"/>
  </w:num>
  <w:num w:numId="44" w16cid:durableId="327706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62/2025"/>
    <w:docVar w:name="dvlangue" w:val="HR"/>
    <w:docVar w:name="dvnumam" w:val="0"/>
    <w:docVar w:name="dvpe" w:val="764.999"/>
    <w:docVar w:name="dvrapporteur" w:val="Izvjestiteljica: "/>
    <w:docVar w:name="dvtitre" w:val="Odluka Europskog parlamenta od .... 2025. o razrješnici za izvršenje općeg proračuna Europske unije za financijsku godinu 2023., dio I. – Europski parlament(2024/2020(DEC))"/>
  </w:docVars>
  <w:rsids>
    <w:rsidRoot w:val="00A750A5"/>
    <w:rsid w:val="00002272"/>
    <w:rsid w:val="00064002"/>
    <w:rsid w:val="000677B9"/>
    <w:rsid w:val="000831BA"/>
    <w:rsid w:val="000A42CC"/>
    <w:rsid w:val="000B5E3E"/>
    <w:rsid w:val="000C7D2C"/>
    <w:rsid w:val="000E7DD9"/>
    <w:rsid w:val="0010095E"/>
    <w:rsid w:val="00125B37"/>
    <w:rsid w:val="00187494"/>
    <w:rsid w:val="001F32AE"/>
    <w:rsid w:val="00210702"/>
    <w:rsid w:val="0023346A"/>
    <w:rsid w:val="00237FD8"/>
    <w:rsid w:val="002767FF"/>
    <w:rsid w:val="002B18FE"/>
    <w:rsid w:val="002B5493"/>
    <w:rsid w:val="00343214"/>
    <w:rsid w:val="00361C00"/>
    <w:rsid w:val="00370DE3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0E98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2D8F"/>
    <w:rsid w:val="00930C23"/>
    <w:rsid w:val="0093193B"/>
    <w:rsid w:val="009509D8"/>
    <w:rsid w:val="00950B64"/>
    <w:rsid w:val="00981893"/>
    <w:rsid w:val="00A1687D"/>
    <w:rsid w:val="00A43E52"/>
    <w:rsid w:val="00A4678D"/>
    <w:rsid w:val="00A750A5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3B17"/>
    <w:rsid w:val="00DA7FCD"/>
    <w:rsid w:val="00DD24A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FD7031"/>
  <w15:chartTrackingRefBased/>
  <w15:docId w15:val="{7E6B9812-3AEB-4DB0-A1C6-DC7237E98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10702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210702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210702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210702"/>
    <w:rPr>
      <w:sz w:val="24"/>
      <w:lang w:val="hr-HR"/>
    </w:rPr>
  </w:style>
  <w:style w:type="character" w:customStyle="1" w:styleId="Hyperlink1">
    <w:name w:val="Hyperlink1"/>
    <w:basedOn w:val="DefaultParagraphFont"/>
    <w:uiPriority w:val="99"/>
    <w:rsid w:val="008F2D8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3115/oj" TargetMode="External"/><Relationship Id="rId7" Type="http://schemas.openxmlformats.org/officeDocument/2006/relationships/hyperlink" Target="http://data.europa.eu/eli/reg/2024/2509/oj" TargetMode="External"/><Relationship Id="rId2" Type="http://schemas.openxmlformats.org/officeDocument/2006/relationships/hyperlink" Target="http://data.europa.eu/eli/C/2024/5462/oj" TargetMode="External"/><Relationship Id="rId1" Type="http://schemas.openxmlformats.org/officeDocument/2006/relationships/hyperlink" Target="http://data.europa.eu/eli/budget/2023/1/oj" TargetMode="External"/><Relationship Id="rId6" Type="http://schemas.openxmlformats.org/officeDocument/2006/relationships/hyperlink" Target="http://data.europa.eu/eli/reg/2018/1046/oj" TargetMode="External"/><Relationship Id="rId5" Type="http://schemas.openxmlformats.org/officeDocument/2006/relationships/hyperlink" Target="http://data.europa.eu/eli/C/2024/6041/oj" TargetMode="External"/><Relationship Id="rId4" Type="http://schemas.openxmlformats.org/officeDocument/2006/relationships/hyperlink" Target="http://data.europa.eu/eli/C/2024/588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251517-C13A-4217-A3C9-73B9CA49D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2025-12-05T12:12:00Z</dcterms:created>
  <dcterms:modified xsi:type="dcterms:W3CDTF">2025-12-05T12:12:00Z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P10_TA(2025)0078_</vt:lpwstr>
  </property>
  <property fmtid="{D5CDD505-2E9C-101B-9397-08002B2CF9AE}" pid="4" name="&lt;Type&gt;">
    <vt:lpwstr>RR</vt:lpwstr>
  </property>
</Properties>
</file>