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5534" w14:paraId="19EF40F0" w14:textId="77777777" w:rsidTr="0010095E">
        <w:trPr>
          <w:trHeight w:hRule="exact" w:val="1418"/>
        </w:trPr>
        <w:tc>
          <w:tcPr>
            <w:tcW w:w="6804" w:type="dxa"/>
            <w:shd w:val="clear" w:color="auto" w:fill="auto"/>
            <w:vAlign w:val="center"/>
          </w:tcPr>
          <w:p w14:paraId="35CA1382" w14:textId="77777777" w:rsidR="00751A4A" w:rsidRPr="00A55534" w:rsidRDefault="00986A70" w:rsidP="0010095E">
            <w:pPr>
              <w:pStyle w:val="EPName"/>
            </w:pPr>
            <w:r w:rsidRPr="00A55534">
              <w:t>Parlamento europeo</w:t>
            </w:r>
          </w:p>
          <w:p w14:paraId="245B2FEE" w14:textId="77777777" w:rsidR="00751A4A" w:rsidRPr="00A55534" w:rsidRDefault="005F1B17" w:rsidP="005F1B17">
            <w:pPr>
              <w:pStyle w:val="EPTerm"/>
              <w:rPr>
                <w:rStyle w:val="HideTWBExt"/>
                <w:noProof w:val="0"/>
                <w:vanish w:val="0"/>
                <w:color w:val="auto"/>
              </w:rPr>
            </w:pPr>
            <w:r w:rsidRPr="00A55534">
              <w:t>2024</w:t>
            </w:r>
            <w:r w:rsidR="00817416" w:rsidRPr="00A55534">
              <w:t>-202</w:t>
            </w:r>
            <w:r w:rsidRPr="00A55534">
              <w:t>9</w:t>
            </w:r>
          </w:p>
        </w:tc>
        <w:tc>
          <w:tcPr>
            <w:tcW w:w="2268" w:type="dxa"/>
            <w:shd w:val="clear" w:color="auto" w:fill="auto"/>
          </w:tcPr>
          <w:p w14:paraId="594A7ECC" w14:textId="77777777" w:rsidR="00751A4A" w:rsidRPr="00A55534" w:rsidRDefault="00187494" w:rsidP="0010095E">
            <w:pPr>
              <w:pStyle w:val="EPLogo"/>
            </w:pPr>
            <w:r w:rsidRPr="00A55534">
              <w:rPr>
                <w:noProof/>
                <w:lang w:val="en-GB"/>
              </w:rPr>
              <w:drawing>
                <wp:inline distT="0" distB="0" distL="0" distR="0" wp14:anchorId="0194FEA5" wp14:editId="4BF9BA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A9AEF16" w14:textId="77777777" w:rsidR="00D058B8" w:rsidRPr="00A55534" w:rsidRDefault="00D058B8" w:rsidP="004C5D52">
      <w:pPr>
        <w:pStyle w:val="LineTop"/>
      </w:pPr>
    </w:p>
    <w:p w14:paraId="74D2E5CC" w14:textId="77777777" w:rsidR="00680577" w:rsidRPr="00A55534" w:rsidRDefault="00986A70" w:rsidP="00680577">
      <w:pPr>
        <w:pStyle w:val="EPBodyTA1"/>
      </w:pPr>
      <w:r w:rsidRPr="00A55534">
        <w:t>TESTI APPROVATI</w:t>
      </w:r>
    </w:p>
    <w:p w14:paraId="59C6B5E6" w14:textId="77777777" w:rsidR="00D058B8" w:rsidRPr="00A55534" w:rsidRDefault="00D058B8" w:rsidP="00D058B8">
      <w:pPr>
        <w:pStyle w:val="LineBottom"/>
      </w:pPr>
    </w:p>
    <w:p w14:paraId="373D1CE2" w14:textId="77777777" w:rsidR="00986A70" w:rsidRPr="00A55534" w:rsidRDefault="00986A70" w:rsidP="00986A70">
      <w:pPr>
        <w:pStyle w:val="ATHeading1"/>
      </w:pPr>
      <w:bookmarkStart w:id="0" w:name="TANumber"/>
      <w:r w:rsidRPr="00A55534">
        <w:t>P10_TA(2025)00</w:t>
      </w:r>
      <w:bookmarkEnd w:id="0"/>
      <w:r w:rsidR="00954683" w:rsidRPr="00A55534">
        <w:t>78</w:t>
      </w:r>
    </w:p>
    <w:p w14:paraId="3E89EC42" w14:textId="77777777" w:rsidR="00986A70" w:rsidRPr="00A55534" w:rsidRDefault="00986A70" w:rsidP="00986A70">
      <w:pPr>
        <w:pStyle w:val="ATHeading2"/>
      </w:pPr>
      <w:bookmarkStart w:id="1" w:name="title"/>
      <w:r w:rsidRPr="00A55534">
        <w:t>Discarico 2023</w:t>
      </w:r>
      <w:r w:rsidR="00170767" w:rsidRPr="00A55534">
        <w:t>:</w:t>
      </w:r>
      <w:r w:rsidRPr="00A55534">
        <w:t xml:space="preserve"> </w:t>
      </w:r>
      <w:r w:rsidR="0095720B" w:rsidRPr="00A55534">
        <w:t>b</w:t>
      </w:r>
      <w:r w:rsidRPr="00A55534">
        <w:t>ilancio generale dell'UE – Parlamento europeo</w:t>
      </w:r>
      <w:bookmarkEnd w:id="1"/>
    </w:p>
    <w:p w14:paraId="4C3977DE" w14:textId="77777777" w:rsidR="00986A70" w:rsidRPr="00A55534" w:rsidRDefault="00986A70" w:rsidP="00986A70">
      <w:pPr>
        <w:rPr>
          <w:i/>
          <w:vanish/>
        </w:rPr>
      </w:pPr>
      <w:r w:rsidRPr="00A55534">
        <w:rPr>
          <w:i/>
        </w:rPr>
        <w:fldChar w:fldCharType="begin"/>
      </w:r>
      <w:r w:rsidRPr="00A55534">
        <w:rPr>
          <w:i/>
        </w:rPr>
        <w:instrText xml:space="preserve"> TC"(</w:instrText>
      </w:r>
      <w:bookmarkStart w:id="2" w:name="DocNumber"/>
      <w:r w:rsidRPr="00A55534">
        <w:rPr>
          <w:i/>
        </w:rPr>
        <w:instrText>A10-0062/2025</w:instrText>
      </w:r>
      <w:bookmarkEnd w:id="2"/>
      <w:r w:rsidRPr="00A55534">
        <w:rPr>
          <w:i/>
        </w:rPr>
        <w:instrText xml:space="preserve"> - Relatrice: Monika Hohlmeier)"\l3 \n&gt; \* MERGEFORMAT </w:instrText>
      </w:r>
      <w:r w:rsidRPr="00A55534">
        <w:rPr>
          <w:i/>
        </w:rPr>
        <w:fldChar w:fldCharType="end"/>
      </w:r>
    </w:p>
    <w:p w14:paraId="53B85BF6" w14:textId="77777777" w:rsidR="00986A70" w:rsidRPr="00A55534" w:rsidRDefault="00986A70" w:rsidP="00986A70">
      <w:pPr>
        <w:rPr>
          <w:vanish/>
        </w:rPr>
      </w:pPr>
      <w:bookmarkStart w:id="3" w:name="Commission"/>
      <w:r w:rsidRPr="00A55534">
        <w:rPr>
          <w:vanish/>
        </w:rPr>
        <w:t>Commissione per il controllo dei bilanci</w:t>
      </w:r>
      <w:bookmarkEnd w:id="3"/>
    </w:p>
    <w:p w14:paraId="26B9CBEB" w14:textId="77777777" w:rsidR="00BA4259" w:rsidRPr="00A55534" w:rsidRDefault="00986A70" w:rsidP="00BA4259">
      <w:pPr>
        <w:rPr>
          <w:vanish/>
        </w:rPr>
      </w:pPr>
      <w:bookmarkStart w:id="4" w:name="PE"/>
      <w:r w:rsidRPr="00A55534">
        <w:rPr>
          <w:vanish/>
        </w:rPr>
        <w:t>PE764.999</w:t>
      </w:r>
      <w:bookmarkEnd w:id="4"/>
    </w:p>
    <w:p w14:paraId="7B192464" w14:textId="25060ED9" w:rsidR="00BA4259" w:rsidRPr="00A55534" w:rsidRDefault="00BA4259" w:rsidP="00BA4259">
      <w:pPr>
        <w:pStyle w:val="ATHeading3"/>
        <w:rPr>
          <w:vanish/>
          <w:lang w:eastAsia="en-GB"/>
        </w:rPr>
      </w:pPr>
      <w:r w:rsidRPr="00A55534">
        <w:t>Decisione del Parlamento europeo del 7 maggio 2025 sul discarico per l'esecuzione del bilancio generale dell'Unione europea per l'esercizio 2023, sezione I – Parlamento europeo (2024/2020(DEC))</w:t>
      </w:r>
    </w:p>
    <w:p w14:paraId="0E95F722" w14:textId="77777777" w:rsidR="00BA4259" w:rsidRPr="00A55534" w:rsidRDefault="00BA4259" w:rsidP="002C42EB">
      <w:pPr>
        <w:spacing w:before="480" w:after="240"/>
        <w:rPr>
          <w:noProof/>
          <w:kern w:val="2"/>
          <w14:ligatures w14:val="standardContextual"/>
        </w:rPr>
      </w:pPr>
      <w:r w:rsidRPr="00A55534">
        <w:rPr>
          <w:i/>
          <w:kern w:val="2"/>
          <w14:ligatures w14:val="standardContextual"/>
        </w:rPr>
        <w:t>Il Parlamento europeo</w:t>
      </w:r>
      <w:r w:rsidRPr="00A55534">
        <w:rPr>
          <w:kern w:val="2"/>
          <w14:ligatures w14:val="standardContextual"/>
        </w:rPr>
        <w:t>,</w:t>
      </w:r>
    </w:p>
    <w:p w14:paraId="2A369A76"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visto il bilancio generale dell'Unione europea per l'esercizio 2023</w:t>
      </w:r>
      <w:r w:rsidRPr="00A55534">
        <w:rPr>
          <w:noProof/>
          <w:kern w:val="2"/>
          <w:vertAlign w:val="superscript"/>
          <w14:ligatures w14:val="standardContextual"/>
        </w:rPr>
        <w:footnoteReference w:id="1"/>
      </w:r>
      <w:r w:rsidRPr="00A55534">
        <w:rPr>
          <w:kern w:val="2"/>
          <w14:ligatures w14:val="standardContextual"/>
        </w:rPr>
        <w:t>,</w:t>
      </w:r>
    </w:p>
    <w:p w14:paraId="0BD062CF"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visti i conti annuali consolidati dell'Unione europea relativi all'esercizio 2023 (</w:t>
      </w:r>
      <w:proofErr w:type="gramStart"/>
      <w:r w:rsidRPr="00A55534">
        <w:rPr>
          <w:kern w:val="2"/>
          <w14:ligatures w14:val="standardContextual"/>
        </w:rPr>
        <w:t>COM(</w:t>
      </w:r>
      <w:proofErr w:type="gramEnd"/>
      <w:r w:rsidRPr="00A55534">
        <w:rPr>
          <w:kern w:val="2"/>
          <w14:ligatures w14:val="standardContextual"/>
        </w:rPr>
        <w:t>2024)0272 – C10</w:t>
      </w:r>
      <w:r w:rsidRPr="00A55534">
        <w:rPr>
          <w:kern w:val="2"/>
          <w14:ligatures w14:val="standardContextual"/>
        </w:rPr>
        <w:noBreakHyphen/>
        <w:t>0068/2024)</w:t>
      </w:r>
      <w:r w:rsidRPr="00A55534">
        <w:rPr>
          <w:noProof/>
          <w:kern w:val="2"/>
          <w:vertAlign w:val="superscript"/>
          <w14:ligatures w14:val="standardContextual"/>
        </w:rPr>
        <w:footnoteReference w:id="2"/>
      </w:r>
      <w:r w:rsidRPr="00A55534">
        <w:rPr>
          <w:kern w:val="2"/>
          <w14:ligatures w14:val="standardContextual"/>
        </w:rPr>
        <w:t>,</w:t>
      </w:r>
    </w:p>
    <w:p w14:paraId="546B4CAE"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vista la relazione sulla gestione di bilancio e finanziaria per l'esercizio 2023, sezione I – Parlamento europeo</w:t>
      </w:r>
      <w:r w:rsidRPr="00A55534">
        <w:rPr>
          <w:noProof/>
          <w:kern w:val="2"/>
          <w:vertAlign w:val="superscript"/>
          <w14:ligatures w14:val="standardContextual"/>
        </w:rPr>
        <w:footnoteReference w:id="3"/>
      </w:r>
      <w:r w:rsidRPr="00A55534">
        <w:rPr>
          <w:kern w:val="2"/>
          <w14:ligatures w14:val="standardContextual"/>
        </w:rPr>
        <w:t>,</w:t>
      </w:r>
    </w:p>
    <w:p w14:paraId="336992DE"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vista la relazione annuale del revisore interno per l'esercizio 2023,</w:t>
      </w:r>
    </w:p>
    <w:p w14:paraId="74341873"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vista la relazione annuale della Corte dei conti sull'esecuzione del bilancio per l'esercizio 2023, corredata delle risposte delle istituzioni</w:t>
      </w:r>
      <w:r w:rsidRPr="00A55534">
        <w:rPr>
          <w:noProof/>
          <w:kern w:val="2"/>
          <w:vertAlign w:val="superscript"/>
          <w14:ligatures w14:val="standardContextual"/>
        </w:rPr>
        <w:footnoteReference w:id="4"/>
      </w:r>
      <w:r w:rsidRPr="00A55534">
        <w:rPr>
          <w:kern w:val="2"/>
          <w14:ligatures w14:val="standardContextual"/>
        </w:rPr>
        <w:t>,</w:t>
      </w:r>
    </w:p>
    <w:p w14:paraId="0D9AF0C3"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vista la dichiarazione attestante l'affidabilità dei conti nonché la legittimità e la regolarità delle relative operazioni</w:t>
      </w:r>
      <w:r w:rsidRPr="00A55534">
        <w:rPr>
          <w:noProof/>
          <w:kern w:val="2"/>
          <w:vertAlign w:val="superscript"/>
          <w14:ligatures w14:val="standardContextual"/>
        </w:rPr>
        <w:footnoteReference w:id="5"/>
      </w:r>
      <w:r w:rsidRPr="00A55534">
        <w:rPr>
          <w:kern w:val="2"/>
          <w14:ligatures w14:val="standardContextual"/>
        </w:rPr>
        <w:t>, presentata dalla Corte dei conti per l'esercizio 2023 a norma dell'articolo 287 del trattato sul funzionamento dell'Unione europea,</w:t>
      </w:r>
    </w:p>
    <w:p w14:paraId="0C131B6C"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visti l'articolo 314, paragrafo 10, e l'articolo 318 del trattato sul funzionamento dell'Unione europea,</w:t>
      </w:r>
    </w:p>
    <w:p w14:paraId="540FA2A6" w14:textId="77777777" w:rsidR="00BA4259" w:rsidRPr="00A55534" w:rsidRDefault="00BA4259" w:rsidP="002C42EB">
      <w:pPr>
        <w:spacing w:after="240"/>
        <w:ind w:left="567" w:hanging="567"/>
        <w:rPr>
          <w:kern w:val="2"/>
          <w14:ligatures w14:val="standardContextual"/>
        </w:rPr>
      </w:pPr>
      <w:r w:rsidRPr="00A55534">
        <w:rPr>
          <w:kern w:val="2"/>
          <w14:ligatures w14:val="standardContextual"/>
        </w:rPr>
        <w:t>–</w:t>
      </w:r>
      <w:r w:rsidRPr="00A55534">
        <w:rPr>
          <w:kern w:val="2"/>
          <w14:ligatures w14:val="standardContextual"/>
        </w:rPr>
        <w:tab/>
        <w:t xml:space="preserve">visto il regolamento (UE, </w:t>
      </w:r>
      <w:proofErr w:type="spellStart"/>
      <w:r w:rsidRPr="00A55534">
        <w:rPr>
          <w:kern w:val="2"/>
          <w14:ligatures w14:val="standardContextual"/>
        </w:rPr>
        <w:t>Euratom</w:t>
      </w:r>
      <w:proofErr w:type="spellEnd"/>
      <w:r w:rsidRPr="00A55534">
        <w:rPr>
          <w:kern w:val="2"/>
          <w14:ligatures w14:val="standardContextual"/>
        </w:rPr>
        <w:t xml:space="preserve">) 2018/1046 del Parlamento europeo e del Consiglio, del 18 luglio 2018, che stabilisce le regole finanziarie applicabili al bilancio generale dell'Unione, che modifica i regolamenti (UE) n. 1296/2013, (UE) n. 1301/2013, (UE) </w:t>
      </w:r>
      <w:r w:rsidRPr="00A55534">
        <w:rPr>
          <w:kern w:val="2"/>
          <w14:ligatures w14:val="standardContextual"/>
        </w:rPr>
        <w:lastRenderedPageBreak/>
        <w:t xml:space="preserve">n. 1303/2013, (UE) n. 1304/2013, (UE) n. 1309/2013, (UE) n. 1316/2013, (UE) n. 223/2014, (UE) n. 283/2014 e la decisione n. 541/2014/UE e abroga il regolamento (UE, </w:t>
      </w:r>
      <w:proofErr w:type="spellStart"/>
      <w:r w:rsidRPr="00A55534">
        <w:rPr>
          <w:kern w:val="2"/>
          <w14:ligatures w14:val="standardContextual"/>
        </w:rPr>
        <w:t>Euratom</w:t>
      </w:r>
      <w:proofErr w:type="spellEnd"/>
      <w:r w:rsidRPr="00A55534">
        <w:rPr>
          <w:kern w:val="2"/>
          <w14:ligatures w14:val="standardContextual"/>
        </w:rPr>
        <w:t>) n. 966/20126</w:t>
      </w:r>
      <w:r w:rsidRPr="00A55534">
        <w:rPr>
          <w:kern w:val="2"/>
          <w:vertAlign w:val="superscript"/>
          <w14:ligatures w14:val="standardContextual"/>
        </w:rPr>
        <w:footnoteReference w:id="6"/>
      </w:r>
      <w:r w:rsidRPr="00A55534">
        <w:rPr>
          <w:kern w:val="2"/>
          <w14:ligatures w14:val="standardContextual"/>
        </w:rPr>
        <w:t>, in particolare gli articoli 260, 261 e 262,</w:t>
      </w:r>
    </w:p>
    <w:p w14:paraId="76DF9EC8"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 xml:space="preserve">visto il regolamento (UE, </w:t>
      </w:r>
      <w:proofErr w:type="spellStart"/>
      <w:r w:rsidRPr="00A55534">
        <w:rPr>
          <w:kern w:val="2"/>
          <w14:ligatures w14:val="standardContextual"/>
        </w:rPr>
        <w:t>Euratom</w:t>
      </w:r>
      <w:proofErr w:type="spellEnd"/>
      <w:r w:rsidRPr="00A55534">
        <w:rPr>
          <w:kern w:val="2"/>
          <w14:ligatures w14:val="standardContextual"/>
        </w:rPr>
        <w:t>) 2024/2509 del Parlamento europeo e del Consiglio, del 23 settembre 2024, che stabilisce le regole finanziarie applicabili al bilancio generale dell'Unione</w:t>
      </w:r>
      <w:r w:rsidRPr="00A55534">
        <w:rPr>
          <w:noProof/>
          <w:kern w:val="2"/>
          <w:vertAlign w:val="superscript"/>
          <w14:ligatures w14:val="standardContextual"/>
        </w:rPr>
        <w:footnoteReference w:id="7"/>
      </w:r>
      <w:r w:rsidRPr="00A55534">
        <w:rPr>
          <w:kern w:val="2"/>
          <w14:ligatures w14:val="standardContextual"/>
        </w:rPr>
        <w:t>, in particolare gli articoli 266, 267 e 268,</w:t>
      </w:r>
    </w:p>
    <w:p w14:paraId="7BDB4EBF"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vista la decisione dell'Ufficio di presidenza del 10 dicembre 2018 sulle norme interne relative all'esecuzione del bilancio del Parlamento europeo, in particolare l'articolo 34,</w:t>
      </w:r>
    </w:p>
    <w:p w14:paraId="2768EB67"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w:t>
      </w:r>
      <w:r w:rsidRPr="00A55534">
        <w:rPr>
          <w:kern w:val="2"/>
          <w14:ligatures w14:val="standardContextual"/>
        </w:rPr>
        <w:tab/>
        <w:t>visti l'articolo 102, l'articolo 106, paragrafo 3, e l'allegato V del suo regolamento,</w:t>
      </w:r>
    </w:p>
    <w:p w14:paraId="7F1B8530" w14:textId="77777777" w:rsidR="00BA4259" w:rsidRPr="00A55534" w:rsidRDefault="00BA4259" w:rsidP="002C42EB">
      <w:pPr>
        <w:spacing w:after="240"/>
        <w:ind w:left="567" w:hanging="567"/>
        <w:rPr>
          <w:kern w:val="2"/>
          <w14:ligatures w14:val="standardContextual"/>
        </w:rPr>
      </w:pPr>
      <w:r w:rsidRPr="00A55534">
        <w:rPr>
          <w:kern w:val="2"/>
          <w14:ligatures w14:val="standardContextual"/>
        </w:rPr>
        <w:t>–</w:t>
      </w:r>
      <w:r w:rsidRPr="00A55534">
        <w:rPr>
          <w:kern w:val="2"/>
          <w14:ligatures w14:val="standardContextual"/>
        </w:rPr>
        <w:tab/>
        <w:t>visto il parere della commissione per gli affari costituzionali,</w:t>
      </w:r>
    </w:p>
    <w:p w14:paraId="5DD17A2C" w14:textId="77777777" w:rsidR="00BA4259" w:rsidRPr="00A55534" w:rsidRDefault="00BA4259" w:rsidP="002C42EB">
      <w:pPr>
        <w:tabs>
          <w:tab w:val="left" w:pos="-720"/>
        </w:tabs>
        <w:spacing w:after="240"/>
        <w:ind w:left="567" w:hanging="567"/>
        <w:rPr>
          <w:kern w:val="2"/>
          <w14:ligatures w14:val="standardContextual"/>
        </w:rPr>
      </w:pPr>
      <w:r w:rsidRPr="00A55534">
        <w:rPr>
          <w:kern w:val="2"/>
          <w14:ligatures w14:val="standardContextual"/>
        </w:rPr>
        <w:t>–</w:t>
      </w:r>
      <w:r w:rsidRPr="00A55534">
        <w:rPr>
          <w:kern w:val="2"/>
          <w14:ligatures w14:val="standardContextual"/>
        </w:rPr>
        <w:tab/>
        <w:t>vista la relazione della commissione per il controllo dei bilanci (A10-0062/2025),</w:t>
      </w:r>
    </w:p>
    <w:p w14:paraId="4848CE03" w14:textId="77777777" w:rsidR="00BA4259" w:rsidRPr="00A55534" w:rsidRDefault="00BA4259" w:rsidP="002C42EB">
      <w:pPr>
        <w:widowControl/>
        <w:spacing w:after="240"/>
        <w:ind w:left="567" w:hanging="567"/>
        <w:rPr>
          <w:kern w:val="2"/>
          <w14:ligatures w14:val="standardContextual"/>
        </w:rPr>
      </w:pPr>
      <w:r w:rsidRPr="00A55534">
        <w:rPr>
          <w:kern w:val="2"/>
          <w14:ligatures w14:val="standardContextual"/>
        </w:rPr>
        <w:t>A.</w:t>
      </w:r>
      <w:r w:rsidRPr="00A55534">
        <w:rPr>
          <w:kern w:val="2"/>
          <w14:ligatures w14:val="standardContextual"/>
        </w:rPr>
        <w:tab/>
        <w:t>considerando che la Presidente ha adottato i conti del Parlamento relativi all'esercizio 2023 il 19 giugno 2024;</w:t>
      </w:r>
    </w:p>
    <w:p w14:paraId="2C1435BD" w14:textId="77777777" w:rsidR="00BA4259" w:rsidRPr="00A55534" w:rsidRDefault="00BA4259" w:rsidP="002C42EB">
      <w:pPr>
        <w:widowControl/>
        <w:spacing w:after="240"/>
        <w:ind w:left="567" w:hanging="567"/>
        <w:rPr>
          <w:kern w:val="2"/>
          <w14:ligatures w14:val="standardContextual"/>
        </w:rPr>
      </w:pPr>
      <w:r w:rsidRPr="00A55534">
        <w:rPr>
          <w:kern w:val="2"/>
          <w14:ligatures w14:val="standardContextual"/>
        </w:rPr>
        <w:t>B.</w:t>
      </w:r>
      <w:r w:rsidRPr="00A55534">
        <w:rPr>
          <w:kern w:val="2"/>
          <w14:ligatures w14:val="standardContextual"/>
        </w:rPr>
        <w:tab/>
        <w:t xml:space="preserve">considerando che il 18 giugno 2024 il Segretario generale, in quanto principale ordinatore delegato, ha certificato con ragionevole certezza che le risorse destinate al bilancio del Parlamento sono state utilizzate per gli scopi previsti, conformemente al principio di sana gestione finanziaria, e che le procedure di controllo </w:t>
      </w:r>
      <w:proofErr w:type="gramStart"/>
      <w:r w:rsidRPr="00A55534">
        <w:rPr>
          <w:kern w:val="2"/>
          <w14:ligatures w14:val="standardContextual"/>
        </w:rPr>
        <w:t>poste in essere</w:t>
      </w:r>
      <w:proofErr w:type="gramEnd"/>
      <w:r w:rsidRPr="00A55534">
        <w:rPr>
          <w:kern w:val="2"/>
          <w14:ligatures w14:val="standardContextual"/>
        </w:rPr>
        <w:t xml:space="preserve"> offrono le necessarie garanzie di legittimità e regolarità delle operazioni sottostanti;</w:t>
      </w:r>
    </w:p>
    <w:p w14:paraId="1E5E55AD" w14:textId="77777777" w:rsidR="00BA4259" w:rsidRPr="00A55534" w:rsidRDefault="00BA4259" w:rsidP="002C42EB">
      <w:pPr>
        <w:widowControl/>
        <w:spacing w:after="240"/>
        <w:ind w:left="567" w:hanging="567"/>
        <w:rPr>
          <w:kern w:val="2"/>
          <w14:ligatures w14:val="standardContextual"/>
        </w:rPr>
      </w:pPr>
      <w:r w:rsidRPr="00A55534">
        <w:rPr>
          <w:kern w:val="2"/>
          <w14:ligatures w14:val="standardContextual"/>
        </w:rPr>
        <w:t>C.</w:t>
      </w:r>
      <w:r w:rsidRPr="00A55534">
        <w:rPr>
          <w:kern w:val="2"/>
          <w14:ligatures w14:val="standardContextual"/>
        </w:rPr>
        <w:tab/>
        <w:t xml:space="preserve">considerando che nel suo audit la Corte dei conti ha dichiarato di non aver riscontrato, nella valutazione specifica delle spese amministrative e di altra natura del 2023, carenze gravi nelle relazioni annuali di attività delle istituzioni e degli organismi che ha esaminato come previsto dal regolamento (UE, </w:t>
      </w:r>
      <w:proofErr w:type="spellStart"/>
      <w:r w:rsidRPr="00A55534">
        <w:rPr>
          <w:kern w:val="2"/>
          <w14:ligatures w14:val="standardContextual"/>
        </w:rPr>
        <w:t>Euratom</w:t>
      </w:r>
      <w:proofErr w:type="spellEnd"/>
      <w:r w:rsidRPr="00A55534">
        <w:rPr>
          <w:kern w:val="2"/>
          <w14:ligatures w14:val="standardContextual"/>
        </w:rPr>
        <w:t>) 2018/1046;</w:t>
      </w:r>
    </w:p>
    <w:p w14:paraId="2409824D" w14:textId="77777777" w:rsidR="00BA4259" w:rsidRPr="00A55534" w:rsidRDefault="00BA4259" w:rsidP="002C42EB">
      <w:pPr>
        <w:spacing w:after="240"/>
        <w:ind w:left="567" w:hanging="567"/>
        <w:rPr>
          <w:noProof/>
          <w:kern w:val="2"/>
          <w14:ligatures w14:val="standardContextual"/>
        </w:rPr>
      </w:pPr>
      <w:r w:rsidRPr="00A55534">
        <w:rPr>
          <w:kern w:val="2"/>
          <w14:ligatures w14:val="standardContextual"/>
        </w:rPr>
        <w:t>1.</w:t>
      </w:r>
      <w:r w:rsidRPr="00A55534">
        <w:rPr>
          <w:kern w:val="2"/>
          <w14:ligatures w14:val="standardContextual"/>
        </w:rPr>
        <w:tab/>
        <w:t>concede il discarico alla sua Presidente per l'esecuzione del bilancio del Parlamento europeo per l'esercizio 2023;</w:t>
      </w:r>
    </w:p>
    <w:p w14:paraId="1BD87D25" w14:textId="77777777" w:rsidR="00BA4259" w:rsidRPr="00A55534" w:rsidRDefault="00BA4259" w:rsidP="002C42EB">
      <w:pPr>
        <w:spacing w:after="240"/>
        <w:ind w:left="567" w:hanging="567"/>
        <w:rPr>
          <w:kern w:val="2"/>
          <w14:ligatures w14:val="standardContextual"/>
        </w:rPr>
      </w:pPr>
      <w:r w:rsidRPr="00A55534">
        <w:rPr>
          <w:kern w:val="2"/>
          <w14:ligatures w14:val="standardContextual"/>
        </w:rPr>
        <w:t>2.</w:t>
      </w:r>
      <w:r w:rsidRPr="00A55534">
        <w:rPr>
          <w:kern w:val="2"/>
          <w14:ligatures w14:val="standardContextual"/>
        </w:rPr>
        <w:tab/>
        <w:t xml:space="preserve">incarica la sua Presidente di trasmettere la presente decisione al Consiglio, alla Commissione e alla Corte dei conti, e di provvedere alla sua pubblicazione nella </w:t>
      </w:r>
      <w:r w:rsidRPr="00A55534">
        <w:rPr>
          <w:i/>
          <w:kern w:val="2"/>
          <w14:ligatures w14:val="standardContextual"/>
        </w:rPr>
        <w:t>Gazzetta ufficiale dell'Unione europea</w:t>
      </w:r>
      <w:r w:rsidRPr="00A55534">
        <w:rPr>
          <w:kern w:val="2"/>
          <w14:ligatures w14:val="standardContextual"/>
        </w:rPr>
        <w:t xml:space="preserve"> (serie L).</w:t>
      </w:r>
    </w:p>
    <w:sectPr w:rsidR="00BA4259" w:rsidRPr="00A55534" w:rsidSect="0090078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8A91B" w14:textId="77777777" w:rsidR="00986A70" w:rsidRPr="0090078C" w:rsidRDefault="00986A70">
      <w:r w:rsidRPr="0090078C">
        <w:separator/>
      </w:r>
    </w:p>
  </w:endnote>
  <w:endnote w:type="continuationSeparator" w:id="0">
    <w:p w14:paraId="6748BF7C" w14:textId="77777777" w:rsidR="00986A70" w:rsidRPr="0090078C" w:rsidRDefault="00986A70">
      <w:r w:rsidRPr="009007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B22F5" w14:textId="77777777" w:rsidR="00064002" w:rsidRPr="0090078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605BB3" w14:textId="77777777" w:rsidR="00064002" w:rsidRPr="0090078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C56CB" w14:textId="77777777" w:rsidR="00064002" w:rsidRPr="0090078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8D521" w14:textId="77777777" w:rsidR="00986A70" w:rsidRPr="0090078C" w:rsidRDefault="00986A70">
      <w:r w:rsidRPr="0090078C">
        <w:separator/>
      </w:r>
    </w:p>
  </w:footnote>
  <w:footnote w:type="continuationSeparator" w:id="0">
    <w:p w14:paraId="09C0345F" w14:textId="77777777" w:rsidR="00986A70" w:rsidRPr="0090078C" w:rsidRDefault="00986A70">
      <w:r w:rsidRPr="0090078C">
        <w:continuationSeparator/>
      </w:r>
    </w:p>
  </w:footnote>
  <w:footnote w:id="1">
    <w:p w14:paraId="1DAEACDC" w14:textId="77777777" w:rsidR="00BA4259" w:rsidRPr="002B6AC2" w:rsidRDefault="00BA4259" w:rsidP="00BA4259">
      <w:pPr>
        <w:ind w:left="567" w:hanging="567"/>
      </w:pPr>
      <w:r w:rsidRPr="002B6AC2">
        <w:rPr>
          <w:rStyle w:val="FootnoteReference"/>
        </w:rPr>
        <w:footnoteRef/>
      </w:r>
      <w:r w:rsidRPr="002B6AC2">
        <w:t xml:space="preserve"> </w:t>
      </w:r>
      <w:r w:rsidRPr="00DE557D">
        <w:tab/>
        <w:t xml:space="preserve">GU L 58 del 23.2.2023, pag. 1, ELI: </w:t>
      </w:r>
      <w:hyperlink r:id="rId1" w:tooltip="Accesso al documento tramite l'URI dell'ELI." w:history="1">
        <w:r w:rsidRPr="00DE557D">
          <w:rPr>
            <w:color w:val="0563C1"/>
            <w:u w:val="single"/>
            <w:shd w:val="clear" w:color="auto" w:fill="FFFFFF"/>
          </w:rPr>
          <w:t>http://data.europa.eu/eli/budget/2023/1/oj</w:t>
        </w:r>
      </w:hyperlink>
      <w:r w:rsidRPr="00DE557D">
        <w:rPr>
          <w:shd w:val="clear" w:color="auto" w:fill="FFFFFF"/>
        </w:rPr>
        <w:t>.</w:t>
      </w:r>
    </w:p>
  </w:footnote>
  <w:footnote w:id="2">
    <w:p w14:paraId="512A3841" w14:textId="77777777" w:rsidR="00BA4259" w:rsidRPr="002B6AC2" w:rsidRDefault="00BA4259" w:rsidP="00BA4259">
      <w:pPr>
        <w:pStyle w:val="FootnoteText"/>
        <w:ind w:left="567" w:hanging="567"/>
        <w:rPr>
          <w:sz w:val="24"/>
          <w:lang w:val="it-IT"/>
        </w:rPr>
      </w:pPr>
      <w:r w:rsidRPr="002B6AC2">
        <w:rPr>
          <w:rStyle w:val="FootnoteReference"/>
        </w:rPr>
        <w:footnoteRef/>
      </w:r>
      <w:r w:rsidRPr="002B6AC2">
        <w:rPr>
          <w:sz w:val="24"/>
          <w:lang w:val="it-IT"/>
        </w:rPr>
        <w:t xml:space="preserve"> </w:t>
      </w:r>
      <w:r w:rsidRPr="00DE557D">
        <w:rPr>
          <w:sz w:val="24"/>
          <w:lang w:val="it-IT"/>
        </w:rPr>
        <w:tab/>
        <w:t xml:space="preserve">GU C, C/2024/5462, 10.10.2024, ELI: </w:t>
      </w:r>
      <w:hyperlink r:id="rId2" w:history="1">
        <w:r w:rsidRPr="00DE557D">
          <w:rPr>
            <w:rStyle w:val="Hyperlink1"/>
            <w:sz w:val="24"/>
            <w:lang w:val="it-IT"/>
          </w:rPr>
          <w:t>http://data.europa.eu/eli/C/2024/5462/oj</w:t>
        </w:r>
      </w:hyperlink>
      <w:r w:rsidRPr="00DE557D">
        <w:rPr>
          <w:sz w:val="24"/>
          <w:shd w:val="clear" w:color="auto" w:fill="FFFFFF"/>
          <w:lang w:val="it-IT"/>
        </w:rPr>
        <w:t>.</w:t>
      </w:r>
    </w:p>
  </w:footnote>
  <w:footnote w:id="3">
    <w:p w14:paraId="5BBD08A0" w14:textId="77777777" w:rsidR="00BA4259" w:rsidRPr="002B6AC2" w:rsidRDefault="00BA4259" w:rsidP="00BA4259">
      <w:pPr>
        <w:pStyle w:val="FootnoteText"/>
        <w:ind w:left="567" w:hanging="567"/>
        <w:rPr>
          <w:sz w:val="24"/>
          <w:lang w:val="fi-FI"/>
        </w:rPr>
      </w:pPr>
      <w:r w:rsidRPr="002B6AC2">
        <w:rPr>
          <w:rStyle w:val="FootnoteReference"/>
        </w:rPr>
        <w:footnoteRef/>
      </w:r>
      <w:r w:rsidRPr="002B6AC2">
        <w:rPr>
          <w:sz w:val="24"/>
          <w:lang w:val="fi-FI"/>
        </w:rPr>
        <w:t xml:space="preserve"> </w:t>
      </w:r>
      <w:r w:rsidRPr="00DE557D">
        <w:rPr>
          <w:sz w:val="24"/>
          <w:lang w:val="fi-FI"/>
        </w:rPr>
        <w:tab/>
        <w:t xml:space="preserve">GU C, C/2024/3115, 23.5.2024, ELI: </w:t>
      </w:r>
      <w:hyperlink r:id="rId3" w:history="1">
        <w:r w:rsidRPr="00DE557D">
          <w:rPr>
            <w:rStyle w:val="Hyperlink1"/>
            <w:sz w:val="24"/>
            <w:lang w:val="fi-FI"/>
          </w:rPr>
          <w:t>http://data.europa.eu/eli/C/2024/3115/oj</w:t>
        </w:r>
      </w:hyperlink>
      <w:r w:rsidRPr="00DE557D">
        <w:rPr>
          <w:sz w:val="24"/>
          <w:shd w:val="clear" w:color="auto" w:fill="FFFFFF"/>
          <w:lang w:val="fi-FI"/>
        </w:rPr>
        <w:t>.</w:t>
      </w:r>
    </w:p>
  </w:footnote>
  <w:footnote w:id="4">
    <w:p w14:paraId="7E00DB5B" w14:textId="77777777" w:rsidR="00BA4259" w:rsidRPr="002B6AC2" w:rsidRDefault="00BA4259" w:rsidP="00BA4259">
      <w:pPr>
        <w:pStyle w:val="FootnoteText"/>
        <w:ind w:left="567" w:hanging="567"/>
        <w:rPr>
          <w:sz w:val="24"/>
          <w:lang w:val="fi-FI"/>
        </w:rPr>
      </w:pPr>
      <w:r w:rsidRPr="002B6AC2">
        <w:rPr>
          <w:rStyle w:val="FootnoteReference"/>
        </w:rPr>
        <w:footnoteRef/>
      </w:r>
      <w:r w:rsidRPr="002B6AC2">
        <w:rPr>
          <w:sz w:val="24"/>
          <w:lang w:val="fi-FI"/>
        </w:rPr>
        <w:t xml:space="preserve"> </w:t>
      </w:r>
      <w:r w:rsidRPr="00DE557D">
        <w:rPr>
          <w:sz w:val="24"/>
          <w:lang w:val="fi-FI"/>
        </w:rPr>
        <w:tab/>
        <w:t xml:space="preserve">GU C, C/2024/5882, 9.10.2024, ELI: </w:t>
      </w:r>
      <w:hyperlink r:id="rId4" w:history="1">
        <w:r w:rsidRPr="00DE557D">
          <w:rPr>
            <w:rStyle w:val="Hyperlink1"/>
            <w:sz w:val="24"/>
            <w:lang w:val="fi-FI"/>
          </w:rPr>
          <w:t>http://data.europa.eu/eli/C/2024/5882/oj</w:t>
        </w:r>
      </w:hyperlink>
      <w:r w:rsidRPr="00DE557D">
        <w:rPr>
          <w:sz w:val="24"/>
          <w:shd w:val="clear" w:color="auto" w:fill="FFFFFF"/>
          <w:lang w:val="fi-FI"/>
        </w:rPr>
        <w:t>.</w:t>
      </w:r>
    </w:p>
  </w:footnote>
  <w:footnote w:id="5">
    <w:p w14:paraId="01EC2E38" w14:textId="77777777" w:rsidR="00BA4259" w:rsidRPr="002B6AC2" w:rsidRDefault="00BA4259" w:rsidP="00BA4259">
      <w:pPr>
        <w:pStyle w:val="FootnoteText"/>
        <w:ind w:left="567" w:hanging="567"/>
        <w:rPr>
          <w:sz w:val="24"/>
          <w:lang w:val="fi-FI"/>
        </w:rPr>
      </w:pPr>
      <w:r w:rsidRPr="002B6AC2">
        <w:rPr>
          <w:rStyle w:val="FootnoteReference"/>
        </w:rPr>
        <w:footnoteRef/>
      </w:r>
      <w:r w:rsidRPr="002B6AC2">
        <w:rPr>
          <w:sz w:val="24"/>
          <w:lang w:val="fi-FI"/>
        </w:rPr>
        <w:t xml:space="preserve"> </w:t>
      </w:r>
      <w:r w:rsidRPr="00DE557D">
        <w:rPr>
          <w:sz w:val="24"/>
          <w:lang w:val="fi-FI"/>
        </w:rPr>
        <w:tab/>
        <w:t xml:space="preserve">GU C, C/2024/6041, 10.10.2024, ELI: </w:t>
      </w:r>
      <w:hyperlink r:id="rId5" w:history="1">
        <w:r w:rsidRPr="00DE557D">
          <w:rPr>
            <w:rStyle w:val="Hyperlink1"/>
            <w:sz w:val="24"/>
            <w:lang w:val="fi-FI"/>
          </w:rPr>
          <w:t>http://data.europa.eu/eli/C/2024/6041/oj</w:t>
        </w:r>
      </w:hyperlink>
      <w:r w:rsidRPr="00DE557D">
        <w:rPr>
          <w:sz w:val="24"/>
          <w:shd w:val="clear" w:color="auto" w:fill="FFFFFF"/>
          <w:lang w:val="fi-FI"/>
        </w:rPr>
        <w:t>.</w:t>
      </w:r>
    </w:p>
  </w:footnote>
  <w:footnote w:id="6">
    <w:p w14:paraId="5CB5CD12" w14:textId="77777777" w:rsidR="00BA4259" w:rsidRPr="002B6AC2" w:rsidRDefault="00BA4259" w:rsidP="00BA4259">
      <w:pPr>
        <w:pStyle w:val="FootnoteText"/>
        <w:ind w:left="567" w:hanging="567"/>
        <w:rPr>
          <w:sz w:val="24"/>
          <w:lang w:val="it-IT"/>
        </w:rPr>
      </w:pPr>
      <w:r w:rsidRPr="002B6AC2">
        <w:rPr>
          <w:rStyle w:val="FootnoteReference"/>
        </w:rPr>
        <w:footnoteRef/>
      </w:r>
      <w:r w:rsidRPr="002B6AC2">
        <w:rPr>
          <w:sz w:val="24"/>
          <w:lang w:val="it-IT"/>
        </w:rPr>
        <w:t xml:space="preserve"> </w:t>
      </w:r>
      <w:r w:rsidRPr="00DE557D">
        <w:rPr>
          <w:sz w:val="24"/>
          <w:lang w:val="it-IT"/>
        </w:rPr>
        <w:tab/>
        <w:t xml:space="preserve">GU L 193 del 30.7.2018, pag. 1, ELI: </w:t>
      </w:r>
      <w:hyperlink r:id="rId6" w:history="1">
        <w:r w:rsidRPr="00DE557D">
          <w:rPr>
            <w:rStyle w:val="Hyperlink1"/>
            <w:sz w:val="24"/>
            <w:lang w:val="it-IT"/>
          </w:rPr>
          <w:t>http://data.europa.eu/eli/reg/2018/1046/oj</w:t>
        </w:r>
      </w:hyperlink>
      <w:r w:rsidRPr="00DE557D">
        <w:rPr>
          <w:sz w:val="24"/>
          <w:lang w:val="it-IT"/>
        </w:rPr>
        <w:t>.</w:t>
      </w:r>
    </w:p>
  </w:footnote>
  <w:footnote w:id="7">
    <w:p w14:paraId="45890442" w14:textId="77777777" w:rsidR="00BA4259" w:rsidRPr="002B6AC2" w:rsidRDefault="00BA4259" w:rsidP="00BA4259">
      <w:pPr>
        <w:pStyle w:val="FootnoteText"/>
        <w:ind w:left="567" w:hanging="567"/>
        <w:rPr>
          <w:sz w:val="24"/>
          <w:szCs w:val="24"/>
          <w:lang w:val="it-IT"/>
        </w:rPr>
      </w:pPr>
      <w:r w:rsidRPr="002B6AC2">
        <w:rPr>
          <w:rStyle w:val="FootnoteReference"/>
        </w:rPr>
        <w:footnoteRef/>
      </w:r>
      <w:r w:rsidRPr="002B6AC2">
        <w:rPr>
          <w:sz w:val="24"/>
          <w:lang w:val="it-IT"/>
        </w:rPr>
        <w:t xml:space="preserve"> </w:t>
      </w:r>
      <w:r w:rsidRPr="00DE557D">
        <w:rPr>
          <w:sz w:val="24"/>
          <w:lang w:val="it-IT"/>
        </w:rPr>
        <w:tab/>
        <w:t xml:space="preserve">GU L, 2024/2509, 26.9.2024, ELI: </w:t>
      </w:r>
      <w:hyperlink r:id="rId7" w:tgtFrame="_blank" w:history="1">
        <w:r w:rsidRPr="00DE557D">
          <w:rPr>
            <w:rStyle w:val="Hyperlink1"/>
            <w:sz w:val="24"/>
            <w:shd w:val="clear" w:color="auto" w:fill="FFFFFF"/>
            <w:lang w:val="it-IT"/>
          </w:rPr>
          <w:t>http://data.europa.eu/eli/reg/2024/2509/oj</w:t>
        </w:r>
      </w:hyperlink>
      <w:r w:rsidRPr="00DE557D">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67ECB" w14:textId="77777777" w:rsidR="00064002" w:rsidRPr="0090078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895F6" w14:textId="77777777" w:rsidR="00064002" w:rsidRPr="0090078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D570F" w14:textId="77777777" w:rsidR="00064002" w:rsidRPr="0090078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31822810">
    <w:abstractNumId w:val="9"/>
  </w:num>
  <w:num w:numId="2" w16cid:durableId="1992322519">
    <w:abstractNumId w:val="9"/>
  </w:num>
  <w:num w:numId="3" w16cid:durableId="2039743774">
    <w:abstractNumId w:val="7"/>
  </w:num>
  <w:num w:numId="4" w16cid:durableId="1622154460">
    <w:abstractNumId w:val="7"/>
  </w:num>
  <w:num w:numId="5" w16cid:durableId="350182125">
    <w:abstractNumId w:val="6"/>
  </w:num>
  <w:num w:numId="6" w16cid:durableId="1791169215">
    <w:abstractNumId w:val="6"/>
  </w:num>
  <w:num w:numId="7" w16cid:durableId="2001302050">
    <w:abstractNumId w:val="5"/>
  </w:num>
  <w:num w:numId="8" w16cid:durableId="1816212849">
    <w:abstractNumId w:val="5"/>
  </w:num>
  <w:num w:numId="9" w16cid:durableId="1790247553">
    <w:abstractNumId w:val="4"/>
  </w:num>
  <w:num w:numId="10" w16cid:durableId="753014227">
    <w:abstractNumId w:val="4"/>
  </w:num>
  <w:num w:numId="11" w16cid:durableId="1433041980">
    <w:abstractNumId w:val="8"/>
  </w:num>
  <w:num w:numId="12" w16cid:durableId="1915702393">
    <w:abstractNumId w:val="8"/>
  </w:num>
  <w:num w:numId="13" w16cid:durableId="154079757">
    <w:abstractNumId w:val="3"/>
  </w:num>
  <w:num w:numId="14" w16cid:durableId="33970975">
    <w:abstractNumId w:val="3"/>
  </w:num>
  <w:num w:numId="15" w16cid:durableId="910695168">
    <w:abstractNumId w:val="2"/>
  </w:num>
  <w:num w:numId="16" w16cid:durableId="890577686">
    <w:abstractNumId w:val="2"/>
  </w:num>
  <w:num w:numId="17" w16cid:durableId="1712807525">
    <w:abstractNumId w:val="1"/>
  </w:num>
  <w:num w:numId="18" w16cid:durableId="1406225119">
    <w:abstractNumId w:val="1"/>
  </w:num>
  <w:num w:numId="19" w16cid:durableId="2147046453">
    <w:abstractNumId w:val="0"/>
  </w:num>
  <w:num w:numId="20" w16cid:durableId="1572152819">
    <w:abstractNumId w:val="0"/>
  </w:num>
  <w:num w:numId="21" w16cid:durableId="376197668">
    <w:abstractNumId w:val="9"/>
  </w:num>
  <w:num w:numId="22" w16cid:durableId="850099328">
    <w:abstractNumId w:val="7"/>
  </w:num>
  <w:num w:numId="23" w16cid:durableId="2103184549">
    <w:abstractNumId w:val="6"/>
  </w:num>
  <w:num w:numId="24" w16cid:durableId="690567764">
    <w:abstractNumId w:val="5"/>
  </w:num>
  <w:num w:numId="25" w16cid:durableId="989870734">
    <w:abstractNumId w:val="4"/>
  </w:num>
  <w:num w:numId="26" w16cid:durableId="422726230">
    <w:abstractNumId w:val="8"/>
  </w:num>
  <w:num w:numId="27" w16cid:durableId="367141278">
    <w:abstractNumId w:val="3"/>
  </w:num>
  <w:num w:numId="28" w16cid:durableId="2041785375">
    <w:abstractNumId w:val="2"/>
  </w:num>
  <w:num w:numId="29" w16cid:durableId="112218383">
    <w:abstractNumId w:val="1"/>
  </w:num>
  <w:num w:numId="30" w16cid:durableId="468667857">
    <w:abstractNumId w:val="0"/>
  </w:num>
  <w:num w:numId="31" w16cid:durableId="1055813365">
    <w:abstractNumId w:val="9"/>
  </w:num>
  <w:num w:numId="32" w16cid:durableId="941379547">
    <w:abstractNumId w:val="7"/>
  </w:num>
  <w:num w:numId="33" w16cid:durableId="2083942153">
    <w:abstractNumId w:val="6"/>
  </w:num>
  <w:num w:numId="34" w16cid:durableId="1257405713">
    <w:abstractNumId w:val="5"/>
  </w:num>
  <w:num w:numId="35" w16cid:durableId="1744066666">
    <w:abstractNumId w:val="4"/>
  </w:num>
  <w:num w:numId="36" w16cid:durableId="1249272642">
    <w:abstractNumId w:val="8"/>
  </w:num>
  <w:num w:numId="37" w16cid:durableId="2128772082">
    <w:abstractNumId w:val="3"/>
  </w:num>
  <w:num w:numId="38" w16cid:durableId="574554463">
    <w:abstractNumId w:val="2"/>
  </w:num>
  <w:num w:numId="39" w16cid:durableId="1213469057">
    <w:abstractNumId w:val="1"/>
  </w:num>
  <w:num w:numId="40" w16cid:durableId="961769987">
    <w:abstractNumId w:val="0"/>
  </w:num>
  <w:num w:numId="41" w16cid:durableId="70852443">
    <w:abstractNumId w:val="10"/>
  </w:num>
  <w:num w:numId="42" w16cid:durableId="2036998875">
    <w:abstractNumId w:val="10"/>
  </w:num>
  <w:num w:numId="43" w16cid:durableId="2028360788">
    <w:abstractNumId w:val="10"/>
  </w:num>
  <w:num w:numId="44" w16cid:durableId="12232513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2/2025"/>
    <w:docVar w:name="dvlangue" w:val="IT"/>
    <w:docVar w:name="dvnumam" w:val="0"/>
    <w:docVar w:name="dvpe" w:val="764.999"/>
    <w:docVar w:name="dvrapporteur" w:val="Relatrice: "/>
    <w:docVar w:name="dvtitre" w:val="1. Decisione del Parlamento europeo del 7 maggio 2025 sul discarico per l'esecuzione del bilancio generale dell'Unione europea per l'esercizio 2023, sezione I – Parlamento europeo(2024/2020(DEC))"/>
  </w:docVars>
  <w:rsids>
    <w:rsidRoot w:val="00986A70"/>
    <w:rsid w:val="00002272"/>
    <w:rsid w:val="00064002"/>
    <w:rsid w:val="000677B9"/>
    <w:rsid w:val="000831BA"/>
    <w:rsid w:val="000A42CC"/>
    <w:rsid w:val="000E7DD9"/>
    <w:rsid w:val="0010095E"/>
    <w:rsid w:val="00125B37"/>
    <w:rsid w:val="00170767"/>
    <w:rsid w:val="00187494"/>
    <w:rsid w:val="001F32AE"/>
    <w:rsid w:val="002767FF"/>
    <w:rsid w:val="002B18FE"/>
    <w:rsid w:val="002B5493"/>
    <w:rsid w:val="002C42EB"/>
    <w:rsid w:val="00343214"/>
    <w:rsid w:val="00361C00"/>
    <w:rsid w:val="00395FA1"/>
    <w:rsid w:val="003C429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5C2"/>
    <w:rsid w:val="00751A4A"/>
    <w:rsid w:val="00756632"/>
    <w:rsid w:val="00762C74"/>
    <w:rsid w:val="00786EC0"/>
    <w:rsid w:val="007D1690"/>
    <w:rsid w:val="007E22AD"/>
    <w:rsid w:val="00817416"/>
    <w:rsid w:val="00842779"/>
    <w:rsid w:val="00865F67"/>
    <w:rsid w:val="00881A7B"/>
    <w:rsid w:val="008840E5"/>
    <w:rsid w:val="00887B3E"/>
    <w:rsid w:val="008C2AC6"/>
    <w:rsid w:val="0090078C"/>
    <w:rsid w:val="00930C23"/>
    <w:rsid w:val="0093193B"/>
    <w:rsid w:val="009509D8"/>
    <w:rsid w:val="00950B64"/>
    <w:rsid w:val="00954683"/>
    <w:rsid w:val="0095720B"/>
    <w:rsid w:val="00981893"/>
    <w:rsid w:val="00986A70"/>
    <w:rsid w:val="00A1687D"/>
    <w:rsid w:val="00A17447"/>
    <w:rsid w:val="00A43E52"/>
    <w:rsid w:val="00A4678D"/>
    <w:rsid w:val="00A55534"/>
    <w:rsid w:val="00A778C7"/>
    <w:rsid w:val="00AB441E"/>
    <w:rsid w:val="00AB6293"/>
    <w:rsid w:val="00AB71E1"/>
    <w:rsid w:val="00AE0928"/>
    <w:rsid w:val="00AF3B82"/>
    <w:rsid w:val="00B12E95"/>
    <w:rsid w:val="00B22876"/>
    <w:rsid w:val="00B558F0"/>
    <w:rsid w:val="00BA425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5236CC"/>
  <w15:chartTrackingRefBased/>
  <w15:docId w15:val="{DAC8767D-5F34-4AC5-A3F3-D4FA96DC4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styleId="BalloonText">
    <w:name w:val="Balloon Text"/>
    <w:basedOn w:val="Normal"/>
    <w:link w:val="BalloonTextChar"/>
    <w:rsid w:val="00986A70"/>
    <w:rPr>
      <w:rFonts w:ascii="Segoe UI" w:hAnsi="Segoe UI" w:cs="Segoe UI"/>
      <w:sz w:val="18"/>
      <w:szCs w:val="18"/>
    </w:rPr>
  </w:style>
  <w:style w:type="character" w:customStyle="1" w:styleId="BalloonTextChar">
    <w:name w:val="Balloon Text Char"/>
    <w:basedOn w:val="DefaultParagraphFont"/>
    <w:link w:val="BalloonText"/>
    <w:rsid w:val="00986A70"/>
    <w:rPr>
      <w:rFonts w:ascii="Segoe UI" w:hAnsi="Segoe UI" w:cs="Segoe UI"/>
      <w:sz w:val="18"/>
      <w:szCs w:val="18"/>
      <w:lang w:val="it-IT"/>
    </w:rPr>
  </w:style>
  <w:style w:type="paragraph" w:customStyle="1" w:styleId="EPFooter2">
    <w:name w:val="EPFooter2"/>
    <w:basedOn w:val="Normal"/>
    <w:next w:val="Normal"/>
    <w:link w:val="EPFooter2Char"/>
    <w:rsid w:val="007515C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515C2"/>
    <w:pPr>
      <w:spacing w:before="480" w:after="240"/>
    </w:pPr>
  </w:style>
  <w:style w:type="paragraph" w:customStyle="1" w:styleId="NormalHanging12a">
    <w:name w:val="NormalHanging12a"/>
    <w:basedOn w:val="Normal"/>
    <w:link w:val="NormalHanging12aChar"/>
    <w:rsid w:val="007515C2"/>
    <w:pPr>
      <w:spacing w:after="240"/>
      <w:ind w:left="567" w:hanging="567"/>
    </w:pPr>
  </w:style>
  <w:style w:type="character" w:customStyle="1" w:styleId="NormalHanging12aChar">
    <w:name w:val="NormalHanging12a Char"/>
    <w:basedOn w:val="DefaultParagraphFont"/>
    <w:link w:val="NormalHanging12a"/>
    <w:locked/>
    <w:rsid w:val="007515C2"/>
    <w:rPr>
      <w:sz w:val="24"/>
      <w:lang w:val="it-IT"/>
    </w:rPr>
  </w:style>
  <w:style w:type="paragraph" w:customStyle="1" w:styleId="EPFooter">
    <w:name w:val="EPFooter"/>
    <w:basedOn w:val="Normal"/>
    <w:link w:val="EPFooterChar"/>
    <w:rsid w:val="007515C2"/>
    <w:pPr>
      <w:tabs>
        <w:tab w:val="center" w:pos="4535"/>
        <w:tab w:val="right" w:pos="9071"/>
      </w:tabs>
      <w:spacing w:before="240" w:after="240"/>
    </w:pPr>
    <w:rPr>
      <w:color w:val="010000"/>
      <w:sz w:val="22"/>
    </w:rPr>
  </w:style>
  <w:style w:type="paragraph" w:styleId="Header">
    <w:name w:val="header"/>
    <w:basedOn w:val="Normal"/>
    <w:link w:val="HeaderChar"/>
    <w:uiPriority w:val="99"/>
    <w:rsid w:val="007515C2"/>
    <w:pPr>
      <w:tabs>
        <w:tab w:val="center" w:pos="4513"/>
        <w:tab w:val="right" w:pos="9026"/>
      </w:tabs>
    </w:pPr>
  </w:style>
  <w:style w:type="character" w:customStyle="1" w:styleId="HeaderChar">
    <w:name w:val="Header Char"/>
    <w:basedOn w:val="DefaultParagraphFont"/>
    <w:link w:val="Header"/>
    <w:uiPriority w:val="99"/>
    <w:rsid w:val="007515C2"/>
    <w:rPr>
      <w:sz w:val="24"/>
      <w:lang w:val="it-IT"/>
    </w:rPr>
  </w:style>
  <w:style w:type="character" w:styleId="Hyperlink">
    <w:name w:val="Hyperlink"/>
    <w:basedOn w:val="DefaultParagraphFont"/>
    <w:uiPriority w:val="99"/>
    <w:rsid w:val="007515C2"/>
    <w:rPr>
      <w:color w:val="0563C1" w:themeColor="hyperlink"/>
      <w:u w:val="single"/>
    </w:rPr>
  </w:style>
  <w:style w:type="character" w:customStyle="1" w:styleId="EPFooter2Char">
    <w:name w:val="EPFooter2 Char"/>
    <w:basedOn w:val="DefaultParagraphFont"/>
    <w:link w:val="EPFooter2"/>
    <w:rsid w:val="007515C2"/>
    <w:rPr>
      <w:rFonts w:ascii="Arial" w:hAnsi="Arial" w:cs="Arial"/>
      <w:b/>
      <w:sz w:val="48"/>
      <w:lang w:val="it-IT"/>
    </w:rPr>
  </w:style>
  <w:style w:type="character" w:customStyle="1" w:styleId="EPFooterChar">
    <w:name w:val="EPFooter Char"/>
    <w:basedOn w:val="DefaultParagraphFont"/>
    <w:link w:val="EPFooter"/>
    <w:rsid w:val="007515C2"/>
    <w:rPr>
      <w:color w:val="010000"/>
      <w:sz w:val="22"/>
      <w:lang w:val="it-IT"/>
    </w:rPr>
  </w:style>
  <w:style w:type="character" w:customStyle="1" w:styleId="Hyperlink1">
    <w:name w:val="Hyperlink1"/>
    <w:basedOn w:val="DefaultParagraphFont"/>
    <w:uiPriority w:val="99"/>
    <w:rsid w:val="00BA4259"/>
    <w:rPr>
      <w:color w:val="0563C1"/>
      <w:u w:val="single"/>
    </w:rPr>
  </w:style>
  <w:style w:type="character" w:styleId="CommentReference">
    <w:name w:val="annotation reference"/>
    <w:basedOn w:val="DefaultParagraphFont"/>
    <w:uiPriority w:val="99"/>
    <w:unhideWhenUsed/>
    <w:rsid w:val="00BA4259"/>
    <w:rPr>
      <w:sz w:val="16"/>
      <w:szCs w:val="16"/>
    </w:rPr>
  </w:style>
  <w:style w:type="paragraph" w:styleId="CommentText">
    <w:name w:val="annotation text"/>
    <w:basedOn w:val="Normal"/>
    <w:link w:val="CommentTextChar"/>
    <w:uiPriority w:val="99"/>
    <w:unhideWhenUsed/>
    <w:rsid w:val="00BA4259"/>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BA4259"/>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3115/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18/1046/oj" TargetMode="External"/><Relationship Id="rId5" Type="http://schemas.openxmlformats.org/officeDocument/2006/relationships/hyperlink" Target="http://data.europa.eu/eli/C/2024/6041/oj" TargetMode="External"/><Relationship Id="rId4" Type="http://schemas.openxmlformats.org/officeDocument/2006/relationships/hyperlink" Target="http://data.europa.eu/eli/C/2024/588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F76055-DF01-41F0-BCD5-6B038D1F1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3233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MARINELLI Giada</dc:creator>
  <cp:keywords/>
  <cp:lastModifiedBy>CL</cp:lastModifiedBy>
  <cp:revision>2</cp:revision>
  <cp:lastPrinted>2004-11-19T15:42:00Z</cp:lastPrinted>
  <dcterms:created xsi:type="dcterms:W3CDTF">2025-12-04T10:04:00Z</dcterms:created>
  <dcterms:modified xsi:type="dcterms:W3CDTF">2025-12-04T10:04:00Z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P10_TA(2025)0078_</vt:lpwstr>
  </property>
  <property fmtid="{D5CDD505-2E9C-101B-9397-08002B2CF9AE}" pid="4" name="&lt;Type&gt;">
    <vt:lpwstr>RR</vt:lpwstr>
  </property>
</Properties>
</file>