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0F8B" w14:paraId="1069859C" w14:textId="77777777" w:rsidTr="0010095E">
        <w:trPr>
          <w:trHeight w:hRule="exact" w:val="1418"/>
        </w:trPr>
        <w:tc>
          <w:tcPr>
            <w:tcW w:w="6804" w:type="dxa"/>
            <w:shd w:val="clear" w:color="auto" w:fill="auto"/>
            <w:vAlign w:val="center"/>
          </w:tcPr>
          <w:p w14:paraId="5B823423" w14:textId="77777777" w:rsidR="00751A4A" w:rsidRPr="00840F8B" w:rsidRDefault="00494FFE" w:rsidP="0010095E">
            <w:pPr>
              <w:pStyle w:val="EPName"/>
            </w:pPr>
            <w:r w:rsidRPr="00840F8B">
              <w:t>Europos Parlamentas</w:t>
            </w:r>
          </w:p>
          <w:p w14:paraId="2D1706AC" w14:textId="77777777" w:rsidR="00751A4A" w:rsidRPr="00840F8B" w:rsidRDefault="005F1B17" w:rsidP="005F1B17">
            <w:pPr>
              <w:pStyle w:val="EPTerm"/>
              <w:rPr>
                <w:rStyle w:val="HideTWBExt"/>
                <w:noProof w:val="0"/>
                <w:vanish w:val="0"/>
                <w:color w:val="auto"/>
              </w:rPr>
            </w:pPr>
            <w:r w:rsidRPr="00840F8B">
              <w:t>2024</w:t>
            </w:r>
            <w:r w:rsidR="00817416" w:rsidRPr="00840F8B">
              <w:t>-202</w:t>
            </w:r>
            <w:r w:rsidRPr="00840F8B">
              <w:t>9</w:t>
            </w:r>
          </w:p>
        </w:tc>
        <w:tc>
          <w:tcPr>
            <w:tcW w:w="2268" w:type="dxa"/>
            <w:shd w:val="clear" w:color="auto" w:fill="auto"/>
          </w:tcPr>
          <w:p w14:paraId="6767B3CC" w14:textId="77777777" w:rsidR="00751A4A" w:rsidRPr="00840F8B" w:rsidRDefault="00187494" w:rsidP="0010095E">
            <w:pPr>
              <w:pStyle w:val="EPLogo"/>
            </w:pPr>
            <w:r w:rsidRPr="00840F8B">
              <w:rPr>
                <w:noProof/>
                <w:lang w:val="en-GB"/>
              </w:rPr>
              <w:drawing>
                <wp:inline distT="0" distB="0" distL="0" distR="0" wp14:anchorId="032DDA0E" wp14:editId="1112FD9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3765BF" w14:textId="77777777" w:rsidR="00D058B8" w:rsidRPr="00840F8B" w:rsidRDefault="00D058B8" w:rsidP="004C5D52">
      <w:pPr>
        <w:pStyle w:val="LineTop"/>
      </w:pPr>
    </w:p>
    <w:p w14:paraId="57473371" w14:textId="77777777" w:rsidR="00680577" w:rsidRPr="00840F8B" w:rsidRDefault="00494FFE" w:rsidP="00680577">
      <w:pPr>
        <w:pStyle w:val="EPBodyTA1"/>
      </w:pPr>
      <w:r w:rsidRPr="00840F8B">
        <w:t>PRIIMTI TEKSTAI</w:t>
      </w:r>
    </w:p>
    <w:p w14:paraId="618D54D5" w14:textId="77777777" w:rsidR="00D058B8" w:rsidRPr="00840F8B" w:rsidRDefault="00D058B8" w:rsidP="00D058B8">
      <w:pPr>
        <w:pStyle w:val="LineBottom"/>
      </w:pPr>
    </w:p>
    <w:p w14:paraId="05FC66F8" w14:textId="77777777" w:rsidR="00494FFE" w:rsidRPr="00840F8B" w:rsidRDefault="00494FFE" w:rsidP="00494FFE">
      <w:pPr>
        <w:pStyle w:val="ATHeading1"/>
      </w:pPr>
      <w:bookmarkStart w:id="0" w:name="TANumber"/>
      <w:r w:rsidRPr="00840F8B">
        <w:t>P10_TA(2025)00</w:t>
      </w:r>
      <w:r w:rsidR="009B164C">
        <w:t>78</w:t>
      </w:r>
      <w:bookmarkEnd w:id="0"/>
    </w:p>
    <w:p w14:paraId="3F06E7AC" w14:textId="77777777" w:rsidR="00494FFE" w:rsidRPr="00840F8B" w:rsidRDefault="00494FFE" w:rsidP="00494FFE">
      <w:pPr>
        <w:pStyle w:val="ATHeading2"/>
      </w:pPr>
      <w:bookmarkStart w:id="1" w:name="title"/>
      <w:r w:rsidRPr="00840F8B">
        <w:t>2023 m. biudžeto įvykdymo patvirtinimas: ES bendrasis biudžetas – Europos Parlamentas</w:t>
      </w:r>
      <w:bookmarkEnd w:id="1"/>
    </w:p>
    <w:p w14:paraId="06F29871" w14:textId="77777777" w:rsidR="00494FFE" w:rsidRPr="00840F8B" w:rsidRDefault="00494FFE" w:rsidP="00494FFE">
      <w:pPr>
        <w:rPr>
          <w:i/>
          <w:vanish/>
        </w:rPr>
      </w:pPr>
      <w:r w:rsidRPr="00840F8B">
        <w:rPr>
          <w:i/>
        </w:rPr>
        <w:fldChar w:fldCharType="begin"/>
      </w:r>
      <w:r w:rsidRPr="00840F8B">
        <w:rPr>
          <w:i/>
        </w:rPr>
        <w:instrText xml:space="preserve"> TC"(</w:instrText>
      </w:r>
      <w:bookmarkStart w:id="2" w:name="DocNumber"/>
      <w:r w:rsidRPr="00840F8B">
        <w:rPr>
          <w:i/>
        </w:rPr>
        <w:instrText>A10-0062/2025</w:instrText>
      </w:r>
      <w:bookmarkEnd w:id="2"/>
      <w:r w:rsidRPr="00840F8B">
        <w:rPr>
          <w:i/>
        </w:rPr>
        <w:instrText xml:space="preserve"> - Pranešėja: Monika Hohlmeier)"\l3 \n&gt; \* MERGEFORMAT </w:instrText>
      </w:r>
      <w:r w:rsidRPr="00840F8B">
        <w:rPr>
          <w:i/>
        </w:rPr>
        <w:fldChar w:fldCharType="end"/>
      </w:r>
    </w:p>
    <w:p w14:paraId="23CECA32" w14:textId="77777777" w:rsidR="00494FFE" w:rsidRPr="00840F8B" w:rsidRDefault="00494FFE" w:rsidP="00494FFE">
      <w:pPr>
        <w:rPr>
          <w:vanish/>
        </w:rPr>
      </w:pPr>
      <w:bookmarkStart w:id="3" w:name="Commission"/>
      <w:r w:rsidRPr="00840F8B">
        <w:rPr>
          <w:vanish/>
        </w:rPr>
        <w:t>Biudžeto kontrolės komitetas</w:t>
      </w:r>
      <w:bookmarkEnd w:id="3"/>
    </w:p>
    <w:p w14:paraId="4F2F9AE8" w14:textId="77777777" w:rsidR="00494FFE" w:rsidRPr="00840F8B" w:rsidRDefault="00494FFE" w:rsidP="00494FFE">
      <w:pPr>
        <w:rPr>
          <w:vanish/>
        </w:rPr>
      </w:pPr>
      <w:bookmarkStart w:id="4" w:name="PE"/>
      <w:r w:rsidRPr="00840F8B">
        <w:rPr>
          <w:vanish/>
        </w:rPr>
        <w:t>PE764.999</w:t>
      </w:r>
      <w:bookmarkEnd w:id="4"/>
    </w:p>
    <w:p w14:paraId="742C0B0A" w14:textId="3EB18FDD" w:rsidR="00A13339" w:rsidRDefault="00A13339" w:rsidP="00A13339">
      <w:pPr>
        <w:pStyle w:val="ATHeading3"/>
      </w:pPr>
      <w:r>
        <w:t>2025 m. gegužės 7 d. Europos Parlamento sprendimas dėl 2023 finansinių metų Europos Sąjungos bendrojo biudžeto įvykdymo patvirtinimo, I skirsnis – Europos Parlamentas (2024/2020(DEC))</w:t>
      </w:r>
    </w:p>
    <w:p w14:paraId="4E23308A" w14:textId="77777777" w:rsidR="00AF3AA6" w:rsidRDefault="00AF3AA6" w:rsidP="00AF3AA6">
      <w:pPr>
        <w:spacing w:before="480" w:after="240"/>
        <w:rPr>
          <w:noProof/>
        </w:rPr>
      </w:pPr>
      <w:r>
        <w:rPr>
          <w:i/>
        </w:rPr>
        <w:t>Europos Parlamentas</w:t>
      </w:r>
      <w:r>
        <w:t>,</w:t>
      </w:r>
    </w:p>
    <w:p w14:paraId="370A053C" w14:textId="77777777" w:rsidR="00AF3AA6" w:rsidRDefault="00AF3AA6" w:rsidP="00AF3AA6">
      <w:pPr>
        <w:spacing w:after="240"/>
        <w:ind w:left="567" w:hanging="567"/>
        <w:rPr>
          <w:noProof/>
        </w:rPr>
      </w:pPr>
      <w:r>
        <w:t>–</w:t>
      </w:r>
      <w:r>
        <w:tab/>
        <w:t>atsižvelgdamas į 2023 finansinių metų Europos Sąjungos bendrąjį biudžetą</w:t>
      </w:r>
      <w:r>
        <w:rPr>
          <w:noProof/>
          <w:vertAlign w:val="superscript"/>
        </w:rPr>
        <w:footnoteReference w:id="1"/>
      </w:r>
      <w:r>
        <w:t>,</w:t>
      </w:r>
    </w:p>
    <w:p w14:paraId="1677A63E" w14:textId="77777777" w:rsidR="00AF3AA6" w:rsidRDefault="00AF3AA6" w:rsidP="00AF3AA6">
      <w:pPr>
        <w:spacing w:after="240"/>
        <w:ind w:left="567" w:hanging="567"/>
        <w:rPr>
          <w:noProof/>
        </w:rPr>
      </w:pPr>
      <w:r>
        <w:t>–</w:t>
      </w:r>
      <w:r>
        <w:tab/>
        <w:t>atsižvelgdamas į 2023 finansinių metų Europos Sąjungos konsoliduotąsias metines ataskaitas (COM(2024)0272 – C10</w:t>
      </w:r>
      <w:r>
        <w:noBreakHyphen/>
        <w:t>0068/2024)</w:t>
      </w:r>
      <w:r>
        <w:rPr>
          <w:noProof/>
          <w:vertAlign w:val="superscript"/>
        </w:rPr>
        <w:footnoteReference w:id="2"/>
      </w:r>
      <w:r>
        <w:t>,</w:t>
      </w:r>
    </w:p>
    <w:p w14:paraId="07314B07" w14:textId="77777777" w:rsidR="00AF3AA6" w:rsidRDefault="00AF3AA6" w:rsidP="00AF3AA6">
      <w:pPr>
        <w:spacing w:after="240"/>
        <w:ind w:left="567" w:hanging="567"/>
        <w:rPr>
          <w:noProof/>
        </w:rPr>
      </w:pPr>
      <w:r>
        <w:t>–</w:t>
      </w:r>
      <w:r>
        <w:tab/>
        <w:t>atsižvelgdamas į 2023 finansinių metų biudžeto ir finansų valdymo ataskaitą, I skirsnis – Europos Parlamentas</w:t>
      </w:r>
      <w:r>
        <w:rPr>
          <w:noProof/>
          <w:vertAlign w:val="superscript"/>
        </w:rPr>
        <w:footnoteReference w:id="3"/>
      </w:r>
      <w:r>
        <w:t>,</w:t>
      </w:r>
    </w:p>
    <w:p w14:paraId="09180F5B" w14:textId="77777777" w:rsidR="00AF3AA6" w:rsidRDefault="00AF3AA6" w:rsidP="00AF3AA6">
      <w:pPr>
        <w:spacing w:after="240"/>
        <w:ind w:left="567" w:hanging="567"/>
        <w:rPr>
          <w:noProof/>
        </w:rPr>
      </w:pPr>
      <w:r>
        <w:t>–</w:t>
      </w:r>
      <w:r>
        <w:tab/>
        <w:t>atsižvelgdamas į vidaus auditoriaus 2023 finansinių metų metinę ataskaitą,</w:t>
      </w:r>
    </w:p>
    <w:p w14:paraId="7B11D84B" w14:textId="77777777" w:rsidR="00AF3AA6" w:rsidRDefault="00AF3AA6" w:rsidP="00AF3AA6">
      <w:pPr>
        <w:spacing w:after="240"/>
        <w:ind w:left="567" w:hanging="567"/>
        <w:rPr>
          <w:noProof/>
        </w:rPr>
      </w:pPr>
      <w:r>
        <w:t>–</w:t>
      </w:r>
      <w:r>
        <w:tab/>
        <w:t>atsižvelgdamas į Audito Rūmų metinę ataskaitą dėl 2023 finansinių metų biudžeto vykdymo kartu su institucijų atsakymais</w:t>
      </w:r>
      <w:r>
        <w:rPr>
          <w:noProof/>
          <w:vertAlign w:val="superscript"/>
        </w:rPr>
        <w:footnoteReference w:id="4"/>
      </w:r>
      <w:r>
        <w:t>,</w:t>
      </w:r>
    </w:p>
    <w:p w14:paraId="76A3A4F6" w14:textId="77777777" w:rsidR="00AF3AA6" w:rsidRDefault="00AF3AA6" w:rsidP="00AF3AA6">
      <w:pPr>
        <w:spacing w:after="240"/>
        <w:ind w:left="567" w:hanging="567"/>
        <w:rPr>
          <w:noProof/>
        </w:rPr>
      </w:pPr>
      <w:r>
        <w:t>–</w:t>
      </w:r>
      <w:r>
        <w:tab/>
        <w:t>atsižvelgdamas į Audito Rūmų pagal Sutarties dėl Europos Sąjungos veikimo 287 straipsnį pateiktą 2023 finansinių metų sąskaitų patikimumo ir pagal jas atliktų operacijų teisėtumo ir tvarkingumo patikinimo pareiškimą</w:t>
      </w:r>
      <w:r>
        <w:rPr>
          <w:noProof/>
          <w:vertAlign w:val="superscript"/>
        </w:rPr>
        <w:footnoteReference w:id="5"/>
      </w:r>
      <w:r>
        <w:t>,</w:t>
      </w:r>
    </w:p>
    <w:p w14:paraId="7EFC6AF9" w14:textId="77777777" w:rsidR="00AF3AA6" w:rsidRDefault="00AF3AA6" w:rsidP="00AF3AA6">
      <w:pPr>
        <w:spacing w:after="240"/>
        <w:ind w:left="567" w:hanging="567"/>
        <w:rPr>
          <w:noProof/>
        </w:rPr>
      </w:pPr>
      <w:r>
        <w:t>–</w:t>
      </w:r>
      <w:r>
        <w:tab/>
        <w:t>atsižvelgdamas į Sutarties dėl Europos Sąjungos veikimo 314 straipsnio 10 dalį ir 318 straipsnį,</w:t>
      </w:r>
    </w:p>
    <w:p w14:paraId="34A0CB2B" w14:textId="77777777" w:rsidR="00AF3AA6" w:rsidRDefault="00AF3AA6" w:rsidP="00AF3AA6">
      <w:pPr>
        <w:spacing w:after="240"/>
        <w:ind w:left="567" w:hanging="567"/>
      </w:pPr>
      <w:r>
        <w:t>–</w:t>
      </w:r>
      <w: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Pr>
          <w:vertAlign w:val="superscript"/>
        </w:rPr>
        <w:footnoteReference w:id="6"/>
      </w:r>
      <w:r>
        <w:t>, ypač į jo 260, 261 ir 262 straipsnius,</w:t>
      </w:r>
    </w:p>
    <w:p w14:paraId="179EFC14" w14:textId="77777777" w:rsidR="00AF3AA6" w:rsidRDefault="00AF3AA6" w:rsidP="00AF3AA6">
      <w:pPr>
        <w:spacing w:after="240"/>
        <w:ind w:left="567" w:hanging="567"/>
        <w:rPr>
          <w:noProof/>
        </w:rPr>
      </w:pPr>
      <w:r>
        <w:t>–</w:t>
      </w:r>
      <w:r>
        <w:tab/>
        <w:t>atsižvelgdamas į 2024 m. rugsėjo 23 d. Europos Parlamento ir Tarybos reglamentą (ES, Euratomas) 2024/2509 dėl Sąjungos bendrajam biudžetui taikomų finansinių taisyklių</w:t>
      </w:r>
      <w:r>
        <w:rPr>
          <w:noProof/>
          <w:vertAlign w:val="superscript"/>
        </w:rPr>
        <w:footnoteReference w:id="7"/>
      </w:r>
      <w:r>
        <w:t>, ypač į jo 266, 267 ir 268 straipsnius,</w:t>
      </w:r>
    </w:p>
    <w:p w14:paraId="49393B5F" w14:textId="77777777" w:rsidR="00AF3AA6" w:rsidRDefault="00AF3AA6" w:rsidP="00AF3AA6">
      <w:pPr>
        <w:spacing w:after="240"/>
        <w:ind w:left="567" w:hanging="567"/>
        <w:rPr>
          <w:noProof/>
        </w:rPr>
      </w:pPr>
      <w:r>
        <w:t>–</w:t>
      </w:r>
      <w:r>
        <w:tab/>
        <w:t>atsižvelgdamas į 2018 m. gruodžio 10 d. Biuro sprendimą dėl Europos Parlamento biudžeto vykdymo vidaus taisyklių, ypač į jo 34 straipsnį,</w:t>
      </w:r>
    </w:p>
    <w:p w14:paraId="33A77684" w14:textId="77777777" w:rsidR="00AF3AA6" w:rsidRDefault="00AF3AA6" w:rsidP="00AF3AA6">
      <w:pPr>
        <w:spacing w:after="240"/>
        <w:ind w:left="567" w:hanging="567"/>
        <w:rPr>
          <w:noProof/>
        </w:rPr>
      </w:pPr>
      <w:r>
        <w:t>–</w:t>
      </w:r>
      <w:r>
        <w:tab/>
        <w:t>atsižvelgdamas į Darbo tvarkos taisyklių 102 straipsnį, 106 straipsnio 3 dalį ir V priedą,</w:t>
      </w:r>
    </w:p>
    <w:p w14:paraId="3A7A78F9" w14:textId="77777777" w:rsidR="00AF3AA6" w:rsidRDefault="00AF3AA6" w:rsidP="00AF3AA6">
      <w:pPr>
        <w:spacing w:after="240"/>
        <w:ind w:left="567" w:hanging="567"/>
        <w:rPr>
          <w:noProof/>
        </w:rPr>
      </w:pPr>
      <w:r>
        <w:t>–</w:t>
      </w:r>
      <w:r>
        <w:tab/>
        <w:t>atsižvelgdamas į Konstitucinių reikalų komiteto nuomonę,</w:t>
      </w:r>
    </w:p>
    <w:p w14:paraId="077FCC31" w14:textId="77777777" w:rsidR="00AF3AA6" w:rsidRDefault="00AF3AA6" w:rsidP="00AF3AA6">
      <w:pPr>
        <w:spacing w:after="240"/>
        <w:ind w:left="567" w:hanging="567"/>
      </w:pPr>
      <w:r>
        <w:t>–</w:t>
      </w:r>
      <w:r>
        <w:tab/>
        <w:t>atsižvelgdamas į Biudžeto kontrolės komiteto pranešimą (A10</w:t>
      </w:r>
      <w:r>
        <w:noBreakHyphen/>
        <w:t>0062/2025),</w:t>
      </w:r>
    </w:p>
    <w:p w14:paraId="4CC91E36" w14:textId="77777777" w:rsidR="00AF3AA6" w:rsidRDefault="00AF3AA6" w:rsidP="00AF3AA6">
      <w:pPr>
        <w:spacing w:after="240"/>
        <w:ind w:left="567" w:hanging="567"/>
      </w:pPr>
      <w:r>
        <w:t>A.</w:t>
      </w:r>
      <w:r>
        <w:tab/>
        <w:t>kadangi 2024 m. birželio 19 d. Pirmininkė patvirtino Parlamento 2023 finansinių metų finansines ataskaitas;</w:t>
      </w:r>
    </w:p>
    <w:p w14:paraId="5A98D01D" w14:textId="77777777" w:rsidR="00AF3AA6" w:rsidRDefault="00AF3AA6" w:rsidP="00AF3AA6">
      <w:pPr>
        <w:spacing w:after="240"/>
        <w:ind w:left="567" w:hanging="567"/>
      </w:pPr>
      <w:r>
        <w:t>B.</w:t>
      </w:r>
      <w:r>
        <w:tab/>
        <w:t>kadangi generalinis sekretorius, kaip vyriausiasis įgaliotasis leidimus suteikiantis pareigūnas, 2024 m. birželio 18 d. pateikė pakankamą patikinimą, kad Parlamento biudžetui skirti ištekliai buvo naudoti pagal numatytą paskirtį ir vadovaujantis patikimo finansų valdymo principais ir kad nustatytos kontrolės procedūros suteikia būtinas garantijas dėl atliktų operacijų teisėtumo ir tvarkingumo;</w:t>
      </w:r>
    </w:p>
    <w:p w14:paraId="3374C1DA" w14:textId="77777777" w:rsidR="00AF3AA6" w:rsidRDefault="00AF3AA6" w:rsidP="00AF3AA6">
      <w:pPr>
        <w:spacing w:after="240"/>
        <w:ind w:left="567" w:hanging="567"/>
      </w:pPr>
      <w:r>
        <w:t>C.</w:t>
      </w:r>
      <w:r>
        <w:tab/>
        <w:t>kadangi, atlikę auditą, Audito Rūmai pareiškė, jog pagal jų atliktą specialųjį 2023 m. administracinių ir kitų išlaidų įvertinimą jų tikrintose institucijų ir įstaigų metinėse veiklos ataskaitose, kurias būtina parengti pagal Reglamentą (ES, Euratomas) 2018/1046, nenustatyta jokių rimtų trūkumų;</w:t>
      </w:r>
    </w:p>
    <w:p w14:paraId="213D8F74" w14:textId="77777777" w:rsidR="00AF3AA6" w:rsidRDefault="00AF3AA6" w:rsidP="00AF3AA6">
      <w:pPr>
        <w:spacing w:after="240"/>
        <w:ind w:left="567" w:hanging="567"/>
        <w:rPr>
          <w:noProof/>
        </w:rPr>
      </w:pPr>
      <w:r>
        <w:t>1.</w:t>
      </w:r>
      <w:r>
        <w:tab/>
        <w:t>patvirtina Pirmininkei, kad Europos Parlamento 2023 finansinių metų biudžetas įvykdytas;</w:t>
      </w:r>
    </w:p>
    <w:p w14:paraId="05F42B4D" w14:textId="592B13CD" w:rsidR="00E365E1" w:rsidRPr="00840F8B" w:rsidRDefault="00AF3AA6" w:rsidP="00AF3AA6">
      <w:pPr>
        <w:ind w:left="567" w:hanging="567"/>
      </w:pPr>
      <w:r>
        <w:t>2.</w:t>
      </w:r>
      <w:r>
        <w:tab/>
        <w:t xml:space="preserve">paveda Pirmininkei perduoti šį sprendimą Tarybai, Komisijai ir Audito Rūmams ir pasirūpinti, kad jis būtų paskelbtas </w:t>
      </w:r>
      <w:r>
        <w:rPr>
          <w:i/>
          <w:iCs/>
        </w:rPr>
        <w:t>Europos Sąjungos oficialiajame leidinyje</w:t>
      </w:r>
      <w:r>
        <w:t xml:space="preserve"> (L serijoje). </w:t>
      </w:r>
    </w:p>
    <w:sectPr w:rsidR="00E365E1" w:rsidRPr="00840F8B" w:rsidSect="00840F8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A4873" w14:textId="77777777" w:rsidR="00494FFE" w:rsidRPr="00840F8B" w:rsidRDefault="00494FFE">
      <w:r w:rsidRPr="00840F8B">
        <w:separator/>
      </w:r>
    </w:p>
  </w:endnote>
  <w:endnote w:type="continuationSeparator" w:id="0">
    <w:p w14:paraId="024D7151" w14:textId="77777777" w:rsidR="00494FFE" w:rsidRPr="00840F8B" w:rsidRDefault="00494FFE">
      <w:r w:rsidRPr="00840F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B725C" w14:textId="77777777" w:rsidR="00494FFE" w:rsidRPr="00840F8B" w:rsidRDefault="00494FFE">
      <w:r w:rsidRPr="00840F8B">
        <w:separator/>
      </w:r>
    </w:p>
  </w:footnote>
  <w:footnote w:type="continuationSeparator" w:id="0">
    <w:p w14:paraId="37881EE6" w14:textId="77777777" w:rsidR="00494FFE" w:rsidRPr="00840F8B" w:rsidRDefault="00494FFE">
      <w:r w:rsidRPr="00840F8B">
        <w:continuationSeparator/>
      </w:r>
    </w:p>
  </w:footnote>
  <w:footnote w:id="1">
    <w:p w14:paraId="2D59D60F" w14:textId="77777777" w:rsidR="00AF3AA6" w:rsidRDefault="00AF3AA6" w:rsidP="00AF3AA6">
      <w:pPr>
        <w:ind w:left="567" w:hanging="567"/>
        <w:rPr>
          <w:kern w:val="2"/>
          <w:lang w:eastAsia="en-US"/>
          <w14:ligatures w14:val="standardContextual"/>
        </w:rPr>
      </w:pPr>
      <w:r>
        <w:rPr>
          <w:rStyle w:val="FootnoteReference"/>
        </w:rPr>
        <w:footnoteRef/>
      </w:r>
      <w:r>
        <w:t xml:space="preserve"> </w:t>
      </w:r>
      <w:r>
        <w:tab/>
        <w:t xml:space="preserve">OL L 58, 2023 2 23, p. 1, ELI: </w:t>
      </w:r>
      <w:hyperlink r:id="rId1" w:tooltip="Prieiga prie šio dokumento per jo ELI nuorodą." w:history="1">
        <w:r>
          <w:rPr>
            <w:rStyle w:val="Hyperlink"/>
            <w:color w:val="0563C1"/>
            <w:shd w:val="clear" w:color="auto" w:fill="FFFFFF"/>
          </w:rPr>
          <w:t>http://data.europa.eu/eli/budget/2023/1/oj</w:t>
        </w:r>
      </w:hyperlink>
      <w:r>
        <w:rPr>
          <w:shd w:val="clear" w:color="auto" w:fill="FFFFFF"/>
        </w:rPr>
        <w:t>.</w:t>
      </w:r>
    </w:p>
  </w:footnote>
  <w:footnote w:id="2">
    <w:p w14:paraId="6A75BB7D" w14:textId="77777777" w:rsidR="00AF3AA6" w:rsidRDefault="00AF3AA6" w:rsidP="00AF3AA6">
      <w:pPr>
        <w:pStyle w:val="FootnoteText"/>
        <w:ind w:left="567" w:hanging="567"/>
        <w:rPr>
          <w:sz w:val="24"/>
          <w:szCs w:val="24"/>
          <w:lang w:val="lt-LT"/>
        </w:rPr>
      </w:pPr>
      <w:r>
        <w:rPr>
          <w:rStyle w:val="FootnoteReference"/>
          <w:sz w:val="24"/>
          <w:szCs w:val="24"/>
          <w:lang w:val="lt-LT"/>
        </w:rPr>
        <w:footnoteRef/>
      </w:r>
      <w:r>
        <w:rPr>
          <w:sz w:val="24"/>
          <w:szCs w:val="24"/>
          <w:lang w:val="lt-LT"/>
        </w:rPr>
        <w:t xml:space="preserve"> </w:t>
      </w:r>
      <w:r>
        <w:rPr>
          <w:sz w:val="24"/>
          <w:szCs w:val="24"/>
          <w:lang w:val="lt-LT"/>
        </w:rPr>
        <w:tab/>
      </w:r>
      <w:r>
        <w:rPr>
          <w:sz w:val="24"/>
          <w:szCs w:val="24"/>
          <w:lang w:val="lt-LT"/>
        </w:rPr>
        <w:t xml:space="preserve">OL C, C/2024/5462, 2024 10 10, ELI: </w:t>
      </w:r>
      <w:hyperlink r:id="rId2" w:history="1">
        <w:r>
          <w:rPr>
            <w:rStyle w:val="Hyperlink"/>
            <w:sz w:val="24"/>
            <w:szCs w:val="24"/>
            <w:lang w:val="lt-LT"/>
          </w:rPr>
          <w:t>http://data.europa.eu/eli/C/2024/5462/oj</w:t>
        </w:r>
      </w:hyperlink>
      <w:r>
        <w:rPr>
          <w:sz w:val="24"/>
          <w:szCs w:val="24"/>
          <w:shd w:val="clear" w:color="auto" w:fill="FFFFFF"/>
          <w:lang w:val="lt-LT"/>
        </w:rPr>
        <w:t>.</w:t>
      </w:r>
    </w:p>
  </w:footnote>
  <w:footnote w:id="3">
    <w:p w14:paraId="41A69389" w14:textId="77777777" w:rsidR="00AF3AA6" w:rsidRDefault="00AF3AA6" w:rsidP="00AF3AA6">
      <w:pPr>
        <w:pStyle w:val="FootnoteText"/>
        <w:ind w:left="567" w:hanging="567"/>
        <w:rPr>
          <w:sz w:val="24"/>
          <w:szCs w:val="24"/>
          <w:lang w:val="lt-LT"/>
        </w:rPr>
      </w:pPr>
      <w:r>
        <w:rPr>
          <w:rStyle w:val="FootnoteReference"/>
          <w:sz w:val="24"/>
          <w:szCs w:val="24"/>
          <w:lang w:val="lt-LT"/>
        </w:rPr>
        <w:footnoteRef/>
      </w:r>
      <w:r>
        <w:rPr>
          <w:sz w:val="24"/>
          <w:szCs w:val="24"/>
          <w:lang w:val="lt-LT"/>
        </w:rPr>
        <w:t xml:space="preserve"> </w:t>
      </w:r>
      <w:r>
        <w:rPr>
          <w:sz w:val="24"/>
          <w:szCs w:val="24"/>
          <w:lang w:val="lt-LT"/>
        </w:rPr>
        <w:tab/>
      </w:r>
      <w:r>
        <w:rPr>
          <w:sz w:val="24"/>
          <w:szCs w:val="24"/>
          <w:lang w:val="lt-LT"/>
        </w:rPr>
        <w:t xml:space="preserve">OL C, C/2024/3115, 2024 5 23, ELI: </w:t>
      </w:r>
      <w:hyperlink r:id="rId3" w:history="1">
        <w:r>
          <w:rPr>
            <w:rStyle w:val="Hyperlink"/>
            <w:sz w:val="24"/>
            <w:szCs w:val="24"/>
            <w:lang w:val="lt-LT"/>
          </w:rPr>
          <w:t>http://data.europa.eu/eli/C/2024/3115/oj</w:t>
        </w:r>
      </w:hyperlink>
      <w:r>
        <w:rPr>
          <w:sz w:val="24"/>
          <w:szCs w:val="24"/>
          <w:shd w:val="clear" w:color="auto" w:fill="FFFFFF"/>
          <w:lang w:val="lt-LT"/>
        </w:rPr>
        <w:t>.</w:t>
      </w:r>
    </w:p>
  </w:footnote>
  <w:footnote w:id="4">
    <w:p w14:paraId="2E76C28A" w14:textId="77777777" w:rsidR="00AF3AA6" w:rsidRDefault="00AF3AA6" w:rsidP="00AF3AA6">
      <w:pPr>
        <w:pStyle w:val="FootnoteText"/>
        <w:ind w:left="567" w:hanging="567"/>
        <w:rPr>
          <w:sz w:val="24"/>
          <w:szCs w:val="24"/>
          <w:lang w:val="lt-LT"/>
        </w:rPr>
      </w:pPr>
      <w:r>
        <w:rPr>
          <w:rStyle w:val="FootnoteReference"/>
          <w:sz w:val="24"/>
          <w:szCs w:val="24"/>
          <w:lang w:val="lt-LT"/>
        </w:rPr>
        <w:footnoteRef/>
      </w:r>
      <w:r>
        <w:rPr>
          <w:sz w:val="24"/>
          <w:szCs w:val="24"/>
          <w:lang w:val="lt-LT"/>
        </w:rPr>
        <w:t xml:space="preserve"> </w:t>
      </w:r>
      <w:r>
        <w:rPr>
          <w:sz w:val="24"/>
          <w:szCs w:val="24"/>
          <w:lang w:val="lt-LT"/>
        </w:rPr>
        <w:tab/>
      </w:r>
      <w:r>
        <w:rPr>
          <w:sz w:val="24"/>
          <w:szCs w:val="24"/>
          <w:lang w:val="lt-LT"/>
        </w:rPr>
        <w:t xml:space="preserve">OL C, C/2024/5882, 2024 10 9, ELI: </w:t>
      </w:r>
      <w:hyperlink r:id="rId4" w:history="1">
        <w:r>
          <w:rPr>
            <w:rStyle w:val="Hyperlink"/>
            <w:sz w:val="24"/>
            <w:szCs w:val="24"/>
            <w:lang w:val="lt-LT"/>
          </w:rPr>
          <w:t>http://data.europa.eu/eli/C/2024/5882/oj</w:t>
        </w:r>
      </w:hyperlink>
      <w:r>
        <w:rPr>
          <w:sz w:val="24"/>
          <w:szCs w:val="24"/>
          <w:shd w:val="clear" w:color="auto" w:fill="FFFFFF"/>
          <w:lang w:val="lt-LT"/>
        </w:rPr>
        <w:t>.</w:t>
      </w:r>
    </w:p>
  </w:footnote>
  <w:footnote w:id="5">
    <w:p w14:paraId="1D1204D2" w14:textId="77777777" w:rsidR="00AF3AA6" w:rsidRDefault="00AF3AA6" w:rsidP="00AF3AA6">
      <w:pPr>
        <w:pStyle w:val="FootnoteText"/>
        <w:ind w:left="567" w:hanging="567"/>
        <w:rPr>
          <w:sz w:val="24"/>
          <w:szCs w:val="24"/>
          <w:lang w:val="lt-LT"/>
        </w:rPr>
      </w:pPr>
      <w:r>
        <w:rPr>
          <w:rStyle w:val="FootnoteReference"/>
          <w:sz w:val="24"/>
          <w:szCs w:val="24"/>
          <w:lang w:val="lt-LT"/>
        </w:rPr>
        <w:footnoteRef/>
      </w:r>
      <w:r>
        <w:rPr>
          <w:sz w:val="24"/>
          <w:szCs w:val="24"/>
          <w:lang w:val="lt-LT"/>
        </w:rPr>
        <w:t xml:space="preserve"> </w:t>
      </w:r>
      <w:r>
        <w:rPr>
          <w:sz w:val="24"/>
          <w:szCs w:val="24"/>
          <w:lang w:val="lt-LT"/>
        </w:rPr>
        <w:tab/>
      </w:r>
      <w:r>
        <w:rPr>
          <w:sz w:val="24"/>
          <w:szCs w:val="24"/>
          <w:lang w:val="lt-LT"/>
        </w:rPr>
        <w:t xml:space="preserve">OL C, C/2024/6041, 2024 10 10, ELI: </w:t>
      </w:r>
      <w:hyperlink r:id="rId5" w:history="1">
        <w:r>
          <w:rPr>
            <w:rStyle w:val="Hyperlink"/>
            <w:sz w:val="24"/>
            <w:szCs w:val="24"/>
            <w:lang w:val="lt-LT"/>
          </w:rPr>
          <w:t>http://data.europa.eu/eli/C/2024/6041/oj</w:t>
        </w:r>
      </w:hyperlink>
      <w:r>
        <w:rPr>
          <w:sz w:val="24"/>
          <w:szCs w:val="24"/>
          <w:shd w:val="clear" w:color="auto" w:fill="FFFFFF"/>
          <w:lang w:val="lt-LT"/>
        </w:rPr>
        <w:t>.</w:t>
      </w:r>
    </w:p>
  </w:footnote>
  <w:footnote w:id="6">
    <w:p w14:paraId="574FBA37" w14:textId="77777777" w:rsidR="00AF3AA6" w:rsidRDefault="00AF3AA6" w:rsidP="00AF3AA6">
      <w:pPr>
        <w:pStyle w:val="FootnoteText"/>
        <w:ind w:left="567" w:hanging="567"/>
        <w:rPr>
          <w:sz w:val="24"/>
          <w:szCs w:val="24"/>
          <w:lang w:val="lt-LT"/>
        </w:rPr>
      </w:pPr>
      <w:r>
        <w:rPr>
          <w:rStyle w:val="FootnoteReference"/>
          <w:sz w:val="24"/>
          <w:szCs w:val="24"/>
          <w:lang w:val="lt-LT"/>
        </w:rPr>
        <w:footnoteRef/>
      </w:r>
      <w:r>
        <w:rPr>
          <w:sz w:val="24"/>
          <w:szCs w:val="24"/>
          <w:lang w:val="lt-LT"/>
        </w:rPr>
        <w:t xml:space="preserve"> </w:t>
      </w:r>
      <w:r>
        <w:rPr>
          <w:sz w:val="24"/>
          <w:szCs w:val="24"/>
          <w:lang w:val="lt-LT"/>
        </w:rPr>
        <w:tab/>
      </w:r>
      <w:r>
        <w:rPr>
          <w:sz w:val="24"/>
          <w:szCs w:val="24"/>
          <w:lang w:val="lt-LT"/>
        </w:rPr>
        <w:t xml:space="preserve">OL L 193, 2018 7 30, p. 1, ELI: </w:t>
      </w:r>
      <w:hyperlink r:id="rId6" w:history="1">
        <w:r>
          <w:rPr>
            <w:rStyle w:val="Hyperlink"/>
            <w:sz w:val="24"/>
            <w:szCs w:val="24"/>
            <w:lang w:val="lt-LT"/>
          </w:rPr>
          <w:t>http://data.europa.eu/eli/reg/2018/1046/oj</w:t>
        </w:r>
      </w:hyperlink>
      <w:r>
        <w:rPr>
          <w:sz w:val="24"/>
          <w:szCs w:val="24"/>
          <w:lang w:val="lt-LT"/>
        </w:rPr>
        <w:t>.</w:t>
      </w:r>
    </w:p>
  </w:footnote>
  <w:footnote w:id="7">
    <w:p w14:paraId="28A7A63A" w14:textId="77777777" w:rsidR="00AF3AA6" w:rsidRDefault="00AF3AA6" w:rsidP="00AF3AA6">
      <w:pPr>
        <w:pStyle w:val="FootnoteText"/>
        <w:ind w:left="567" w:hanging="567"/>
        <w:rPr>
          <w:sz w:val="24"/>
          <w:szCs w:val="24"/>
          <w:lang w:val="lt-LT"/>
        </w:rPr>
      </w:pPr>
      <w:r>
        <w:rPr>
          <w:rStyle w:val="FootnoteReference"/>
          <w:sz w:val="24"/>
          <w:szCs w:val="24"/>
          <w:lang w:val="lt-LT"/>
        </w:rPr>
        <w:footnoteRef/>
      </w:r>
      <w:r>
        <w:rPr>
          <w:sz w:val="24"/>
          <w:szCs w:val="24"/>
          <w:lang w:val="lt-LT"/>
        </w:rPr>
        <w:t xml:space="preserve"> </w:t>
      </w:r>
      <w:r>
        <w:rPr>
          <w:sz w:val="24"/>
          <w:szCs w:val="24"/>
          <w:lang w:val="lt-LT"/>
        </w:rPr>
        <w:tab/>
      </w:r>
      <w:r>
        <w:rPr>
          <w:sz w:val="24"/>
          <w:szCs w:val="24"/>
          <w:lang w:val="lt-LT"/>
        </w:rPr>
        <w:t xml:space="preserve">OL L, 2024/2509, 2024 9 26, ELI: </w:t>
      </w:r>
      <w:hyperlink r:id="rId7" w:tgtFrame="_blank" w:history="1">
        <w:r>
          <w:rPr>
            <w:rStyle w:val="Hyperlink"/>
            <w:sz w:val="24"/>
            <w:szCs w:val="24"/>
            <w:shd w:val="clear" w:color="auto" w:fill="FFFFFF"/>
            <w:lang w:val="lt-LT"/>
          </w:rPr>
          <w:t>http://data.europa.eu/eli/reg/2024/2509/oj</w:t>
        </w:r>
      </w:hyperlink>
      <w:r>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1234378">
    <w:abstractNumId w:val="9"/>
  </w:num>
  <w:num w:numId="2" w16cid:durableId="1231309315">
    <w:abstractNumId w:val="9"/>
  </w:num>
  <w:num w:numId="3" w16cid:durableId="63455660">
    <w:abstractNumId w:val="7"/>
  </w:num>
  <w:num w:numId="4" w16cid:durableId="565989192">
    <w:abstractNumId w:val="7"/>
  </w:num>
  <w:num w:numId="5" w16cid:durableId="1554079226">
    <w:abstractNumId w:val="6"/>
  </w:num>
  <w:num w:numId="6" w16cid:durableId="727074809">
    <w:abstractNumId w:val="6"/>
  </w:num>
  <w:num w:numId="7" w16cid:durableId="954991009">
    <w:abstractNumId w:val="5"/>
  </w:num>
  <w:num w:numId="8" w16cid:durableId="578175539">
    <w:abstractNumId w:val="5"/>
  </w:num>
  <w:num w:numId="9" w16cid:durableId="2120492829">
    <w:abstractNumId w:val="4"/>
  </w:num>
  <w:num w:numId="10" w16cid:durableId="1243756703">
    <w:abstractNumId w:val="4"/>
  </w:num>
  <w:num w:numId="11" w16cid:durableId="1924027610">
    <w:abstractNumId w:val="8"/>
  </w:num>
  <w:num w:numId="12" w16cid:durableId="2019698293">
    <w:abstractNumId w:val="8"/>
  </w:num>
  <w:num w:numId="13" w16cid:durableId="569736633">
    <w:abstractNumId w:val="3"/>
  </w:num>
  <w:num w:numId="14" w16cid:durableId="291447915">
    <w:abstractNumId w:val="3"/>
  </w:num>
  <w:num w:numId="15" w16cid:durableId="734475685">
    <w:abstractNumId w:val="2"/>
  </w:num>
  <w:num w:numId="16" w16cid:durableId="2092920460">
    <w:abstractNumId w:val="2"/>
  </w:num>
  <w:num w:numId="17" w16cid:durableId="184902645">
    <w:abstractNumId w:val="1"/>
  </w:num>
  <w:num w:numId="18" w16cid:durableId="553468115">
    <w:abstractNumId w:val="1"/>
  </w:num>
  <w:num w:numId="19" w16cid:durableId="1695299646">
    <w:abstractNumId w:val="0"/>
  </w:num>
  <w:num w:numId="20" w16cid:durableId="1068040934">
    <w:abstractNumId w:val="0"/>
  </w:num>
  <w:num w:numId="21" w16cid:durableId="1696998341">
    <w:abstractNumId w:val="9"/>
  </w:num>
  <w:num w:numId="22" w16cid:durableId="882181813">
    <w:abstractNumId w:val="7"/>
  </w:num>
  <w:num w:numId="23" w16cid:durableId="57873421">
    <w:abstractNumId w:val="6"/>
  </w:num>
  <w:num w:numId="24" w16cid:durableId="847989342">
    <w:abstractNumId w:val="5"/>
  </w:num>
  <w:num w:numId="25" w16cid:durableId="1751385203">
    <w:abstractNumId w:val="4"/>
  </w:num>
  <w:num w:numId="26" w16cid:durableId="1799496637">
    <w:abstractNumId w:val="8"/>
  </w:num>
  <w:num w:numId="27" w16cid:durableId="1478106251">
    <w:abstractNumId w:val="3"/>
  </w:num>
  <w:num w:numId="28" w16cid:durableId="1223980741">
    <w:abstractNumId w:val="2"/>
  </w:num>
  <w:num w:numId="29" w16cid:durableId="2137482177">
    <w:abstractNumId w:val="1"/>
  </w:num>
  <w:num w:numId="30" w16cid:durableId="892472508">
    <w:abstractNumId w:val="0"/>
  </w:num>
  <w:num w:numId="31" w16cid:durableId="2064130574">
    <w:abstractNumId w:val="9"/>
  </w:num>
  <w:num w:numId="32" w16cid:durableId="1694068730">
    <w:abstractNumId w:val="7"/>
  </w:num>
  <w:num w:numId="33" w16cid:durableId="409469550">
    <w:abstractNumId w:val="6"/>
  </w:num>
  <w:num w:numId="34" w16cid:durableId="781073299">
    <w:abstractNumId w:val="5"/>
  </w:num>
  <w:num w:numId="35" w16cid:durableId="209265675">
    <w:abstractNumId w:val="4"/>
  </w:num>
  <w:num w:numId="36" w16cid:durableId="114565389">
    <w:abstractNumId w:val="8"/>
  </w:num>
  <w:num w:numId="37" w16cid:durableId="512572971">
    <w:abstractNumId w:val="3"/>
  </w:num>
  <w:num w:numId="38" w16cid:durableId="1379402572">
    <w:abstractNumId w:val="2"/>
  </w:num>
  <w:num w:numId="39" w16cid:durableId="1857886321">
    <w:abstractNumId w:val="1"/>
  </w:num>
  <w:num w:numId="40" w16cid:durableId="1106147576">
    <w:abstractNumId w:val="0"/>
  </w:num>
  <w:num w:numId="41" w16cid:durableId="1490555565">
    <w:abstractNumId w:val="10"/>
  </w:num>
  <w:num w:numId="42" w16cid:durableId="1428185684">
    <w:abstractNumId w:val="10"/>
  </w:num>
  <w:num w:numId="43" w16cid:durableId="524750994">
    <w:abstractNumId w:val="10"/>
  </w:num>
  <w:num w:numId="44" w16cid:durableId="18006064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2/2025"/>
    <w:docVar w:name="dvlangue" w:val="LT"/>
    <w:docVar w:name="dvnumam" w:val="0"/>
    <w:docVar w:name="dvpe" w:val="764.999"/>
    <w:docVar w:name="dvrapporteur" w:val="Pranešėja: "/>
    <w:docVar w:name="dvtitre" w:val="1. 2025 m. geguzes 7 d. Europos Parlamento sprendimas dėl 2023 finansinių metų Europos Sąjungos bendrojo biudžeto įvykdymo patvirtinimo, I skirsnis – Europos Parlamentas(2024/2020(DEC))"/>
  </w:docVars>
  <w:rsids>
    <w:rsidRoot w:val="00494FFE"/>
    <w:rsid w:val="00002272"/>
    <w:rsid w:val="00064002"/>
    <w:rsid w:val="000677B9"/>
    <w:rsid w:val="000831BA"/>
    <w:rsid w:val="000833C0"/>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4FFE"/>
    <w:rsid w:val="004C0004"/>
    <w:rsid w:val="004C5D52"/>
    <w:rsid w:val="0050519A"/>
    <w:rsid w:val="005072A1"/>
    <w:rsid w:val="00514517"/>
    <w:rsid w:val="00545827"/>
    <w:rsid w:val="00560270"/>
    <w:rsid w:val="005C2568"/>
    <w:rsid w:val="005F1B17"/>
    <w:rsid w:val="006037C0"/>
    <w:rsid w:val="006631B6"/>
    <w:rsid w:val="00680577"/>
    <w:rsid w:val="006F74FA"/>
    <w:rsid w:val="00725CD8"/>
    <w:rsid w:val="00731ADD"/>
    <w:rsid w:val="00734777"/>
    <w:rsid w:val="00747932"/>
    <w:rsid w:val="00751A4A"/>
    <w:rsid w:val="00756632"/>
    <w:rsid w:val="00762C74"/>
    <w:rsid w:val="00786EC0"/>
    <w:rsid w:val="007C5CF9"/>
    <w:rsid w:val="007D1690"/>
    <w:rsid w:val="007E22AD"/>
    <w:rsid w:val="00817416"/>
    <w:rsid w:val="00840F8B"/>
    <w:rsid w:val="00842779"/>
    <w:rsid w:val="00865F67"/>
    <w:rsid w:val="00881A7B"/>
    <w:rsid w:val="008840E5"/>
    <w:rsid w:val="00887B3E"/>
    <w:rsid w:val="008C2AC6"/>
    <w:rsid w:val="00930C23"/>
    <w:rsid w:val="0093193B"/>
    <w:rsid w:val="009509D8"/>
    <w:rsid w:val="00950B64"/>
    <w:rsid w:val="00981893"/>
    <w:rsid w:val="009B164C"/>
    <w:rsid w:val="00A07894"/>
    <w:rsid w:val="00A13339"/>
    <w:rsid w:val="00A1687D"/>
    <w:rsid w:val="00A43E52"/>
    <w:rsid w:val="00A4678D"/>
    <w:rsid w:val="00A778C7"/>
    <w:rsid w:val="00AB441E"/>
    <w:rsid w:val="00AB6293"/>
    <w:rsid w:val="00AE0928"/>
    <w:rsid w:val="00AF3AA6"/>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3384"/>
    <w:rsid w:val="00EB4772"/>
    <w:rsid w:val="00ED169E"/>
    <w:rsid w:val="00ED4235"/>
    <w:rsid w:val="00F04346"/>
    <w:rsid w:val="00F075DC"/>
    <w:rsid w:val="00F149E9"/>
    <w:rsid w:val="00F5134D"/>
    <w:rsid w:val="00F74202"/>
    <w:rsid w:val="00F87713"/>
    <w:rsid w:val="00FB4360"/>
    <w:rsid w:val="00FD0C70"/>
    <w:rsid w:val="00FE249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614F43"/>
  <w15:chartTrackingRefBased/>
  <w15:docId w15:val="{128AFB3B-2207-40EA-8574-7233D9740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07894"/>
    <w:pPr>
      <w:spacing w:before="480" w:after="240"/>
    </w:pPr>
  </w:style>
  <w:style w:type="paragraph" w:customStyle="1" w:styleId="NormalHanging12a">
    <w:name w:val="NormalHanging12a"/>
    <w:basedOn w:val="Normal"/>
    <w:link w:val="NormalHanging12aChar"/>
    <w:rsid w:val="00A07894"/>
    <w:pPr>
      <w:spacing w:after="240"/>
      <w:ind w:left="567" w:hanging="567"/>
    </w:pPr>
  </w:style>
  <w:style w:type="character" w:styleId="Hyperlink">
    <w:name w:val="Hyperlink"/>
    <w:basedOn w:val="DefaultParagraphFont"/>
    <w:uiPriority w:val="99"/>
    <w:rsid w:val="00A07894"/>
    <w:rPr>
      <w:color w:val="0563C1" w:themeColor="hyperlink"/>
      <w:u w:val="single"/>
    </w:rPr>
  </w:style>
  <w:style w:type="character" w:customStyle="1" w:styleId="NormalHanging12aChar">
    <w:name w:val="NormalHanging12a Char"/>
    <w:basedOn w:val="DefaultParagraphFont"/>
    <w:link w:val="NormalHanging12a"/>
    <w:locked/>
    <w:rsid w:val="00A07894"/>
    <w:rPr>
      <w:sz w:val="24"/>
      <w:lang w:val="lt-LT"/>
    </w:rPr>
  </w:style>
  <w:style w:type="paragraph" w:styleId="BalloonText">
    <w:name w:val="Balloon Text"/>
    <w:basedOn w:val="Normal"/>
    <w:link w:val="BalloonTextChar"/>
    <w:rsid w:val="00725CD8"/>
    <w:rPr>
      <w:rFonts w:ascii="Segoe UI" w:hAnsi="Segoe UI" w:cs="Segoe UI"/>
      <w:sz w:val="18"/>
      <w:szCs w:val="18"/>
    </w:rPr>
  </w:style>
  <w:style w:type="character" w:customStyle="1" w:styleId="BalloonTextChar">
    <w:name w:val="Balloon Text Char"/>
    <w:basedOn w:val="DefaultParagraphFont"/>
    <w:link w:val="BalloonText"/>
    <w:rsid w:val="00725CD8"/>
    <w:rPr>
      <w:rFonts w:ascii="Segoe UI" w:hAnsi="Segoe UI" w:cs="Segoe UI"/>
      <w:sz w:val="18"/>
      <w:szCs w:val="18"/>
      <w:lang w:val="lt-LT"/>
    </w:rPr>
  </w:style>
  <w:style w:type="paragraph" w:styleId="CommentText">
    <w:name w:val="annotation text"/>
    <w:basedOn w:val="Normal"/>
    <w:link w:val="CommentTextChar"/>
    <w:uiPriority w:val="99"/>
    <w:unhideWhenUsed/>
    <w:rsid w:val="00A13339"/>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A13339"/>
    <w:rPr>
      <w:rFonts w:eastAsiaTheme="minorHAnsi"/>
      <w:kern w:val="2"/>
      <w:lang w:eastAsia="en-US"/>
      <w14:ligatures w14:val="standardContextual"/>
    </w:rPr>
  </w:style>
  <w:style w:type="character" w:styleId="CommentReference">
    <w:name w:val="annotation reference"/>
    <w:basedOn w:val="DefaultParagraphFont"/>
    <w:uiPriority w:val="99"/>
    <w:unhideWhenUsed/>
    <w:rsid w:val="00A1333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77991">
      <w:bodyDiv w:val="1"/>
      <w:marLeft w:val="0"/>
      <w:marRight w:val="0"/>
      <w:marTop w:val="0"/>
      <w:marBottom w:val="0"/>
      <w:divBdr>
        <w:top w:val="none" w:sz="0" w:space="0" w:color="auto"/>
        <w:left w:val="none" w:sz="0" w:space="0" w:color="auto"/>
        <w:bottom w:val="none" w:sz="0" w:space="0" w:color="auto"/>
        <w:right w:val="none" w:sz="0" w:space="0" w:color="auto"/>
      </w:divBdr>
    </w:div>
    <w:div w:id="509564309">
      <w:bodyDiv w:val="1"/>
      <w:marLeft w:val="0"/>
      <w:marRight w:val="0"/>
      <w:marTop w:val="0"/>
      <w:marBottom w:val="0"/>
      <w:divBdr>
        <w:top w:val="none" w:sz="0" w:space="0" w:color="auto"/>
        <w:left w:val="none" w:sz="0" w:space="0" w:color="auto"/>
        <w:bottom w:val="none" w:sz="0" w:space="0" w:color="auto"/>
        <w:right w:val="none" w:sz="0" w:space="0" w:color="auto"/>
      </w:divBdr>
    </w:div>
    <w:div w:id="1142696954">
      <w:bodyDiv w:val="1"/>
      <w:marLeft w:val="0"/>
      <w:marRight w:val="0"/>
      <w:marTop w:val="0"/>
      <w:marBottom w:val="0"/>
      <w:divBdr>
        <w:top w:val="none" w:sz="0" w:space="0" w:color="auto"/>
        <w:left w:val="none" w:sz="0" w:space="0" w:color="auto"/>
        <w:bottom w:val="none" w:sz="0" w:space="0" w:color="auto"/>
        <w:right w:val="none" w:sz="0" w:space="0" w:color="auto"/>
      </w:divBdr>
    </w:div>
    <w:div w:id="1161118149">
      <w:bodyDiv w:val="1"/>
      <w:marLeft w:val="0"/>
      <w:marRight w:val="0"/>
      <w:marTop w:val="0"/>
      <w:marBottom w:val="0"/>
      <w:divBdr>
        <w:top w:val="none" w:sz="0" w:space="0" w:color="auto"/>
        <w:left w:val="none" w:sz="0" w:space="0" w:color="auto"/>
        <w:bottom w:val="none" w:sz="0" w:space="0" w:color="auto"/>
        <w:right w:val="none" w:sz="0" w:space="0" w:color="auto"/>
      </w:divBdr>
    </w:div>
    <w:div w:id="1303779105">
      <w:bodyDiv w:val="1"/>
      <w:marLeft w:val="0"/>
      <w:marRight w:val="0"/>
      <w:marTop w:val="0"/>
      <w:marBottom w:val="0"/>
      <w:divBdr>
        <w:top w:val="none" w:sz="0" w:space="0" w:color="auto"/>
        <w:left w:val="none" w:sz="0" w:space="0" w:color="auto"/>
        <w:bottom w:val="none" w:sz="0" w:space="0" w:color="auto"/>
        <w:right w:val="none" w:sz="0" w:space="0" w:color="auto"/>
      </w:divBdr>
    </w:div>
    <w:div w:id="1641767471">
      <w:bodyDiv w:val="1"/>
      <w:marLeft w:val="0"/>
      <w:marRight w:val="0"/>
      <w:marTop w:val="0"/>
      <w:marBottom w:val="0"/>
      <w:divBdr>
        <w:top w:val="none" w:sz="0" w:space="0" w:color="auto"/>
        <w:left w:val="none" w:sz="0" w:space="0" w:color="auto"/>
        <w:bottom w:val="none" w:sz="0" w:space="0" w:color="auto"/>
        <w:right w:val="none" w:sz="0" w:space="0" w:color="auto"/>
      </w:divBdr>
    </w:div>
    <w:div w:id="1878424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3115/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C/2024/6041/oj" TargetMode="External"/><Relationship Id="rId4" Type="http://schemas.openxmlformats.org/officeDocument/2006/relationships/hyperlink" Target="http://data.europa.eu/eli/C/2024/588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48D5F-70D6-48B0-B97C-E5E602FE2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434</Words>
  <Characters>3029</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2025-11-24T17:39:00Z</dcterms:created>
  <dcterms:modified xsi:type="dcterms:W3CDTF">2025-11-24T17:39:00Z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P10_TA(2025)0078_</vt:lpwstr>
  </property>
  <property fmtid="{D5CDD505-2E9C-101B-9397-08002B2CF9AE}" pid="4" name="&lt;Type&gt;">
    <vt:lpwstr>RR</vt:lpwstr>
  </property>
</Properties>
</file>