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63C6" w14:paraId="6393998D" w14:textId="77777777" w:rsidTr="0010095E">
        <w:trPr>
          <w:trHeight w:hRule="exact" w:val="1418"/>
        </w:trPr>
        <w:tc>
          <w:tcPr>
            <w:tcW w:w="6804" w:type="dxa"/>
            <w:shd w:val="clear" w:color="auto" w:fill="auto"/>
            <w:vAlign w:val="center"/>
          </w:tcPr>
          <w:p w14:paraId="2B699767" w14:textId="77777777" w:rsidR="00751A4A" w:rsidRPr="009963C6" w:rsidRDefault="00260A57" w:rsidP="0010095E">
            <w:pPr>
              <w:pStyle w:val="EPName"/>
            </w:pPr>
            <w:r w:rsidRPr="009963C6">
              <w:t>Europees Parlement</w:t>
            </w:r>
          </w:p>
          <w:p w14:paraId="0CE206E3" w14:textId="77777777" w:rsidR="00751A4A" w:rsidRPr="009963C6" w:rsidRDefault="005F1B17" w:rsidP="005F1B17">
            <w:pPr>
              <w:pStyle w:val="EPTerm"/>
              <w:rPr>
                <w:rStyle w:val="HideTWBExt"/>
                <w:noProof w:val="0"/>
                <w:vanish w:val="0"/>
                <w:color w:val="auto"/>
              </w:rPr>
            </w:pPr>
            <w:r w:rsidRPr="009963C6">
              <w:t>2024</w:t>
            </w:r>
            <w:r w:rsidR="00817416" w:rsidRPr="009963C6">
              <w:t>-202</w:t>
            </w:r>
            <w:r w:rsidRPr="009963C6">
              <w:t>9</w:t>
            </w:r>
          </w:p>
        </w:tc>
        <w:tc>
          <w:tcPr>
            <w:tcW w:w="2268" w:type="dxa"/>
            <w:shd w:val="clear" w:color="auto" w:fill="auto"/>
          </w:tcPr>
          <w:p w14:paraId="562EFC58" w14:textId="77777777" w:rsidR="00751A4A" w:rsidRPr="009963C6" w:rsidRDefault="00187494" w:rsidP="0010095E">
            <w:pPr>
              <w:pStyle w:val="EPLogo"/>
            </w:pPr>
            <w:r w:rsidRPr="009963C6">
              <w:rPr>
                <w:noProof/>
                <w:lang w:val="en-GB"/>
              </w:rPr>
              <w:drawing>
                <wp:inline distT="0" distB="0" distL="0" distR="0" wp14:anchorId="0949E576" wp14:editId="72F491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76B168" w14:textId="77777777" w:rsidR="00D058B8" w:rsidRPr="009963C6" w:rsidRDefault="00D058B8" w:rsidP="004C5D52">
      <w:pPr>
        <w:pStyle w:val="LineTop"/>
      </w:pPr>
    </w:p>
    <w:p w14:paraId="5480ADEF" w14:textId="77777777" w:rsidR="00680577" w:rsidRPr="009963C6" w:rsidRDefault="00260A57" w:rsidP="00680577">
      <w:pPr>
        <w:pStyle w:val="EPBodyTA1"/>
      </w:pPr>
      <w:r w:rsidRPr="009963C6">
        <w:t>AANGENOMEN TEKSTEN</w:t>
      </w:r>
    </w:p>
    <w:p w14:paraId="679D8AC8" w14:textId="77777777" w:rsidR="00D058B8" w:rsidRPr="009963C6" w:rsidRDefault="00D058B8" w:rsidP="00D058B8">
      <w:pPr>
        <w:pStyle w:val="LineBottom"/>
      </w:pPr>
    </w:p>
    <w:p w14:paraId="21E1F625" w14:textId="56540D4F" w:rsidR="00260A57" w:rsidRPr="009963C6" w:rsidRDefault="00260A57" w:rsidP="00260A57">
      <w:pPr>
        <w:pStyle w:val="ATHeading1"/>
      </w:pPr>
      <w:bookmarkStart w:id="0" w:name="TANumber"/>
      <w:r w:rsidRPr="009963C6">
        <w:t>P10_TA(2025)00</w:t>
      </w:r>
      <w:r w:rsidR="00964C05" w:rsidRPr="009963C6">
        <w:t>78</w:t>
      </w:r>
      <w:bookmarkEnd w:id="0"/>
    </w:p>
    <w:p w14:paraId="74ACBAF6" w14:textId="77777777" w:rsidR="00260A57" w:rsidRPr="009963C6" w:rsidRDefault="00260A57" w:rsidP="00260A57">
      <w:pPr>
        <w:pStyle w:val="ATHeading2"/>
      </w:pPr>
      <w:bookmarkStart w:id="1" w:name="title"/>
      <w:r w:rsidRPr="009963C6">
        <w:t>Kwijting 2023: Algemene begroting van de EU – Europees Parlement</w:t>
      </w:r>
      <w:bookmarkEnd w:id="1"/>
    </w:p>
    <w:p w14:paraId="218D612F" w14:textId="77777777" w:rsidR="00260A57" w:rsidRPr="009963C6" w:rsidRDefault="00260A57" w:rsidP="00260A57">
      <w:pPr>
        <w:rPr>
          <w:i/>
          <w:vanish/>
        </w:rPr>
      </w:pPr>
      <w:r w:rsidRPr="009963C6">
        <w:rPr>
          <w:i/>
        </w:rPr>
        <w:fldChar w:fldCharType="begin"/>
      </w:r>
      <w:r w:rsidRPr="009963C6">
        <w:rPr>
          <w:i/>
        </w:rPr>
        <w:instrText xml:space="preserve"> TC"(</w:instrText>
      </w:r>
      <w:bookmarkStart w:id="2" w:name="DocNumber"/>
      <w:r w:rsidRPr="009963C6">
        <w:rPr>
          <w:i/>
        </w:rPr>
        <w:instrText>A10-0062/2025</w:instrText>
      </w:r>
      <w:bookmarkEnd w:id="2"/>
      <w:r w:rsidRPr="009963C6">
        <w:rPr>
          <w:i/>
        </w:rPr>
        <w:instrText xml:space="preserve"> - Rapporteur: Monika Hohlmeier)"\l3 \n&gt; \* MERGEFORMAT </w:instrText>
      </w:r>
      <w:r w:rsidRPr="009963C6">
        <w:rPr>
          <w:i/>
        </w:rPr>
        <w:fldChar w:fldCharType="end"/>
      </w:r>
    </w:p>
    <w:p w14:paraId="47D61E9E" w14:textId="77777777" w:rsidR="00260A57" w:rsidRPr="009963C6" w:rsidRDefault="00260A57" w:rsidP="00260A57">
      <w:pPr>
        <w:rPr>
          <w:vanish/>
        </w:rPr>
      </w:pPr>
      <w:bookmarkStart w:id="3" w:name="Commission"/>
      <w:r w:rsidRPr="009963C6">
        <w:rPr>
          <w:vanish/>
        </w:rPr>
        <w:t>Commissie begrotingscontrole</w:t>
      </w:r>
      <w:bookmarkEnd w:id="3"/>
    </w:p>
    <w:p w14:paraId="7C61655E" w14:textId="77777777" w:rsidR="00260A57" w:rsidRPr="009963C6" w:rsidRDefault="00260A57" w:rsidP="00260A57">
      <w:pPr>
        <w:rPr>
          <w:vanish/>
        </w:rPr>
      </w:pPr>
      <w:bookmarkStart w:id="4" w:name="PE"/>
      <w:r w:rsidRPr="009963C6">
        <w:rPr>
          <w:vanish/>
        </w:rPr>
        <w:t>PE764.999</w:t>
      </w:r>
      <w:bookmarkEnd w:id="4"/>
    </w:p>
    <w:p w14:paraId="35E0A1AF" w14:textId="61E880EE" w:rsidR="006D7FA1" w:rsidRPr="009963C6" w:rsidRDefault="006D7FA1" w:rsidP="006D7FA1">
      <w:pPr>
        <w:pStyle w:val="ATHeading3"/>
      </w:pPr>
      <w:r w:rsidRPr="009963C6">
        <w:t>Besluit van het Europees Parlement van 7 mei 2025 over het verlenen van kwijting voor de uitvoering van de algemene begroting van de Europese Unie voor het begrotingsjaar 2023, afdeling I – Europees Parlement (2024/2020(DEC))</w:t>
      </w:r>
    </w:p>
    <w:p w14:paraId="79563E1D" w14:textId="78DCD27A" w:rsidR="006D7FA1" w:rsidRPr="006D7FA1" w:rsidRDefault="006D7FA1" w:rsidP="006D7FA1">
      <w:pPr>
        <w:widowControl/>
        <w:spacing w:before="480" w:after="240"/>
        <w:rPr>
          <w:i/>
          <w:noProof/>
          <w:kern w:val="2"/>
          <w14:ligatures w14:val="standardContextual"/>
        </w:rPr>
      </w:pPr>
      <w:r w:rsidRPr="009963C6">
        <w:rPr>
          <w:i/>
          <w:kern w:val="2"/>
          <w14:ligatures w14:val="standardContextual"/>
        </w:rPr>
        <w:t>Het Europees Parlement,</w:t>
      </w:r>
    </w:p>
    <w:p w14:paraId="7C99C8EE" w14:textId="679BB23D"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de algemene begroting van de Europese Unie voor het begrotingsjaar 2023</w:t>
      </w:r>
      <w:r w:rsidRPr="006D7FA1">
        <w:rPr>
          <w:noProof/>
          <w:kern w:val="2"/>
          <w:vertAlign w:val="superscript"/>
          <w14:ligatures w14:val="standardContextual"/>
        </w:rPr>
        <w:footnoteReference w:id="1"/>
      </w:r>
      <w:r w:rsidRPr="006D7FA1">
        <w:rPr>
          <w:kern w:val="2"/>
          <w14:ligatures w14:val="standardContextual"/>
        </w:rPr>
        <w:t>,</w:t>
      </w:r>
    </w:p>
    <w:p w14:paraId="32BE4FF8" w14:textId="5B11BBEE"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de geconsolideerde jaarrekening van de Europese Unie voor het begrotingsjaar 2023 (COM(2024) 272 – C10</w:t>
      </w:r>
      <w:r w:rsidRPr="006D7FA1">
        <w:rPr>
          <w:kern w:val="2"/>
          <w14:ligatures w14:val="standardContextual"/>
        </w:rPr>
        <w:noBreakHyphen/>
        <w:t>0068/2024)</w:t>
      </w:r>
      <w:r w:rsidRPr="006D7FA1">
        <w:rPr>
          <w:noProof/>
          <w:kern w:val="2"/>
          <w:vertAlign w:val="superscript"/>
          <w14:ligatures w14:val="standardContextual"/>
        </w:rPr>
        <w:footnoteReference w:id="2"/>
      </w:r>
      <w:r w:rsidRPr="006D7FA1">
        <w:rPr>
          <w:kern w:val="2"/>
          <w14:ligatures w14:val="standardContextual"/>
        </w:rPr>
        <w:t>,</w:t>
      </w:r>
    </w:p>
    <w:p w14:paraId="4A0E9A29" w14:textId="52637745"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het verslag over het begrotings- en financieel beheer voor het begrotingsjaar 2023, afdeling I – Europees Parlement</w:t>
      </w:r>
      <w:r w:rsidRPr="006D7FA1">
        <w:rPr>
          <w:noProof/>
          <w:kern w:val="2"/>
          <w:vertAlign w:val="superscript"/>
          <w14:ligatures w14:val="standardContextual"/>
        </w:rPr>
        <w:footnoteReference w:id="3"/>
      </w:r>
      <w:r w:rsidRPr="006D7FA1">
        <w:rPr>
          <w:kern w:val="2"/>
          <w14:ligatures w14:val="standardContextual"/>
        </w:rPr>
        <w:t>,</w:t>
      </w:r>
    </w:p>
    <w:p w14:paraId="2D3CF229" w14:textId="77777777"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het jaarverslag van de intern controleur voor het begrotingsjaar 2023,</w:t>
      </w:r>
    </w:p>
    <w:p w14:paraId="1622CB84" w14:textId="4CE37BCA"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het jaarverslag van de Rekenkamer over de uitvoering van de begroting voor het begrotingsjaar 2023, vergezeld van de antwoorden van de instellingen</w:t>
      </w:r>
      <w:r w:rsidRPr="006D7FA1">
        <w:rPr>
          <w:noProof/>
          <w:kern w:val="2"/>
          <w:vertAlign w:val="superscript"/>
          <w14:ligatures w14:val="standardContextual"/>
        </w:rPr>
        <w:footnoteReference w:id="4"/>
      </w:r>
      <w:r w:rsidRPr="006D7FA1">
        <w:rPr>
          <w:kern w:val="2"/>
          <w14:ligatures w14:val="standardContextual"/>
        </w:rPr>
        <w:t>,</w:t>
      </w:r>
    </w:p>
    <w:p w14:paraId="4FE63868" w14:textId="4E10D989"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6D7FA1">
        <w:rPr>
          <w:kern w:val="2"/>
          <w:vertAlign w:val="superscript"/>
          <w14:ligatures w14:val="standardContextual"/>
        </w:rPr>
        <w:footnoteReference w:id="5"/>
      </w:r>
      <w:r w:rsidRPr="006D7FA1">
        <w:rPr>
          <w:kern w:val="2"/>
          <w14:ligatures w14:val="standardContextual"/>
        </w:rPr>
        <w:t>, opgesteld overeenkomstig artikel 287 van het Verdrag betreffende de werking van de Europese Unie,</w:t>
      </w:r>
    </w:p>
    <w:p w14:paraId="4E0EC320" w14:textId="77777777"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artikel 314, lid 10, en artikel 318 van het Verdrag betreffende de werking van de Europese Unie,</w:t>
      </w:r>
    </w:p>
    <w:p w14:paraId="27607832" w14:textId="5B9B15AF" w:rsidR="006D7FA1" w:rsidRPr="006D7FA1" w:rsidRDefault="006D7FA1" w:rsidP="006D7FA1">
      <w:pPr>
        <w:widowControl/>
        <w:spacing w:after="240"/>
        <w:ind w:left="567" w:hanging="567"/>
        <w:rPr>
          <w:kern w:val="2"/>
          <w14:ligatures w14:val="standardContextual"/>
        </w:rPr>
      </w:pPr>
      <w:r w:rsidRPr="006D7FA1">
        <w:rPr>
          <w:kern w:val="2"/>
          <w14:ligatures w14:val="standardContextual"/>
        </w:rPr>
        <w:t>–</w:t>
      </w:r>
      <w:r w:rsidRPr="006D7FA1">
        <w:rPr>
          <w:kern w:val="2"/>
          <w14:ligatures w14:val="standardContextual"/>
        </w:rPr>
        <w:tab/>
        <w:t xml:space="preserve">gezien Verordening (EU, Euratom) 2018/1046 van het Europees Parlement en de Raad van 18 juli 2018 tot vaststelling van de financiële regels van toepassing op de algemene </w:t>
      </w:r>
      <w:r w:rsidRPr="006D7FA1">
        <w:rPr>
          <w:kern w:val="2"/>
          <w14:ligatures w14:val="standardContextual"/>
        </w:rPr>
        <w:lastRenderedPageBreak/>
        <w:t>begroting van de Unie, tot wijziging van Verordeningen (EU) nr. 1296/2013, (EU) nr. 1301/2013, (EU) nr. 1303/2013, (EU) nr. 1304/2013, (EU) nr. 1309/2013, (EU) nr. 1316/2013, (EU) nr. 223/2014, (EU) nr. 283/2014 en Besluit nr. 541/2014/EU en tot intrekking van Verordening (EU, Euratom) nr. 966/2012</w:t>
      </w:r>
      <w:r w:rsidRPr="006D7FA1">
        <w:rPr>
          <w:kern w:val="2"/>
          <w:vertAlign w:val="superscript"/>
          <w14:ligatures w14:val="standardContextual"/>
        </w:rPr>
        <w:footnoteReference w:id="6"/>
      </w:r>
      <w:r w:rsidRPr="006D7FA1">
        <w:rPr>
          <w:kern w:val="2"/>
          <w14:ligatures w14:val="standardContextual"/>
        </w:rPr>
        <w:t>, en met name de artikelen 260, 261 en 262,</w:t>
      </w:r>
    </w:p>
    <w:p w14:paraId="3AEFDA46" w14:textId="77763ED9"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6D7FA1">
        <w:rPr>
          <w:noProof/>
          <w:kern w:val="2"/>
          <w:vertAlign w:val="superscript"/>
          <w14:ligatures w14:val="standardContextual"/>
        </w:rPr>
        <w:footnoteReference w:id="7"/>
      </w:r>
      <w:r w:rsidRPr="006D7FA1">
        <w:rPr>
          <w:kern w:val="2"/>
          <w14:ligatures w14:val="standardContextual"/>
        </w:rPr>
        <w:t>, en met name de artikelen 266, 267 en 268,</w:t>
      </w:r>
    </w:p>
    <w:p w14:paraId="1E958D8B" w14:textId="77777777" w:rsidR="006D7FA1" w:rsidRPr="006D7FA1" w:rsidRDefault="006D7FA1" w:rsidP="006D7FA1">
      <w:pPr>
        <w:widowControl/>
        <w:spacing w:after="240"/>
        <w:ind w:left="567" w:hanging="567"/>
        <w:rPr>
          <w:noProof/>
          <w:kern w:val="2"/>
          <w14:ligatures w14:val="standardContextual"/>
        </w:rPr>
      </w:pPr>
      <w:r w:rsidRPr="006D7FA1">
        <w:rPr>
          <w:kern w:val="2"/>
          <w14:ligatures w14:val="standardContextual"/>
        </w:rPr>
        <w:t>–</w:t>
      </w:r>
      <w:r w:rsidRPr="006D7FA1">
        <w:rPr>
          <w:kern w:val="2"/>
          <w14:ligatures w14:val="standardContextual"/>
        </w:rPr>
        <w:tab/>
        <w:t>gezien het besluit van het Bureau van 10 december 2018 over de interne voorschriften voor de uitvoering van de begroting van het Europees Parlement, en met name artikel 34,</w:t>
      </w:r>
    </w:p>
    <w:p w14:paraId="6A63C65D" w14:textId="77777777" w:rsidR="006D7FA1" w:rsidRPr="006D7FA1" w:rsidRDefault="006D7FA1" w:rsidP="006D7FA1">
      <w:pPr>
        <w:widowControl/>
        <w:spacing w:after="240"/>
        <w:ind w:left="567" w:hanging="567"/>
        <w:rPr>
          <w:kern w:val="2"/>
          <w14:ligatures w14:val="standardContextual"/>
        </w:rPr>
      </w:pPr>
      <w:r w:rsidRPr="006D7FA1">
        <w:rPr>
          <w:kern w:val="2"/>
          <w14:ligatures w14:val="standardContextual"/>
        </w:rPr>
        <w:t>–</w:t>
      </w:r>
      <w:r w:rsidRPr="006D7FA1">
        <w:rPr>
          <w:kern w:val="2"/>
          <w14:ligatures w14:val="standardContextual"/>
        </w:rPr>
        <w:tab/>
        <w:t>gezien artikel 102 en artikel 106, lid 3, van en bijlage V bij zijn Reglement,</w:t>
      </w:r>
    </w:p>
    <w:p w14:paraId="10BDD8D2" w14:textId="77777777" w:rsidR="006D7FA1" w:rsidRPr="006D7FA1" w:rsidRDefault="006D7FA1" w:rsidP="006D7FA1">
      <w:pPr>
        <w:spacing w:after="240"/>
        <w:ind w:left="567" w:hanging="567"/>
        <w:rPr>
          <w:kern w:val="2"/>
          <w14:ligatures w14:val="standardContextual"/>
        </w:rPr>
      </w:pPr>
      <w:r w:rsidRPr="006D7FA1">
        <w:rPr>
          <w:kern w:val="2"/>
          <w14:ligatures w14:val="standardContextual"/>
        </w:rPr>
        <w:t>–</w:t>
      </w:r>
      <w:r w:rsidRPr="006D7FA1">
        <w:rPr>
          <w:kern w:val="2"/>
          <w14:ligatures w14:val="standardContextual"/>
        </w:rPr>
        <w:tab/>
        <w:t>gezien het advies van de Commissie constitutionele zaken,</w:t>
      </w:r>
    </w:p>
    <w:p w14:paraId="5E33AD81" w14:textId="77777777" w:rsidR="006D7FA1" w:rsidRPr="006D7FA1" w:rsidRDefault="006D7FA1" w:rsidP="006D7FA1">
      <w:pPr>
        <w:widowControl/>
        <w:spacing w:after="240"/>
        <w:ind w:left="567" w:hanging="567"/>
        <w:rPr>
          <w:kern w:val="2"/>
          <w14:ligatures w14:val="standardContextual"/>
        </w:rPr>
      </w:pPr>
      <w:r w:rsidRPr="006D7FA1">
        <w:rPr>
          <w:kern w:val="2"/>
          <w14:ligatures w14:val="standardContextual"/>
        </w:rPr>
        <w:t>–</w:t>
      </w:r>
      <w:r w:rsidRPr="006D7FA1">
        <w:rPr>
          <w:kern w:val="2"/>
          <w14:ligatures w14:val="standardContextual"/>
        </w:rPr>
        <w:tab/>
        <w:t>gezien het verslag van de Commissie begrotingscontrole (A10</w:t>
      </w:r>
      <w:r w:rsidRPr="006D7FA1">
        <w:rPr>
          <w:kern w:val="2"/>
          <w14:ligatures w14:val="standardContextual"/>
        </w:rPr>
        <w:noBreakHyphen/>
        <w:t>0062/2025),</w:t>
      </w:r>
    </w:p>
    <w:p w14:paraId="7F94170F" w14:textId="77777777" w:rsidR="006D7FA1" w:rsidRPr="006D7FA1" w:rsidRDefault="006D7FA1" w:rsidP="006D7FA1">
      <w:pPr>
        <w:widowControl/>
        <w:spacing w:after="240"/>
        <w:ind w:left="567" w:hanging="567"/>
        <w:rPr>
          <w:kern w:val="2"/>
          <w14:ligatures w14:val="standardContextual"/>
        </w:rPr>
      </w:pPr>
      <w:r w:rsidRPr="006D7FA1">
        <w:rPr>
          <w:kern w:val="2"/>
          <w14:ligatures w14:val="standardContextual"/>
        </w:rPr>
        <w:t>A.</w:t>
      </w:r>
      <w:r w:rsidRPr="006D7FA1">
        <w:rPr>
          <w:kern w:val="2"/>
          <w14:ligatures w14:val="standardContextual"/>
        </w:rPr>
        <w:tab/>
        <w:t>overwegende dat de Voorzitter de jaarrekening van het Parlement voor het begrotingsjaar 2023 op 19 juni 2024 heeft goedgekeurd;</w:t>
      </w:r>
    </w:p>
    <w:p w14:paraId="6F459B8C" w14:textId="77777777" w:rsidR="006D7FA1" w:rsidRPr="006D7FA1" w:rsidRDefault="006D7FA1" w:rsidP="006D7FA1">
      <w:pPr>
        <w:widowControl/>
        <w:spacing w:after="240"/>
        <w:ind w:left="567" w:hanging="567"/>
        <w:rPr>
          <w:kern w:val="2"/>
          <w14:ligatures w14:val="standardContextual"/>
        </w:rPr>
      </w:pPr>
      <w:r w:rsidRPr="006D7FA1">
        <w:rPr>
          <w:kern w:val="2"/>
          <w14:ligatures w14:val="standardContextual"/>
        </w:rPr>
        <w:t>B.</w:t>
      </w:r>
      <w:r w:rsidRPr="006D7FA1">
        <w:rPr>
          <w:kern w:val="2"/>
          <w14:ligatures w14:val="standardContextual"/>
        </w:rPr>
        <w:tab/>
        <w:t>overwegende dat de secretaris-generaal, als gedelegeerd hoofdordonnateur, op 18 juni 2024 heeft verklaard redelijke zekerheid te hebben dat de aan de begroting van het Parlement toegewezen middelen zijn gebruikt voor het beoogde doel en overeenkomstig het beginsel van goed financieel beheer en dat de vastgestelde controleprocedures de nodige garanties bieden betreffende de wettigheid en regelmatigheid van de onderliggende verrichtingen;</w:t>
      </w:r>
    </w:p>
    <w:p w14:paraId="5C6D48DD" w14:textId="77777777" w:rsidR="006D7FA1" w:rsidRPr="006D7FA1" w:rsidRDefault="006D7FA1" w:rsidP="006D7FA1">
      <w:pPr>
        <w:widowControl/>
        <w:spacing w:after="240"/>
        <w:ind w:left="567" w:hanging="567"/>
        <w:rPr>
          <w:kern w:val="2"/>
          <w14:ligatures w14:val="standardContextual"/>
        </w:rPr>
      </w:pPr>
      <w:r w:rsidRPr="006D7FA1">
        <w:rPr>
          <w:kern w:val="2"/>
          <w14:ligatures w14:val="standardContextual"/>
        </w:rPr>
        <w:t>C.</w:t>
      </w:r>
      <w:r w:rsidRPr="006D7FA1">
        <w:rPr>
          <w:kern w:val="2"/>
          <w14:ligatures w14:val="standardContextual"/>
        </w:rPr>
        <w:tab/>
        <w:t>overwegende dat de Rekenkamer in haar controle verklaarde dat zij in haar specifieke beoordeling van de administratieve en andere uitgaven in 2023 geen ernstige tekortkomingen heeft geconstateerd in de jaarlijkse activiteitenverslagen van de instellingen en organen die zij heeft onderzocht als vereist bij Verordening (EU, Euratom) 2018/1046;</w:t>
      </w:r>
    </w:p>
    <w:p w14:paraId="67911BA0" w14:textId="77777777" w:rsidR="006D7FA1" w:rsidRPr="006D7FA1" w:rsidRDefault="006D7FA1" w:rsidP="006D7FA1">
      <w:pPr>
        <w:spacing w:after="240"/>
        <w:ind w:left="567" w:hanging="567"/>
        <w:rPr>
          <w:noProof/>
          <w:kern w:val="2"/>
          <w14:ligatures w14:val="standardContextual"/>
        </w:rPr>
      </w:pPr>
      <w:r w:rsidRPr="006D7FA1">
        <w:rPr>
          <w:kern w:val="2"/>
          <w14:ligatures w14:val="standardContextual"/>
        </w:rPr>
        <w:t>1.</w:t>
      </w:r>
      <w:r w:rsidRPr="006D7FA1">
        <w:rPr>
          <w:kern w:val="2"/>
          <w14:ligatures w14:val="standardContextual"/>
        </w:rPr>
        <w:tab/>
        <w:t>verleent zijn Voorzitter kwijting voor de uitvoering van de begroting van het Europees Parlement voor het begrotingsjaar 2023;</w:t>
      </w:r>
    </w:p>
    <w:p w14:paraId="44DDC50E" w14:textId="77777777" w:rsidR="006D7FA1" w:rsidRPr="006D7FA1" w:rsidRDefault="006D7FA1" w:rsidP="006D7FA1">
      <w:pPr>
        <w:spacing w:after="240"/>
        <w:ind w:left="567" w:hanging="567"/>
        <w:rPr>
          <w:kern w:val="2"/>
          <w14:ligatures w14:val="standardContextual"/>
        </w:rPr>
      </w:pPr>
      <w:r w:rsidRPr="006D7FA1">
        <w:rPr>
          <w:kern w:val="2"/>
          <w14:ligatures w14:val="standardContextual"/>
        </w:rPr>
        <w:t>2.</w:t>
      </w:r>
      <w:r w:rsidRPr="006D7FA1">
        <w:rPr>
          <w:kern w:val="2"/>
          <w14:ligatures w14:val="standardContextual"/>
        </w:rPr>
        <w:tab/>
        <w:t xml:space="preserve">verzoekt zijn Voorzitter dit besluit te doen toekomen aan de Raad, de Commissie en de Rekenkamer, en te zorgen voor bekendmaking ervan in het </w:t>
      </w:r>
      <w:r w:rsidRPr="006D7FA1">
        <w:rPr>
          <w:i/>
          <w:iCs/>
          <w:kern w:val="2"/>
          <w14:ligatures w14:val="standardContextual"/>
        </w:rPr>
        <w:t>Publicatieblad van de Europese Unie</w:t>
      </w:r>
      <w:r w:rsidRPr="006D7FA1">
        <w:rPr>
          <w:kern w:val="2"/>
          <w14:ligatures w14:val="standardContextual"/>
        </w:rPr>
        <w:t xml:space="preserve"> (L-serie).</w:t>
      </w:r>
    </w:p>
    <w:sectPr w:rsidR="006D7FA1" w:rsidRPr="006D7FA1" w:rsidSect="00D572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8EC9C" w14:textId="77777777" w:rsidR="00260A57" w:rsidRPr="00D572CE" w:rsidRDefault="00260A57">
      <w:r w:rsidRPr="00D572CE">
        <w:separator/>
      </w:r>
    </w:p>
  </w:endnote>
  <w:endnote w:type="continuationSeparator" w:id="0">
    <w:p w14:paraId="7978A18E" w14:textId="77777777" w:rsidR="00260A57" w:rsidRPr="00D572CE" w:rsidRDefault="00260A57">
      <w:r w:rsidRPr="00D572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8E36" w14:textId="77777777" w:rsidR="00064002" w:rsidRPr="00D572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096E4" w14:textId="77777777" w:rsidR="00064002" w:rsidRPr="00D572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07A24" w14:textId="77777777" w:rsidR="00064002" w:rsidRPr="00D572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E46FD" w14:textId="77777777" w:rsidR="00260A57" w:rsidRPr="00D572CE" w:rsidRDefault="00260A57">
      <w:r w:rsidRPr="00D572CE">
        <w:separator/>
      </w:r>
    </w:p>
  </w:footnote>
  <w:footnote w:type="continuationSeparator" w:id="0">
    <w:p w14:paraId="61219640" w14:textId="77777777" w:rsidR="00260A57" w:rsidRPr="00D572CE" w:rsidRDefault="00260A57">
      <w:r w:rsidRPr="00D572CE">
        <w:continuationSeparator/>
      </w:r>
    </w:p>
  </w:footnote>
  <w:footnote w:id="1">
    <w:p w14:paraId="1809EEB0" w14:textId="77777777" w:rsidR="006D7FA1" w:rsidRPr="00DB2CC4" w:rsidRDefault="006D7FA1" w:rsidP="006D7FA1">
      <w:pPr>
        <w:ind w:left="567" w:hanging="567"/>
        <w:rPr>
          <w:szCs w:val="24"/>
        </w:rPr>
      </w:pPr>
      <w:r w:rsidRPr="00DB2CC4">
        <w:rPr>
          <w:rStyle w:val="FootnoteReference"/>
          <w:szCs w:val="24"/>
        </w:rPr>
        <w:footnoteRef/>
      </w:r>
      <w:r w:rsidRPr="00DB2CC4">
        <w:rPr>
          <w:szCs w:val="24"/>
        </w:rPr>
        <w:tab/>
        <w:t xml:space="preserve">PB L 58 van 23.2.2023, blz. 1, ELI: </w:t>
      </w:r>
      <w:hyperlink r:id="rId1" w:tooltip="Biedt toegang tot dit document via de ELI-URI." w:history="1">
        <w:r w:rsidRPr="00DB2CC4">
          <w:rPr>
            <w:color w:val="0563C1"/>
            <w:szCs w:val="24"/>
            <w:u w:val="single"/>
            <w:shd w:val="clear" w:color="auto" w:fill="FFFFFF"/>
          </w:rPr>
          <w:t>http://data.europa.eu/eli/budget/2023/1/oj</w:t>
        </w:r>
      </w:hyperlink>
      <w:r w:rsidRPr="00DB2CC4">
        <w:rPr>
          <w:szCs w:val="24"/>
          <w:shd w:val="clear" w:color="auto" w:fill="FFFFFF"/>
        </w:rPr>
        <w:t>.</w:t>
      </w:r>
    </w:p>
  </w:footnote>
  <w:footnote w:id="2">
    <w:p w14:paraId="50168451" w14:textId="77777777" w:rsidR="006D7FA1" w:rsidRPr="00DB2CC4" w:rsidRDefault="006D7FA1" w:rsidP="006D7FA1">
      <w:pPr>
        <w:pStyle w:val="FootnoteText"/>
        <w:ind w:left="567" w:hanging="567"/>
        <w:rPr>
          <w:sz w:val="24"/>
          <w:szCs w:val="24"/>
          <w:lang w:val="fi-FI"/>
        </w:rPr>
      </w:pPr>
      <w:r w:rsidRPr="00DB2CC4">
        <w:rPr>
          <w:rStyle w:val="FootnoteReference"/>
          <w:sz w:val="24"/>
          <w:szCs w:val="24"/>
        </w:rPr>
        <w:footnoteRef/>
      </w:r>
      <w:r w:rsidRPr="00DB2CC4">
        <w:rPr>
          <w:sz w:val="24"/>
          <w:szCs w:val="24"/>
          <w:lang w:val="fi-FI"/>
        </w:rPr>
        <w:tab/>
        <w:t xml:space="preserve">PB C, C/2024/5462, 10.10.2024, ELI: </w:t>
      </w:r>
      <w:hyperlink r:id="rId2" w:history="1">
        <w:r w:rsidRPr="00DB2CC4">
          <w:rPr>
            <w:rStyle w:val="Hyperlink1"/>
            <w:sz w:val="24"/>
            <w:szCs w:val="24"/>
            <w:lang w:val="fi-FI"/>
          </w:rPr>
          <w:t>http://data.europa.eu/eli/C/2024/5462/oj</w:t>
        </w:r>
      </w:hyperlink>
      <w:r w:rsidRPr="00DB2CC4">
        <w:rPr>
          <w:sz w:val="24"/>
          <w:szCs w:val="24"/>
          <w:shd w:val="clear" w:color="auto" w:fill="FFFFFF"/>
          <w:lang w:val="fi-FI"/>
        </w:rPr>
        <w:t>.</w:t>
      </w:r>
    </w:p>
  </w:footnote>
  <w:footnote w:id="3">
    <w:p w14:paraId="0ADF01FA" w14:textId="77777777" w:rsidR="006D7FA1" w:rsidRPr="00DB2CC4" w:rsidRDefault="006D7FA1" w:rsidP="006D7FA1">
      <w:pPr>
        <w:pStyle w:val="FootnoteText"/>
        <w:ind w:left="567" w:hanging="567"/>
        <w:rPr>
          <w:sz w:val="24"/>
          <w:szCs w:val="24"/>
          <w:lang w:val="fi-FI"/>
        </w:rPr>
      </w:pPr>
      <w:r w:rsidRPr="00DB2CC4">
        <w:rPr>
          <w:rStyle w:val="FootnoteReference"/>
          <w:sz w:val="24"/>
          <w:szCs w:val="24"/>
        </w:rPr>
        <w:footnoteRef/>
      </w:r>
      <w:r w:rsidRPr="00DB2CC4">
        <w:rPr>
          <w:sz w:val="24"/>
          <w:szCs w:val="24"/>
          <w:lang w:val="fi-FI"/>
        </w:rPr>
        <w:tab/>
        <w:t xml:space="preserve">PB C, C/2024/3115, 23.5.2024, ELI: </w:t>
      </w:r>
      <w:hyperlink r:id="rId3" w:history="1">
        <w:r w:rsidRPr="00DB2CC4">
          <w:rPr>
            <w:rStyle w:val="Hyperlink1"/>
            <w:sz w:val="24"/>
            <w:szCs w:val="24"/>
            <w:lang w:val="fi-FI"/>
          </w:rPr>
          <w:t>http://data.europa.eu/eli/C/2024/3115/oj</w:t>
        </w:r>
      </w:hyperlink>
      <w:r w:rsidRPr="00DB2CC4">
        <w:rPr>
          <w:sz w:val="24"/>
          <w:szCs w:val="24"/>
          <w:shd w:val="clear" w:color="auto" w:fill="FFFFFF"/>
          <w:lang w:val="fi-FI"/>
        </w:rPr>
        <w:t>.</w:t>
      </w:r>
    </w:p>
  </w:footnote>
  <w:footnote w:id="4">
    <w:p w14:paraId="285B9289" w14:textId="77777777" w:rsidR="006D7FA1" w:rsidRPr="00DB2CC4" w:rsidRDefault="006D7FA1" w:rsidP="006D7FA1">
      <w:pPr>
        <w:pStyle w:val="FootnoteText"/>
        <w:ind w:left="567" w:hanging="567"/>
        <w:rPr>
          <w:sz w:val="24"/>
          <w:szCs w:val="24"/>
          <w:lang w:val="fi-FI"/>
        </w:rPr>
      </w:pPr>
      <w:r w:rsidRPr="00DB2CC4">
        <w:rPr>
          <w:rStyle w:val="FootnoteReference"/>
          <w:sz w:val="24"/>
          <w:szCs w:val="24"/>
        </w:rPr>
        <w:footnoteRef/>
      </w:r>
      <w:r w:rsidRPr="00DB2CC4">
        <w:rPr>
          <w:sz w:val="24"/>
          <w:szCs w:val="24"/>
          <w:lang w:val="fi-FI"/>
        </w:rPr>
        <w:tab/>
        <w:t xml:space="preserve">PB C, C/2024/5882, 9.10.2024, ELI: </w:t>
      </w:r>
      <w:hyperlink r:id="rId4" w:history="1">
        <w:r w:rsidRPr="00DB2CC4">
          <w:rPr>
            <w:rStyle w:val="Hyperlink1"/>
            <w:sz w:val="24"/>
            <w:szCs w:val="24"/>
            <w:lang w:val="fi-FI"/>
          </w:rPr>
          <w:t>http://data.europa.eu/eli/C/2024/5882/oj</w:t>
        </w:r>
      </w:hyperlink>
      <w:r w:rsidRPr="00DB2CC4">
        <w:rPr>
          <w:sz w:val="24"/>
          <w:szCs w:val="24"/>
          <w:shd w:val="clear" w:color="auto" w:fill="FFFFFF"/>
          <w:lang w:val="fi-FI"/>
        </w:rPr>
        <w:t>.</w:t>
      </w:r>
    </w:p>
  </w:footnote>
  <w:footnote w:id="5">
    <w:p w14:paraId="5C116CE2" w14:textId="77777777" w:rsidR="006D7FA1" w:rsidRPr="00DB2CC4" w:rsidRDefault="006D7FA1" w:rsidP="006D7FA1">
      <w:pPr>
        <w:pStyle w:val="FootnoteText"/>
        <w:ind w:left="567" w:hanging="567"/>
        <w:rPr>
          <w:sz w:val="24"/>
          <w:szCs w:val="24"/>
          <w:lang w:val="fi-FI"/>
        </w:rPr>
      </w:pPr>
      <w:r w:rsidRPr="00DB2CC4">
        <w:rPr>
          <w:rStyle w:val="FootnoteReference"/>
          <w:sz w:val="24"/>
          <w:szCs w:val="24"/>
        </w:rPr>
        <w:footnoteRef/>
      </w:r>
      <w:r w:rsidRPr="00DB2CC4">
        <w:rPr>
          <w:sz w:val="24"/>
          <w:szCs w:val="24"/>
          <w:lang w:val="fi-FI"/>
        </w:rPr>
        <w:tab/>
        <w:t xml:space="preserve">PB C, C/2024/6041, 10.10.2024, ELI: </w:t>
      </w:r>
      <w:hyperlink r:id="rId5" w:history="1">
        <w:r w:rsidRPr="00DB2CC4">
          <w:rPr>
            <w:rStyle w:val="Hyperlink"/>
            <w:sz w:val="24"/>
            <w:szCs w:val="24"/>
            <w:lang w:val="fi-FI"/>
          </w:rPr>
          <w:t>http://data.europa.eu/eli/C/2024/6041/oj</w:t>
        </w:r>
      </w:hyperlink>
      <w:r w:rsidRPr="00DB2CC4">
        <w:rPr>
          <w:sz w:val="24"/>
          <w:szCs w:val="24"/>
          <w:lang w:val="fi-FI"/>
        </w:rPr>
        <w:t>.</w:t>
      </w:r>
    </w:p>
  </w:footnote>
  <w:footnote w:id="6">
    <w:p w14:paraId="238AEF26" w14:textId="77777777" w:rsidR="006D7FA1" w:rsidRPr="00DB2CC4" w:rsidRDefault="006D7FA1" w:rsidP="006D7FA1">
      <w:pPr>
        <w:pStyle w:val="FootnoteText"/>
        <w:ind w:left="567" w:hanging="567"/>
        <w:rPr>
          <w:sz w:val="24"/>
          <w:szCs w:val="24"/>
          <w:lang w:val="nl-NL"/>
        </w:rPr>
      </w:pPr>
      <w:r w:rsidRPr="00DB2CC4">
        <w:rPr>
          <w:rStyle w:val="FootnoteReference"/>
          <w:sz w:val="24"/>
          <w:szCs w:val="24"/>
        </w:rPr>
        <w:footnoteRef/>
      </w:r>
      <w:r w:rsidRPr="00DB2CC4">
        <w:rPr>
          <w:sz w:val="24"/>
          <w:szCs w:val="24"/>
          <w:lang w:val="nl-NL"/>
        </w:rPr>
        <w:tab/>
        <w:t xml:space="preserve">PB L 193 van 30.7.2018, blz. 1, ELI: </w:t>
      </w:r>
      <w:hyperlink r:id="rId6" w:history="1">
        <w:r w:rsidRPr="00DB2CC4">
          <w:rPr>
            <w:rStyle w:val="Hyperlink1"/>
            <w:sz w:val="24"/>
            <w:szCs w:val="24"/>
            <w:lang w:val="nl-NL"/>
          </w:rPr>
          <w:t>http://data.europa.eu/eli/reg/2018/1046/oj</w:t>
        </w:r>
      </w:hyperlink>
      <w:r w:rsidRPr="00DB2CC4">
        <w:rPr>
          <w:sz w:val="24"/>
          <w:szCs w:val="24"/>
          <w:lang w:val="nl-NL"/>
        </w:rPr>
        <w:t>.</w:t>
      </w:r>
    </w:p>
  </w:footnote>
  <w:footnote w:id="7">
    <w:p w14:paraId="24053E80" w14:textId="77777777" w:rsidR="006D7FA1" w:rsidRPr="00DB2CC4" w:rsidRDefault="006D7FA1" w:rsidP="006D7FA1">
      <w:pPr>
        <w:pStyle w:val="FootnoteText"/>
        <w:ind w:left="567" w:hanging="567"/>
        <w:rPr>
          <w:sz w:val="24"/>
          <w:szCs w:val="24"/>
          <w:lang w:val="fi-FI"/>
        </w:rPr>
      </w:pPr>
      <w:r w:rsidRPr="00DB2CC4">
        <w:rPr>
          <w:rStyle w:val="FootnoteReference"/>
          <w:sz w:val="24"/>
          <w:szCs w:val="24"/>
        </w:rPr>
        <w:footnoteRef/>
      </w:r>
      <w:r w:rsidRPr="00DB2CC4">
        <w:rPr>
          <w:sz w:val="24"/>
          <w:szCs w:val="24"/>
          <w:lang w:val="fi-FI"/>
        </w:rPr>
        <w:tab/>
        <w:t xml:space="preserve">PB L, 2024/2509, 26.9.2024, ELI: </w:t>
      </w:r>
      <w:hyperlink r:id="rId7" w:tgtFrame="_blank" w:history="1">
        <w:r w:rsidRPr="00DB2CC4">
          <w:rPr>
            <w:rStyle w:val="Hyperlink1"/>
            <w:sz w:val="24"/>
            <w:szCs w:val="24"/>
            <w:shd w:val="clear" w:color="auto" w:fill="FFFFFF"/>
            <w:lang w:val="fi-FI"/>
          </w:rPr>
          <w:t>http://data.europa.eu/eli/reg/2024/2509/oj</w:t>
        </w:r>
      </w:hyperlink>
      <w:r w:rsidRPr="00DB2CC4">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EAB0" w14:textId="77777777" w:rsidR="00064002" w:rsidRPr="00D572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DBF6" w14:textId="77777777" w:rsidR="00064002" w:rsidRPr="00D572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5D1C" w14:textId="77777777" w:rsidR="00064002" w:rsidRPr="00D572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6049834">
    <w:abstractNumId w:val="9"/>
  </w:num>
  <w:num w:numId="2" w16cid:durableId="376666646">
    <w:abstractNumId w:val="9"/>
  </w:num>
  <w:num w:numId="3" w16cid:durableId="367072421">
    <w:abstractNumId w:val="7"/>
  </w:num>
  <w:num w:numId="4" w16cid:durableId="1187989040">
    <w:abstractNumId w:val="7"/>
  </w:num>
  <w:num w:numId="5" w16cid:durableId="1230455899">
    <w:abstractNumId w:val="6"/>
  </w:num>
  <w:num w:numId="6" w16cid:durableId="1623421593">
    <w:abstractNumId w:val="6"/>
  </w:num>
  <w:num w:numId="7" w16cid:durableId="200436024">
    <w:abstractNumId w:val="5"/>
  </w:num>
  <w:num w:numId="8" w16cid:durableId="634408184">
    <w:abstractNumId w:val="5"/>
  </w:num>
  <w:num w:numId="9" w16cid:durableId="490683530">
    <w:abstractNumId w:val="4"/>
  </w:num>
  <w:num w:numId="10" w16cid:durableId="2017883838">
    <w:abstractNumId w:val="4"/>
  </w:num>
  <w:num w:numId="11" w16cid:durableId="1250846794">
    <w:abstractNumId w:val="8"/>
  </w:num>
  <w:num w:numId="12" w16cid:durableId="1395472943">
    <w:abstractNumId w:val="8"/>
  </w:num>
  <w:num w:numId="13" w16cid:durableId="2011594614">
    <w:abstractNumId w:val="3"/>
  </w:num>
  <w:num w:numId="14" w16cid:durableId="1191918434">
    <w:abstractNumId w:val="3"/>
  </w:num>
  <w:num w:numId="15" w16cid:durableId="1581519054">
    <w:abstractNumId w:val="2"/>
  </w:num>
  <w:num w:numId="16" w16cid:durableId="2144037967">
    <w:abstractNumId w:val="2"/>
  </w:num>
  <w:num w:numId="17" w16cid:durableId="1073695303">
    <w:abstractNumId w:val="1"/>
  </w:num>
  <w:num w:numId="18" w16cid:durableId="671176604">
    <w:abstractNumId w:val="1"/>
  </w:num>
  <w:num w:numId="19" w16cid:durableId="1163203695">
    <w:abstractNumId w:val="0"/>
  </w:num>
  <w:num w:numId="20" w16cid:durableId="63187688">
    <w:abstractNumId w:val="0"/>
  </w:num>
  <w:num w:numId="21" w16cid:durableId="112286274">
    <w:abstractNumId w:val="9"/>
  </w:num>
  <w:num w:numId="22" w16cid:durableId="725225383">
    <w:abstractNumId w:val="7"/>
  </w:num>
  <w:num w:numId="23" w16cid:durableId="1039159805">
    <w:abstractNumId w:val="6"/>
  </w:num>
  <w:num w:numId="24" w16cid:durableId="132411329">
    <w:abstractNumId w:val="5"/>
  </w:num>
  <w:num w:numId="25" w16cid:durableId="11731369">
    <w:abstractNumId w:val="4"/>
  </w:num>
  <w:num w:numId="26" w16cid:durableId="413018697">
    <w:abstractNumId w:val="8"/>
  </w:num>
  <w:num w:numId="27" w16cid:durableId="314771704">
    <w:abstractNumId w:val="3"/>
  </w:num>
  <w:num w:numId="28" w16cid:durableId="883101246">
    <w:abstractNumId w:val="2"/>
  </w:num>
  <w:num w:numId="29" w16cid:durableId="833763032">
    <w:abstractNumId w:val="1"/>
  </w:num>
  <w:num w:numId="30" w16cid:durableId="1337998235">
    <w:abstractNumId w:val="0"/>
  </w:num>
  <w:num w:numId="31" w16cid:durableId="83040558">
    <w:abstractNumId w:val="9"/>
  </w:num>
  <w:num w:numId="32" w16cid:durableId="733744744">
    <w:abstractNumId w:val="7"/>
  </w:num>
  <w:num w:numId="33" w16cid:durableId="1430083934">
    <w:abstractNumId w:val="6"/>
  </w:num>
  <w:num w:numId="34" w16cid:durableId="1875385392">
    <w:abstractNumId w:val="5"/>
  </w:num>
  <w:num w:numId="35" w16cid:durableId="596716607">
    <w:abstractNumId w:val="4"/>
  </w:num>
  <w:num w:numId="36" w16cid:durableId="1764716830">
    <w:abstractNumId w:val="8"/>
  </w:num>
  <w:num w:numId="37" w16cid:durableId="913052627">
    <w:abstractNumId w:val="3"/>
  </w:num>
  <w:num w:numId="38" w16cid:durableId="683555224">
    <w:abstractNumId w:val="2"/>
  </w:num>
  <w:num w:numId="39" w16cid:durableId="1188563520">
    <w:abstractNumId w:val="1"/>
  </w:num>
  <w:num w:numId="40" w16cid:durableId="216360725">
    <w:abstractNumId w:val="0"/>
  </w:num>
  <w:num w:numId="41" w16cid:durableId="1915971340">
    <w:abstractNumId w:val="10"/>
  </w:num>
  <w:num w:numId="42" w16cid:durableId="808477549">
    <w:abstractNumId w:val="10"/>
  </w:num>
  <w:num w:numId="43" w16cid:durableId="2027361018">
    <w:abstractNumId w:val="10"/>
  </w:num>
  <w:num w:numId="44" w16cid:durableId="1528444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NL"/>
    <w:docVar w:name="dvnumam" w:val="0"/>
    <w:docVar w:name="dvpe" w:val="764.999"/>
    <w:docVar w:name="dvrapporteur" w:val="Rapporteur: "/>
    <w:docVar w:name="dvtitre" w:val="Besluit van het Europees Parlement van xx mei 2025 over het verlenen van kwijting voor de uitvoering van de algemene begroting van de Europese Unie voor het begrotingsjaar 2023, afdeling I – Europees Parlement(2024/2020(DEC))"/>
  </w:docVars>
  <w:rsids>
    <w:rsidRoot w:val="00260A57"/>
    <w:rsid w:val="00002272"/>
    <w:rsid w:val="00064002"/>
    <w:rsid w:val="000677B9"/>
    <w:rsid w:val="000831BA"/>
    <w:rsid w:val="000A42CC"/>
    <w:rsid w:val="000E7DD9"/>
    <w:rsid w:val="0010095E"/>
    <w:rsid w:val="00125B37"/>
    <w:rsid w:val="00187494"/>
    <w:rsid w:val="001F32AE"/>
    <w:rsid w:val="00260A5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028"/>
    <w:rsid w:val="0050519A"/>
    <w:rsid w:val="005072A1"/>
    <w:rsid w:val="00514517"/>
    <w:rsid w:val="00545827"/>
    <w:rsid w:val="00560270"/>
    <w:rsid w:val="005A39EB"/>
    <w:rsid w:val="005C2568"/>
    <w:rsid w:val="005F1B17"/>
    <w:rsid w:val="006037C0"/>
    <w:rsid w:val="00630986"/>
    <w:rsid w:val="006631B6"/>
    <w:rsid w:val="00680577"/>
    <w:rsid w:val="006D7FA1"/>
    <w:rsid w:val="006F74FA"/>
    <w:rsid w:val="00731ADD"/>
    <w:rsid w:val="00734777"/>
    <w:rsid w:val="00747932"/>
    <w:rsid w:val="00751A4A"/>
    <w:rsid w:val="00756632"/>
    <w:rsid w:val="00762C74"/>
    <w:rsid w:val="00786EC0"/>
    <w:rsid w:val="007D1690"/>
    <w:rsid w:val="007E22AD"/>
    <w:rsid w:val="00811A8F"/>
    <w:rsid w:val="00817416"/>
    <w:rsid w:val="00842779"/>
    <w:rsid w:val="00865F67"/>
    <w:rsid w:val="00881A7B"/>
    <w:rsid w:val="008840E5"/>
    <w:rsid w:val="00887B3E"/>
    <w:rsid w:val="008C2AC6"/>
    <w:rsid w:val="00930C23"/>
    <w:rsid w:val="0093193B"/>
    <w:rsid w:val="009509D8"/>
    <w:rsid w:val="00950B64"/>
    <w:rsid w:val="00964C05"/>
    <w:rsid w:val="00976D9A"/>
    <w:rsid w:val="00981893"/>
    <w:rsid w:val="009963C6"/>
    <w:rsid w:val="009C7CE9"/>
    <w:rsid w:val="00A1687D"/>
    <w:rsid w:val="00A43E52"/>
    <w:rsid w:val="00A4678D"/>
    <w:rsid w:val="00A778C7"/>
    <w:rsid w:val="00AB441E"/>
    <w:rsid w:val="00AB6293"/>
    <w:rsid w:val="00AE0928"/>
    <w:rsid w:val="00AF3B82"/>
    <w:rsid w:val="00B12E95"/>
    <w:rsid w:val="00B22876"/>
    <w:rsid w:val="00B558F0"/>
    <w:rsid w:val="00B57C1D"/>
    <w:rsid w:val="00BC443D"/>
    <w:rsid w:val="00BD48FE"/>
    <w:rsid w:val="00BD4B60"/>
    <w:rsid w:val="00BD7BD8"/>
    <w:rsid w:val="00BE6ADC"/>
    <w:rsid w:val="00C05BFE"/>
    <w:rsid w:val="00C23CD4"/>
    <w:rsid w:val="00C61C0C"/>
    <w:rsid w:val="00C941CB"/>
    <w:rsid w:val="00CC2357"/>
    <w:rsid w:val="00CF071A"/>
    <w:rsid w:val="00D058B8"/>
    <w:rsid w:val="00D56C11"/>
    <w:rsid w:val="00D572CE"/>
    <w:rsid w:val="00D834A0"/>
    <w:rsid w:val="00D835F5"/>
    <w:rsid w:val="00D872DF"/>
    <w:rsid w:val="00D91E21"/>
    <w:rsid w:val="00DA7FCD"/>
    <w:rsid w:val="00DB2CC4"/>
    <w:rsid w:val="00E365E1"/>
    <w:rsid w:val="00E820A4"/>
    <w:rsid w:val="00E947B1"/>
    <w:rsid w:val="00EB006A"/>
    <w:rsid w:val="00EB4772"/>
    <w:rsid w:val="00ED169E"/>
    <w:rsid w:val="00ED4235"/>
    <w:rsid w:val="00F04346"/>
    <w:rsid w:val="00F075DC"/>
    <w:rsid w:val="00F149E9"/>
    <w:rsid w:val="00F5134D"/>
    <w:rsid w:val="00F74202"/>
    <w:rsid w:val="00F74E0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E8E37"/>
  <w15:chartTrackingRefBased/>
  <w15:docId w15:val="{287F65A1-F2E6-4314-ACCC-1A2729DF4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6D9A"/>
    <w:pPr>
      <w:spacing w:before="480" w:after="240"/>
    </w:pPr>
  </w:style>
  <w:style w:type="paragraph" w:customStyle="1" w:styleId="NormalHanging12a">
    <w:name w:val="NormalHanging12a"/>
    <w:basedOn w:val="Normal"/>
    <w:link w:val="NormalHanging12aChar"/>
    <w:rsid w:val="00976D9A"/>
    <w:pPr>
      <w:spacing w:after="240"/>
      <w:ind w:left="567" w:hanging="567"/>
    </w:pPr>
  </w:style>
  <w:style w:type="character" w:styleId="Hyperlink">
    <w:name w:val="Hyperlink"/>
    <w:basedOn w:val="DefaultParagraphFont"/>
    <w:uiPriority w:val="99"/>
    <w:rsid w:val="00976D9A"/>
    <w:rPr>
      <w:color w:val="0563C1" w:themeColor="hyperlink"/>
      <w:u w:val="single"/>
    </w:rPr>
  </w:style>
  <w:style w:type="character" w:customStyle="1" w:styleId="NormalHanging12aChar">
    <w:name w:val="NormalHanging12a Char"/>
    <w:basedOn w:val="DefaultParagraphFont"/>
    <w:link w:val="NormalHanging12a"/>
    <w:locked/>
    <w:rsid w:val="00976D9A"/>
    <w:rPr>
      <w:sz w:val="24"/>
      <w:lang w:val="nl-NL"/>
    </w:rPr>
  </w:style>
  <w:style w:type="character" w:styleId="CommentReference">
    <w:name w:val="annotation reference"/>
    <w:basedOn w:val="DefaultParagraphFont"/>
    <w:uiPriority w:val="99"/>
    <w:rsid w:val="00E947B1"/>
    <w:rPr>
      <w:sz w:val="16"/>
      <w:szCs w:val="16"/>
    </w:rPr>
  </w:style>
  <w:style w:type="paragraph" w:styleId="CommentText">
    <w:name w:val="annotation text"/>
    <w:basedOn w:val="Normal"/>
    <w:link w:val="CommentTextChar"/>
    <w:uiPriority w:val="99"/>
    <w:rsid w:val="00E947B1"/>
    <w:rPr>
      <w:sz w:val="20"/>
    </w:rPr>
  </w:style>
  <w:style w:type="character" w:customStyle="1" w:styleId="CommentTextChar">
    <w:name w:val="Comment Text Char"/>
    <w:basedOn w:val="DefaultParagraphFont"/>
    <w:link w:val="CommentText"/>
    <w:uiPriority w:val="99"/>
    <w:rsid w:val="00E947B1"/>
    <w:rPr>
      <w:lang w:val="nl-NL"/>
    </w:rPr>
  </w:style>
  <w:style w:type="paragraph" w:styleId="CommentSubject">
    <w:name w:val="annotation subject"/>
    <w:basedOn w:val="CommentText"/>
    <w:next w:val="CommentText"/>
    <w:link w:val="CommentSubjectChar"/>
    <w:rsid w:val="00E947B1"/>
    <w:rPr>
      <w:b/>
      <w:bCs/>
    </w:rPr>
  </w:style>
  <w:style w:type="character" w:customStyle="1" w:styleId="CommentSubjectChar">
    <w:name w:val="Comment Subject Char"/>
    <w:basedOn w:val="CommentTextChar"/>
    <w:link w:val="CommentSubject"/>
    <w:rsid w:val="00E947B1"/>
    <w:rPr>
      <w:b/>
      <w:bCs/>
      <w:lang w:val="nl-NL"/>
    </w:rPr>
  </w:style>
  <w:style w:type="paragraph" w:styleId="BalloonText">
    <w:name w:val="Balloon Text"/>
    <w:basedOn w:val="Normal"/>
    <w:link w:val="BalloonTextChar"/>
    <w:rsid w:val="00E947B1"/>
    <w:rPr>
      <w:rFonts w:ascii="Segoe UI" w:hAnsi="Segoe UI" w:cs="Segoe UI"/>
      <w:sz w:val="18"/>
      <w:szCs w:val="18"/>
    </w:rPr>
  </w:style>
  <w:style w:type="character" w:customStyle="1" w:styleId="BalloonTextChar">
    <w:name w:val="Balloon Text Char"/>
    <w:basedOn w:val="DefaultParagraphFont"/>
    <w:link w:val="BalloonText"/>
    <w:rsid w:val="00E947B1"/>
    <w:rPr>
      <w:rFonts w:ascii="Segoe UI" w:hAnsi="Segoe UI" w:cs="Segoe UI"/>
      <w:sz w:val="18"/>
      <w:szCs w:val="18"/>
      <w:lang w:val="nl-NL"/>
    </w:rPr>
  </w:style>
  <w:style w:type="character" w:customStyle="1" w:styleId="Hyperlink1">
    <w:name w:val="Hyperlink1"/>
    <w:basedOn w:val="DefaultParagraphFont"/>
    <w:uiPriority w:val="99"/>
    <w:rsid w:val="006D7FA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locale=nl" TargetMode="External"/><Relationship Id="rId7" Type="http://schemas.openxmlformats.org/officeDocument/2006/relationships/hyperlink" Target="http://data.europa.eu/eli/reg/2024/2509/oj?locale=nl" TargetMode="External"/><Relationship Id="rId2" Type="http://schemas.openxmlformats.org/officeDocument/2006/relationships/hyperlink" Target="http://data.europa.eu/eli/C/2024/5462/oj?locale=nl" TargetMode="External"/><Relationship Id="rId1" Type="http://schemas.openxmlformats.org/officeDocument/2006/relationships/hyperlink" Target="http://data.europa.eu/eli/budget/2023/1/oj?locale=nl" TargetMode="External"/><Relationship Id="rId6" Type="http://schemas.openxmlformats.org/officeDocument/2006/relationships/hyperlink" Target="http://data.europa.eu/eli/reg/2018/1046/oj?locale=nl"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ED628-83CE-4869-A65B-C08C03BD5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2025-12-04T17:46:00Z</dcterms:created>
  <dcterms:modified xsi:type="dcterms:W3CDTF">2025-12-04T17:46:00Z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P10_TA(2025)0078_</vt:lpwstr>
  </property>
  <property fmtid="{D5CDD505-2E9C-101B-9397-08002B2CF9AE}" pid="4" name="&lt;Type&gt;">
    <vt:lpwstr>RR</vt:lpwstr>
  </property>
</Properties>
</file>