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239A" w14:paraId="559EB5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C4E548" w14:textId="77777777" w:rsidR="00751A4A" w:rsidRPr="005E239A" w:rsidRDefault="002C03E4" w:rsidP="0010095E">
            <w:pPr>
              <w:pStyle w:val="EPName"/>
            </w:pPr>
            <w:r w:rsidRPr="005E239A">
              <w:t>Parlamento Europeu</w:t>
            </w:r>
          </w:p>
          <w:p w14:paraId="519CD0F3" w14:textId="77777777" w:rsidR="00751A4A" w:rsidRPr="005E23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239A">
              <w:t>2024</w:t>
            </w:r>
            <w:r w:rsidR="00817416" w:rsidRPr="005E239A">
              <w:t>-202</w:t>
            </w:r>
            <w:r w:rsidRPr="005E239A">
              <w:t>9</w:t>
            </w:r>
          </w:p>
        </w:tc>
        <w:tc>
          <w:tcPr>
            <w:tcW w:w="2268" w:type="dxa"/>
            <w:shd w:val="clear" w:color="auto" w:fill="auto"/>
          </w:tcPr>
          <w:p w14:paraId="0808D34C" w14:textId="77777777" w:rsidR="00751A4A" w:rsidRPr="005E239A" w:rsidRDefault="00187494" w:rsidP="0010095E">
            <w:pPr>
              <w:pStyle w:val="EPLogo"/>
            </w:pPr>
            <w:r w:rsidRPr="005E239A">
              <w:rPr>
                <w:noProof/>
                <w:lang w:val="en-GB"/>
              </w:rPr>
              <w:drawing>
                <wp:inline distT="0" distB="0" distL="0" distR="0" wp14:anchorId="010A71EC" wp14:editId="08C112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B8B1A2" w14:textId="77777777" w:rsidR="00D058B8" w:rsidRPr="005E239A" w:rsidRDefault="00D058B8" w:rsidP="004C5D52">
      <w:pPr>
        <w:pStyle w:val="LineTop"/>
      </w:pPr>
    </w:p>
    <w:p w14:paraId="7C835DF4" w14:textId="77777777" w:rsidR="00680577" w:rsidRPr="005E239A" w:rsidRDefault="002C03E4" w:rsidP="00680577">
      <w:pPr>
        <w:pStyle w:val="EPBodyTA1"/>
      </w:pPr>
      <w:r w:rsidRPr="005E239A">
        <w:t>TEXTOS APROVADOS</w:t>
      </w:r>
    </w:p>
    <w:p w14:paraId="56B84C21" w14:textId="77777777" w:rsidR="00D058B8" w:rsidRPr="005E239A" w:rsidRDefault="00D058B8" w:rsidP="00D058B8">
      <w:pPr>
        <w:pStyle w:val="LineBottom"/>
      </w:pPr>
    </w:p>
    <w:p w14:paraId="774D7CCE" w14:textId="77777777" w:rsidR="002C03E4" w:rsidRPr="005E239A" w:rsidRDefault="002C03E4" w:rsidP="002C03E4">
      <w:pPr>
        <w:pStyle w:val="ATHeading1"/>
      </w:pPr>
      <w:bookmarkStart w:id="0" w:name="TANumber"/>
      <w:r w:rsidRPr="005E239A">
        <w:t>P10_TA(2025)</w:t>
      </w:r>
      <w:bookmarkEnd w:id="0"/>
      <w:r w:rsidR="00A91794" w:rsidRPr="005E239A">
        <w:t>0078</w:t>
      </w:r>
    </w:p>
    <w:p w14:paraId="72B9DD79" w14:textId="77777777" w:rsidR="002C03E4" w:rsidRPr="005E239A" w:rsidRDefault="002C03E4" w:rsidP="002C03E4">
      <w:pPr>
        <w:pStyle w:val="ATHeading2"/>
      </w:pPr>
      <w:bookmarkStart w:id="1" w:name="title"/>
      <w:r w:rsidRPr="005E239A">
        <w:t>Quitação 2023: Orçamento geral da UE – Parlamento Europeu</w:t>
      </w:r>
      <w:bookmarkEnd w:id="1"/>
    </w:p>
    <w:p w14:paraId="5F7267DC" w14:textId="77777777" w:rsidR="002C03E4" w:rsidRPr="005E239A" w:rsidRDefault="002C03E4" w:rsidP="002C03E4">
      <w:pPr>
        <w:rPr>
          <w:i/>
          <w:vanish/>
        </w:rPr>
      </w:pPr>
      <w:r w:rsidRPr="005E239A">
        <w:rPr>
          <w:i/>
        </w:rPr>
        <w:fldChar w:fldCharType="begin"/>
      </w:r>
      <w:r w:rsidRPr="005E239A">
        <w:rPr>
          <w:i/>
        </w:rPr>
        <w:instrText xml:space="preserve"> TC"(</w:instrText>
      </w:r>
      <w:bookmarkStart w:id="2" w:name="DocNumber"/>
      <w:r w:rsidRPr="005E239A">
        <w:rPr>
          <w:i/>
        </w:rPr>
        <w:instrText>A10-0062/2025</w:instrText>
      </w:r>
      <w:bookmarkEnd w:id="2"/>
      <w:r w:rsidRPr="005E239A">
        <w:rPr>
          <w:i/>
        </w:rPr>
        <w:instrText xml:space="preserve"> - Relatora: </w:instrText>
      </w:r>
      <w:proofErr w:type="spellStart"/>
      <w:r w:rsidRPr="005E239A">
        <w:rPr>
          <w:i/>
        </w:rPr>
        <w:instrText>Monika</w:instrText>
      </w:r>
      <w:proofErr w:type="spellEnd"/>
      <w:r w:rsidRPr="005E239A">
        <w:rPr>
          <w:i/>
        </w:rPr>
        <w:instrText xml:space="preserve"> </w:instrText>
      </w:r>
      <w:proofErr w:type="spellStart"/>
      <w:r w:rsidRPr="005E239A">
        <w:rPr>
          <w:i/>
        </w:rPr>
        <w:instrText>Hohlmeier</w:instrText>
      </w:r>
      <w:proofErr w:type="spellEnd"/>
      <w:r w:rsidRPr="005E239A">
        <w:rPr>
          <w:i/>
        </w:rPr>
        <w:instrText xml:space="preserve">)"\l3 \n&gt; \* MERGEFORMAT </w:instrText>
      </w:r>
      <w:r w:rsidRPr="005E239A">
        <w:rPr>
          <w:i/>
        </w:rPr>
        <w:fldChar w:fldCharType="end"/>
      </w:r>
    </w:p>
    <w:p w14:paraId="43075B55" w14:textId="77777777" w:rsidR="002C03E4" w:rsidRPr="005E239A" w:rsidRDefault="002C03E4" w:rsidP="002C03E4">
      <w:pPr>
        <w:rPr>
          <w:vanish/>
        </w:rPr>
      </w:pPr>
      <w:bookmarkStart w:id="3" w:name="Commission"/>
      <w:r w:rsidRPr="005E239A">
        <w:rPr>
          <w:vanish/>
        </w:rPr>
        <w:t>Comissão do Controlo Orçamental</w:t>
      </w:r>
      <w:bookmarkEnd w:id="3"/>
    </w:p>
    <w:p w14:paraId="0C47A1C0" w14:textId="77777777" w:rsidR="002C03E4" w:rsidRPr="005E239A" w:rsidRDefault="002C03E4" w:rsidP="002C03E4">
      <w:pPr>
        <w:rPr>
          <w:vanish/>
        </w:rPr>
      </w:pPr>
      <w:bookmarkStart w:id="4" w:name="PE"/>
      <w:r w:rsidRPr="005E239A">
        <w:rPr>
          <w:vanish/>
        </w:rPr>
        <w:t>PE764.999</w:t>
      </w:r>
      <w:bookmarkEnd w:id="4"/>
    </w:p>
    <w:p w14:paraId="04AF24FE" w14:textId="14A87777" w:rsidR="005F2A3D" w:rsidRPr="005F2A3D" w:rsidRDefault="005F2A3D" w:rsidP="005F2A3D">
      <w:pPr>
        <w:pStyle w:val="ATHeading3"/>
      </w:pPr>
      <w:r w:rsidRPr="005F2A3D">
        <w:t xml:space="preserve">1. Decisão do Parlamento Europeu, de 7 de maio de 2025, sobre a quitação pela execução do orçamento geral da União Europeia para o exercício de 2023, Secção I </w:t>
      </w:r>
      <w:r>
        <w:t>–</w:t>
      </w:r>
      <w:r w:rsidRPr="005F2A3D">
        <w:t xml:space="preserve"> Parlamento Europeu (2024/2020(DEC))</w:t>
      </w:r>
    </w:p>
    <w:p w14:paraId="4E2ADE58" w14:textId="30EC0C8A" w:rsidR="005F2A3D" w:rsidRPr="005F2A3D" w:rsidRDefault="005F2A3D" w:rsidP="005F2A3D">
      <w:pPr>
        <w:spacing w:before="480" w:after="240"/>
        <w:rPr>
          <w:noProof/>
          <w:kern w:val="2"/>
          <w14:ligatures w14:val="standardContextual"/>
        </w:rPr>
      </w:pPr>
      <w:r w:rsidRPr="005F2A3D">
        <w:rPr>
          <w:i/>
          <w:iCs/>
          <w:kern w:val="2"/>
          <w14:ligatures w14:val="standardContextual"/>
        </w:rPr>
        <w:t>O Parlamento Europeu</w:t>
      </w:r>
      <w:r w:rsidRPr="005F2A3D">
        <w:rPr>
          <w:kern w:val="2"/>
          <w14:ligatures w14:val="standardContextual"/>
        </w:rPr>
        <w:t>,</w:t>
      </w:r>
    </w:p>
    <w:p w14:paraId="5DA0A70A" w14:textId="769F91C0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Tendo em conta o orçamento geral da União Europeia para o exercício de 2023</w:t>
      </w:r>
      <w:r w:rsidRPr="005F2A3D">
        <w:rPr>
          <w:noProof/>
          <w:kern w:val="2"/>
          <w:vertAlign w:val="superscript"/>
          <w14:ligatures w14:val="standardContextual"/>
        </w:rPr>
        <w:footnoteReference w:id="1"/>
      </w:r>
      <w:r w:rsidRPr="005F2A3D">
        <w:rPr>
          <w:kern w:val="2"/>
          <w14:ligatures w14:val="standardContextual"/>
        </w:rPr>
        <w:t>,</w:t>
      </w:r>
    </w:p>
    <w:p w14:paraId="77351900" w14:textId="25CD1F7F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 xml:space="preserve">Atendendo às contas anuais consolidadas da União Europeia relativas ao exercício de 2023 [COM(2024)0272 </w:t>
      </w: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 xml:space="preserve"> C10</w:t>
      </w:r>
      <w:r w:rsidRPr="005F2A3D">
        <w:rPr>
          <w:kern w:val="2"/>
          <w14:ligatures w14:val="standardContextual"/>
        </w:rPr>
        <w:noBreakHyphen/>
        <w:t>0068/2014]</w:t>
      </w:r>
      <w:r w:rsidRPr="005F2A3D">
        <w:rPr>
          <w:noProof/>
          <w:kern w:val="2"/>
          <w:vertAlign w:val="superscript"/>
          <w14:ligatures w14:val="standardContextual"/>
        </w:rPr>
        <w:footnoteReference w:id="2"/>
      </w:r>
      <w:r w:rsidRPr="005F2A3D">
        <w:rPr>
          <w:kern w:val="2"/>
          <w14:ligatures w14:val="standardContextual"/>
        </w:rPr>
        <w:t>,</w:t>
      </w:r>
    </w:p>
    <w:p w14:paraId="4B0D0431" w14:textId="0863AE7F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 xml:space="preserve">Tendo em conta o relatório sobre a gestão orçamental e financeira para o exercício de 2023, Secção I </w:t>
      </w: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 xml:space="preserve"> Parlamento Europeu</w:t>
      </w:r>
      <w:r w:rsidRPr="005F2A3D">
        <w:rPr>
          <w:noProof/>
          <w:kern w:val="2"/>
          <w:vertAlign w:val="superscript"/>
          <w14:ligatures w14:val="standardContextual"/>
        </w:rPr>
        <w:footnoteReference w:id="3"/>
      </w:r>
      <w:r w:rsidRPr="005F2A3D">
        <w:rPr>
          <w:kern w:val="2"/>
          <w14:ligatures w14:val="standardContextual"/>
        </w:rPr>
        <w:t>,</w:t>
      </w:r>
    </w:p>
    <w:p w14:paraId="4D66BAEB" w14:textId="2A0A5283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Tendo em conta o relatório anual do auditor interno sobre o exercício de 2023,</w:t>
      </w:r>
    </w:p>
    <w:p w14:paraId="791DB185" w14:textId="450C866B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Atendendo ao relatório anual do Tribunal de Contas sobre a execução do orçamento relativo ao exercício de 2023, acompanhado das respostas das instituições</w:t>
      </w:r>
      <w:r w:rsidRPr="005F2A3D">
        <w:rPr>
          <w:noProof/>
          <w:kern w:val="2"/>
          <w:vertAlign w:val="superscript"/>
          <w14:ligatures w14:val="standardContextual"/>
        </w:rPr>
        <w:footnoteReference w:id="4"/>
      </w:r>
      <w:r w:rsidRPr="005F2A3D">
        <w:rPr>
          <w:kern w:val="2"/>
          <w14:ligatures w14:val="standardContextual"/>
        </w:rPr>
        <w:t>,</w:t>
      </w:r>
    </w:p>
    <w:p w14:paraId="03302798" w14:textId="2EA1E008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Atendendo à declaração relativa à fiabilidade das contas e à legalidade e regularidade das operações subjacentes</w:t>
      </w:r>
      <w:r w:rsidRPr="005F2A3D">
        <w:rPr>
          <w:noProof/>
          <w:kern w:val="2"/>
          <w:vertAlign w:val="superscript"/>
          <w14:ligatures w14:val="standardContextual"/>
        </w:rPr>
        <w:footnoteReference w:id="5"/>
      </w:r>
      <w:r w:rsidRPr="005F2A3D">
        <w:rPr>
          <w:kern w:val="2"/>
          <w14:ligatures w14:val="standardContextual"/>
        </w:rPr>
        <w:t>, emitida pelo Tribunal de Contas para o exercício de 2023, nos termos do artigo 287.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 xml:space="preserve"> do Tratado sobre o Funcionamento da União Europeia,</w:t>
      </w:r>
    </w:p>
    <w:p w14:paraId="696B9176" w14:textId="41E40B52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Tendo em conta o artigo 314.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 xml:space="preserve">,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10, e o artigo 318.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 xml:space="preserve"> do Tratado sobre o Funcionamento da União Europeia,</w:t>
      </w:r>
    </w:p>
    <w:p w14:paraId="5EB85241" w14:textId="7C5C43E1" w:rsidR="005F2A3D" w:rsidRPr="005F2A3D" w:rsidRDefault="005F2A3D" w:rsidP="005F2A3D">
      <w:pPr>
        <w:spacing w:after="240"/>
        <w:ind w:left="567" w:hanging="567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 xml:space="preserve">Tendo em conta o Regulamento (UE, Euratom) 2018/1046 do Parlamento Europeu e do Conselho, de 18 de julho de 2018, relativo às disposições financeiras aplicáveis ao orçamento geral da União, que altera os Regulamentos (UE)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1296/2013, (UE)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</w:t>
      </w:r>
      <w:r w:rsidRPr="005F2A3D">
        <w:rPr>
          <w:kern w:val="2"/>
          <w14:ligatures w14:val="standardContextual"/>
        </w:rPr>
        <w:lastRenderedPageBreak/>
        <w:t xml:space="preserve">1301/2013, (UE)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1303/2013, (UE)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1304/2013, (UE)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1309/2013, (UE)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1316/2013, (UE)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223/2014 e (UE)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283/2014, e a Decisão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541/2014/UE, e revoga o Regulamento (UE, Euratom)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966/2012</w:t>
      </w:r>
      <w:r w:rsidRPr="005F2A3D">
        <w:rPr>
          <w:kern w:val="2"/>
          <w:vertAlign w:val="superscript"/>
          <w14:ligatures w14:val="standardContextual"/>
        </w:rPr>
        <w:footnoteReference w:id="6"/>
      </w:r>
      <w:r w:rsidRPr="005F2A3D">
        <w:rPr>
          <w:kern w:val="2"/>
          <w14:ligatures w14:val="standardContextual"/>
        </w:rPr>
        <w:t>, nomeadamente os artigos 260.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>, 261.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 xml:space="preserve"> e 262.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>,</w:t>
      </w:r>
    </w:p>
    <w:p w14:paraId="60387827" w14:textId="29E1BDCC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Tendo em conta o Regulamento (UE, Euratom) 2024/2509 do Parlamento Europeu e do Conselho, de 23 de setembro de 2024, relativo às regras financeiras aplicáveis ao orçamento geral da União</w:t>
      </w:r>
      <w:r w:rsidRPr="005F2A3D">
        <w:rPr>
          <w:noProof/>
          <w:kern w:val="2"/>
          <w:vertAlign w:val="superscript"/>
          <w14:ligatures w14:val="standardContextual"/>
        </w:rPr>
        <w:footnoteReference w:id="7"/>
      </w:r>
      <w:r w:rsidRPr="005F2A3D">
        <w:rPr>
          <w:kern w:val="2"/>
          <w14:ligatures w14:val="standardContextual"/>
        </w:rPr>
        <w:t>, nomeadamente os artigos 266.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>, 267.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 xml:space="preserve"> e 268.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>,</w:t>
      </w:r>
    </w:p>
    <w:p w14:paraId="716669A0" w14:textId="794943D3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Tendo em conta a decisão da Mesa, de 10 de dezembro de 2018, sobre as normas internas para a execução do orçamento do Parlamento Europeu, nomeadamente o artigo 34.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>,</w:t>
      </w:r>
    </w:p>
    <w:p w14:paraId="00EF09D4" w14:textId="690A1656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Tendo em conta o artigo 102.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>, o artigo 106.</w:t>
      </w:r>
      <w:r w:rsidRPr="005F2A3D">
        <w:rPr>
          <w:kern w:val="2"/>
          <w:vertAlign w:val="superscript"/>
          <w14:ligatures w14:val="standardContextual"/>
        </w:rPr>
        <w:t>o</w:t>
      </w:r>
      <w:r w:rsidRPr="005F2A3D">
        <w:rPr>
          <w:kern w:val="2"/>
          <w14:ligatures w14:val="standardContextual"/>
        </w:rPr>
        <w:t xml:space="preserve">, </w:t>
      </w:r>
      <w:proofErr w:type="spellStart"/>
      <w:r w:rsidRPr="005F2A3D">
        <w:rPr>
          <w:kern w:val="2"/>
          <w14:ligatures w14:val="standardContextual"/>
        </w:rPr>
        <w:t>n.</w:t>
      </w:r>
      <w:r w:rsidRPr="005F2A3D">
        <w:rPr>
          <w:kern w:val="2"/>
          <w:vertAlign w:val="superscript"/>
          <w14:ligatures w14:val="standardContextual"/>
        </w:rPr>
        <w:t>o</w:t>
      </w:r>
      <w:proofErr w:type="spellEnd"/>
      <w:r w:rsidRPr="005F2A3D">
        <w:rPr>
          <w:kern w:val="2"/>
          <w14:ligatures w14:val="standardContextual"/>
        </w:rPr>
        <w:t xml:space="preserve"> 3, e o anexo V do seu Regimento,</w:t>
      </w:r>
    </w:p>
    <w:p w14:paraId="6D58B04D" w14:textId="1DE560AB" w:rsidR="005F2A3D" w:rsidRPr="005F2A3D" w:rsidRDefault="005F2A3D" w:rsidP="005F2A3D">
      <w:pPr>
        <w:spacing w:after="240"/>
        <w:ind w:left="567" w:hanging="567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Tendo em conta o parecer da Comissão dos Assuntos Constitucionais,</w:t>
      </w:r>
    </w:p>
    <w:p w14:paraId="7E707334" w14:textId="1D8A7605" w:rsidR="005F2A3D" w:rsidRPr="005F2A3D" w:rsidRDefault="005F2A3D" w:rsidP="005F2A3D">
      <w:pPr>
        <w:tabs>
          <w:tab w:val="left" w:pos="-720"/>
        </w:tabs>
        <w:spacing w:after="240"/>
        <w:ind w:left="567" w:hanging="567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–</w:t>
      </w:r>
      <w:r w:rsidRPr="005F2A3D">
        <w:rPr>
          <w:kern w:val="2"/>
          <w14:ligatures w14:val="standardContextual"/>
        </w:rPr>
        <w:tab/>
        <w:t>Tendo em conta o relatório da Comissão do Controlo Orçamental (A10</w:t>
      </w:r>
      <w:r w:rsidRPr="005F2A3D">
        <w:rPr>
          <w:kern w:val="2"/>
          <w14:ligatures w14:val="standardContextual"/>
        </w:rPr>
        <w:noBreakHyphen/>
        <w:t>0062/2025),</w:t>
      </w:r>
    </w:p>
    <w:p w14:paraId="3B009996" w14:textId="77777777" w:rsidR="005F2A3D" w:rsidRPr="005F2A3D" w:rsidRDefault="005F2A3D" w:rsidP="005F2A3D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5F2A3D">
        <w:rPr>
          <w:kern w:val="2"/>
          <w14:ligatures w14:val="standardContextual"/>
        </w:rPr>
        <w:t>A.</w:t>
      </w:r>
      <w:r w:rsidRPr="005F2A3D">
        <w:rPr>
          <w:kern w:val="2"/>
          <w14:ligatures w14:val="standardContextual"/>
        </w:rPr>
        <w:tab/>
        <w:t>Considerando que a presidente aprovou as contas do Parlamento relativas ao exercício de 2023 em 19 de junho de 2024;</w:t>
      </w:r>
    </w:p>
    <w:p w14:paraId="2110E789" w14:textId="77777777" w:rsidR="005F2A3D" w:rsidRPr="005F2A3D" w:rsidRDefault="005F2A3D" w:rsidP="005F2A3D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5F2A3D">
        <w:rPr>
          <w:kern w:val="2"/>
          <w14:ligatures w14:val="standardContextual"/>
        </w:rPr>
        <w:t>B.</w:t>
      </w:r>
      <w:r w:rsidRPr="005F2A3D">
        <w:rPr>
          <w:kern w:val="2"/>
          <w14:ligatures w14:val="standardContextual"/>
        </w:rPr>
        <w:tab/>
        <w:t>Considerando que o secretário</w:t>
      </w:r>
      <w:r w:rsidRPr="005F2A3D">
        <w:rPr>
          <w:kern w:val="2"/>
          <w14:ligatures w14:val="standardContextual"/>
        </w:rPr>
        <w:noBreakHyphen/>
        <w:t>geral, na qualidade de gestor orçamental delegado principal, declarou, em 18 de junho de 2024, dispor de garantias razoáveis de que os recursos afetados ao orçamento do Parlamento foram usados para o propósito a que estavam destinados, de acordo com os princípios da boa gestão financeira, e que os procedimentos de controlo estabelecidos fornecem as garantias necessárias no que se refere à legalidade e regularidade das operações subjacentes;</w:t>
      </w:r>
    </w:p>
    <w:p w14:paraId="208F36A8" w14:textId="77777777" w:rsidR="005F2A3D" w:rsidRPr="005F2A3D" w:rsidRDefault="005F2A3D" w:rsidP="005F2A3D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5F2A3D">
        <w:rPr>
          <w:kern w:val="2"/>
          <w14:ligatures w14:val="standardContextual"/>
        </w:rPr>
        <w:t>C.</w:t>
      </w:r>
      <w:r w:rsidRPr="005F2A3D">
        <w:rPr>
          <w:kern w:val="2"/>
          <w14:ligatures w14:val="standardContextual"/>
        </w:rPr>
        <w:tab/>
        <w:t>Considerando que o Tribunal de Contas declarou na sua auditoria que, na sua avaliação específica das despesas administrativas e outras efetuadas em 2023, não identificou qualquer deficiência grave nos relatórios anuais de atividades das instituições e organismos que examinou, tal como previsto pelo Regulamento (UE, Euratom) 2018/1046;</w:t>
      </w:r>
    </w:p>
    <w:p w14:paraId="3130943D" w14:textId="77777777" w:rsidR="005F2A3D" w:rsidRPr="005F2A3D" w:rsidRDefault="005F2A3D" w:rsidP="005F2A3D">
      <w:pPr>
        <w:spacing w:after="240"/>
        <w:ind w:left="567" w:hanging="567"/>
        <w:rPr>
          <w:noProof/>
          <w:kern w:val="2"/>
          <w14:ligatures w14:val="standardContextual"/>
        </w:rPr>
      </w:pPr>
      <w:r w:rsidRPr="005F2A3D">
        <w:rPr>
          <w:kern w:val="2"/>
          <w14:ligatures w14:val="standardContextual"/>
        </w:rPr>
        <w:t>1.</w:t>
      </w:r>
      <w:r w:rsidRPr="005F2A3D">
        <w:rPr>
          <w:kern w:val="2"/>
          <w14:ligatures w14:val="standardContextual"/>
        </w:rPr>
        <w:tab/>
        <w:t>Dá quitação à sua presidente pela execução do orçamento do Parlamento Europeu para o exercício de 2023;</w:t>
      </w:r>
    </w:p>
    <w:p w14:paraId="65E0EDAA" w14:textId="690C370A" w:rsidR="00E365E1" w:rsidRPr="005E239A" w:rsidRDefault="005F2A3D" w:rsidP="005F2A3D">
      <w:pPr>
        <w:spacing w:after="240"/>
        <w:ind w:left="567" w:hanging="567"/>
      </w:pPr>
      <w:r w:rsidRPr="005F2A3D">
        <w:rPr>
          <w:kern w:val="2"/>
          <w14:ligatures w14:val="standardContextual"/>
        </w:rPr>
        <w:t>2.</w:t>
      </w:r>
      <w:r w:rsidRPr="005F2A3D">
        <w:rPr>
          <w:kern w:val="2"/>
          <w14:ligatures w14:val="standardContextual"/>
        </w:rPr>
        <w:tab/>
        <w:t xml:space="preserve">Encarrega a sua presidente de transmitir a presente decisão ao Conselho, à Comissão e ao Tribunal de Contas e de prover à respetiva publicação no </w:t>
      </w:r>
      <w:r w:rsidRPr="005F2A3D">
        <w:rPr>
          <w:i/>
          <w:kern w:val="2"/>
          <w14:ligatures w14:val="standardContextual"/>
        </w:rPr>
        <w:t>Jornal Oficial da União Europeia</w:t>
      </w:r>
      <w:r w:rsidRPr="005F2A3D">
        <w:rPr>
          <w:kern w:val="2"/>
          <w14:ligatures w14:val="standardContextual"/>
        </w:rPr>
        <w:t xml:space="preserve"> (série L).</w:t>
      </w:r>
    </w:p>
    <w:sectPr w:rsidR="00E365E1" w:rsidRPr="005E239A" w:rsidSect="00EF26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ADDF2" w14:textId="77777777" w:rsidR="002C03E4" w:rsidRPr="00EF2646" w:rsidRDefault="002C03E4">
      <w:r w:rsidRPr="00EF2646">
        <w:separator/>
      </w:r>
    </w:p>
  </w:endnote>
  <w:endnote w:type="continuationSeparator" w:id="0">
    <w:p w14:paraId="3A838535" w14:textId="77777777" w:rsidR="002C03E4" w:rsidRPr="00EF2646" w:rsidRDefault="002C03E4">
      <w:r w:rsidRPr="00EF26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34062" w14:textId="77777777" w:rsidR="00064002" w:rsidRPr="00EF26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75D4" w14:textId="77777777" w:rsidR="00064002" w:rsidRPr="00EF26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F356C" w14:textId="77777777" w:rsidR="00064002" w:rsidRPr="00EF26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E2C7D" w14:textId="77777777" w:rsidR="002C03E4" w:rsidRPr="00EF2646" w:rsidRDefault="002C03E4">
      <w:r w:rsidRPr="00EF2646">
        <w:separator/>
      </w:r>
    </w:p>
  </w:footnote>
  <w:footnote w:type="continuationSeparator" w:id="0">
    <w:p w14:paraId="585A3707" w14:textId="77777777" w:rsidR="002C03E4" w:rsidRPr="00EF2646" w:rsidRDefault="002C03E4">
      <w:r w:rsidRPr="00EF2646">
        <w:continuationSeparator/>
      </w:r>
    </w:p>
  </w:footnote>
  <w:footnote w:id="1">
    <w:p w14:paraId="065C563A" w14:textId="77777777" w:rsidR="005F2A3D" w:rsidRPr="005F2A3D" w:rsidRDefault="005F2A3D" w:rsidP="005F2A3D">
      <w:pPr>
        <w:ind w:left="567" w:hanging="567"/>
        <w:rPr>
          <w:szCs w:val="24"/>
          <w:lang w:val="fi-FI"/>
        </w:rPr>
      </w:pPr>
      <w:r w:rsidRPr="005F2A3D">
        <w:rPr>
          <w:rStyle w:val="FootnoteReference"/>
          <w:szCs w:val="24"/>
        </w:rPr>
        <w:footnoteRef/>
      </w:r>
      <w:r w:rsidRPr="005F2A3D">
        <w:rPr>
          <w:szCs w:val="24"/>
          <w:lang w:val="fi-FI"/>
        </w:rPr>
        <w:t xml:space="preserve"> </w:t>
      </w:r>
      <w:r w:rsidRPr="005F2A3D">
        <w:rPr>
          <w:szCs w:val="24"/>
          <w:lang w:val="fi-FI"/>
        </w:rPr>
        <w:tab/>
        <w:t xml:space="preserve">JO L 58 de 23.2.2023, p. 1, ELI: </w:t>
      </w:r>
      <w:hyperlink r:id="rId1" w:tooltip="Dá acesso a este documento através do respetivo URI do ELI." w:history="1">
        <w:r w:rsidRPr="005F2A3D">
          <w:rPr>
            <w:rStyle w:val="Hyperlink"/>
            <w:szCs w:val="24"/>
            <w:lang w:val="fi-FI"/>
          </w:rPr>
          <w:t>http://data.europa.eu/eli/budget/2023/1/oj</w:t>
        </w:r>
      </w:hyperlink>
      <w:r w:rsidRPr="005F2A3D">
        <w:rPr>
          <w:szCs w:val="24"/>
          <w:shd w:val="clear" w:color="auto" w:fill="FFFFFF"/>
          <w:lang w:val="fi-FI"/>
        </w:rPr>
        <w:t>.</w:t>
      </w:r>
    </w:p>
  </w:footnote>
  <w:footnote w:id="2">
    <w:p w14:paraId="1F64AFBC" w14:textId="77777777" w:rsidR="005F2A3D" w:rsidRPr="005F2A3D" w:rsidRDefault="005F2A3D" w:rsidP="005F2A3D">
      <w:pPr>
        <w:pStyle w:val="FootnoteText"/>
        <w:ind w:left="567" w:hanging="567"/>
        <w:rPr>
          <w:sz w:val="24"/>
          <w:szCs w:val="24"/>
          <w:lang w:val="fi-FI"/>
        </w:rPr>
      </w:pPr>
      <w:r w:rsidRPr="005F2A3D">
        <w:rPr>
          <w:rStyle w:val="FootnoteReference"/>
          <w:sz w:val="24"/>
          <w:szCs w:val="24"/>
          <w:lang w:val="pt-PT"/>
        </w:rPr>
        <w:footnoteRef/>
      </w:r>
      <w:r w:rsidRPr="005F2A3D">
        <w:rPr>
          <w:sz w:val="24"/>
          <w:szCs w:val="24"/>
          <w:lang w:val="fi-FI"/>
        </w:rPr>
        <w:t xml:space="preserve"> </w:t>
      </w:r>
      <w:r w:rsidRPr="005F2A3D">
        <w:rPr>
          <w:sz w:val="24"/>
          <w:szCs w:val="24"/>
          <w:lang w:val="fi-FI"/>
        </w:rPr>
        <w:tab/>
        <w:t xml:space="preserve">JO C, C/2024/5462, 10.10.2024, ELI: </w:t>
      </w:r>
      <w:hyperlink r:id="rId2" w:history="1">
        <w:r w:rsidRPr="005F2A3D">
          <w:rPr>
            <w:rStyle w:val="Hyperlink"/>
            <w:sz w:val="24"/>
            <w:szCs w:val="24"/>
            <w:lang w:val="fi-FI"/>
          </w:rPr>
          <w:t>http://data.europa.eu/eli/C/2024/5462/oj</w:t>
        </w:r>
      </w:hyperlink>
      <w:r w:rsidRPr="005F2A3D">
        <w:rPr>
          <w:sz w:val="24"/>
          <w:szCs w:val="24"/>
          <w:shd w:val="clear" w:color="auto" w:fill="FFFFFF"/>
          <w:lang w:val="fi-FI"/>
        </w:rPr>
        <w:t>.</w:t>
      </w:r>
    </w:p>
  </w:footnote>
  <w:footnote w:id="3">
    <w:p w14:paraId="74B68FC4" w14:textId="77777777" w:rsidR="005F2A3D" w:rsidRPr="005F2A3D" w:rsidRDefault="005F2A3D" w:rsidP="005F2A3D">
      <w:pPr>
        <w:pStyle w:val="FootnoteText"/>
        <w:ind w:left="567" w:hanging="567"/>
        <w:rPr>
          <w:sz w:val="24"/>
          <w:szCs w:val="24"/>
          <w:lang w:val="fi-FI"/>
        </w:rPr>
      </w:pPr>
      <w:r w:rsidRPr="005F2A3D">
        <w:rPr>
          <w:rStyle w:val="FootnoteReference"/>
          <w:sz w:val="24"/>
          <w:szCs w:val="24"/>
          <w:lang w:val="pt-PT"/>
        </w:rPr>
        <w:footnoteRef/>
      </w:r>
      <w:r w:rsidRPr="005F2A3D">
        <w:rPr>
          <w:sz w:val="24"/>
          <w:szCs w:val="24"/>
          <w:lang w:val="fi-FI"/>
        </w:rPr>
        <w:t xml:space="preserve"> </w:t>
      </w:r>
      <w:r w:rsidRPr="005F2A3D">
        <w:rPr>
          <w:sz w:val="24"/>
          <w:szCs w:val="24"/>
          <w:lang w:val="fi-FI"/>
        </w:rPr>
        <w:tab/>
        <w:t xml:space="preserve">JO C, C/2024/3115, 23.5.2024, ELI: </w:t>
      </w:r>
      <w:hyperlink r:id="rId3" w:history="1">
        <w:r w:rsidRPr="005F2A3D">
          <w:rPr>
            <w:rStyle w:val="Hyperlink"/>
            <w:sz w:val="24"/>
            <w:szCs w:val="24"/>
            <w:lang w:val="fi-FI"/>
          </w:rPr>
          <w:t>http://data.europa.eu/eli/C/2024/3115/oj</w:t>
        </w:r>
      </w:hyperlink>
      <w:r w:rsidRPr="005F2A3D">
        <w:rPr>
          <w:sz w:val="24"/>
          <w:szCs w:val="24"/>
          <w:shd w:val="clear" w:color="auto" w:fill="FFFFFF"/>
          <w:lang w:val="fi-FI"/>
        </w:rPr>
        <w:t>.</w:t>
      </w:r>
    </w:p>
  </w:footnote>
  <w:footnote w:id="4">
    <w:p w14:paraId="1AB6558E" w14:textId="77777777" w:rsidR="005F2A3D" w:rsidRPr="005F2A3D" w:rsidRDefault="005F2A3D" w:rsidP="005F2A3D">
      <w:pPr>
        <w:pStyle w:val="FootnoteText"/>
        <w:ind w:left="567" w:hanging="567"/>
        <w:rPr>
          <w:sz w:val="24"/>
          <w:szCs w:val="24"/>
          <w:lang w:val="fi-FI"/>
        </w:rPr>
      </w:pPr>
      <w:r w:rsidRPr="005F2A3D">
        <w:rPr>
          <w:rStyle w:val="FootnoteReference"/>
          <w:sz w:val="24"/>
          <w:szCs w:val="24"/>
          <w:lang w:val="pt-PT"/>
        </w:rPr>
        <w:footnoteRef/>
      </w:r>
      <w:r w:rsidRPr="005F2A3D">
        <w:rPr>
          <w:sz w:val="24"/>
          <w:szCs w:val="24"/>
          <w:lang w:val="fi-FI"/>
        </w:rPr>
        <w:t xml:space="preserve"> </w:t>
      </w:r>
      <w:r w:rsidRPr="005F2A3D">
        <w:rPr>
          <w:sz w:val="24"/>
          <w:szCs w:val="24"/>
          <w:lang w:val="fi-FI"/>
        </w:rPr>
        <w:tab/>
        <w:t xml:space="preserve">JO C, C/2024/5882, 9.10.2024, ELI: </w:t>
      </w:r>
      <w:hyperlink r:id="rId4" w:history="1">
        <w:r w:rsidRPr="005F2A3D">
          <w:rPr>
            <w:rStyle w:val="Hyperlink"/>
            <w:sz w:val="24"/>
            <w:szCs w:val="24"/>
            <w:lang w:val="fi-FI"/>
          </w:rPr>
          <w:t>http://data.europa.eu/eli/C/2024/5882/oj</w:t>
        </w:r>
      </w:hyperlink>
      <w:r w:rsidRPr="005F2A3D">
        <w:rPr>
          <w:sz w:val="24"/>
          <w:szCs w:val="24"/>
          <w:shd w:val="clear" w:color="auto" w:fill="FFFFFF"/>
          <w:lang w:val="fi-FI"/>
        </w:rPr>
        <w:t>.</w:t>
      </w:r>
    </w:p>
  </w:footnote>
  <w:footnote w:id="5">
    <w:p w14:paraId="5FFCEC18" w14:textId="77777777" w:rsidR="005F2A3D" w:rsidRPr="005F2A3D" w:rsidRDefault="005F2A3D" w:rsidP="005F2A3D">
      <w:pPr>
        <w:pStyle w:val="FootnoteText"/>
        <w:ind w:left="567" w:hanging="567"/>
        <w:rPr>
          <w:sz w:val="24"/>
          <w:szCs w:val="24"/>
          <w:lang w:val="fi-FI"/>
        </w:rPr>
      </w:pPr>
      <w:r w:rsidRPr="005F2A3D">
        <w:rPr>
          <w:rStyle w:val="FootnoteReference"/>
          <w:sz w:val="24"/>
          <w:szCs w:val="24"/>
          <w:lang w:val="pt-PT"/>
        </w:rPr>
        <w:footnoteRef/>
      </w:r>
      <w:r w:rsidRPr="005F2A3D">
        <w:rPr>
          <w:sz w:val="24"/>
          <w:szCs w:val="24"/>
          <w:lang w:val="fi-FI"/>
        </w:rPr>
        <w:t xml:space="preserve"> </w:t>
      </w:r>
      <w:r w:rsidRPr="005F2A3D">
        <w:rPr>
          <w:sz w:val="24"/>
          <w:szCs w:val="24"/>
          <w:lang w:val="fi-FI"/>
        </w:rPr>
        <w:tab/>
        <w:t xml:space="preserve">JO C, C/2024/6041, 10.10.2024, ELI: </w:t>
      </w:r>
      <w:hyperlink r:id="rId5" w:history="1">
        <w:r w:rsidRPr="005F2A3D">
          <w:rPr>
            <w:rStyle w:val="Hyperlink"/>
            <w:sz w:val="24"/>
            <w:szCs w:val="24"/>
            <w:lang w:val="fi-FI"/>
          </w:rPr>
          <w:t>http://data.europa.eu/eli/C/2024/6041/oj</w:t>
        </w:r>
      </w:hyperlink>
      <w:r w:rsidRPr="005F2A3D">
        <w:rPr>
          <w:sz w:val="24"/>
          <w:szCs w:val="24"/>
          <w:shd w:val="clear" w:color="auto" w:fill="FFFFFF"/>
          <w:lang w:val="fi-FI"/>
        </w:rPr>
        <w:t>.</w:t>
      </w:r>
    </w:p>
  </w:footnote>
  <w:footnote w:id="6">
    <w:p w14:paraId="04FA47D0" w14:textId="77777777" w:rsidR="005F2A3D" w:rsidRPr="005F2A3D" w:rsidRDefault="005F2A3D" w:rsidP="005F2A3D">
      <w:pPr>
        <w:pStyle w:val="FootnoteText"/>
        <w:ind w:left="567" w:hanging="567"/>
        <w:rPr>
          <w:sz w:val="24"/>
          <w:szCs w:val="24"/>
          <w:lang w:val="fi-FI"/>
        </w:rPr>
      </w:pPr>
      <w:r w:rsidRPr="005F2A3D">
        <w:rPr>
          <w:rStyle w:val="FootnoteReference"/>
          <w:sz w:val="24"/>
          <w:szCs w:val="24"/>
          <w:lang w:val="pt-PT"/>
        </w:rPr>
        <w:footnoteRef/>
      </w:r>
      <w:r w:rsidRPr="005F2A3D">
        <w:rPr>
          <w:sz w:val="24"/>
          <w:szCs w:val="24"/>
          <w:lang w:val="fi-FI"/>
        </w:rPr>
        <w:t xml:space="preserve"> </w:t>
      </w:r>
      <w:r w:rsidRPr="005F2A3D">
        <w:rPr>
          <w:sz w:val="24"/>
          <w:szCs w:val="24"/>
          <w:lang w:val="fi-FI"/>
        </w:rPr>
        <w:tab/>
        <w:t xml:space="preserve">JO L 193 de 30.7.2018, p. 1, ELI: </w:t>
      </w:r>
      <w:hyperlink r:id="rId6" w:history="1">
        <w:r w:rsidRPr="005F2A3D">
          <w:rPr>
            <w:rStyle w:val="Hyperlink"/>
            <w:sz w:val="24"/>
            <w:szCs w:val="24"/>
            <w:lang w:val="fi-FI"/>
          </w:rPr>
          <w:t>http://data.europa.eu/eli/reg/2018/1046/oj</w:t>
        </w:r>
      </w:hyperlink>
      <w:r w:rsidRPr="005F2A3D">
        <w:rPr>
          <w:sz w:val="24"/>
          <w:szCs w:val="24"/>
          <w:lang w:val="fi-FI"/>
        </w:rPr>
        <w:t>.</w:t>
      </w:r>
    </w:p>
  </w:footnote>
  <w:footnote w:id="7">
    <w:p w14:paraId="10A1AA0B" w14:textId="77777777" w:rsidR="005F2A3D" w:rsidRPr="005F2A3D" w:rsidRDefault="005F2A3D" w:rsidP="005F2A3D">
      <w:pPr>
        <w:pStyle w:val="FootnoteText"/>
        <w:ind w:left="567" w:hanging="567"/>
        <w:rPr>
          <w:sz w:val="24"/>
          <w:szCs w:val="24"/>
          <w:lang w:val="fi-FI"/>
        </w:rPr>
      </w:pPr>
      <w:r w:rsidRPr="005F2A3D">
        <w:rPr>
          <w:rStyle w:val="FootnoteReference"/>
          <w:sz w:val="24"/>
          <w:szCs w:val="24"/>
          <w:lang w:val="pt-PT"/>
        </w:rPr>
        <w:footnoteRef/>
      </w:r>
      <w:r w:rsidRPr="005F2A3D">
        <w:rPr>
          <w:sz w:val="24"/>
          <w:szCs w:val="24"/>
          <w:lang w:val="fi-FI"/>
        </w:rPr>
        <w:t xml:space="preserve"> </w:t>
      </w:r>
      <w:r w:rsidRPr="005F2A3D">
        <w:rPr>
          <w:sz w:val="24"/>
          <w:szCs w:val="24"/>
          <w:lang w:val="fi-FI"/>
        </w:rPr>
        <w:tab/>
        <w:t xml:space="preserve">JO L, C/2024/2509, 26.9.2024, ELI: </w:t>
      </w:r>
      <w:hyperlink r:id="rId7" w:tgtFrame="_blank" w:history="1">
        <w:r w:rsidRPr="005F2A3D">
          <w:rPr>
            <w:rStyle w:val="Hyperlink"/>
            <w:sz w:val="24"/>
            <w:szCs w:val="24"/>
            <w:shd w:val="clear" w:color="auto" w:fill="FFFFFF"/>
            <w:lang w:val="fi-FI"/>
          </w:rPr>
          <w:t>http://data.europa.eu/eli/reg/2024/2509/oj</w:t>
        </w:r>
      </w:hyperlink>
      <w:r w:rsidRPr="005F2A3D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2EB57" w14:textId="77777777" w:rsidR="00064002" w:rsidRPr="00EF26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C738" w14:textId="77777777" w:rsidR="00064002" w:rsidRPr="00EF26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E761" w14:textId="77777777" w:rsidR="00064002" w:rsidRPr="00EF26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9138079">
    <w:abstractNumId w:val="9"/>
  </w:num>
  <w:num w:numId="2" w16cid:durableId="1474566613">
    <w:abstractNumId w:val="9"/>
  </w:num>
  <w:num w:numId="3" w16cid:durableId="1851673790">
    <w:abstractNumId w:val="7"/>
  </w:num>
  <w:num w:numId="4" w16cid:durableId="1991010006">
    <w:abstractNumId w:val="7"/>
  </w:num>
  <w:num w:numId="5" w16cid:durableId="147744754">
    <w:abstractNumId w:val="6"/>
  </w:num>
  <w:num w:numId="6" w16cid:durableId="1137602445">
    <w:abstractNumId w:val="6"/>
  </w:num>
  <w:num w:numId="7" w16cid:durableId="2066373964">
    <w:abstractNumId w:val="5"/>
  </w:num>
  <w:num w:numId="8" w16cid:durableId="737434940">
    <w:abstractNumId w:val="5"/>
  </w:num>
  <w:num w:numId="9" w16cid:durableId="404568207">
    <w:abstractNumId w:val="4"/>
  </w:num>
  <w:num w:numId="10" w16cid:durableId="1950433404">
    <w:abstractNumId w:val="4"/>
  </w:num>
  <w:num w:numId="11" w16cid:durableId="257102425">
    <w:abstractNumId w:val="8"/>
  </w:num>
  <w:num w:numId="12" w16cid:durableId="341274667">
    <w:abstractNumId w:val="8"/>
  </w:num>
  <w:num w:numId="13" w16cid:durableId="1203128686">
    <w:abstractNumId w:val="3"/>
  </w:num>
  <w:num w:numId="14" w16cid:durableId="1053501040">
    <w:abstractNumId w:val="3"/>
  </w:num>
  <w:num w:numId="15" w16cid:durableId="177693780">
    <w:abstractNumId w:val="2"/>
  </w:num>
  <w:num w:numId="16" w16cid:durableId="986401944">
    <w:abstractNumId w:val="2"/>
  </w:num>
  <w:num w:numId="17" w16cid:durableId="86384574">
    <w:abstractNumId w:val="1"/>
  </w:num>
  <w:num w:numId="18" w16cid:durableId="489643220">
    <w:abstractNumId w:val="1"/>
  </w:num>
  <w:num w:numId="19" w16cid:durableId="640423831">
    <w:abstractNumId w:val="0"/>
  </w:num>
  <w:num w:numId="20" w16cid:durableId="1473642692">
    <w:abstractNumId w:val="0"/>
  </w:num>
  <w:num w:numId="21" w16cid:durableId="452940085">
    <w:abstractNumId w:val="9"/>
  </w:num>
  <w:num w:numId="22" w16cid:durableId="1975987959">
    <w:abstractNumId w:val="7"/>
  </w:num>
  <w:num w:numId="23" w16cid:durableId="683485221">
    <w:abstractNumId w:val="6"/>
  </w:num>
  <w:num w:numId="24" w16cid:durableId="1881554537">
    <w:abstractNumId w:val="5"/>
  </w:num>
  <w:num w:numId="25" w16cid:durableId="1502963759">
    <w:abstractNumId w:val="4"/>
  </w:num>
  <w:num w:numId="26" w16cid:durableId="1058673004">
    <w:abstractNumId w:val="8"/>
  </w:num>
  <w:num w:numId="27" w16cid:durableId="1471747128">
    <w:abstractNumId w:val="3"/>
  </w:num>
  <w:num w:numId="28" w16cid:durableId="346559668">
    <w:abstractNumId w:val="2"/>
  </w:num>
  <w:num w:numId="29" w16cid:durableId="1687364713">
    <w:abstractNumId w:val="1"/>
  </w:num>
  <w:num w:numId="30" w16cid:durableId="1169758672">
    <w:abstractNumId w:val="0"/>
  </w:num>
  <w:num w:numId="31" w16cid:durableId="2136216540">
    <w:abstractNumId w:val="9"/>
  </w:num>
  <w:num w:numId="32" w16cid:durableId="1519074947">
    <w:abstractNumId w:val="7"/>
  </w:num>
  <w:num w:numId="33" w16cid:durableId="1379940037">
    <w:abstractNumId w:val="6"/>
  </w:num>
  <w:num w:numId="34" w16cid:durableId="1225874163">
    <w:abstractNumId w:val="5"/>
  </w:num>
  <w:num w:numId="35" w16cid:durableId="1935085717">
    <w:abstractNumId w:val="4"/>
  </w:num>
  <w:num w:numId="36" w16cid:durableId="1763181412">
    <w:abstractNumId w:val="8"/>
  </w:num>
  <w:num w:numId="37" w16cid:durableId="1088965116">
    <w:abstractNumId w:val="3"/>
  </w:num>
  <w:num w:numId="38" w16cid:durableId="1600485893">
    <w:abstractNumId w:val="2"/>
  </w:num>
  <w:num w:numId="39" w16cid:durableId="1903365747">
    <w:abstractNumId w:val="1"/>
  </w:num>
  <w:num w:numId="40" w16cid:durableId="2106261810">
    <w:abstractNumId w:val="0"/>
  </w:num>
  <w:num w:numId="41" w16cid:durableId="1875077577">
    <w:abstractNumId w:val="10"/>
  </w:num>
  <w:num w:numId="42" w16cid:durableId="259921915">
    <w:abstractNumId w:val="10"/>
  </w:num>
  <w:num w:numId="43" w16cid:durableId="1233270466">
    <w:abstractNumId w:val="10"/>
  </w:num>
  <w:num w:numId="44" w16cid:durableId="69037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PT"/>
    <w:docVar w:name="dvnumam" w:val="0"/>
    <w:docVar w:name="dvpe" w:val="764.999"/>
    <w:docVar w:name="dvrapporteur" w:val="Relatora: "/>
    <w:docVar w:name="dvtitre" w:val="1. Decisão do Parlamento Europeu, de ... de ... de 2025,_x000d__x000a_ sobre a quitação pela execução do orçamento geral da União Europeia para o exercício de 2023, Secção I – Parlamento Europeu(2024/2020(DEC))"/>
  </w:docVars>
  <w:rsids>
    <w:rsidRoot w:val="002C03E4"/>
    <w:rsid w:val="00002272"/>
    <w:rsid w:val="00064002"/>
    <w:rsid w:val="000677B9"/>
    <w:rsid w:val="000831BA"/>
    <w:rsid w:val="000A42CC"/>
    <w:rsid w:val="000E7DD9"/>
    <w:rsid w:val="0010095E"/>
    <w:rsid w:val="00125B37"/>
    <w:rsid w:val="00136E02"/>
    <w:rsid w:val="00187494"/>
    <w:rsid w:val="001F32AE"/>
    <w:rsid w:val="001F413D"/>
    <w:rsid w:val="002767FF"/>
    <w:rsid w:val="002B18FE"/>
    <w:rsid w:val="002B5493"/>
    <w:rsid w:val="002C03E4"/>
    <w:rsid w:val="00343214"/>
    <w:rsid w:val="00361C00"/>
    <w:rsid w:val="00395FA1"/>
    <w:rsid w:val="003E15D4"/>
    <w:rsid w:val="00411CCE"/>
    <w:rsid w:val="0041666E"/>
    <w:rsid w:val="00421060"/>
    <w:rsid w:val="00441848"/>
    <w:rsid w:val="00471C19"/>
    <w:rsid w:val="004867E3"/>
    <w:rsid w:val="00494A28"/>
    <w:rsid w:val="004C0004"/>
    <w:rsid w:val="004C5D52"/>
    <w:rsid w:val="0050519A"/>
    <w:rsid w:val="005072A1"/>
    <w:rsid w:val="00514517"/>
    <w:rsid w:val="00544E19"/>
    <w:rsid w:val="00545827"/>
    <w:rsid w:val="00560270"/>
    <w:rsid w:val="00561964"/>
    <w:rsid w:val="005C2568"/>
    <w:rsid w:val="005E239A"/>
    <w:rsid w:val="005F1B17"/>
    <w:rsid w:val="005F2A3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3AF"/>
    <w:rsid w:val="00A4678D"/>
    <w:rsid w:val="00A778C7"/>
    <w:rsid w:val="00A91794"/>
    <w:rsid w:val="00AA534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64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300FD"/>
  <w15:chartTrackingRefBased/>
  <w15:docId w15:val="{B0532F81-8D38-41C8-BE1C-614A8F70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5346"/>
    <w:pPr>
      <w:spacing w:before="480" w:after="240"/>
    </w:pPr>
  </w:style>
  <w:style w:type="paragraph" w:customStyle="1" w:styleId="PageHeading">
    <w:name w:val="PageHeading"/>
    <w:basedOn w:val="Normal"/>
    <w:rsid w:val="00AA53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A5346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AA5346"/>
    <w:rPr>
      <w:sz w:val="24"/>
      <w:lang w:val="pt-PT"/>
    </w:rPr>
  </w:style>
  <w:style w:type="character" w:styleId="Hyperlink">
    <w:name w:val="Hyperlink"/>
    <w:basedOn w:val="DefaultParagraphFont"/>
    <w:uiPriority w:val="99"/>
    <w:rsid w:val="00AA534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F41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413D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56196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5F2A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2A3D"/>
    <w:pPr>
      <w:widowControl/>
      <w:jc w:val="both"/>
    </w:pPr>
    <w:rPr>
      <w:rFonts w:eastAsia="Aptos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2A3D"/>
    <w:rPr>
      <w:rFonts w:eastAsia="Aptos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E119F-9A74-4614-BD2E-709F3E987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SEMEDO Teresa</cp:lastModifiedBy>
  <cp:revision>2</cp:revision>
  <cp:lastPrinted>2004-11-19T15:42:00Z</cp:lastPrinted>
  <dcterms:created xsi:type="dcterms:W3CDTF">2025-12-05T09:43:00Z</dcterms:created>
  <dcterms:modified xsi:type="dcterms:W3CDTF">2025-12-05T09:43:00Z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