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803DA" w14:paraId="62B5530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34498AF" w14:textId="77777777" w:rsidR="00751A4A" w:rsidRPr="007803DA" w:rsidRDefault="00E465B6" w:rsidP="0010095E">
            <w:pPr>
              <w:pStyle w:val="EPName"/>
            </w:pPr>
            <w:r w:rsidRPr="007803DA">
              <w:t>Parlamentul European</w:t>
            </w:r>
          </w:p>
          <w:p w14:paraId="29A25EAC" w14:textId="77777777" w:rsidR="00751A4A" w:rsidRPr="007803D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803DA">
              <w:t>2024</w:t>
            </w:r>
            <w:r w:rsidR="00817416" w:rsidRPr="007803DA">
              <w:t>-202</w:t>
            </w:r>
            <w:r w:rsidRPr="007803DA">
              <w:t>9</w:t>
            </w:r>
          </w:p>
        </w:tc>
        <w:tc>
          <w:tcPr>
            <w:tcW w:w="2268" w:type="dxa"/>
            <w:shd w:val="clear" w:color="auto" w:fill="auto"/>
          </w:tcPr>
          <w:p w14:paraId="5516B1F1" w14:textId="77777777" w:rsidR="00751A4A" w:rsidRPr="007803DA" w:rsidRDefault="00187494" w:rsidP="0010095E">
            <w:pPr>
              <w:pStyle w:val="EPLogo"/>
            </w:pPr>
            <w:r w:rsidRPr="007803DA">
              <w:rPr>
                <w:noProof/>
                <w:lang w:val="en-GB"/>
              </w:rPr>
              <w:drawing>
                <wp:inline distT="0" distB="0" distL="0" distR="0" wp14:anchorId="78AA0FF7" wp14:editId="2F336F2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3E08C8" w14:textId="77777777" w:rsidR="00D058B8" w:rsidRPr="007803DA" w:rsidRDefault="00D058B8" w:rsidP="004C5D52">
      <w:pPr>
        <w:pStyle w:val="LineTop"/>
      </w:pPr>
    </w:p>
    <w:p w14:paraId="23E3BC12" w14:textId="77777777" w:rsidR="00680577" w:rsidRPr="007803DA" w:rsidRDefault="00E465B6" w:rsidP="00680577">
      <w:pPr>
        <w:pStyle w:val="EPBodyTA1"/>
      </w:pPr>
      <w:r w:rsidRPr="007803DA">
        <w:t>TEXTE ADOPTATE</w:t>
      </w:r>
    </w:p>
    <w:p w14:paraId="72B2C917" w14:textId="77777777" w:rsidR="00D058B8" w:rsidRPr="007803DA" w:rsidRDefault="00D058B8" w:rsidP="00D058B8">
      <w:pPr>
        <w:pStyle w:val="LineBottom"/>
      </w:pPr>
    </w:p>
    <w:p w14:paraId="4FD96D4B" w14:textId="77777777" w:rsidR="00E465B6" w:rsidRPr="007803DA" w:rsidRDefault="00E465B6" w:rsidP="00E465B6">
      <w:pPr>
        <w:pStyle w:val="ATHeading1"/>
      </w:pPr>
      <w:bookmarkStart w:id="0" w:name="TANumber"/>
      <w:r w:rsidRPr="007803DA">
        <w:t>P10_TA(2025)</w:t>
      </w:r>
      <w:bookmarkEnd w:id="0"/>
      <w:r w:rsidR="00897505" w:rsidRPr="007803DA">
        <w:t>0078</w:t>
      </w:r>
    </w:p>
    <w:p w14:paraId="6342AC7D" w14:textId="77777777" w:rsidR="00E465B6" w:rsidRPr="007803DA" w:rsidRDefault="004138C5" w:rsidP="00E465B6">
      <w:pPr>
        <w:pStyle w:val="ATHeading2"/>
      </w:pPr>
      <w:r w:rsidRPr="007803DA">
        <w:t>Descărcarea de gestiune 2023: Bugetul general al UE - Parlamentul European</w:t>
      </w:r>
    </w:p>
    <w:p w14:paraId="0FE013E0" w14:textId="77777777" w:rsidR="00E465B6" w:rsidRPr="007803DA" w:rsidRDefault="00E465B6" w:rsidP="00E465B6">
      <w:pPr>
        <w:rPr>
          <w:i/>
          <w:vanish/>
        </w:rPr>
      </w:pPr>
      <w:r w:rsidRPr="007803DA">
        <w:rPr>
          <w:i/>
        </w:rPr>
        <w:fldChar w:fldCharType="begin"/>
      </w:r>
      <w:r w:rsidRPr="007803DA">
        <w:rPr>
          <w:i/>
        </w:rPr>
        <w:instrText xml:space="preserve"> TC"(</w:instrText>
      </w:r>
      <w:bookmarkStart w:id="1" w:name="DocNumber"/>
      <w:r w:rsidRPr="007803DA">
        <w:rPr>
          <w:i/>
        </w:rPr>
        <w:instrText>A10-0062/2025</w:instrText>
      </w:r>
      <w:bookmarkEnd w:id="1"/>
      <w:r w:rsidRPr="007803DA">
        <w:rPr>
          <w:i/>
        </w:rPr>
        <w:instrText xml:space="preserve"> - Raportoare: </w:instrText>
      </w:r>
      <w:proofErr w:type="spellStart"/>
      <w:r w:rsidRPr="007803DA">
        <w:rPr>
          <w:i/>
        </w:rPr>
        <w:instrText>Monika</w:instrText>
      </w:r>
      <w:proofErr w:type="spellEnd"/>
      <w:r w:rsidRPr="007803DA">
        <w:rPr>
          <w:i/>
        </w:rPr>
        <w:instrText xml:space="preserve"> </w:instrText>
      </w:r>
      <w:proofErr w:type="spellStart"/>
      <w:r w:rsidRPr="007803DA">
        <w:rPr>
          <w:i/>
        </w:rPr>
        <w:instrText>Hohlmeier</w:instrText>
      </w:r>
      <w:proofErr w:type="spellEnd"/>
      <w:r w:rsidRPr="007803DA">
        <w:rPr>
          <w:i/>
        </w:rPr>
        <w:instrText xml:space="preserve">)"\l3 \n&gt; \* MERGEFORMAT </w:instrText>
      </w:r>
      <w:r w:rsidRPr="007803DA">
        <w:rPr>
          <w:i/>
        </w:rPr>
        <w:fldChar w:fldCharType="end"/>
      </w:r>
    </w:p>
    <w:p w14:paraId="22673166" w14:textId="77777777" w:rsidR="00E465B6" w:rsidRPr="007803DA" w:rsidRDefault="00E465B6" w:rsidP="00E465B6">
      <w:pPr>
        <w:rPr>
          <w:vanish/>
        </w:rPr>
      </w:pPr>
      <w:bookmarkStart w:id="2" w:name="Commission"/>
      <w:r w:rsidRPr="007803DA">
        <w:rPr>
          <w:vanish/>
        </w:rPr>
        <w:t>Comisia pentru control bugetar</w:t>
      </w:r>
      <w:bookmarkEnd w:id="2"/>
    </w:p>
    <w:p w14:paraId="6BDED24B" w14:textId="77777777" w:rsidR="00E465B6" w:rsidRDefault="00E465B6" w:rsidP="00E465B6">
      <w:pPr>
        <w:rPr>
          <w:vanish/>
        </w:rPr>
      </w:pPr>
      <w:bookmarkStart w:id="3" w:name="PE"/>
      <w:r w:rsidRPr="007803DA">
        <w:rPr>
          <w:vanish/>
        </w:rPr>
        <w:t>PE764.999</w:t>
      </w:r>
      <w:bookmarkEnd w:id="3"/>
    </w:p>
    <w:p w14:paraId="11281AAF" w14:textId="3C9F884F" w:rsidR="00BC2351" w:rsidRPr="00BC2351" w:rsidRDefault="00BC2351" w:rsidP="00BC2351">
      <w:pPr>
        <w:pStyle w:val="ATHeading3"/>
      </w:pPr>
      <w:r w:rsidRPr="00BC2351">
        <w:t>Decizia Parlamentului European din 7 mai 2025 privind descărcarea de gestiune pentru execuția bugetului general al Uniunii Europene aferent exercițiului financiar 2023, secțiunea I – Parlamentul European (2024/2020(DEC))</w:t>
      </w:r>
    </w:p>
    <w:p w14:paraId="4A9478FA" w14:textId="01E70EB5" w:rsidR="00BC2351" w:rsidRPr="00BC2351" w:rsidRDefault="00360C3C" w:rsidP="00360C3C">
      <w:pPr>
        <w:spacing w:before="480" w:after="240"/>
        <w:rPr>
          <w:i/>
          <w:iCs/>
          <w:noProof/>
          <w:kern w:val="2"/>
          <w14:ligatures w14:val="standardContextual"/>
        </w:rPr>
      </w:pPr>
      <w:r w:rsidRPr="00360C3C">
        <w:rPr>
          <w:i/>
          <w:iCs/>
          <w:kern w:val="2"/>
          <w14:ligatures w14:val="standardContextual"/>
        </w:rPr>
        <w:t>Parlamentul European,</w:t>
      </w:r>
    </w:p>
    <w:p w14:paraId="3CF1DAA6" w14:textId="77777777" w:rsidR="00BC2351" w:rsidRPr="00BC2351" w:rsidRDefault="00BC2351" w:rsidP="00BC2351">
      <w:pPr>
        <w:spacing w:after="240"/>
        <w:ind w:left="567" w:hanging="567"/>
        <w:rPr>
          <w:noProof/>
          <w:kern w:val="2"/>
          <w14:ligatures w14:val="standardContextual"/>
        </w:rPr>
      </w:pPr>
      <w:r w:rsidRPr="00BC2351">
        <w:rPr>
          <w:kern w:val="2"/>
          <w14:ligatures w14:val="standardContextual"/>
        </w:rPr>
        <w:t>–</w:t>
      </w:r>
      <w:r w:rsidRPr="00BC2351">
        <w:rPr>
          <w:kern w:val="2"/>
          <w14:ligatures w14:val="standardContextual"/>
        </w:rPr>
        <w:tab/>
        <w:t>având în vedere bugetul general al Uniunii Europene aferent exercițiului financiar 2023</w:t>
      </w:r>
      <w:r w:rsidRPr="00BC2351">
        <w:rPr>
          <w:noProof/>
          <w:kern w:val="2"/>
          <w:vertAlign w:val="superscript"/>
          <w14:ligatures w14:val="standardContextual"/>
        </w:rPr>
        <w:footnoteReference w:id="1"/>
      </w:r>
      <w:r w:rsidRPr="00BC2351">
        <w:rPr>
          <w:kern w:val="2"/>
          <w14:ligatures w14:val="standardContextual"/>
        </w:rPr>
        <w:t>,</w:t>
      </w:r>
    </w:p>
    <w:p w14:paraId="255DE541" w14:textId="1666E191" w:rsidR="00BC2351" w:rsidRPr="00BC2351" w:rsidRDefault="00BC2351" w:rsidP="00BC2351">
      <w:pPr>
        <w:spacing w:after="240"/>
        <w:ind w:left="567" w:hanging="567"/>
        <w:rPr>
          <w:noProof/>
          <w:kern w:val="2"/>
          <w14:ligatures w14:val="standardContextual"/>
        </w:rPr>
      </w:pPr>
      <w:r w:rsidRPr="00BC2351">
        <w:rPr>
          <w:kern w:val="2"/>
          <w14:ligatures w14:val="standardContextual"/>
        </w:rPr>
        <w:t>–</w:t>
      </w:r>
      <w:r w:rsidRPr="00BC2351">
        <w:rPr>
          <w:kern w:val="2"/>
          <w14:ligatures w14:val="standardContextual"/>
        </w:rPr>
        <w:tab/>
        <w:t xml:space="preserve">având în vedere conturile anuale consolidate ale Uniunii Europene pentru exercițiul financiar 2023 </w:t>
      </w:r>
      <w:r w:rsidR="00070A6A">
        <w:rPr>
          <w:kern w:val="2"/>
          <w14:ligatures w14:val="standardContextual"/>
        </w:rPr>
        <w:t>(</w:t>
      </w:r>
      <w:r w:rsidRPr="00BC2351">
        <w:rPr>
          <w:kern w:val="2"/>
          <w14:ligatures w14:val="standardContextual"/>
        </w:rPr>
        <w:t>COM(2024)0272 – C10</w:t>
      </w:r>
      <w:r w:rsidRPr="00BC2351">
        <w:rPr>
          <w:kern w:val="2"/>
          <w14:ligatures w14:val="standardContextual"/>
        </w:rPr>
        <w:noBreakHyphen/>
        <w:t>0068/2024</w:t>
      </w:r>
      <w:r w:rsidR="00070A6A">
        <w:rPr>
          <w:kern w:val="2"/>
          <w14:ligatures w14:val="standardContextual"/>
        </w:rPr>
        <w:t>)</w:t>
      </w:r>
      <w:r w:rsidRPr="00BC2351">
        <w:rPr>
          <w:noProof/>
          <w:kern w:val="2"/>
          <w:vertAlign w:val="superscript"/>
          <w14:ligatures w14:val="standardContextual"/>
        </w:rPr>
        <w:footnoteReference w:id="2"/>
      </w:r>
      <w:r w:rsidRPr="00BC2351">
        <w:rPr>
          <w:kern w:val="2"/>
          <w14:ligatures w14:val="standardContextual"/>
        </w:rPr>
        <w:t>,</w:t>
      </w:r>
    </w:p>
    <w:p w14:paraId="1E30A503" w14:textId="77777777" w:rsidR="00BC2351" w:rsidRPr="00BC2351" w:rsidRDefault="00BC2351" w:rsidP="00BC2351">
      <w:pPr>
        <w:spacing w:after="240"/>
        <w:ind w:left="567" w:hanging="567"/>
        <w:rPr>
          <w:noProof/>
          <w:kern w:val="2"/>
          <w14:ligatures w14:val="standardContextual"/>
        </w:rPr>
      </w:pPr>
      <w:r w:rsidRPr="00BC2351">
        <w:rPr>
          <w:kern w:val="2"/>
          <w14:ligatures w14:val="standardContextual"/>
        </w:rPr>
        <w:t>–</w:t>
      </w:r>
      <w:r w:rsidRPr="00BC2351">
        <w:rPr>
          <w:kern w:val="2"/>
          <w14:ligatures w14:val="standardContextual"/>
        </w:rPr>
        <w:tab/>
        <w:t>având în vedere Raportul privind gestiunea bugetară și financiară pentru exercițiul financiar 2023, secțiunea I – Parlamentul European</w:t>
      </w:r>
      <w:r w:rsidRPr="00BC2351">
        <w:rPr>
          <w:noProof/>
          <w:kern w:val="2"/>
          <w:vertAlign w:val="superscript"/>
          <w14:ligatures w14:val="standardContextual"/>
        </w:rPr>
        <w:footnoteReference w:id="3"/>
      </w:r>
      <w:r w:rsidRPr="00BC2351">
        <w:rPr>
          <w:kern w:val="2"/>
          <w14:ligatures w14:val="standardContextual"/>
        </w:rPr>
        <w:t>,</w:t>
      </w:r>
    </w:p>
    <w:p w14:paraId="4B3738FC" w14:textId="77777777" w:rsidR="00BC2351" w:rsidRPr="00BC2351" w:rsidRDefault="00BC2351" w:rsidP="00BC2351">
      <w:pPr>
        <w:spacing w:after="240"/>
        <w:ind w:left="567" w:hanging="567"/>
        <w:rPr>
          <w:noProof/>
          <w:kern w:val="2"/>
          <w14:ligatures w14:val="standardContextual"/>
        </w:rPr>
      </w:pPr>
      <w:r w:rsidRPr="00BC2351">
        <w:rPr>
          <w:kern w:val="2"/>
          <w14:ligatures w14:val="standardContextual"/>
        </w:rPr>
        <w:t>–</w:t>
      </w:r>
      <w:r w:rsidRPr="00BC2351">
        <w:rPr>
          <w:kern w:val="2"/>
          <w14:ligatures w14:val="standardContextual"/>
        </w:rPr>
        <w:tab/>
        <w:t>având în vedere Raportul anual al auditorului intern pentru exercițiul financiar 2023,</w:t>
      </w:r>
    </w:p>
    <w:p w14:paraId="2091EDAC" w14:textId="77777777" w:rsidR="00BC2351" w:rsidRPr="00BC2351" w:rsidRDefault="00BC2351" w:rsidP="00BC2351">
      <w:pPr>
        <w:spacing w:after="240"/>
        <w:ind w:left="567" w:hanging="567"/>
        <w:rPr>
          <w:noProof/>
          <w:kern w:val="2"/>
          <w14:ligatures w14:val="standardContextual"/>
        </w:rPr>
      </w:pPr>
      <w:r w:rsidRPr="00BC2351">
        <w:rPr>
          <w:kern w:val="2"/>
          <w14:ligatures w14:val="standardContextual"/>
        </w:rPr>
        <w:t>–</w:t>
      </w:r>
      <w:r w:rsidRPr="00BC2351">
        <w:rPr>
          <w:kern w:val="2"/>
          <w14:ligatures w14:val="standardContextual"/>
        </w:rPr>
        <w:tab/>
        <w:t>având în vedere Raportul anual al Curții de Conturi privind execuția bugetului aferent exercițiului financiar 2023, însoțit de răspunsurile instituțiilor</w:t>
      </w:r>
      <w:r w:rsidRPr="00BC2351">
        <w:rPr>
          <w:noProof/>
          <w:kern w:val="2"/>
          <w:vertAlign w:val="superscript"/>
          <w14:ligatures w14:val="standardContextual"/>
        </w:rPr>
        <w:footnoteReference w:id="4"/>
      </w:r>
      <w:r w:rsidRPr="00BC2351">
        <w:rPr>
          <w:kern w:val="2"/>
          <w14:ligatures w14:val="standardContextual"/>
        </w:rPr>
        <w:t>,</w:t>
      </w:r>
    </w:p>
    <w:p w14:paraId="195795F6" w14:textId="77777777" w:rsidR="00BC2351" w:rsidRPr="00BC2351" w:rsidRDefault="00BC2351" w:rsidP="00BC2351">
      <w:pPr>
        <w:spacing w:after="240"/>
        <w:ind w:left="567" w:hanging="567"/>
        <w:rPr>
          <w:noProof/>
          <w:kern w:val="2"/>
          <w14:ligatures w14:val="standardContextual"/>
        </w:rPr>
      </w:pPr>
      <w:r w:rsidRPr="00BC2351">
        <w:rPr>
          <w:kern w:val="2"/>
          <w14:ligatures w14:val="standardContextual"/>
        </w:rPr>
        <w:t>–</w:t>
      </w:r>
      <w:r w:rsidRPr="00BC2351">
        <w:rPr>
          <w:kern w:val="2"/>
          <w14:ligatures w14:val="standardContextual"/>
        </w:rPr>
        <w:tab/>
        <w:t>având în vedere declarația de asigurare</w:t>
      </w:r>
      <w:r w:rsidRPr="00BC2351">
        <w:rPr>
          <w:noProof/>
          <w:kern w:val="2"/>
          <w:vertAlign w:val="superscript"/>
          <w14:ligatures w14:val="standardContextual"/>
        </w:rPr>
        <w:footnoteReference w:id="5"/>
      </w:r>
      <w:r w:rsidRPr="00BC2351">
        <w:rPr>
          <w:kern w:val="2"/>
          <w14:ligatures w14:val="standardContextual"/>
        </w:rPr>
        <w:t xml:space="preserve"> privind fiabilitatea conturilor și legalitatea și regularitatea operațiunilor subiacente întocmită de Curtea de Conturi pentru exercițiul 2023 în temeiul articolului 287 din Tratatul privind funcționarea Uniunii Europene,</w:t>
      </w:r>
    </w:p>
    <w:p w14:paraId="5020B3DE" w14:textId="77777777" w:rsidR="00BC2351" w:rsidRPr="00BC2351" w:rsidRDefault="00BC2351" w:rsidP="00BC2351">
      <w:pPr>
        <w:spacing w:after="240"/>
        <w:ind w:left="567" w:hanging="567"/>
        <w:rPr>
          <w:noProof/>
          <w:kern w:val="2"/>
          <w14:ligatures w14:val="standardContextual"/>
        </w:rPr>
      </w:pPr>
      <w:r w:rsidRPr="00BC2351">
        <w:rPr>
          <w:kern w:val="2"/>
          <w14:ligatures w14:val="standardContextual"/>
        </w:rPr>
        <w:t>–</w:t>
      </w:r>
      <w:r w:rsidRPr="00BC2351">
        <w:rPr>
          <w:kern w:val="2"/>
          <w14:ligatures w14:val="standardContextual"/>
        </w:rPr>
        <w:tab/>
        <w:t>având în vedere articolul 314 alineatul (10) și articolul 318 din Tratatul privind funcționarea Uniunii Europene,</w:t>
      </w:r>
    </w:p>
    <w:p w14:paraId="11A119A7" w14:textId="77777777" w:rsidR="00BC2351" w:rsidRPr="00BC2351" w:rsidRDefault="00BC2351" w:rsidP="00BC2351">
      <w:pPr>
        <w:spacing w:after="240"/>
        <w:ind w:left="567" w:hanging="567"/>
        <w:rPr>
          <w:kern w:val="2"/>
          <w14:ligatures w14:val="standardContextual"/>
        </w:rPr>
      </w:pPr>
      <w:r w:rsidRPr="00BC2351">
        <w:rPr>
          <w:kern w:val="2"/>
          <w14:ligatures w14:val="standardContextual"/>
        </w:rPr>
        <w:t>–</w:t>
      </w:r>
      <w:r w:rsidRPr="00BC2351">
        <w:rPr>
          <w:kern w:val="2"/>
          <w14:ligatures w14:val="standardContextual"/>
        </w:rPr>
        <w:tab/>
        <w:t xml:space="preserve">având în vedere Regulamentul (UE, Euratom) 2018/1046 al Parlamentului European și </w:t>
      </w:r>
      <w:r w:rsidRPr="00BC2351">
        <w:rPr>
          <w:kern w:val="2"/>
          <w14:ligatures w14:val="standardContextual"/>
        </w:rPr>
        <w:lastRenderedPageBreak/>
        <w:t>al Consiliului din 18 iulie 2018 privind normele financiare aplicabile bugetului general al Uniunii, de modificare a Regulamentelor (UE) nr. 1296/2013, (UE) nr. 1301/2013, (UE) nr. 1303/2013, (UE) nr. 1304/2013, (UE) nr. 1309/2013, (UE) nr. 1316/2013, (UE) nr. 223/2014, (UE) nr. 283/2014 și a Deciziei nr. 541/2014/UE și de abrogare a Regulamentului (UE, Euratom) nr. 966/2012</w:t>
      </w:r>
      <w:r w:rsidRPr="00BC2351">
        <w:rPr>
          <w:kern w:val="2"/>
          <w:vertAlign w:val="superscript"/>
          <w14:ligatures w14:val="standardContextual"/>
        </w:rPr>
        <w:footnoteReference w:id="6"/>
      </w:r>
      <w:r w:rsidRPr="00BC2351">
        <w:rPr>
          <w:kern w:val="2"/>
          <w14:ligatures w14:val="standardContextual"/>
        </w:rPr>
        <w:t>, în special articolele 260, 261 și 262,</w:t>
      </w:r>
    </w:p>
    <w:p w14:paraId="6C61D283" w14:textId="77777777" w:rsidR="00BC2351" w:rsidRPr="00BC2351" w:rsidRDefault="00BC2351" w:rsidP="00BC2351">
      <w:pPr>
        <w:spacing w:after="240"/>
        <w:ind w:left="567" w:hanging="567"/>
        <w:rPr>
          <w:noProof/>
          <w:kern w:val="2"/>
          <w14:ligatures w14:val="standardContextual"/>
        </w:rPr>
      </w:pPr>
      <w:r w:rsidRPr="00BC2351">
        <w:rPr>
          <w:kern w:val="2"/>
          <w14:ligatures w14:val="standardContextual"/>
        </w:rPr>
        <w:t>–</w:t>
      </w:r>
      <w:r w:rsidRPr="00BC2351">
        <w:rPr>
          <w:kern w:val="2"/>
          <w14:ligatures w14:val="standardContextual"/>
        </w:rPr>
        <w:tab/>
        <w:t>având în vedere Regulamentul (UE, Euratom) 2024/2509 al Parlamentului European și al Consiliului din 23 septembrie 2024 privind normele financiare aplicabile bugetului general al Uniunii</w:t>
      </w:r>
      <w:r w:rsidRPr="00BC2351">
        <w:rPr>
          <w:noProof/>
          <w:kern w:val="2"/>
          <w:vertAlign w:val="superscript"/>
          <w14:ligatures w14:val="standardContextual"/>
        </w:rPr>
        <w:footnoteReference w:id="7"/>
      </w:r>
      <w:r w:rsidRPr="00BC2351">
        <w:rPr>
          <w:kern w:val="2"/>
          <w14:ligatures w14:val="standardContextual"/>
        </w:rPr>
        <w:t>, în special articolele 266, 267 și 268,</w:t>
      </w:r>
    </w:p>
    <w:p w14:paraId="7FD5EA4A" w14:textId="77777777" w:rsidR="00BC2351" w:rsidRPr="00BC2351" w:rsidRDefault="00BC2351" w:rsidP="00BC2351">
      <w:pPr>
        <w:spacing w:after="240"/>
        <w:ind w:left="567" w:hanging="567"/>
        <w:rPr>
          <w:noProof/>
          <w:kern w:val="2"/>
          <w14:ligatures w14:val="standardContextual"/>
        </w:rPr>
      </w:pPr>
      <w:r w:rsidRPr="00BC2351">
        <w:rPr>
          <w:kern w:val="2"/>
          <w14:ligatures w14:val="standardContextual"/>
        </w:rPr>
        <w:t>–</w:t>
      </w:r>
      <w:r w:rsidRPr="00BC2351">
        <w:rPr>
          <w:kern w:val="2"/>
          <w14:ligatures w14:val="standardContextual"/>
        </w:rPr>
        <w:tab/>
        <w:t>având în vedere Decizia Biroului din 10 decembrie 2018 privind normele interne privind execuția bugetului Parlamentului European, în special articolul 34,</w:t>
      </w:r>
    </w:p>
    <w:p w14:paraId="4C8A1F14" w14:textId="77777777" w:rsidR="00BC2351" w:rsidRPr="00BC2351" w:rsidRDefault="00BC2351" w:rsidP="00BC2351">
      <w:pPr>
        <w:spacing w:after="240"/>
        <w:ind w:left="567" w:hanging="567"/>
        <w:rPr>
          <w:noProof/>
          <w:kern w:val="2"/>
          <w14:ligatures w14:val="standardContextual"/>
        </w:rPr>
      </w:pPr>
      <w:r w:rsidRPr="00BC2351">
        <w:rPr>
          <w:kern w:val="2"/>
          <w14:ligatures w14:val="standardContextual"/>
        </w:rPr>
        <w:t>–</w:t>
      </w:r>
      <w:r w:rsidRPr="00BC2351">
        <w:rPr>
          <w:kern w:val="2"/>
          <w14:ligatures w14:val="standardContextual"/>
        </w:rPr>
        <w:tab/>
        <w:t>având în vedere articolul 102 și articolul 106 alineatul (3) și anexa V la Regulamentul său de procedură,</w:t>
      </w:r>
    </w:p>
    <w:p w14:paraId="69D72864" w14:textId="77777777" w:rsidR="00BC2351" w:rsidRPr="00BC2351" w:rsidRDefault="00BC2351" w:rsidP="00BC2351">
      <w:pPr>
        <w:spacing w:after="240"/>
        <w:ind w:left="567" w:hanging="567"/>
        <w:rPr>
          <w:kern w:val="2"/>
          <w14:ligatures w14:val="standardContextual"/>
        </w:rPr>
      </w:pPr>
      <w:r w:rsidRPr="00BC2351">
        <w:rPr>
          <w:kern w:val="2"/>
          <w14:ligatures w14:val="standardContextual"/>
        </w:rPr>
        <w:t>–</w:t>
      </w:r>
      <w:r w:rsidRPr="00BC2351">
        <w:rPr>
          <w:kern w:val="2"/>
          <w14:ligatures w14:val="standardContextual"/>
        </w:rPr>
        <w:tab/>
        <w:t>având în vedere avizul Comisiei pentru afaceri constituționale,</w:t>
      </w:r>
    </w:p>
    <w:p w14:paraId="7E357444" w14:textId="77777777" w:rsidR="00BC2351" w:rsidRPr="00BC2351" w:rsidRDefault="00BC2351" w:rsidP="00BC2351">
      <w:pPr>
        <w:tabs>
          <w:tab w:val="left" w:pos="-720"/>
        </w:tabs>
        <w:spacing w:after="240"/>
        <w:ind w:left="567" w:hanging="567"/>
        <w:rPr>
          <w:kern w:val="2"/>
          <w14:ligatures w14:val="standardContextual"/>
        </w:rPr>
      </w:pPr>
      <w:r w:rsidRPr="00BC2351">
        <w:rPr>
          <w:kern w:val="2"/>
          <w14:ligatures w14:val="standardContextual"/>
        </w:rPr>
        <w:t>–</w:t>
      </w:r>
      <w:r w:rsidRPr="00BC2351">
        <w:rPr>
          <w:kern w:val="2"/>
          <w14:ligatures w14:val="standardContextual"/>
        </w:rPr>
        <w:tab/>
        <w:t>având în vedere raportul Comisiei pentru control bugetar (A10-0062/2025),</w:t>
      </w:r>
    </w:p>
    <w:p w14:paraId="63BA6324" w14:textId="77777777" w:rsidR="00BC2351" w:rsidRPr="00BC2351" w:rsidRDefault="00BC2351" w:rsidP="00BC2351">
      <w:pPr>
        <w:widowControl/>
        <w:spacing w:after="240"/>
        <w:ind w:left="567" w:hanging="567"/>
        <w:rPr>
          <w:kern w:val="2"/>
          <w14:ligatures w14:val="standardContextual"/>
        </w:rPr>
      </w:pPr>
      <w:r w:rsidRPr="00BC2351">
        <w:rPr>
          <w:kern w:val="2"/>
          <w14:ligatures w14:val="standardContextual"/>
        </w:rPr>
        <w:t>A.</w:t>
      </w:r>
      <w:r w:rsidRPr="00BC2351">
        <w:rPr>
          <w:kern w:val="2"/>
          <w14:ligatures w14:val="standardContextual"/>
        </w:rPr>
        <w:tab/>
        <w:t>întrucât la 19 iunie 2024 președinta a adoptat conturile Parlamentului pentru exercițiul financiar 2023;</w:t>
      </w:r>
    </w:p>
    <w:p w14:paraId="007A4176" w14:textId="77777777" w:rsidR="00BC2351" w:rsidRPr="00BC2351" w:rsidRDefault="00BC2351" w:rsidP="00BC2351">
      <w:pPr>
        <w:widowControl/>
        <w:spacing w:after="240"/>
        <w:ind w:left="567" w:hanging="567"/>
        <w:rPr>
          <w:kern w:val="2"/>
          <w14:ligatures w14:val="standardContextual"/>
        </w:rPr>
      </w:pPr>
      <w:r w:rsidRPr="00BC2351">
        <w:rPr>
          <w:kern w:val="2"/>
          <w14:ligatures w14:val="standardContextual"/>
        </w:rPr>
        <w:t>B.</w:t>
      </w:r>
      <w:r w:rsidRPr="00BC2351">
        <w:rPr>
          <w:kern w:val="2"/>
          <w14:ligatures w14:val="standardContextual"/>
        </w:rPr>
        <w:tab/>
        <w:t>întrucât secretarul general, în calitate de ordonator de credite delegat principal, a confirmat, la 18 iunie 2024, că poate da asigurări rezonabile că resursele alocate la bugetul Parlamentului au fost utilizate în scopurile cărora le-au fost destinate și în conformitate cu principiul bunei gestiuni financiare și că procedurile de control stabilite oferă garanțiile necesare cu privire la legalitatea și regularitatea operațiunilor subiacente;</w:t>
      </w:r>
    </w:p>
    <w:p w14:paraId="6D2DF620" w14:textId="77777777" w:rsidR="00BC2351" w:rsidRPr="00BC2351" w:rsidRDefault="00BC2351" w:rsidP="00BC2351">
      <w:pPr>
        <w:widowControl/>
        <w:spacing w:after="240"/>
        <w:ind w:left="567" w:hanging="567"/>
        <w:rPr>
          <w:kern w:val="2"/>
          <w14:ligatures w14:val="standardContextual"/>
        </w:rPr>
      </w:pPr>
      <w:r w:rsidRPr="00BC2351">
        <w:rPr>
          <w:kern w:val="2"/>
          <w14:ligatures w14:val="standardContextual"/>
        </w:rPr>
        <w:t>C.</w:t>
      </w:r>
      <w:r w:rsidRPr="00BC2351">
        <w:rPr>
          <w:kern w:val="2"/>
          <w14:ligatures w14:val="standardContextual"/>
        </w:rPr>
        <w:tab/>
        <w:t>întrucât Curtea de Conturi a menționat în auditul său că, în evaluarea sa specifică privind cheltuielile administrative și de altă natură din 2023, nu a identificat deficiențe grave în rapoartele anuale de activitate ale instituțiilor și organelor pe care le-a examinat, astfel cum se cere în Regulamentul (UE, Euratom) 2018/1046,</w:t>
      </w:r>
    </w:p>
    <w:p w14:paraId="1748148D" w14:textId="0CA7DDD5" w:rsidR="00BC2351" w:rsidRPr="00BC2351" w:rsidRDefault="00BC2351" w:rsidP="00BC2351">
      <w:pPr>
        <w:spacing w:after="240"/>
        <w:ind w:left="567" w:hanging="567"/>
        <w:rPr>
          <w:noProof/>
          <w:kern w:val="2"/>
          <w14:ligatures w14:val="standardContextual"/>
        </w:rPr>
      </w:pPr>
      <w:r w:rsidRPr="00BC2351">
        <w:rPr>
          <w:kern w:val="2"/>
          <w14:ligatures w14:val="standardContextual"/>
        </w:rPr>
        <w:t>1.</w:t>
      </w:r>
      <w:r w:rsidRPr="00BC2351">
        <w:rPr>
          <w:kern w:val="2"/>
          <w14:ligatures w14:val="standardContextual"/>
        </w:rPr>
        <w:tab/>
        <w:t xml:space="preserve">acordă </w:t>
      </w:r>
      <w:r w:rsidR="001C179D">
        <w:rPr>
          <w:kern w:val="2"/>
          <w14:ligatures w14:val="standardContextual"/>
        </w:rPr>
        <w:t>P</w:t>
      </w:r>
      <w:r w:rsidRPr="00BC2351">
        <w:rPr>
          <w:kern w:val="2"/>
          <w14:ligatures w14:val="standardContextual"/>
        </w:rPr>
        <w:t>reședintei descărcarea de gestiune pentru execuția bugetului Parlamentului European aferent exercițiului financiar 2023;</w:t>
      </w:r>
    </w:p>
    <w:p w14:paraId="43492C08" w14:textId="4B2A8A51" w:rsidR="00BC2351" w:rsidRPr="00BC2351" w:rsidRDefault="00BC2351" w:rsidP="00BC2351">
      <w:pPr>
        <w:spacing w:after="240"/>
        <w:ind w:left="567" w:hanging="567"/>
        <w:rPr>
          <w:kern w:val="2"/>
          <w14:ligatures w14:val="standardContextual"/>
        </w:rPr>
      </w:pPr>
      <w:r w:rsidRPr="00BC2351">
        <w:rPr>
          <w:kern w:val="2"/>
          <w14:ligatures w14:val="standardContextual"/>
        </w:rPr>
        <w:t>2.</w:t>
      </w:r>
      <w:r w:rsidRPr="00BC2351">
        <w:rPr>
          <w:kern w:val="2"/>
          <w14:ligatures w14:val="standardContextual"/>
        </w:rPr>
        <w:tab/>
        <w:t xml:space="preserve">încredințează </w:t>
      </w:r>
      <w:r w:rsidR="001C179D">
        <w:rPr>
          <w:kern w:val="2"/>
          <w14:ligatures w14:val="standardContextual"/>
        </w:rPr>
        <w:t>P</w:t>
      </w:r>
      <w:r w:rsidRPr="00BC2351">
        <w:rPr>
          <w:kern w:val="2"/>
          <w14:ligatures w14:val="standardContextual"/>
        </w:rPr>
        <w:t xml:space="preserve">reședintei sarcina de a transmite prezenta decizie Consiliului, Comisiei și Curții de Conturi și de a asigura publicarea acesteia în </w:t>
      </w:r>
      <w:r w:rsidRPr="00BC2351">
        <w:rPr>
          <w:i/>
          <w:kern w:val="2"/>
          <w14:ligatures w14:val="standardContextual"/>
        </w:rPr>
        <w:t>Jurnalul Oficial al Uniunii Europene</w:t>
      </w:r>
      <w:r w:rsidRPr="00BC2351">
        <w:rPr>
          <w:kern w:val="2"/>
          <w14:ligatures w14:val="standardContextual"/>
        </w:rPr>
        <w:t xml:space="preserve"> (seria L).</w:t>
      </w:r>
    </w:p>
    <w:p w14:paraId="4090E182" w14:textId="77777777" w:rsidR="00BC2351" w:rsidRDefault="00BC2351" w:rsidP="00E465B6">
      <w:pPr>
        <w:rPr>
          <w:vanish/>
        </w:rPr>
      </w:pPr>
    </w:p>
    <w:sectPr w:rsidR="00BC2351" w:rsidSect="001C179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E57253" w14:textId="77777777" w:rsidR="00E465B6" w:rsidRPr="005A6800" w:rsidRDefault="00E465B6">
      <w:r w:rsidRPr="005A6800">
        <w:separator/>
      </w:r>
    </w:p>
  </w:endnote>
  <w:endnote w:type="continuationSeparator" w:id="0">
    <w:p w14:paraId="3FCF41EC" w14:textId="77777777" w:rsidR="00E465B6" w:rsidRPr="005A6800" w:rsidRDefault="00E465B6">
      <w:r w:rsidRPr="005A680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49826" w14:textId="77777777" w:rsidR="00064002" w:rsidRPr="005A680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C809F" w14:textId="77777777" w:rsidR="00064002" w:rsidRPr="005A680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09E78" w14:textId="77777777" w:rsidR="00064002" w:rsidRPr="005A680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C43CC4" w14:textId="77777777" w:rsidR="00E465B6" w:rsidRPr="005A6800" w:rsidRDefault="00E465B6">
      <w:r w:rsidRPr="005A6800">
        <w:separator/>
      </w:r>
    </w:p>
  </w:footnote>
  <w:footnote w:type="continuationSeparator" w:id="0">
    <w:p w14:paraId="6D8762B8" w14:textId="77777777" w:rsidR="00E465B6" w:rsidRPr="005A6800" w:rsidRDefault="00E465B6">
      <w:r w:rsidRPr="005A6800">
        <w:continuationSeparator/>
      </w:r>
    </w:p>
  </w:footnote>
  <w:footnote w:id="1">
    <w:p w14:paraId="54586369" w14:textId="77777777" w:rsidR="00BC2351" w:rsidRPr="00597853" w:rsidRDefault="00BC2351" w:rsidP="00BC2351">
      <w:pPr>
        <w:ind w:left="567" w:hanging="567"/>
        <w:rPr>
          <w:lang w:val="fi-FI"/>
        </w:rPr>
      </w:pPr>
      <w:r w:rsidRPr="008D1F42">
        <w:rPr>
          <w:rStyle w:val="FootnoteReference"/>
        </w:rPr>
        <w:footnoteRef/>
      </w:r>
      <w:r w:rsidRPr="00597853">
        <w:rPr>
          <w:lang w:val="fi-FI"/>
        </w:rPr>
        <w:t xml:space="preserve"> </w:t>
      </w:r>
      <w:r w:rsidRPr="00597853">
        <w:rPr>
          <w:lang w:val="fi-FI"/>
        </w:rPr>
        <w:tab/>
        <w:t xml:space="preserve">JO L 58, 23.2.2023, p. 1, ELI: </w:t>
      </w:r>
      <w:hyperlink r:id="rId1" w:tooltip="Gives access to this document through its ELI URI." w:history="1">
        <w:r w:rsidRPr="00597853">
          <w:rPr>
            <w:color w:val="0563C1"/>
            <w:u w:val="single"/>
            <w:shd w:val="clear" w:color="auto" w:fill="FFFFFF"/>
            <w:lang w:val="fi-FI"/>
          </w:rPr>
          <w:t>http://data.europa.eu/eli/budget/2023/1/oj</w:t>
        </w:r>
      </w:hyperlink>
      <w:r w:rsidRPr="00597853">
        <w:rPr>
          <w:shd w:val="clear" w:color="auto" w:fill="FFFFFF"/>
          <w:lang w:val="fi-FI"/>
        </w:rPr>
        <w:t>.</w:t>
      </w:r>
    </w:p>
  </w:footnote>
  <w:footnote w:id="2">
    <w:p w14:paraId="5DEA8B09" w14:textId="77777777" w:rsidR="00BC2351" w:rsidRPr="008D1F42" w:rsidRDefault="00BC2351" w:rsidP="00BC2351">
      <w:pPr>
        <w:pStyle w:val="FootnoteText"/>
        <w:ind w:left="567" w:hanging="567"/>
        <w:rPr>
          <w:sz w:val="24"/>
          <w:lang w:val="ro-RO"/>
        </w:rPr>
      </w:pPr>
      <w:r w:rsidRPr="008D1F42">
        <w:rPr>
          <w:rStyle w:val="FootnoteReference"/>
        </w:rPr>
        <w:footnoteRef/>
      </w:r>
      <w:r w:rsidRPr="008D1F42">
        <w:rPr>
          <w:sz w:val="24"/>
          <w:lang w:val="ro-RO"/>
        </w:rPr>
        <w:t xml:space="preserve"> </w:t>
      </w:r>
      <w:r w:rsidRPr="00DF021F">
        <w:rPr>
          <w:sz w:val="24"/>
          <w:lang w:val="ro-RO"/>
        </w:rPr>
        <w:tab/>
        <w:t xml:space="preserve">JO C, C/2024/5462, 10.10.2024, ELI: </w:t>
      </w:r>
      <w:hyperlink r:id="rId2" w:history="1">
        <w:r w:rsidRPr="00DF021F">
          <w:rPr>
            <w:rStyle w:val="Hyperlink1"/>
            <w:sz w:val="24"/>
            <w:lang w:val="ro-RO"/>
          </w:rPr>
          <w:t>http://data.europa.eu/eli/C/2024/5462/oj</w:t>
        </w:r>
      </w:hyperlink>
      <w:r w:rsidRPr="00DF021F">
        <w:rPr>
          <w:sz w:val="24"/>
          <w:shd w:val="clear" w:color="auto" w:fill="FFFFFF"/>
          <w:lang w:val="ro-RO"/>
        </w:rPr>
        <w:t>.</w:t>
      </w:r>
    </w:p>
  </w:footnote>
  <w:footnote w:id="3">
    <w:p w14:paraId="09E4B496" w14:textId="77777777" w:rsidR="00BC2351" w:rsidRPr="008D1F42" w:rsidRDefault="00BC2351" w:rsidP="00BC2351">
      <w:pPr>
        <w:pStyle w:val="FootnoteText"/>
        <w:ind w:left="567" w:hanging="567"/>
        <w:rPr>
          <w:sz w:val="24"/>
          <w:lang w:val="ro-RO"/>
        </w:rPr>
      </w:pPr>
      <w:r w:rsidRPr="008D1F42">
        <w:rPr>
          <w:rStyle w:val="FootnoteReference"/>
        </w:rPr>
        <w:footnoteRef/>
      </w:r>
      <w:r w:rsidRPr="008D1F42">
        <w:rPr>
          <w:sz w:val="24"/>
          <w:lang w:val="ro-RO"/>
        </w:rPr>
        <w:t xml:space="preserve"> </w:t>
      </w:r>
      <w:r w:rsidRPr="00DF021F">
        <w:rPr>
          <w:sz w:val="24"/>
          <w:lang w:val="ro-RO"/>
        </w:rPr>
        <w:tab/>
        <w:t xml:space="preserve">JO C, C/2024/3115, 23.5.2024, ELI: </w:t>
      </w:r>
      <w:hyperlink r:id="rId3" w:history="1">
        <w:r w:rsidRPr="00DF021F">
          <w:rPr>
            <w:rStyle w:val="Hyperlink1"/>
            <w:sz w:val="24"/>
            <w:lang w:val="ro-RO"/>
          </w:rPr>
          <w:t>http://data.europa.eu/eli/C/2024/3115/oj</w:t>
        </w:r>
      </w:hyperlink>
      <w:r w:rsidRPr="00DF021F">
        <w:rPr>
          <w:sz w:val="24"/>
          <w:shd w:val="clear" w:color="auto" w:fill="FFFFFF"/>
          <w:lang w:val="ro-RO"/>
        </w:rPr>
        <w:t>.</w:t>
      </w:r>
    </w:p>
  </w:footnote>
  <w:footnote w:id="4">
    <w:p w14:paraId="25F08994" w14:textId="77777777" w:rsidR="00BC2351" w:rsidRPr="008D1F42" w:rsidRDefault="00BC2351" w:rsidP="00BC2351">
      <w:pPr>
        <w:pStyle w:val="FootnoteText"/>
        <w:ind w:left="567" w:hanging="567"/>
        <w:rPr>
          <w:sz w:val="24"/>
          <w:lang w:val="ro-RO"/>
        </w:rPr>
      </w:pPr>
      <w:r w:rsidRPr="008D1F42">
        <w:rPr>
          <w:rStyle w:val="FootnoteReference"/>
        </w:rPr>
        <w:footnoteRef/>
      </w:r>
      <w:r w:rsidRPr="008D1F42">
        <w:rPr>
          <w:sz w:val="24"/>
          <w:lang w:val="ro-RO"/>
        </w:rPr>
        <w:t xml:space="preserve"> </w:t>
      </w:r>
      <w:r w:rsidRPr="00DF021F">
        <w:rPr>
          <w:sz w:val="24"/>
          <w:lang w:val="ro-RO"/>
        </w:rPr>
        <w:tab/>
        <w:t xml:space="preserve">JO C, C/2024/5882, 9.10.2024, ELI: </w:t>
      </w:r>
      <w:hyperlink r:id="rId4" w:history="1">
        <w:r w:rsidRPr="00DF021F">
          <w:rPr>
            <w:rStyle w:val="Hyperlink1"/>
            <w:sz w:val="24"/>
            <w:lang w:val="ro-RO"/>
          </w:rPr>
          <w:t>http://data.europa.eu/eli/C/2024/5882/oj</w:t>
        </w:r>
      </w:hyperlink>
      <w:r w:rsidRPr="00DF021F">
        <w:rPr>
          <w:sz w:val="24"/>
          <w:shd w:val="clear" w:color="auto" w:fill="FFFFFF"/>
          <w:lang w:val="ro-RO"/>
        </w:rPr>
        <w:t>.</w:t>
      </w:r>
    </w:p>
  </w:footnote>
  <w:footnote w:id="5">
    <w:p w14:paraId="17DAB741" w14:textId="77777777" w:rsidR="00BC2351" w:rsidRPr="008D1F42" w:rsidRDefault="00BC2351" w:rsidP="00BC2351">
      <w:pPr>
        <w:pStyle w:val="FootnoteText"/>
        <w:ind w:left="567" w:hanging="567"/>
        <w:rPr>
          <w:sz w:val="24"/>
          <w:lang w:val="ro-RO"/>
        </w:rPr>
      </w:pPr>
      <w:r w:rsidRPr="008D1F42">
        <w:rPr>
          <w:rStyle w:val="FootnoteReference"/>
        </w:rPr>
        <w:footnoteRef/>
      </w:r>
      <w:r w:rsidRPr="008D1F42">
        <w:rPr>
          <w:sz w:val="24"/>
          <w:lang w:val="ro-RO"/>
        </w:rPr>
        <w:t xml:space="preserve"> </w:t>
      </w:r>
      <w:r w:rsidRPr="00DF021F">
        <w:rPr>
          <w:sz w:val="24"/>
          <w:lang w:val="ro-RO"/>
        </w:rPr>
        <w:tab/>
        <w:t xml:space="preserve">JO C, C/2024/6041, 10.10.2024, ELI: </w:t>
      </w:r>
      <w:hyperlink r:id="rId5" w:history="1">
        <w:r w:rsidRPr="00DF021F">
          <w:rPr>
            <w:rStyle w:val="Hyperlink1"/>
            <w:sz w:val="24"/>
            <w:lang w:val="ro-RO"/>
          </w:rPr>
          <w:t>http://data.europa.eu/eli/C/2024/6041/oj</w:t>
        </w:r>
      </w:hyperlink>
      <w:r w:rsidRPr="00DF021F">
        <w:rPr>
          <w:sz w:val="24"/>
          <w:shd w:val="clear" w:color="auto" w:fill="FFFFFF"/>
          <w:lang w:val="ro-RO"/>
        </w:rPr>
        <w:t>.</w:t>
      </w:r>
    </w:p>
  </w:footnote>
  <w:footnote w:id="6">
    <w:p w14:paraId="3CB4ECD7" w14:textId="77777777" w:rsidR="00BC2351" w:rsidRPr="008D1F42" w:rsidRDefault="00BC2351" w:rsidP="00BC2351">
      <w:pPr>
        <w:pStyle w:val="FootnoteText"/>
        <w:ind w:left="567" w:hanging="567"/>
        <w:rPr>
          <w:sz w:val="24"/>
          <w:lang w:val="ro-RO"/>
        </w:rPr>
      </w:pPr>
      <w:r w:rsidRPr="008D1F42">
        <w:rPr>
          <w:rStyle w:val="FootnoteReference"/>
        </w:rPr>
        <w:footnoteRef/>
      </w:r>
      <w:r w:rsidRPr="008D1F42">
        <w:rPr>
          <w:sz w:val="24"/>
          <w:lang w:val="ro-RO"/>
        </w:rPr>
        <w:t xml:space="preserve"> </w:t>
      </w:r>
      <w:r w:rsidRPr="00DF021F">
        <w:rPr>
          <w:sz w:val="24"/>
          <w:lang w:val="ro-RO"/>
        </w:rPr>
        <w:tab/>
        <w:t xml:space="preserve">JO L 193, 30.7.2018, p. 1, ELI: </w:t>
      </w:r>
      <w:hyperlink r:id="rId6" w:history="1">
        <w:r w:rsidRPr="00DF021F">
          <w:rPr>
            <w:rStyle w:val="Hyperlink1"/>
            <w:sz w:val="24"/>
            <w:lang w:val="ro-RO"/>
          </w:rPr>
          <w:t>http://data.europa.eu/eli/reg/2018/1046/oj</w:t>
        </w:r>
      </w:hyperlink>
      <w:r w:rsidRPr="00DF021F">
        <w:rPr>
          <w:sz w:val="24"/>
          <w:lang w:val="ro-RO"/>
        </w:rPr>
        <w:t>.</w:t>
      </w:r>
    </w:p>
  </w:footnote>
  <w:footnote w:id="7">
    <w:p w14:paraId="03EEBEBD" w14:textId="77777777" w:rsidR="00BC2351" w:rsidRPr="008D1F42" w:rsidRDefault="00BC2351" w:rsidP="00BC2351">
      <w:pPr>
        <w:pStyle w:val="FootnoteText"/>
        <w:ind w:left="567" w:hanging="567"/>
        <w:rPr>
          <w:sz w:val="24"/>
          <w:szCs w:val="24"/>
          <w:lang w:val="ro-RO"/>
        </w:rPr>
      </w:pPr>
      <w:r w:rsidRPr="008D1F42">
        <w:rPr>
          <w:rStyle w:val="FootnoteReference"/>
        </w:rPr>
        <w:footnoteRef/>
      </w:r>
      <w:r w:rsidRPr="008D1F42">
        <w:rPr>
          <w:sz w:val="24"/>
          <w:lang w:val="ro-RO"/>
        </w:rPr>
        <w:t xml:space="preserve"> </w:t>
      </w:r>
      <w:r w:rsidRPr="00DF021F">
        <w:rPr>
          <w:sz w:val="24"/>
          <w:lang w:val="ro-RO"/>
        </w:rPr>
        <w:tab/>
        <w:t xml:space="preserve">JO L, 2024/2509, 26.9.2024, ELI: </w:t>
      </w:r>
      <w:hyperlink r:id="rId7" w:tgtFrame="_blank" w:history="1">
        <w:r w:rsidRPr="00DF021F">
          <w:rPr>
            <w:rStyle w:val="Hyperlink1"/>
            <w:sz w:val="24"/>
            <w:shd w:val="clear" w:color="auto" w:fill="FFFFFF"/>
            <w:lang w:val="ro-RO"/>
          </w:rPr>
          <w:t>http://data.europa.eu/eli/reg/2024/2509/oj</w:t>
        </w:r>
      </w:hyperlink>
      <w:r w:rsidRPr="00DF021F">
        <w:rPr>
          <w:sz w:val="24"/>
          <w:lang w:val="ro-RO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CA40F" w14:textId="77777777" w:rsidR="00064002" w:rsidRPr="005A680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44F86" w14:textId="77777777" w:rsidR="00064002" w:rsidRPr="005A680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146C8" w14:textId="77777777" w:rsidR="00064002" w:rsidRPr="005A680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32357677">
    <w:abstractNumId w:val="9"/>
  </w:num>
  <w:num w:numId="2" w16cid:durableId="2099864699">
    <w:abstractNumId w:val="9"/>
  </w:num>
  <w:num w:numId="3" w16cid:durableId="63795007">
    <w:abstractNumId w:val="7"/>
  </w:num>
  <w:num w:numId="4" w16cid:durableId="1570577631">
    <w:abstractNumId w:val="7"/>
  </w:num>
  <w:num w:numId="5" w16cid:durableId="484904695">
    <w:abstractNumId w:val="6"/>
  </w:num>
  <w:num w:numId="6" w16cid:durableId="1910193791">
    <w:abstractNumId w:val="6"/>
  </w:num>
  <w:num w:numId="7" w16cid:durableId="1021249106">
    <w:abstractNumId w:val="5"/>
  </w:num>
  <w:num w:numId="8" w16cid:durableId="352458449">
    <w:abstractNumId w:val="5"/>
  </w:num>
  <w:num w:numId="9" w16cid:durableId="1860772763">
    <w:abstractNumId w:val="4"/>
  </w:num>
  <w:num w:numId="10" w16cid:durableId="1523206612">
    <w:abstractNumId w:val="4"/>
  </w:num>
  <w:num w:numId="11" w16cid:durableId="926041572">
    <w:abstractNumId w:val="8"/>
  </w:num>
  <w:num w:numId="12" w16cid:durableId="1223833343">
    <w:abstractNumId w:val="8"/>
  </w:num>
  <w:num w:numId="13" w16cid:durableId="1113089447">
    <w:abstractNumId w:val="3"/>
  </w:num>
  <w:num w:numId="14" w16cid:durableId="1413893189">
    <w:abstractNumId w:val="3"/>
  </w:num>
  <w:num w:numId="15" w16cid:durableId="840974880">
    <w:abstractNumId w:val="2"/>
  </w:num>
  <w:num w:numId="16" w16cid:durableId="1268002471">
    <w:abstractNumId w:val="2"/>
  </w:num>
  <w:num w:numId="17" w16cid:durableId="1564441217">
    <w:abstractNumId w:val="1"/>
  </w:num>
  <w:num w:numId="18" w16cid:durableId="1729381403">
    <w:abstractNumId w:val="1"/>
  </w:num>
  <w:num w:numId="19" w16cid:durableId="1755516764">
    <w:abstractNumId w:val="0"/>
  </w:num>
  <w:num w:numId="20" w16cid:durableId="1606888248">
    <w:abstractNumId w:val="0"/>
  </w:num>
  <w:num w:numId="21" w16cid:durableId="1209679746">
    <w:abstractNumId w:val="9"/>
  </w:num>
  <w:num w:numId="22" w16cid:durableId="1684283455">
    <w:abstractNumId w:val="7"/>
  </w:num>
  <w:num w:numId="23" w16cid:durableId="1583300577">
    <w:abstractNumId w:val="6"/>
  </w:num>
  <w:num w:numId="24" w16cid:durableId="1935626380">
    <w:abstractNumId w:val="5"/>
  </w:num>
  <w:num w:numId="25" w16cid:durableId="2028209871">
    <w:abstractNumId w:val="4"/>
  </w:num>
  <w:num w:numId="26" w16cid:durableId="249967249">
    <w:abstractNumId w:val="8"/>
  </w:num>
  <w:num w:numId="27" w16cid:durableId="1347446356">
    <w:abstractNumId w:val="3"/>
  </w:num>
  <w:num w:numId="28" w16cid:durableId="312762951">
    <w:abstractNumId w:val="2"/>
  </w:num>
  <w:num w:numId="29" w16cid:durableId="878905229">
    <w:abstractNumId w:val="1"/>
  </w:num>
  <w:num w:numId="30" w16cid:durableId="360546234">
    <w:abstractNumId w:val="0"/>
  </w:num>
  <w:num w:numId="31" w16cid:durableId="1587114133">
    <w:abstractNumId w:val="9"/>
  </w:num>
  <w:num w:numId="32" w16cid:durableId="1664358313">
    <w:abstractNumId w:val="7"/>
  </w:num>
  <w:num w:numId="33" w16cid:durableId="1987511657">
    <w:abstractNumId w:val="6"/>
  </w:num>
  <w:num w:numId="34" w16cid:durableId="1156259863">
    <w:abstractNumId w:val="5"/>
  </w:num>
  <w:num w:numId="35" w16cid:durableId="854616189">
    <w:abstractNumId w:val="4"/>
  </w:num>
  <w:num w:numId="36" w16cid:durableId="1140541045">
    <w:abstractNumId w:val="8"/>
  </w:num>
  <w:num w:numId="37" w16cid:durableId="1812358142">
    <w:abstractNumId w:val="3"/>
  </w:num>
  <w:num w:numId="38" w16cid:durableId="1700350432">
    <w:abstractNumId w:val="2"/>
  </w:num>
  <w:num w:numId="39" w16cid:durableId="745453">
    <w:abstractNumId w:val="1"/>
  </w:num>
  <w:num w:numId="40" w16cid:durableId="1342269924">
    <w:abstractNumId w:val="0"/>
  </w:num>
  <w:num w:numId="41" w16cid:durableId="427970320">
    <w:abstractNumId w:val="10"/>
  </w:num>
  <w:num w:numId="42" w16cid:durableId="2000619912">
    <w:abstractNumId w:val="10"/>
  </w:num>
  <w:num w:numId="43" w16cid:durableId="830634124">
    <w:abstractNumId w:val="10"/>
  </w:num>
  <w:num w:numId="44" w16cid:durableId="18535682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62/2025"/>
    <w:docVar w:name="dvlangue" w:val="RO"/>
    <w:docVar w:name="dvnumam" w:val="0"/>
    <w:docVar w:name="dvpe" w:val="764.999"/>
    <w:docVar w:name="dvrapporteur" w:val="Raportoare: "/>
    <w:docVar w:name="dvtitre" w:val="Decizia Parlamentului European din 7 mai 2025 privind descărcarea de gestiune pentru execuția bugetului general al Uniunii Europene aferent exercițiului financiar 2023, secțiunea I - Parlamentul European(2024/2020(DEC))"/>
  </w:docVars>
  <w:rsids>
    <w:rsidRoot w:val="00E465B6"/>
    <w:rsid w:val="00002272"/>
    <w:rsid w:val="00033164"/>
    <w:rsid w:val="00064002"/>
    <w:rsid w:val="000677B9"/>
    <w:rsid w:val="00070A6A"/>
    <w:rsid w:val="000831BA"/>
    <w:rsid w:val="000A42CC"/>
    <w:rsid w:val="000B48F9"/>
    <w:rsid w:val="000E7DD9"/>
    <w:rsid w:val="0010095E"/>
    <w:rsid w:val="00125B37"/>
    <w:rsid w:val="00156F6C"/>
    <w:rsid w:val="00187494"/>
    <w:rsid w:val="001C179D"/>
    <w:rsid w:val="001F32AE"/>
    <w:rsid w:val="002767FF"/>
    <w:rsid w:val="002B18FE"/>
    <w:rsid w:val="002B5493"/>
    <w:rsid w:val="00343214"/>
    <w:rsid w:val="00360C3C"/>
    <w:rsid w:val="00361C00"/>
    <w:rsid w:val="00395FA1"/>
    <w:rsid w:val="003E15D4"/>
    <w:rsid w:val="00411CCE"/>
    <w:rsid w:val="004138C5"/>
    <w:rsid w:val="0041666E"/>
    <w:rsid w:val="00421060"/>
    <w:rsid w:val="00455E11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680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03DA"/>
    <w:rsid w:val="00786EC0"/>
    <w:rsid w:val="007A507B"/>
    <w:rsid w:val="007D1690"/>
    <w:rsid w:val="007E22AD"/>
    <w:rsid w:val="00817416"/>
    <w:rsid w:val="00842779"/>
    <w:rsid w:val="00865F67"/>
    <w:rsid w:val="00881A7B"/>
    <w:rsid w:val="008840E5"/>
    <w:rsid w:val="00887B3E"/>
    <w:rsid w:val="00897505"/>
    <w:rsid w:val="008C2AC6"/>
    <w:rsid w:val="009247EF"/>
    <w:rsid w:val="00930C23"/>
    <w:rsid w:val="0093193B"/>
    <w:rsid w:val="009509D8"/>
    <w:rsid w:val="00950B64"/>
    <w:rsid w:val="00981893"/>
    <w:rsid w:val="00997C4E"/>
    <w:rsid w:val="00A1687D"/>
    <w:rsid w:val="00A379F2"/>
    <w:rsid w:val="00A43E52"/>
    <w:rsid w:val="00A4678D"/>
    <w:rsid w:val="00A67AD5"/>
    <w:rsid w:val="00A778C7"/>
    <w:rsid w:val="00AB441E"/>
    <w:rsid w:val="00AB6293"/>
    <w:rsid w:val="00AE0928"/>
    <w:rsid w:val="00AF3B82"/>
    <w:rsid w:val="00B12E95"/>
    <w:rsid w:val="00B22876"/>
    <w:rsid w:val="00B558F0"/>
    <w:rsid w:val="00B9221D"/>
    <w:rsid w:val="00BC235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65B6"/>
    <w:rsid w:val="00E820A4"/>
    <w:rsid w:val="00EB006A"/>
    <w:rsid w:val="00EB4772"/>
    <w:rsid w:val="00ED169E"/>
    <w:rsid w:val="00ED4235"/>
    <w:rsid w:val="00F01DCC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3D0D7A"/>
  <w15:chartTrackingRefBased/>
  <w15:docId w15:val="{C2AEDFA7-BDDD-46B9-BF80-EC795AFD3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A379F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A379F2"/>
    <w:pPr>
      <w:spacing w:before="480" w:after="240"/>
    </w:pPr>
  </w:style>
  <w:style w:type="paragraph" w:customStyle="1" w:styleId="PageHeading">
    <w:name w:val="PageHeading"/>
    <w:basedOn w:val="Normal"/>
    <w:rsid w:val="00A379F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A379F2"/>
    <w:pPr>
      <w:spacing w:after="240"/>
      <w:ind w:left="567" w:hanging="567"/>
    </w:pPr>
  </w:style>
  <w:style w:type="paragraph" w:customStyle="1" w:styleId="EPFooter">
    <w:name w:val="EPFooter"/>
    <w:basedOn w:val="Normal"/>
    <w:rsid w:val="00A379F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rsid w:val="00A379F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379F2"/>
    <w:rPr>
      <w:sz w:val="24"/>
      <w:lang w:val="ro-RO"/>
    </w:rPr>
  </w:style>
  <w:style w:type="character" w:styleId="Hyperlink">
    <w:name w:val="Hyperlink"/>
    <w:basedOn w:val="DefaultParagraphFont"/>
    <w:uiPriority w:val="99"/>
    <w:rsid w:val="00A379F2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A379F2"/>
    <w:rPr>
      <w:sz w:val="24"/>
      <w:lang w:val="ro-RO"/>
    </w:rPr>
  </w:style>
  <w:style w:type="character" w:customStyle="1" w:styleId="Hyperlink1">
    <w:name w:val="Hyperlink1"/>
    <w:basedOn w:val="DefaultParagraphFont"/>
    <w:uiPriority w:val="99"/>
    <w:rsid w:val="00BC2351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BC23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C2351"/>
    <w:pPr>
      <w:widowControl/>
      <w:jc w:val="both"/>
    </w:pPr>
    <w:rPr>
      <w:rFonts w:eastAsia="Aptos"/>
      <w:kern w:val="2"/>
      <w:sz w:val="20"/>
      <w:lang w:val="en-GB" w:eastAsia="en-US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C2351"/>
    <w:rPr>
      <w:rFonts w:eastAsia="Aptos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3115/oj" TargetMode="External"/><Relationship Id="rId7" Type="http://schemas.openxmlformats.org/officeDocument/2006/relationships/hyperlink" Target="http://data.europa.eu/eli/reg/2024/2509/oj" TargetMode="External"/><Relationship Id="rId2" Type="http://schemas.openxmlformats.org/officeDocument/2006/relationships/hyperlink" Target="http://data.europa.eu/eli/C/2024/5462/oj" TargetMode="External"/><Relationship Id="rId1" Type="http://schemas.openxmlformats.org/officeDocument/2006/relationships/hyperlink" Target="http://data.europa.eu/eli/budget/2023/1/oj" TargetMode="External"/><Relationship Id="rId6" Type="http://schemas.openxmlformats.org/officeDocument/2006/relationships/hyperlink" Target="http://data.europa.eu/eli/reg/2018/1046/oj" TargetMode="External"/><Relationship Id="rId5" Type="http://schemas.openxmlformats.org/officeDocument/2006/relationships/hyperlink" Target="http://data.europa.eu/eli/C/2024/6041/oj" TargetMode="External"/><Relationship Id="rId4" Type="http://schemas.openxmlformats.org/officeDocument/2006/relationships/hyperlink" Target="http://data.europa.eu/eli/C/2024/588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70D734-0A5E-4835-B1C8-AA07EFAFF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512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GHERMAN Laura</dc:creator>
  <cp:keywords/>
  <cp:lastModifiedBy>GHERMAN Laura-Mirona</cp:lastModifiedBy>
  <cp:revision>2</cp:revision>
  <cp:lastPrinted>2004-11-19T15:42:00Z</cp:lastPrinted>
  <dcterms:created xsi:type="dcterms:W3CDTF">2025-12-05T11:19:00Z</dcterms:created>
  <dcterms:modified xsi:type="dcterms:W3CDTF">2025-12-05T11:19:00Z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P10_TA(2025)0078_</vt:lpwstr>
  </property>
  <property fmtid="{D5CDD505-2E9C-101B-9397-08002B2CF9AE}" pid="4" name="&lt;Type&gt;">
    <vt:lpwstr>RR</vt:lpwstr>
  </property>
</Properties>
</file>