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1525" w:rsidTr="0010095E">
        <w:trPr>
          <w:trHeight w:hRule="exact" w:val="1418"/>
        </w:trPr>
        <w:tc>
          <w:tcPr>
            <w:tcW w:w="6804" w:type="dxa"/>
            <w:shd w:val="clear" w:color="auto" w:fill="auto"/>
            <w:vAlign w:val="center"/>
          </w:tcPr>
          <w:p w:rsidR="00751A4A" w:rsidRPr="00831525" w:rsidRDefault="007A7DF5" w:rsidP="0010095E">
            <w:pPr>
              <w:pStyle w:val="EPName"/>
            </w:pPr>
            <w:bookmarkStart w:id="0" w:name="_GoBack"/>
            <w:bookmarkEnd w:id="0"/>
            <w:r w:rsidRPr="00831525">
              <w:t>Ευρωπαϊκό Κοινοβούλιο</w:t>
            </w:r>
          </w:p>
          <w:p w:rsidR="00751A4A" w:rsidRPr="00831525" w:rsidRDefault="005F1B17" w:rsidP="005F1B17">
            <w:pPr>
              <w:pStyle w:val="EPTerm"/>
              <w:rPr>
                <w:rStyle w:val="HideTWBExt"/>
                <w:noProof w:val="0"/>
                <w:vanish w:val="0"/>
                <w:color w:val="auto"/>
              </w:rPr>
            </w:pPr>
            <w:r w:rsidRPr="00831525">
              <w:t>2024</w:t>
            </w:r>
            <w:r w:rsidR="00817416" w:rsidRPr="00831525">
              <w:t>-202</w:t>
            </w:r>
            <w:r w:rsidRPr="00831525">
              <w:t>9</w:t>
            </w:r>
          </w:p>
        </w:tc>
        <w:tc>
          <w:tcPr>
            <w:tcW w:w="2268" w:type="dxa"/>
            <w:shd w:val="clear" w:color="auto" w:fill="auto"/>
          </w:tcPr>
          <w:p w:rsidR="00751A4A" w:rsidRPr="00831525" w:rsidRDefault="00187494" w:rsidP="0010095E">
            <w:pPr>
              <w:pStyle w:val="EPLogo"/>
            </w:pPr>
            <w:r w:rsidRPr="008315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1525" w:rsidRDefault="00D058B8" w:rsidP="004C5D52">
      <w:pPr>
        <w:pStyle w:val="LineTop"/>
      </w:pPr>
    </w:p>
    <w:p w:rsidR="00680577" w:rsidRPr="00831525" w:rsidRDefault="007A7DF5" w:rsidP="00680577">
      <w:pPr>
        <w:pStyle w:val="EPBodyTA1"/>
      </w:pPr>
      <w:r w:rsidRPr="00831525">
        <w:t>ΚΕΙΜΕΝΑ ΠΟΥ ΕΓΚΡΙΘΗΚΑΝ</w:t>
      </w:r>
    </w:p>
    <w:p w:rsidR="00D058B8" w:rsidRPr="00831525" w:rsidRDefault="00D058B8" w:rsidP="00D058B8">
      <w:pPr>
        <w:pStyle w:val="LineBottom"/>
      </w:pPr>
    </w:p>
    <w:p w:rsidR="007A7DF5" w:rsidRPr="00831525" w:rsidRDefault="007A7DF5" w:rsidP="007A7DF5">
      <w:pPr>
        <w:pStyle w:val="ATHeading1"/>
      </w:pPr>
      <w:bookmarkStart w:id="1" w:name="TANumber"/>
      <w:r w:rsidRPr="00831525">
        <w:t>P10_TA(2025)00</w:t>
      </w:r>
      <w:r w:rsidR="00581233" w:rsidRPr="00831525">
        <w:t>79</w:t>
      </w:r>
      <w:bookmarkEnd w:id="1"/>
    </w:p>
    <w:p w:rsidR="007A7DF5" w:rsidRPr="00831525" w:rsidRDefault="0067553C" w:rsidP="007A7DF5">
      <w:pPr>
        <w:pStyle w:val="ATHeading2"/>
      </w:pPr>
      <w:bookmarkStart w:id="2" w:name="title"/>
      <w:r w:rsidRPr="00831525">
        <w:t xml:space="preserve">Απαλλαγή 2023: Γενικός προϋπολογισμός της ΕΕ </w:t>
      </w:r>
      <w:r w:rsidR="00F33976" w:rsidRPr="00831525">
        <w:t>–</w:t>
      </w:r>
      <w:r w:rsidRPr="00831525">
        <w:t xml:space="preserve"> Ευρωπαϊκό Συμβούλιο και Συμβούλιο</w:t>
      </w:r>
      <w:bookmarkEnd w:id="2"/>
    </w:p>
    <w:p w:rsidR="007A7DF5" w:rsidRPr="00831525" w:rsidRDefault="007A7DF5" w:rsidP="007A7DF5">
      <w:pPr>
        <w:rPr>
          <w:i/>
          <w:vanish/>
        </w:rPr>
      </w:pPr>
      <w:r w:rsidRPr="00831525">
        <w:rPr>
          <w:i/>
        </w:rPr>
        <w:fldChar w:fldCharType="begin"/>
      </w:r>
      <w:r w:rsidRPr="00831525">
        <w:rPr>
          <w:i/>
        </w:rPr>
        <w:instrText xml:space="preserve"> TC"(</w:instrText>
      </w:r>
      <w:bookmarkStart w:id="3" w:name="DocNumber"/>
      <w:r w:rsidRPr="00831525">
        <w:rPr>
          <w:i/>
        </w:rPr>
        <w:instrText>A10-0052/2025</w:instrText>
      </w:r>
      <w:bookmarkEnd w:id="3"/>
      <w:r w:rsidRPr="00831525">
        <w:rPr>
          <w:i/>
        </w:rPr>
        <w:instrText xml:space="preserve"> - Εισηγητής: Joachim Stanisław Brudziński)"\l3 \n&gt; \* MERGEFORMAT </w:instrText>
      </w:r>
      <w:r w:rsidRPr="00831525">
        <w:rPr>
          <w:i/>
        </w:rPr>
        <w:fldChar w:fldCharType="end"/>
      </w:r>
    </w:p>
    <w:p w:rsidR="007A7DF5" w:rsidRPr="00831525" w:rsidRDefault="007A7DF5" w:rsidP="007A7DF5">
      <w:pPr>
        <w:rPr>
          <w:vanish/>
        </w:rPr>
      </w:pPr>
      <w:bookmarkStart w:id="4" w:name="Commission"/>
      <w:r w:rsidRPr="00831525">
        <w:rPr>
          <w:vanish/>
        </w:rPr>
        <w:t>Επιτροπή Ελέγχου του Προϋπολογισμού</w:t>
      </w:r>
      <w:bookmarkEnd w:id="4"/>
    </w:p>
    <w:p w:rsidR="007A7DF5" w:rsidRPr="00831525" w:rsidRDefault="007A7DF5" w:rsidP="007A7DF5">
      <w:pPr>
        <w:rPr>
          <w:vanish/>
        </w:rPr>
      </w:pPr>
      <w:bookmarkStart w:id="5" w:name="PE"/>
      <w:r w:rsidRPr="00831525">
        <w:rPr>
          <w:vanish/>
        </w:rPr>
        <w:t>PE764.997</w:t>
      </w:r>
      <w:bookmarkEnd w:id="5"/>
    </w:p>
    <w:p w:rsidR="007A7DF5" w:rsidRPr="00831525" w:rsidRDefault="00402E62" w:rsidP="007A7DF5">
      <w:pPr>
        <w:pStyle w:val="ATHeading3"/>
      </w:pPr>
      <w:bookmarkStart w:id="6" w:name="Sujet"/>
      <w:r w:rsidRPr="00831525">
        <w:t>1. Α</w:t>
      </w:r>
      <w:r w:rsidR="007A7DF5" w:rsidRPr="00831525">
        <w:t>πόφαση του Ευρωπαϊκού Κοινοβουλίου</w:t>
      </w:r>
      <w:r w:rsidRPr="00831525">
        <w:t xml:space="preserve"> της </w:t>
      </w:r>
      <w:r w:rsidR="0067553C" w:rsidRPr="00831525">
        <w:t>7</w:t>
      </w:r>
      <w:r w:rsidRPr="00831525">
        <w:t>ης Μαΐου 2025</w:t>
      </w:r>
      <w:r w:rsidR="007A7DF5" w:rsidRPr="00831525">
        <w:t xml:space="preserve">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w:t>
      </w:r>
      <w:bookmarkEnd w:id="6"/>
      <w:r w:rsidR="007A7DF5" w:rsidRPr="00831525">
        <w:t xml:space="preserve"> </w:t>
      </w:r>
      <w:bookmarkStart w:id="7" w:name="References"/>
      <w:r w:rsidR="007A7DF5" w:rsidRPr="00831525">
        <w:t>(2024/2021(DEC))</w:t>
      </w:r>
      <w:bookmarkEnd w:id="7"/>
    </w:p>
    <w:p w:rsidR="00A1312A" w:rsidRPr="00831525" w:rsidRDefault="00A1312A" w:rsidP="00A1312A">
      <w:pPr>
        <w:pStyle w:val="EPComma"/>
      </w:pPr>
      <w:bookmarkStart w:id="8" w:name="TextBodyBegin"/>
      <w:bookmarkEnd w:id="8"/>
      <w:r w:rsidRPr="00831525">
        <w:rPr>
          <w:i/>
        </w:rPr>
        <w:t>Το Ευρωπαϊκό Κοινοβούλιο</w:t>
      </w:r>
      <w:r w:rsidRPr="00831525">
        <w:t>,</w:t>
      </w:r>
    </w:p>
    <w:p w:rsidR="00A1312A" w:rsidRPr="00831525" w:rsidRDefault="00A1312A" w:rsidP="00402E62">
      <w:pPr>
        <w:pStyle w:val="NormalHanging12a"/>
        <w:widowControl/>
      </w:pPr>
      <w:r w:rsidRPr="00831525">
        <w:t>–</w:t>
      </w:r>
      <w:r w:rsidRPr="00831525">
        <w:tab/>
        <w:t>έχοντας υπόψη τον γενικό προϋπολογισμό της Ευρωπαϊκής Ένωσης για το οικονομικό έτος 2023</w:t>
      </w:r>
      <w:r w:rsidRPr="00831525">
        <w:rPr>
          <w:rStyle w:val="FootnoteReference"/>
        </w:rPr>
        <w:footnoteReference w:id="1"/>
      </w:r>
      <w:r w:rsidRPr="00831525">
        <w:t>,</w:t>
      </w:r>
    </w:p>
    <w:p w:rsidR="00A1312A" w:rsidRPr="00831525" w:rsidRDefault="00A1312A" w:rsidP="00402E62">
      <w:pPr>
        <w:pStyle w:val="NormalHanging12a"/>
        <w:widowControl/>
      </w:pPr>
      <w:r w:rsidRPr="00831525">
        <w:t>–</w:t>
      </w:r>
      <w:r w:rsidRPr="00831525">
        <w:tab/>
        <w:t>έχοντας υπόψη τους ενοποιημένους ετήσιους λογαριασμούς της Ευρωπαϊκής Ένωσης για το οικονομικό έτος 2023 (COM(2024)0272 – C10</w:t>
      </w:r>
      <w:r w:rsidRPr="00831525">
        <w:noBreakHyphen/>
        <w:t>0069/2024)</w:t>
      </w:r>
      <w:r w:rsidRPr="00831525">
        <w:rPr>
          <w:rStyle w:val="FootnoteReference"/>
        </w:rPr>
        <w:footnoteReference w:id="2"/>
      </w:r>
      <w:r w:rsidRPr="00831525">
        <w:t>,</w:t>
      </w:r>
    </w:p>
    <w:p w:rsidR="00A1312A" w:rsidRPr="00831525" w:rsidRDefault="00A1312A" w:rsidP="00402E62">
      <w:pPr>
        <w:pStyle w:val="NormalHanging12a"/>
        <w:widowControl/>
      </w:pPr>
      <w:r w:rsidRPr="00831525">
        <w:t>–</w:t>
      </w:r>
      <w:r w:rsidRPr="00831525">
        <w:tab/>
        <w:t>έχοντας υπόψη τις ετήσιες εκθέσεις του Συμβουλίου για το 2023,</w:t>
      </w:r>
    </w:p>
    <w:p w:rsidR="00A1312A" w:rsidRPr="00831525" w:rsidRDefault="00A1312A" w:rsidP="00402E62">
      <w:pPr>
        <w:pStyle w:val="NormalHanging12a"/>
        <w:widowControl/>
      </w:pPr>
      <w:r w:rsidRPr="00831525">
        <w:t>–</w:t>
      </w:r>
      <w:r w:rsidRPr="00831525">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831525">
        <w:rPr>
          <w:rStyle w:val="FootnoteReference"/>
        </w:rPr>
        <w:footnoteReference w:id="3"/>
      </w:r>
      <w:r w:rsidRPr="00831525">
        <w:t>,</w:t>
      </w:r>
    </w:p>
    <w:p w:rsidR="00A1312A" w:rsidRPr="00831525" w:rsidRDefault="00A1312A" w:rsidP="00402E62">
      <w:pPr>
        <w:pStyle w:val="NormalHanging12a"/>
        <w:widowControl/>
      </w:pPr>
      <w:r w:rsidRPr="00831525">
        <w:t>–</w:t>
      </w:r>
      <w:r w:rsidRPr="00831525">
        <w:tab/>
        <w:t>έχοντας υπόψη τη δήλωση αξιοπιστίας</w:t>
      </w:r>
      <w:r w:rsidRPr="00831525">
        <w:rPr>
          <w:rStyle w:val="FootnoteReference"/>
        </w:rPr>
        <w:footnoteReference w:id="4"/>
      </w:r>
      <w:r w:rsidRPr="00831525">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1312A" w:rsidRPr="00831525" w:rsidRDefault="00A1312A" w:rsidP="00402E62">
      <w:pPr>
        <w:pStyle w:val="NormalHanging12a"/>
        <w:widowControl/>
      </w:pPr>
      <w:r w:rsidRPr="00831525">
        <w:t>–</w:t>
      </w:r>
      <w:r w:rsidRPr="00831525">
        <w:tab/>
        <w:t>έχοντας υπόψη το άρθρο 314 παράγραφος 10 και τα άρθρα 317, 318 και 319 της Συνθήκης για τη λειτουργία της Ευρωπαϊκής Ένωσης,</w:t>
      </w:r>
    </w:p>
    <w:p w:rsidR="00A1312A" w:rsidRPr="00831525" w:rsidRDefault="00A1312A" w:rsidP="00402E62">
      <w:pPr>
        <w:pStyle w:val="NormalHanging12a"/>
        <w:widowControl/>
      </w:pPr>
      <w:r w:rsidRPr="00831525">
        <w:t>–</w:t>
      </w:r>
      <w:r w:rsidRPr="00831525">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831525">
        <w:lastRenderedPageBreak/>
        <w:t>την κατάργηση του κανονισμού (ΕΕ, Ευρατόμ) αριθ. 966/2012</w:t>
      </w:r>
      <w:r w:rsidRPr="00831525">
        <w:rPr>
          <w:rStyle w:val="FootnoteReference"/>
        </w:rPr>
        <w:footnoteReference w:id="5"/>
      </w:r>
      <w:r w:rsidRPr="00831525">
        <w:t>, και ιδίως τα άρθρα 59, 118, 260, 261 και 262,</w:t>
      </w:r>
    </w:p>
    <w:p w:rsidR="00A1312A" w:rsidRPr="00831525" w:rsidRDefault="00A1312A" w:rsidP="00402E62">
      <w:pPr>
        <w:pStyle w:val="NormalHanging12a"/>
        <w:widowControl/>
      </w:pPr>
      <w:r w:rsidRPr="00831525">
        <w:t>–</w:t>
      </w:r>
      <w:r w:rsidRPr="00831525">
        <w:tab/>
        <w:t xml:space="preserve">έχοντας υπόψη τον </w:t>
      </w:r>
      <w:r w:rsidRPr="00831525">
        <w:rPr>
          <w:color w:val="333333"/>
          <w:shd w:val="clear" w:color="auto" w:fill="FFFFFF"/>
        </w:rPr>
        <w:t>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31525">
        <w:rPr>
          <w:rStyle w:val="FootnoteReference"/>
          <w:bCs/>
          <w:color w:val="333333"/>
          <w:szCs w:val="24"/>
          <w:shd w:val="clear" w:color="auto" w:fill="FFFFFF"/>
        </w:rPr>
        <w:footnoteReference w:id="6"/>
      </w:r>
      <w:r w:rsidRPr="00831525">
        <w:rPr>
          <w:color w:val="333333"/>
          <w:shd w:val="clear" w:color="auto" w:fill="FFFFFF"/>
        </w:rPr>
        <w:t>, και ιδίως τα άρθρα 59, 118, 266, 267 και 268</w:t>
      </w:r>
      <w:r w:rsidRPr="00831525">
        <w:t>,</w:t>
      </w:r>
    </w:p>
    <w:p w:rsidR="00A1312A" w:rsidRPr="00831525" w:rsidRDefault="00A1312A" w:rsidP="00402E62">
      <w:pPr>
        <w:pStyle w:val="NormalHanging12a"/>
        <w:widowControl/>
      </w:pPr>
      <w:r w:rsidRPr="00831525">
        <w:t>–</w:t>
      </w:r>
      <w:r w:rsidRPr="00831525">
        <w:tab/>
        <w:t>έχοντας υπόψη το άρθρο 102 και το παράρτημα V του Κανονισμού του,</w:t>
      </w:r>
    </w:p>
    <w:p w:rsidR="00A1312A" w:rsidRPr="00831525" w:rsidRDefault="00A1312A" w:rsidP="00402E62">
      <w:pPr>
        <w:pStyle w:val="NormalHanging12a"/>
        <w:widowControl/>
      </w:pPr>
      <w:r w:rsidRPr="00831525">
        <w:t>–</w:t>
      </w:r>
      <w:r w:rsidRPr="00831525">
        <w:tab/>
        <w:t>έχοντας υπόψη τη γνωμοδότηση της Επιτροπής Συνταγματικών Υποθέσεων,</w:t>
      </w:r>
    </w:p>
    <w:p w:rsidR="00A1312A" w:rsidRPr="00831525" w:rsidRDefault="00A1312A" w:rsidP="00402E62">
      <w:pPr>
        <w:pStyle w:val="NormalHanging12a"/>
        <w:widowControl/>
      </w:pPr>
      <w:r w:rsidRPr="00831525">
        <w:t>–</w:t>
      </w:r>
      <w:r w:rsidRPr="00831525">
        <w:tab/>
        <w:t>έχοντας υπόψη την έκθεση της Επιτροπής Ελέγχου του Προϋπολογισμού (A10-0052/2025),</w:t>
      </w:r>
    </w:p>
    <w:p w:rsidR="00A1312A" w:rsidRPr="00831525" w:rsidRDefault="00A1312A" w:rsidP="00402E62">
      <w:pPr>
        <w:pStyle w:val="NormalHanging12a"/>
        <w:widowControl/>
      </w:pPr>
      <w:r w:rsidRPr="00831525">
        <w:t>1.</w:t>
      </w:r>
      <w:r w:rsidRPr="00831525">
        <w:tab/>
        <w:t>αναβάλλει την απόφασή του για τη χορήγηση απαλλαγής στ</w:t>
      </w:r>
      <w:r w:rsidR="0067553C" w:rsidRPr="00831525">
        <w:t>η</w:t>
      </w:r>
      <w:r w:rsidRPr="00831525">
        <w:t xml:space="preserve"> Γενικ</w:t>
      </w:r>
      <w:r w:rsidR="0067553C" w:rsidRPr="00831525">
        <w:t>ή</w:t>
      </w:r>
      <w:r w:rsidRPr="00831525">
        <w:t xml:space="preserve"> Γραμματέα του Συμβουλίου όσον αφορά την εκτέλεση του προϋπολογισμού του Ευρωπαϊκού Συμβουλίου και του Συμβουλίου για το οικονομικό έτος 2023·</w:t>
      </w:r>
    </w:p>
    <w:p w:rsidR="00A1312A" w:rsidRPr="00831525" w:rsidRDefault="00A1312A" w:rsidP="00402E62">
      <w:pPr>
        <w:pStyle w:val="NormalHanging12a"/>
        <w:widowControl/>
      </w:pPr>
      <w:r w:rsidRPr="00831525">
        <w:t>2.</w:t>
      </w:r>
      <w:r w:rsidRPr="00831525">
        <w:tab/>
        <w:t>εκθέτει τις παρατηρήσεις του στο ψήφισμα που ακολουθεί·</w:t>
      </w:r>
    </w:p>
    <w:p w:rsidR="00A1312A" w:rsidRPr="00831525" w:rsidRDefault="00A1312A" w:rsidP="00402E62">
      <w:pPr>
        <w:pStyle w:val="NormalHanging12a"/>
        <w:widowControl/>
      </w:pPr>
      <w:r w:rsidRPr="00831525">
        <w:t>3.</w:t>
      </w:r>
      <w:r w:rsidRPr="00831525">
        <w:tab/>
        <w:t xml:space="preserve">αναθέτει στην Πρόεδρό του να διαβιβάσει την παρούσα απόφαση και το ψήφισμα που αποτελεί αναπόσπαστο μέρος της στο Ευρωπαϊκό Συμβούλιο, στο Συμβούλιο, στην Επιτροπή, στην Ευρωπαία Διαμεσολαβήτρια, στον Ευρωπαίο Επόπτη Προστασίας Δεδομένων και στο Ελεγκτικό Συνέδριο, και να μεριμνήσει για τη δημοσίευσή τους στην </w:t>
      </w:r>
      <w:r w:rsidRPr="00831525">
        <w:rPr>
          <w:i/>
        </w:rPr>
        <w:t>Επίσημη Εφημερίδα της Ευρωπαϊκής Ένωσης</w:t>
      </w:r>
      <w:r w:rsidRPr="00831525">
        <w:t xml:space="preserve"> (σειρά L).</w:t>
      </w:r>
    </w:p>
    <w:p w:rsidR="00A1312A" w:rsidRPr="00831525" w:rsidRDefault="00A1312A" w:rsidP="00A1312A"/>
    <w:p w:rsidR="00A1312A" w:rsidRPr="00831525" w:rsidRDefault="00A1312A" w:rsidP="00A1312A">
      <w:pPr>
        <w:widowControl/>
        <w:rPr>
          <w:rFonts w:ascii="Arial" w:hAnsi="Arial" w:cs="Arial"/>
          <w:b/>
        </w:rPr>
        <w:sectPr w:rsidR="00A1312A" w:rsidRPr="00831525" w:rsidSect="00CC1CF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1312A" w:rsidRPr="00831525" w:rsidRDefault="00A1312A" w:rsidP="00581233">
      <w:pPr>
        <w:pStyle w:val="ATHeading3"/>
      </w:pPr>
      <w:bookmarkStart w:id="9" w:name="_Toc195628102"/>
      <w:r w:rsidRPr="00831525">
        <w:lastRenderedPageBreak/>
        <w:t xml:space="preserve">2. </w:t>
      </w:r>
      <w:r w:rsidR="00402E62" w:rsidRPr="00831525">
        <w:t xml:space="preserve">Ψήφισμα του Ευρωπαϊκού Κοινοβουλίου της </w:t>
      </w:r>
      <w:r w:rsidR="0067553C" w:rsidRPr="00831525">
        <w:t>7</w:t>
      </w:r>
      <w:r w:rsidR="00402E62" w:rsidRPr="00831525">
        <w:t xml:space="preserve">ης Μαΐου 2025 </w:t>
      </w:r>
      <w:bookmarkEnd w:id="9"/>
      <w:r w:rsidRPr="00831525">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w:t>
      </w:r>
      <w:r w:rsidR="00402E62" w:rsidRPr="00831525">
        <w:t xml:space="preserve"> </w:t>
      </w:r>
      <w:r w:rsidRPr="00831525">
        <w:t>(2024/2021(DEC))</w:t>
      </w:r>
    </w:p>
    <w:p w:rsidR="00A1312A" w:rsidRPr="00831525" w:rsidRDefault="00A1312A" w:rsidP="00A1312A">
      <w:pPr>
        <w:pStyle w:val="EPComma"/>
      </w:pPr>
      <w:r w:rsidRPr="00831525">
        <w:rPr>
          <w:i/>
        </w:rPr>
        <w:t>Το Ευρωπαϊκό Κοινοβούλιο</w:t>
      </w:r>
      <w:r w:rsidRPr="00831525">
        <w:t>,</w:t>
      </w:r>
    </w:p>
    <w:p w:rsidR="00A1312A" w:rsidRPr="00831525" w:rsidRDefault="00A1312A" w:rsidP="00402E62">
      <w:pPr>
        <w:pStyle w:val="NormalHanging12a"/>
        <w:widowControl/>
      </w:pPr>
      <w:r w:rsidRPr="00831525">
        <w:t>–</w:t>
      </w:r>
      <w:r w:rsidRPr="00831525">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w:t>
      </w:r>
    </w:p>
    <w:p w:rsidR="00A1312A" w:rsidRPr="00831525" w:rsidRDefault="00A1312A" w:rsidP="00402E62">
      <w:pPr>
        <w:pStyle w:val="NormalHanging12a"/>
        <w:widowControl/>
      </w:pPr>
      <w:r w:rsidRPr="00831525">
        <w:t>–</w:t>
      </w:r>
      <w:r w:rsidRPr="00831525">
        <w:tab/>
        <w:t>έχοντας υπόψη το άρθρο 102 και το παράρτημα V του Κανονισμού του,</w:t>
      </w:r>
    </w:p>
    <w:p w:rsidR="00A1312A" w:rsidRPr="00831525" w:rsidRDefault="00A1312A" w:rsidP="00402E62">
      <w:pPr>
        <w:pStyle w:val="NormalHanging12a"/>
        <w:widowControl/>
      </w:pPr>
      <w:r w:rsidRPr="00831525">
        <w:t>–</w:t>
      </w:r>
      <w:r w:rsidRPr="00831525">
        <w:tab/>
        <w:t>έχοντας υπόψη τη γνωμοδότηση της Επιτροπής Συνταγματικών Υποθέσεων,</w:t>
      </w:r>
    </w:p>
    <w:p w:rsidR="00A1312A" w:rsidRPr="00831525" w:rsidRDefault="00A1312A" w:rsidP="00402E62">
      <w:pPr>
        <w:pStyle w:val="NormalHanging12a"/>
        <w:widowControl/>
      </w:pPr>
      <w:r w:rsidRPr="00831525">
        <w:t>–</w:t>
      </w:r>
      <w:r w:rsidRPr="00831525">
        <w:tab/>
        <w:t>έχοντας υπόψη την έκθεση της Επιτροπής Ελέγχου του Προϋπολογισμού (A10-0052/2025),</w:t>
      </w:r>
    </w:p>
    <w:p w:rsidR="00A1312A" w:rsidRPr="00831525" w:rsidRDefault="00A1312A" w:rsidP="00402E62">
      <w:pPr>
        <w:pStyle w:val="NormalHanging12a"/>
        <w:widowControl/>
      </w:pPr>
      <w:r w:rsidRPr="00831525">
        <w:t>Α.</w:t>
      </w:r>
      <w:r w:rsidRPr="00831525">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A1312A" w:rsidRPr="00831525" w:rsidRDefault="00A1312A" w:rsidP="00402E62">
      <w:pPr>
        <w:pStyle w:val="NormalHanging12a"/>
        <w:widowControl/>
      </w:pPr>
      <w:r w:rsidRPr="00831525">
        <w:t>Β.</w:t>
      </w:r>
      <w:r w:rsidRPr="00831525">
        <w:tab/>
        <w:t>λαμβάνοντας υπόψη, βάσει του άρθρου 319 της Συνθήκης για τη λειτουργία της Ευρωπαϊκής Ένωσης (ΣΛΕΕ), ότι το Ευρωπαϊκό Κοινοβούλιο έχει την αποκλειστική ευθύνη να χορηγεί απαλλαγή για την εκτέλεση του γενικού προϋπολογισμού της Ευρωπαϊκής Ένωσης και ότι ο προϋπολογισμός του Ευρωπαϊκού Συμβουλίου και του Συμβουλίου αποτελεί τμήμα του προϋπολογισμού της Ένωσης·</w:t>
      </w:r>
    </w:p>
    <w:p w:rsidR="00A1312A" w:rsidRPr="00831525" w:rsidRDefault="00A1312A" w:rsidP="00402E62">
      <w:pPr>
        <w:pStyle w:val="NormalHanging12a"/>
        <w:widowControl/>
      </w:pPr>
      <w:r w:rsidRPr="00831525">
        <w:t>Γ.</w:t>
      </w:r>
      <w:r w:rsidRPr="00831525">
        <w:tab/>
        <w:t>λαμβάνοντας υπόψη ότι, σύμφωνα με το άρθρο 15 παράγραφος 1 της Συνθήκης για την Ευρωπαϊκή Ένωση</w:t>
      </w:r>
      <w:r w:rsidR="0067553C" w:rsidRPr="00831525">
        <w:t xml:space="preserve"> (ΣΕΕ)</w:t>
      </w:r>
      <w:r w:rsidRPr="00831525">
        <w:t>, το Ευρωπαϊκό Συμβούλιο δεν ασκεί νομοθετικά καθήκοντα·</w:t>
      </w:r>
    </w:p>
    <w:p w:rsidR="00A1312A" w:rsidRPr="00831525" w:rsidRDefault="00A1312A" w:rsidP="00402E62">
      <w:pPr>
        <w:pStyle w:val="NormalHanging12a"/>
        <w:widowControl/>
      </w:pPr>
      <w:r w:rsidRPr="00831525">
        <w:t>Δ.</w:t>
      </w:r>
      <w:r w:rsidRPr="00831525">
        <w:tab/>
        <w:t>λαμβάνοντας υπόψη ότι, σύμφωνα με το άρθρο 317 ΣΛΕΕ, η Επιτροπή εκτελεί τον προϋπολογισμό της Ένωσης με δική της ευθύνη, σύμφωνα με τις αρχές της χρηστής δημοσιονομικής διαχείρισης, και ότι, στο ισχύον πλαίσιο,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rsidR="00A1312A" w:rsidRPr="00831525" w:rsidRDefault="00A1312A" w:rsidP="00402E62">
      <w:pPr>
        <w:pStyle w:val="NormalHanging12a"/>
        <w:widowControl/>
      </w:pPr>
      <w:r w:rsidRPr="00831525">
        <w:t>Ε.</w:t>
      </w:r>
      <w:r w:rsidRPr="00831525">
        <w:tab/>
        <w:t>λαμβάνοντας υπόψη ότι, σύμφωνα με το άρθρο 235 παράγραφος 4 και το άρθρο 240 παράγραφος 2 ΣΛΕΕ, το Ευρωπαϊκό Συμβούλιο και το Συμβούλιο («το Συμβούλιο») επικουρούνται από τη Γενική Γραμματεία του Συμβουλίου («η Γραμματεία») και λαμβάνοντας υπόψη ότι ο Γενικός Γραμματέας του Συμβουλίου είναι εξ ολοκλήρου υπεύθυνος για τη χρηστή διαχείριση των πιστώσεων που εγγράφονται στο τμήμα ΙΙ του προϋπολογισμού της Ένωσης·</w:t>
      </w:r>
    </w:p>
    <w:p w:rsidR="00A1312A" w:rsidRPr="00831525" w:rsidRDefault="00A1312A" w:rsidP="00402E62">
      <w:pPr>
        <w:pStyle w:val="NormalHanging12a"/>
        <w:widowControl/>
      </w:pPr>
      <w:r w:rsidRPr="00831525">
        <w:t>ΣΤ.</w:t>
      </w:r>
      <w:r w:rsidRPr="00831525">
        <w:tab/>
        <w:t xml:space="preserve">λαμβάνοντας υπόψη ότι, εδώ και περισσότερο από είκοσι έτη, το Κοινοβούλιο εφαρμόζει την καθιερωμένη και σεβαστή πρακτική της χορήγησης απαλλαγής σε όλα τα θεσμικά και λοιπά όργανα και οργανισμούς της Ένωσης, και λαμβάνοντας υπόψη ότι </w:t>
      </w:r>
      <w:r w:rsidRPr="00831525">
        <w:lastRenderedPageBreak/>
        <w:t>η Επιτροπή υποστηρίζει ότι θα πρέπει να συνεχιστεί η πρακτική της χορήγησης απαλλαγής σε κάθε θεσμικό και λοιπό όργανο και οργανισμό της Ένωσης για τις διοικητικές του δαπάνες·</w:t>
      </w:r>
    </w:p>
    <w:p w:rsidR="00A1312A" w:rsidRPr="00831525" w:rsidRDefault="00A1312A" w:rsidP="00402E62">
      <w:pPr>
        <w:pStyle w:val="NormalHanging12a"/>
        <w:widowControl/>
      </w:pPr>
      <w:r w:rsidRPr="00831525">
        <w:t>Ζ.</w:t>
      </w:r>
      <w:r w:rsidRPr="00831525">
        <w:tab/>
        <w:t>λαμβάνοντας υπόψη ότι, σύμφωνα με το άρθρο 59 παράγραφος 1 του δημοσιονομικού κανονισμού,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rsidR="00A1312A" w:rsidRPr="00831525" w:rsidRDefault="00A1312A" w:rsidP="00402E62">
      <w:pPr>
        <w:pStyle w:val="NormalHanging12a"/>
        <w:widowControl/>
      </w:pPr>
      <w:r w:rsidRPr="00831525">
        <w:t>Η.</w:t>
      </w:r>
      <w:r w:rsidRPr="00831525">
        <w:tab/>
        <w:t>λαμβάνοντας υπόψη ότι, από την χορήγηση απαλλαγής για τον προϋπολογισμό του 2009 και μετά, η έλλειψη συνεργασίας εκ μέρους του Συμβουλίου στο πλαίσιο της διαδικασίας απαλλαγής οδήγησε στην άρνηση του Κοινοβουλίου να χορηγεί απαλλαγή στον Γενικό Γραμματέα του Συμβουλίου·</w:t>
      </w:r>
    </w:p>
    <w:p w:rsidR="00A1312A" w:rsidRPr="00831525" w:rsidRDefault="00A1312A" w:rsidP="00402E62">
      <w:pPr>
        <w:pStyle w:val="NormalHanging12a"/>
        <w:widowControl/>
      </w:pPr>
      <w:r w:rsidRPr="00831525">
        <w:t>Θ.</w:t>
      </w:r>
      <w:r w:rsidRPr="00831525">
        <w:tab/>
        <w:t>λαμβάνοντας υπόψη ότι το Ευρωπαϊκό Συμβούλιο και το Συμβούλιο, ως θεσμικά όργανα της Ένωσης και ως αποδέκτες του γενικού προϋπολογισμού της Ένωσης, θα πρέπει να είναι διαφανή και δημοκρατικά υπόλογα έναντι των πολιτών της Ένωσης και να υπόκεινται σε δημοκρατικό έλεγχο της δαπάνης των δημόσιων πόρων·</w:t>
      </w:r>
    </w:p>
    <w:p w:rsidR="00A1312A" w:rsidRPr="00831525" w:rsidRDefault="00A1312A" w:rsidP="00402E62">
      <w:pPr>
        <w:pStyle w:val="NormalHanging12a"/>
        <w:widowControl/>
        <w:rPr>
          <w:b/>
          <w:i/>
        </w:rPr>
      </w:pPr>
      <w:r w:rsidRPr="00831525">
        <w:t>Ι.</w:t>
      </w:r>
      <w:r w:rsidRPr="00831525">
        <w:tab/>
        <w:t>λαμβάνοντας υπόψη ότι το άρθρο 15 παράγραφος 3 ΣΛΕΕ απαιτεί από τα θεσμικά όργανα της ΕΕ να διασφαλίζουν στον εσωτερικό κανονισμό τους ότι οι εργασίες τους είναι διαφανείς, αλλά σε αρκετές από τις έρευνες και αποφάσεις του ο Διαμεσολαβητής έχει επικρίνει το Συμβούλιο για την έλλειψη διαφάνειας, υποδηλώνοντας ότι το Συμβούλιο δεν έχει κατανοήσει πλήρως την κρίσιμη σχέση μεταξύ δημοκρατίας και διαφάνειας στη λήψη αποφάσεων·</w:t>
      </w:r>
    </w:p>
    <w:p w:rsidR="00A1312A" w:rsidRPr="00831525" w:rsidRDefault="00A1312A" w:rsidP="00402E62">
      <w:pPr>
        <w:pStyle w:val="NormalHanging12a"/>
        <w:widowControl/>
      </w:pPr>
      <w:r w:rsidRPr="00831525">
        <w:t>ΙΑ.</w:t>
      </w:r>
      <w:r w:rsidRPr="00831525">
        <w:tab/>
        <w:t>λαμβάνοντας υπόψη ότι η νομολογία του Δικαστηρίου της Ευρωπαϊκής Ένωσης επιβεβαιώνει το δικαίωμα των φορολογουμένων και του κοινού να ενημερώνονται σχετικά με τη χρήση των δημόσιων εσόδων και ότι το Γενικό Δικαστήριο, στην απόφασή του της 25ης Ιανουαρίου 2023 στην υπόθεση T-163/21</w:t>
      </w:r>
      <w:r w:rsidRPr="00831525">
        <w:rPr>
          <w:rStyle w:val="FootnoteReference"/>
        </w:rPr>
        <w:footnoteReference w:id="7"/>
      </w:r>
      <w:r w:rsidRPr="00831525">
        <w:t xml:space="preserve">, De </w:t>
      </w:r>
      <w:proofErr w:type="spellStart"/>
      <w:r w:rsidRPr="00831525">
        <w:t>Capitani</w:t>
      </w:r>
      <w:proofErr w:type="spellEnd"/>
      <w:r w:rsidRPr="00831525">
        <w:t xml:space="preserve"> κατά Συμβουλίου, δήλωσε σχετικά με τη διαφάνεια στο πλαίσιο της νομοθετικής διαδικασίας της Ένωσης ότι τα έγγραφα που παράγονται από το Συμβούλιο στις ομάδες εργασίας του δεν έχουν τεχνικό αλλά νομοθετικό χαρακτήρα και, ως εκ τούτου, υπόκεινται στους όρους που διέπουν αιτήσεις πρόσβασης σε έγγραφα·</w:t>
      </w:r>
    </w:p>
    <w:p w:rsidR="00A1312A" w:rsidRPr="00831525" w:rsidRDefault="00831525" w:rsidP="00831525">
      <w:pPr>
        <w:pStyle w:val="NormalHanging12a"/>
        <w:widowControl/>
        <w:ind w:left="570" w:hanging="570"/>
      </w:pPr>
      <w:r w:rsidRPr="00831525">
        <w:t>1.</w:t>
      </w:r>
      <w:r w:rsidRPr="00831525">
        <w:tab/>
      </w:r>
      <w:r w:rsidR="00A1312A" w:rsidRPr="00831525">
        <w:t>σημειώνει ότι ο προϋπολογισμός του Συμβουλίου εμπίπτει στον τομέα 7 του ΠΔΠ («Ευρωπαϊκή δημόσια διοίκηση»), ο οποίος ανήλθε σε 12,3 δισεκατομμύρια EUR το 2023 (ποσό που αντιστοιχεί στο 6,4 % του συνολικού προϋπολογισμού της Ένωσης)· σημειώνει ότι ο προϋπολογισμός του Συμβουλίου, ύψους περίπου 0,6 δισεκατομμυρίου EUR, αντιπροσωπεύει περίπου το 5,2 % των συνολικών διοικητικών δαπανών της Ένωσης·</w:t>
      </w:r>
    </w:p>
    <w:p w:rsidR="00A1312A" w:rsidRPr="00831525" w:rsidRDefault="00831525" w:rsidP="00831525">
      <w:pPr>
        <w:pStyle w:val="NormalHanging12a"/>
        <w:widowControl/>
        <w:ind w:left="570" w:hanging="570"/>
      </w:pPr>
      <w:r w:rsidRPr="00831525">
        <w:t>2.</w:t>
      </w:r>
      <w:r w:rsidRPr="00831525">
        <w:tab/>
      </w:r>
      <w:r w:rsidR="00A1312A" w:rsidRPr="00831525">
        <w:t xml:space="preserve">εκφράζει την ικανοποίησή του για το γεγονός ότι το Ελεγκτικό Συνέδριο, στην ετήσια έκθεσή του για το οικονομικό έτος 2023, εξέτασε δείγμα 70 πράξεων στο πλαίσιο του τομέα της διοίκησης, δηλαδή 10 επιπλέον πράξεων σε σύγκριση με τις πράξεις που εξετάστηκαν το 2022· σημειώνει περαιτέρω ότι το Ελεγκτικό Συνέδριο αναφέρει ότι οι διοικητικές δαπάνες περιλαμβάνουν δαπάνες για ανθρώπινους πόρους, συμπεριλαμβανομένων των δαπανών για συντάξεις, οι οποίες το 2023 αντιστοιχούσαν </w:t>
      </w:r>
      <w:r w:rsidR="00A1312A" w:rsidRPr="00831525">
        <w:lastRenderedPageBreak/>
        <w:t>περίπου στο 70 % των συνολικών διοικητικών δαπανών, καθώς και δαπάνες για κτίρια, εξοπλισμό, ενέργεια, επικοινωνία και τεχνολογία πληροφοριών (ΤΠ), και ότι το έργο του επί σειρά ετών δείχνει ότι, συνολικά, οι δαπάνες αυτές είναι χαμηλού κινδύνου·</w:t>
      </w:r>
    </w:p>
    <w:p w:rsidR="00A1312A" w:rsidRPr="00831525" w:rsidRDefault="00831525" w:rsidP="00831525">
      <w:pPr>
        <w:pStyle w:val="NormalHanging12a"/>
        <w:widowControl/>
        <w:ind w:left="570" w:hanging="570"/>
      </w:pPr>
      <w:r w:rsidRPr="00831525">
        <w:t>3.</w:t>
      </w:r>
      <w:r w:rsidRPr="00831525">
        <w:tab/>
      </w:r>
      <w:r w:rsidR="00A1312A" w:rsidRPr="00831525">
        <w:t>σημειώνει ότι 21 (30 %) από τις 70 πράξεις περιείχαν σφάλματα, αλλά ότι το Ελεγκτικό Συνέδριο, βάσει των πέντε σφαλμάτων που ποσοτικοποιήθηκαν, εκτιμά ότι το επίπεδο σφάλματος είναι χαμηλότερο από το όριο σημαντικότητας·</w:t>
      </w:r>
    </w:p>
    <w:p w:rsidR="00A1312A" w:rsidRPr="00831525" w:rsidRDefault="00831525" w:rsidP="00831525">
      <w:pPr>
        <w:pStyle w:val="NormalHanging12a"/>
        <w:widowControl/>
        <w:ind w:left="570" w:hanging="570"/>
      </w:pPr>
      <w:r w:rsidRPr="00831525">
        <w:t>4.</w:t>
      </w:r>
      <w:r w:rsidRPr="00831525">
        <w:tab/>
      </w:r>
      <w:r w:rsidR="00A1312A" w:rsidRPr="00831525">
        <w:t>σημειώνει ότι το Ελεγκτικό Συνέδριο, στην ετήσια έκθεσή του για το οικονομικό έτος 2023, διατύπωσε παρατήρηση σχετικά με τη διάρκεια σύμβασης-πλαισίου για τη συντήρηση κτιρίων που ανατέθηκε από το Συμβούλιο· σημειώνει ότι το Ελεγκτικό Συνέδριο δεν εντόπισε ποσοτικώς προσδιορίσιμα σφάλματα στις τέσσερις πληρωμές που εξετάστηκαν και αφορούν το Συμβούλιο·</w:t>
      </w:r>
    </w:p>
    <w:p w:rsidR="00A1312A" w:rsidRPr="00831525" w:rsidRDefault="00A1312A" w:rsidP="00402E62">
      <w:pPr>
        <w:pStyle w:val="NormalHanging12a"/>
        <w:widowControl/>
        <w:rPr>
          <w:b/>
          <w:i/>
        </w:rPr>
      </w:pPr>
      <w:r w:rsidRPr="00831525">
        <w:rPr>
          <w:b/>
          <w:i/>
        </w:rPr>
        <w:t>Τρέχουσα κατάσταση όσον αφορά τη διαδικασία απαλλαγής</w:t>
      </w:r>
    </w:p>
    <w:p w:rsidR="00A1312A" w:rsidRPr="00831525" w:rsidRDefault="00831525" w:rsidP="00831525">
      <w:pPr>
        <w:pStyle w:val="NormalHanging12a"/>
        <w:widowControl/>
        <w:ind w:left="570" w:hanging="570"/>
      </w:pPr>
      <w:r w:rsidRPr="00831525">
        <w:t>5.</w:t>
      </w:r>
      <w:r w:rsidRPr="00831525">
        <w:tab/>
      </w:r>
      <w:r w:rsidR="00A1312A" w:rsidRPr="00831525">
        <w:t>εκφράζει τη βαθιά του λύπη για το γεγονός ότι από το 2009, και εκ νέου για το οικονομικό έτος 2022, το Κοινοβούλιο είναι αναγκασμένο να αρνηθεί τη χορήγηση απαλλαγής στο Συμβούλιο, διότι το Συμβούλιο εξακολουθεί να αρνείται να συνεργαστεί με το Κοινοβούλιο στο πλαίσιο της διαδικασίας απαλλαγής, εμποδίζοντας το Κοινοβούλιο να λάβει τεκμηριωμένη απόφαση βάσει σοβαρού και διεξοδικού ελέγχου της εκτέλεσης του προϋπολογισμού του Συμβουλίου·</w:t>
      </w:r>
    </w:p>
    <w:p w:rsidR="00A1312A" w:rsidRPr="00831525" w:rsidRDefault="00831525" w:rsidP="00831525">
      <w:pPr>
        <w:pStyle w:val="NormalHanging12a"/>
        <w:widowControl/>
        <w:ind w:left="570" w:hanging="570"/>
      </w:pPr>
      <w:r w:rsidRPr="00831525">
        <w:t>6.</w:t>
      </w:r>
      <w:r w:rsidRPr="00831525">
        <w:tab/>
      </w:r>
      <w:r w:rsidR="00A1312A" w:rsidRPr="00831525">
        <w:t>σημειώνει ότι, στις 20 Σεπτεμβρίου 2024, οι αρμόδιες υπηρεσίες του Κοινοβουλίου, εξ ονόματος του εισηγητή για τη διαδικασία απαλλαγής, διαβίβασαν στη Γραμματεία του Συμβουλίου ερωτηματολόγιο που περιείχε 90 σημαντικές ερωτήσεις με σκοπό να δοθεί στο Κοινοβούλιο η δυνατότητα να ελέγξει διεξοδικά την εκτέλεση του προϋπολογισμού του Συμβουλίου, καθώς και τη διαχείριση του Συμβουλίου· σημειώνει περαιτέρω ότι παρόμοια ερωτηματολόγια εστάλησαν σε όλα τα άλλα θεσμικά όργανα, τα οποία παρείχαν όλα στο Κοινοβούλιο λεπτομερείς απαντήσεις σε όλες τις ερωτήσεις·</w:t>
      </w:r>
    </w:p>
    <w:p w:rsidR="00A1312A" w:rsidRPr="00831525" w:rsidRDefault="00831525" w:rsidP="00831525">
      <w:pPr>
        <w:pStyle w:val="NormalHanging12a"/>
        <w:widowControl/>
        <w:ind w:left="570" w:hanging="570"/>
      </w:pPr>
      <w:r w:rsidRPr="00831525">
        <w:t>7.</w:t>
      </w:r>
      <w:r w:rsidRPr="00831525">
        <w:tab/>
      </w:r>
      <w:r w:rsidR="00A1312A" w:rsidRPr="00831525">
        <w:t>εκφράζει τη λύπη του για το γεγονός ότι, στις 23 Σεπτεμβρίου 2024, η Γραμματεία ενημέρωσε για άλλη μια φορά το Κοινοβούλιο ότι δεν θα απαντήσει στο ερωτηματολόγιο του Κοινοβουλίου και ότι το Συμβούλιο δεν θα συμμετάσχει στην ακρόαση που οργανώθηκε στις 12 Νοεμβρίου 2024 στο πλαίσιο της διαδικασίας απαλλαγής και στην οποία συμμετείχαν όλα τα άλλα προσκεκλημένα θεσμικά όργανα·</w:t>
      </w:r>
    </w:p>
    <w:p w:rsidR="00A1312A" w:rsidRPr="00831525" w:rsidRDefault="00831525" w:rsidP="00831525">
      <w:pPr>
        <w:pStyle w:val="NormalHanging12a"/>
        <w:widowControl/>
        <w:ind w:left="570" w:hanging="570"/>
      </w:pPr>
      <w:r w:rsidRPr="00831525">
        <w:t>8.</w:t>
      </w:r>
      <w:r w:rsidRPr="00831525">
        <w:tab/>
      </w:r>
      <w:r w:rsidR="00A1312A" w:rsidRPr="00831525">
        <w:t>επαναλαμβάνει ότι το Κοινοβούλιο έχει το προνόμιο να χορηγεί απαλλαγή δυνάμει του άρθρου 319 ΣΛΕΕ και των εφαρμοστέων διατάξεων του δημοσιονομικού κανονισμού και του Κανονισμού του Κοινοβουλίου, σύμφωνα με την τρέχουσα ερμηνεία και πρακτική, δηλαδή την εξουσία να χορηγεί απαλλαγή για να διαφυλάσσεται η διαφάνεια και να διασφαλίζεται η δημοκρατική λογοδοσία προς τους φορολογουμένους της Ένωσης·</w:t>
      </w:r>
    </w:p>
    <w:p w:rsidR="00A1312A" w:rsidRPr="00831525" w:rsidRDefault="00831525" w:rsidP="00831525">
      <w:pPr>
        <w:pStyle w:val="NormalHanging12a"/>
        <w:widowControl/>
        <w:ind w:left="570" w:hanging="570"/>
      </w:pPr>
      <w:r w:rsidRPr="00831525">
        <w:t>9.</w:t>
      </w:r>
      <w:r w:rsidRPr="00831525">
        <w:tab/>
      </w:r>
      <w:r w:rsidR="00A1312A" w:rsidRPr="00831525">
        <w:t>υπογραμμίζει ότι το άρθρο 59 παράγραφος 1 του δημοσιονομικού κανονισμού ορίζει ότι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 και, συνεπώς, θεωρεί ακατανόητο το γεγονός ότι το Συμβούλιο κρίνει σκόπιμο να χορηγηθεί απαλλαγή στην Επιτροπή για την εκτέλεση του προϋπολογισμού του Συμβουλίου·</w:t>
      </w:r>
    </w:p>
    <w:p w:rsidR="00A1312A" w:rsidRPr="00831525" w:rsidRDefault="00831525" w:rsidP="00831525">
      <w:pPr>
        <w:pStyle w:val="NormalHanging12a"/>
        <w:widowControl/>
        <w:ind w:left="570" w:hanging="570"/>
      </w:pPr>
      <w:r w:rsidRPr="00831525">
        <w:lastRenderedPageBreak/>
        <w:t>10.</w:t>
      </w:r>
      <w:r w:rsidRPr="00831525">
        <w:tab/>
      </w:r>
      <w:r w:rsidR="00A1312A" w:rsidRPr="00831525">
        <w:t>τονίζει την καθιερωμένη και σεβαστή πρακτική που ακολουθεί το Κοινοβούλιο εδώ και περισσότερο από είκοσι έτη, η οποία συνίσταται στην χορήγηση απαλλαγής σε όλα τα θεσμικά και λοιπά όργανα και οργανισμούς της Ένωσης, συμπεριλαμβανομένων του Ευρωπαϊκού Συμβουλίου και του Συμβουλίου· υπενθυμίζει ότι η Επιτροπή έχει δηλώσει την αδυναμία της να επιβλέπει την εκτέλεση των προϋπολογισμών των άλλων θεσμικών οργάνων της Ένωσης· τονίζει την άποψη που έχει επανειλημμένα εκφράσει η Επιτροπή, σύμφωνα με την οποία θα πρέπει να συνεχιστεί η πρακτική της χορήγησης απαλλαγής σε κάθε θεσμικό όργανο της Ένωσης για τις διοικητικές του δαπάνες και την εκτέλεση του προϋπολογισμού της ΕΕ απευθείας από το Κοινοβούλιο, προκειμένου να διαφυλαχθεί η συμμόρφωση με την αρχή της χρηστής δημοσιονομικής διαχείρισης·</w:t>
      </w:r>
    </w:p>
    <w:p w:rsidR="00A1312A" w:rsidRPr="00831525" w:rsidRDefault="00831525" w:rsidP="00831525">
      <w:pPr>
        <w:pStyle w:val="NormalHanging12a"/>
        <w:widowControl/>
        <w:ind w:left="570" w:hanging="570"/>
        <w:rPr>
          <w:bCs/>
          <w:iCs/>
          <w:szCs w:val="24"/>
        </w:rPr>
      </w:pPr>
      <w:r w:rsidRPr="00831525">
        <w:rPr>
          <w:bCs/>
          <w:iCs/>
          <w:szCs w:val="24"/>
        </w:rPr>
        <w:t>11.</w:t>
      </w:r>
      <w:r w:rsidRPr="00831525">
        <w:rPr>
          <w:bCs/>
          <w:iCs/>
          <w:szCs w:val="24"/>
        </w:rPr>
        <w:tab/>
      </w:r>
      <w:r w:rsidR="00A1312A" w:rsidRPr="00831525">
        <w:t>τονίζει ότι η τρέχουσα κατάσταση συνεπάγεται ότι το Κοινοβούλιο μπορεί να ελέγχει μόνο τις εκθέσεις του Ελεγκτικού Συνεδρίου και του Διαμεσολαβητή, καθώς και τις δημόσια διαθέσιμες πληροφορίες στον ιστότοπο του Συμβουλίου, λόγω της επίμονης άρνησης του Συμβουλίου να συνεργαστεί με το Κοινοβούλιο· υπογραμμίζει ότι αυτή η έλλειψη συνεργασίας υπονομεύει την ικανότητα του Κοινοβουλίου να εκπληρώσει αποτελεσματικά τον εποπτικό του ρόλο και να λάβει τεκμηριωμένη απόφαση σχετικά με τη χορήγηση απαλλαγής·</w:t>
      </w:r>
    </w:p>
    <w:p w:rsidR="00A1312A" w:rsidRPr="00831525" w:rsidRDefault="00831525" w:rsidP="00831525">
      <w:pPr>
        <w:pStyle w:val="NormalHanging12a"/>
        <w:widowControl/>
        <w:ind w:left="570" w:hanging="570"/>
        <w:rPr>
          <w:bCs/>
          <w:iCs/>
          <w:szCs w:val="24"/>
        </w:rPr>
      </w:pPr>
      <w:r w:rsidRPr="00831525">
        <w:rPr>
          <w:bCs/>
          <w:iCs/>
          <w:szCs w:val="24"/>
        </w:rPr>
        <w:t>12.</w:t>
      </w:r>
      <w:r w:rsidRPr="00831525">
        <w:rPr>
          <w:bCs/>
          <w:iCs/>
          <w:szCs w:val="24"/>
        </w:rPr>
        <w:tab/>
      </w:r>
      <w:r w:rsidR="00A1312A" w:rsidRPr="00831525">
        <w:t>αποδοκιμάζει το γεγονός ότι το Συμβούλιο, εδώ και πάνω από μία δεκαετία, έχει δείξει ότι δεν έχει καμία πολιτική βούληση να συνεργαστεί με το Κοινοβούλιο στο πλαίσιο της ετήσιας διαδικασίας απαλλαγής· υπογραμμίζει ότι η στάση αυτή έχει μακροχρόνιες αρνητικές επιπτώσεις και στα δύο θεσμικά όργανα, έχει απαξιώσει τη διαχείριση και τον δημοκρατικό έλεγχο του προϋπολογισμού της Ένωσης και έχει βλάψει την εμπιστοσύνη των πολιτών στη διαφάνεια της Ένωση ως οντότητας·</w:t>
      </w:r>
      <w:r w:rsidR="00A1312A" w:rsidRPr="00831525">
        <w:rPr>
          <w:b/>
          <w:i/>
          <w:color w:val="FF0000"/>
        </w:rPr>
        <w:t xml:space="preserve"> </w:t>
      </w:r>
      <w:r w:rsidR="00A1312A" w:rsidRPr="00831525">
        <w:t>υπογραμμίζει ότι το Συμβούλιο πρέπει να πληροί τα ίδια πρότυπα λογοδοσίας με αυτά που προσδοκά από τα άλλα θεσμικά όργανα της Ένωσης·</w:t>
      </w:r>
    </w:p>
    <w:p w:rsidR="00A1312A" w:rsidRPr="00831525" w:rsidRDefault="00831525" w:rsidP="00831525">
      <w:pPr>
        <w:pStyle w:val="NormalHanging12a"/>
        <w:widowControl/>
        <w:ind w:left="570" w:hanging="570"/>
      </w:pPr>
      <w:r w:rsidRPr="00831525">
        <w:t>13.</w:t>
      </w:r>
      <w:r w:rsidRPr="00831525">
        <w:tab/>
      </w:r>
      <w:r w:rsidR="00A1312A" w:rsidRPr="00831525">
        <w:t xml:space="preserve">επαναλαμβάνει ότι η συνεχιζόμενη άρνηση του Συμβουλίου να συμμετάσχει στη διαδικασία απαλλαγής συνιστά απαράδεκτη παραβίαση της δημοκρατικής λογοδοσίας· ζητεί νομικές και διαδικαστικές τροποποιήσεις για να </w:t>
      </w:r>
      <w:proofErr w:type="spellStart"/>
      <w:r w:rsidR="00A1312A" w:rsidRPr="00831525">
        <w:t>παρακρατούνται</w:t>
      </w:r>
      <w:proofErr w:type="spellEnd"/>
      <w:r w:rsidR="00A1312A" w:rsidRPr="00831525">
        <w:t xml:space="preserve"> πιστώσεις του προϋπολογισμού από κάθε θεσμικό όργανο της Ένωσης που δεν συμμορφώνεται με τις υποχρεώσεις διαφάνειας·</w:t>
      </w:r>
    </w:p>
    <w:p w:rsidR="00A1312A" w:rsidRPr="00831525" w:rsidRDefault="00831525" w:rsidP="00831525">
      <w:pPr>
        <w:pStyle w:val="NormalHanging12a"/>
        <w:widowControl/>
        <w:ind w:left="570" w:hanging="570"/>
      </w:pPr>
      <w:r w:rsidRPr="00831525">
        <w:t>14.</w:t>
      </w:r>
      <w:r w:rsidRPr="00831525">
        <w:tab/>
      </w:r>
      <w:r w:rsidR="00A1312A" w:rsidRPr="00831525">
        <w:t>υπενθυμίζει ότι η νομολογία του Δικαστηρίου της Ευρωπαϊκής Ένωσης υποστηρίζει το δικαίωμα των φορολογουμένων και της κοινής γνώμης να τηρούνται ενήμεροι για τη χρήση των δημοσίων εσόδων· ζητεί, ως εκ τούτου, πλήρη σεβασμό του προνομίου και του ρόλου του Κοινοβουλίου ως εγγυητή της αρχής της δημοκρατικής λογοδοσίας· καλεί το Συμβούλιο να δώσει τη δέουσα συνέχεια στις συστάσεις που ενέκρινε το Κοινοβούλιο στο πλαίσιο της διαδικασίας απαλλαγής και επιμένει στην πλήρη εφαρμογή του άρθρου 14 παράγραφος 1 ΣΕΕ·</w:t>
      </w:r>
    </w:p>
    <w:p w:rsidR="00A1312A" w:rsidRPr="00831525" w:rsidRDefault="00831525" w:rsidP="00831525">
      <w:pPr>
        <w:pStyle w:val="NormalHanging12a"/>
        <w:widowControl/>
        <w:ind w:left="570" w:hanging="570"/>
      </w:pPr>
      <w:r w:rsidRPr="00831525">
        <w:t>15.</w:t>
      </w:r>
      <w:r w:rsidRPr="00831525">
        <w:tab/>
      </w:r>
      <w:r w:rsidR="00A1312A" w:rsidRPr="00831525">
        <w:t xml:space="preserve">καλεί το Συμβούλιο να επαναλάβει τις διαπραγματεύσεις με το Κοινοβούλιο χωρίς περιττή καθυστέρηση και να συνεργαστεί ενεργά με το Κοινοβούλιο στο ανώτατο επίπεδο το συντομότερο δυνατό, με τη συμμετοχή των Γενικών Γραμματέων και των Προέδρων αμφότερων των θεσμικών οργάνων, προκειμένου να αρθεί το αδιέξοδο και να επιλυθεί το επί μακρόν άλυτο πρόβλημα της απαλλαγής με παράλληλη διαφύλαξη των αντίστοιχων ρόλων του Κοινοβουλίου και του Συμβουλίου στη διαδικασία απαλλαγής και διασφάλιση της διαφάνειας, της αξιοπιστίας και του κατάλληλου δημοκρατικού ελέγχου της εκτέλεσης του προϋπολογισμού· ζητεί από την Επιτροπή και τη Νομική Υπηρεσία του Συμβουλίου να παράσχουν νομική γνωμοδότηση σχετικά με </w:t>
      </w:r>
      <w:r w:rsidR="00A1312A" w:rsidRPr="00831525">
        <w:lastRenderedPageBreak/>
        <w:t>πιθανές λύσεις βάσει της Συνθήκης για την επιβολή της λογοδοσίας του Συμβουλίου στο πλαίσιο της διαδικασίας απαλλαγής·</w:t>
      </w:r>
    </w:p>
    <w:p w:rsidR="00A1312A" w:rsidRPr="00831525" w:rsidRDefault="00831525" w:rsidP="00831525">
      <w:pPr>
        <w:pStyle w:val="NormalHanging12a"/>
        <w:widowControl/>
        <w:ind w:left="570" w:hanging="570"/>
      </w:pPr>
      <w:r w:rsidRPr="00831525">
        <w:t>16.</w:t>
      </w:r>
      <w:r w:rsidRPr="00831525">
        <w:tab/>
      </w:r>
      <w:r w:rsidR="00A1312A" w:rsidRPr="00831525">
        <w:t>επισημαίνει ότι, αν και η παρούσα κατάσταση πρέπει να βελτιωθεί μέσω καλύτερης διοργανικής συνεργασίας εντός του πλαισίου των Συνθηκών, η αναθεώρηση των Συνθηκών θα μπορούσε να καταστήσει τη διαδικασία χορήγησης απαλλαγής σαφέστερη και διαφανέστερη, μέσω της ρητής ανάθεσης στο Ευρωπαϊκό Κοινοβούλιο της αρμοδιότητας να χορηγεί απαλλαγή σε όλα τα θεσμικά όργανα και σε όλους τους οργανισμούς της Ένωσης χωριστά· τονίζει, ωστόσο, ότι εν αναμονή αυτής της αναθεώρησης, η τρέχουσα κατάσταση πρέπει να βελτιωθεί μέσω ενισχυμένης διοργανικής συνεργασίας· παροτρύνει, στο πλαίσιο αυτό, το Συμβούλιο να συνεργαστεί ενεργά με το Κοινοβούλιο·</w:t>
      </w:r>
    </w:p>
    <w:p w:rsidR="00A1312A" w:rsidRPr="00831525" w:rsidRDefault="00831525" w:rsidP="00831525">
      <w:pPr>
        <w:pStyle w:val="NormalHanging12a"/>
        <w:widowControl/>
        <w:ind w:left="570" w:hanging="570"/>
        <w:rPr>
          <w:color w:val="000000" w:themeColor="text1"/>
        </w:rPr>
      </w:pPr>
      <w:r w:rsidRPr="00831525">
        <w:rPr>
          <w:color w:val="000000" w:themeColor="text1"/>
        </w:rPr>
        <w:t>17.</w:t>
      </w:r>
      <w:r w:rsidRPr="00831525">
        <w:rPr>
          <w:color w:val="000000" w:themeColor="text1"/>
        </w:rPr>
        <w:tab/>
      </w:r>
      <w:r w:rsidR="00A1312A" w:rsidRPr="00831525">
        <w:t>σημειώνει ότι, παρά την απροθυμία του Συμβουλίου να συνεργαστεί στο πλαίσιο της διαδικασίας απαλλαγής, το Κοινοβούλιο τονίζει, ωστόσο, ορισμένες πολιτικές προτεραιότητες και διατυπώνει ορισμένες παρατηρήσεις σχετικά με τη δημοσιονομική και χρηματοοικονομική διαχείριση του Συμβουλίου και άλλες παρατηρήσεις σχετικά με τη διαδικασία απαλλαγής στην παρούσα έκθεση·</w:t>
      </w:r>
    </w:p>
    <w:p w:rsidR="00A1312A" w:rsidRPr="00831525" w:rsidRDefault="00831525" w:rsidP="00831525">
      <w:pPr>
        <w:pStyle w:val="NormalHanging12a"/>
        <w:widowControl/>
        <w:ind w:left="570" w:hanging="570"/>
        <w:rPr>
          <w:color w:val="000000" w:themeColor="text1"/>
        </w:rPr>
      </w:pPr>
      <w:r w:rsidRPr="00831525">
        <w:rPr>
          <w:color w:val="000000" w:themeColor="text1"/>
        </w:rPr>
        <w:t>18.</w:t>
      </w:r>
      <w:r w:rsidRPr="00831525">
        <w:rPr>
          <w:color w:val="000000" w:themeColor="text1"/>
        </w:rPr>
        <w:tab/>
      </w:r>
      <w:r w:rsidR="00A1312A" w:rsidRPr="00831525">
        <w:rPr>
          <w:color w:val="000000" w:themeColor="text1"/>
        </w:rPr>
        <w:t>σημειώνει ότι, δεδομένης της έλλειψης συνεργασίας του Συμβουλίου με το Κοινοβούλιο, οι παρατηρήσεις στα ακόλουθα τμήματα βασίζονται πρωτίστως σε συγκεντρωτικές πληροφορίες, οι οποίες παρέχουν περιορισμένες λεπτομέρειες·</w:t>
      </w:r>
    </w:p>
    <w:p w:rsidR="00A1312A" w:rsidRPr="00831525" w:rsidRDefault="00A1312A" w:rsidP="00402E62">
      <w:pPr>
        <w:pStyle w:val="NormalHanging12a"/>
        <w:widowControl/>
        <w:rPr>
          <w:b/>
          <w:i/>
        </w:rPr>
      </w:pPr>
      <w:r w:rsidRPr="00831525">
        <w:rPr>
          <w:b/>
          <w:i/>
        </w:rPr>
        <w:t>Πολιτικές προτεραιότητες</w:t>
      </w:r>
    </w:p>
    <w:p w:rsidR="00A1312A" w:rsidRPr="00831525" w:rsidRDefault="00831525" w:rsidP="00831525">
      <w:pPr>
        <w:pStyle w:val="NormalHanging12a"/>
        <w:widowControl/>
        <w:ind w:left="570" w:hanging="570"/>
      </w:pPr>
      <w:r w:rsidRPr="00831525">
        <w:t>19.</w:t>
      </w:r>
      <w:r w:rsidRPr="00831525">
        <w:tab/>
      </w:r>
      <w:r w:rsidR="00A1312A" w:rsidRPr="00831525">
        <w:t>εκφράζει τη λύπη του για το γεγονός ότι το Συμβούλιο ασκεί το προνόμιό του στις διαδικασίες ορισμού και διορισμού πολλών θεσμικών και λοιπών οργάνων και οργανισμών της Ένωσης χωρίς να λαμβάνει υπόψη τις απόψεις των ενδιαφερόμενων μερών ή τις συστάσεις της Ευρωπαϊκής Υπηρεσίας Καταπολέμησης της Απάτης (OLAF)·</w:t>
      </w:r>
    </w:p>
    <w:p w:rsidR="00A1312A" w:rsidRPr="00831525" w:rsidRDefault="00831525" w:rsidP="00831525">
      <w:pPr>
        <w:pStyle w:val="NormalHanging12a"/>
        <w:widowControl/>
        <w:ind w:left="570" w:hanging="570"/>
      </w:pPr>
      <w:r w:rsidRPr="00831525">
        <w:t>20.</w:t>
      </w:r>
      <w:r w:rsidRPr="00831525">
        <w:tab/>
      </w:r>
      <w:r w:rsidR="00A1312A" w:rsidRPr="00831525">
        <w:t>σημειώνει ότι το Συμβούλιο, κατά παράδοση, δεν αμφισβητεί τους διορισμούς μεμονωμένων κρατών μελών για τις περισσότερες θέσεις·</w:t>
      </w:r>
    </w:p>
    <w:p w:rsidR="00A1312A" w:rsidRPr="00831525" w:rsidRDefault="00831525" w:rsidP="00831525">
      <w:pPr>
        <w:pStyle w:val="NormalHanging12a"/>
        <w:widowControl/>
        <w:ind w:left="570" w:hanging="570"/>
      </w:pPr>
      <w:r w:rsidRPr="00831525">
        <w:t>21.</w:t>
      </w:r>
      <w:r w:rsidRPr="00831525">
        <w:tab/>
      </w:r>
      <w:r w:rsidR="00A1312A" w:rsidRPr="00831525">
        <w:t>υπενθυμίζει ότι, σύμφωνα με το άρθρο 286 παράγραφος 2 ΣΛΕΕ, το Συμβούλιο διορίζει τα μέλη του Ελεγκτικού Συνεδρίου, σύμφωνα με τις προτάσεις που υποβάλλονται από κάθε κράτος μέλος, κατόπιν διαβούλευσης με το Κοινοβούλιο· υπενθυμίζει ότι, βάσει αυτής της προϋπόθεσης, το Κοινοβούλιο γνωμοδοτεί σχετικά με τους υποψηφίους· εκφράζει τη λύπη του για το γεγονός ότι το Συμβούλιο έχει επανειλημμένα αγνοήσει τις συστάσεις που διατυπώνει το Κοινοβούλιο στο πλαίσιο του συμβουλευτικού του ρόλου σχετικά με τον διορισμό των μελών του Ελεγκτικού Συνεδρίου· υπενθυμίζει ότι, παρόλο που η γνώμη του Κοινοβουλίου είναι μη δεσμευτική για το Συμβούλιο, οι υποψήφιοι που έλαβαν αρνητική γνώμη απέσυραν τις υποψηφιότητές τους αποδεχόμενοι την απόφαση του Κοινοβουλίου, αναγνωρίζοντας έτσι τον ρόλο του Κοινοβουλίου ως δημοκρατικής εποπτικής αρχής που συνδέεται με την περιφρούρηση του προϋπολογισμού της Ένωσης· καλεί το Συμβούλιο να αναγνωρίσει τον ρόλο του Κοινοβουλίου μέσω της συνεργασίας του στη διαδικασία απαλλαγής·</w:t>
      </w:r>
    </w:p>
    <w:p w:rsidR="00A1312A" w:rsidRPr="00831525" w:rsidRDefault="00831525" w:rsidP="00831525">
      <w:pPr>
        <w:pStyle w:val="NormalHanging12a"/>
        <w:widowControl/>
        <w:ind w:left="570" w:hanging="570"/>
      </w:pPr>
      <w:r w:rsidRPr="00831525">
        <w:t>22.</w:t>
      </w:r>
      <w:r w:rsidRPr="00831525">
        <w:tab/>
      </w:r>
      <w:r w:rsidR="00A1312A" w:rsidRPr="00831525">
        <w:t xml:space="preserve">υπενθυμίζει ότι οι δικαστές και οι γενικοί εισαγγελείς του Δικαστηρίου της Ευρωπαϊκής Ένωσης διορίζονται με κοινή συμφωνία των κυβερνήσεων των κρατών μελών κατόπιν </w:t>
      </w:r>
      <w:r w:rsidR="00A1312A" w:rsidRPr="00831525">
        <w:lastRenderedPageBreak/>
        <w:t xml:space="preserve">διαβούλευσης με την επιτροπή που είναι αρμόδια να γνωμοδοτεί σχετικά με την επάρκεια των υποψηφίων για την άσκηση των σχετικών καθηκόντων· </w:t>
      </w:r>
    </w:p>
    <w:p w:rsidR="00A1312A" w:rsidRPr="00831525" w:rsidRDefault="00831525" w:rsidP="00831525">
      <w:pPr>
        <w:pStyle w:val="NormalHanging12a"/>
        <w:widowControl/>
        <w:ind w:left="570" w:hanging="570"/>
      </w:pPr>
      <w:r w:rsidRPr="00831525">
        <w:t>23.</w:t>
      </w:r>
      <w:r w:rsidRPr="00831525">
        <w:tab/>
      </w:r>
      <w:r w:rsidR="00A1312A" w:rsidRPr="00831525">
        <w:t>καλεί τις εκ περιτροπής Προεδρίες του Συμβουλίου να σταματήσουν να χρησιμοποιούν εταιρικές χορηγίες για να συμβάλλουν στην κάλυψη των δαπανών τους, καθώς αυτό ενέχει τον κίνδυνο δημιουργίας συγκρούσεων συμφερόντων, σύμφωνα με τα συμπεράσματα του εργαστηρίου που διοργάνωσε η Επιτροπή Ελέγχου του Προϋπολογισμού του Κοινοβουλίου στις 27 Ιουνίου 2023· σημειώνει ότι, στην απόφασή της, της 9ης Σεπτεμβρίου 2024, σχετικά με τη στρατηγική πρωτοβουλία για τις χορηγίες της Προεδρίας του Συμβουλίου της Ευρωπαϊκής Ένωσης, η Ευρωπαία Διαμεσολαβήτρια ενθάρρυνε το Συμβούλιο να προβεί σε απολογισμό του τρόπου με τον οποίο εφαρμόστηκαν οι μη δεσμευτικοί κανόνες που ενέκρινε το Συμβούλιο για τη χρήση χορηγιών από την Προεδρία του (οι κατευθυντήριες γραμμές) και να διερευνήσει άλλα πιθανά μέτρα που θα μπορούσαν να συμβάλουν στον μετριασμό των κινδύνων που συνδέονται με τη χρήση χορηγιών· επαναλαμβάνει την έκκλησή του προς το Συμβούλιο να διαθέσει κονδύλια για τις Προεδρίες του Συμβουλίου προκειμένου να διασφαλιστούν επαρκή και ενιαία πρότυπα αποδοτικότητας και αποτελεσματικότητας για τις εργασίες του Συμβουλίου εν γένει·</w:t>
      </w:r>
    </w:p>
    <w:p w:rsidR="00A1312A" w:rsidRPr="00831525" w:rsidRDefault="00831525" w:rsidP="00831525">
      <w:pPr>
        <w:pStyle w:val="NormalHanging12a"/>
        <w:widowControl/>
        <w:ind w:left="570" w:hanging="570"/>
      </w:pPr>
      <w:r w:rsidRPr="00831525">
        <w:t>24.</w:t>
      </w:r>
      <w:r w:rsidRPr="00831525">
        <w:tab/>
      </w:r>
      <w:r w:rsidR="00A1312A" w:rsidRPr="00831525">
        <w:t xml:space="preserve">εκφράζει τη βαθιά του ανησυχία για την κατάχρηση από την ουγγρική κυβέρνηση του ρόλου της στην Προεδρία της ΕΕ για την επιδίωξη διμερών δεσμεύσεων που αντιβαίνουν στις βασικές αξίες της Ένωσης, όπως οι συναντήσεις του πρωθυπουργού </w:t>
      </w:r>
      <w:proofErr w:type="spellStart"/>
      <w:r w:rsidR="00A1312A" w:rsidRPr="00831525">
        <w:t>Viktor</w:t>
      </w:r>
      <w:proofErr w:type="spellEnd"/>
      <w:r w:rsidR="00A1312A" w:rsidRPr="00831525">
        <w:t xml:space="preserve"> </w:t>
      </w:r>
      <w:proofErr w:type="spellStart"/>
      <w:r w:rsidR="00A1312A" w:rsidRPr="00831525">
        <w:t>Orbán</w:t>
      </w:r>
      <w:proofErr w:type="spellEnd"/>
      <w:r w:rsidR="00A1312A" w:rsidRPr="00831525">
        <w:t xml:space="preserve"> με τον Ρώσο πρόεδρο </w:t>
      </w:r>
      <w:proofErr w:type="spellStart"/>
      <w:r w:rsidR="00A1312A" w:rsidRPr="00831525">
        <w:t>Vladimir</w:t>
      </w:r>
      <w:proofErr w:type="spellEnd"/>
      <w:r w:rsidR="00A1312A" w:rsidRPr="00831525">
        <w:t xml:space="preserve"> </w:t>
      </w:r>
      <w:proofErr w:type="spellStart"/>
      <w:r w:rsidR="00A1312A" w:rsidRPr="00831525">
        <w:t>Putin</w:t>
      </w:r>
      <w:proofErr w:type="spellEnd"/>
      <w:r w:rsidR="00A1312A" w:rsidRPr="00831525">
        <w:t>, παρά τις κυρώσεις της Ένωσης και το ένταλμα σύλληψης του Διεθνούς Ποινικού Δικαστηρίου κατά του τελευταίου για εγκλήματα πολέμου· σημειώνει με ανησυχία παρόμοιες επαφές με άλλους αυταρχικούς ηγέτες, οι οποίες υπονομεύουν την αξιοπιστία της ΕΕ· καλεί το Συμβούλιο να καταδικάσει απερίφραστα τις ενέργειες αυτές και να λάβει όλα τα αναγκαία μέτρα για να διασφαλίσει ότι τα κράτη μέλη που ασκούν την Προεδρία θα ενεργούν σύμφωνα με τις αρχές της ΕΕ, διαφυλάσσοντας την ακεραιότητα και τις αξίες της Ένωσης·</w:t>
      </w:r>
    </w:p>
    <w:p w:rsidR="00A1312A" w:rsidRPr="00831525" w:rsidRDefault="00A1312A" w:rsidP="00402E62">
      <w:pPr>
        <w:pStyle w:val="NormalHanging12a"/>
        <w:widowControl/>
        <w:rPr>
          <w:b/>
          <w:i/>
        </w:rPr>
      </w:pPr>
      <w:r w:rsidRPr="00831525">
        <w:rPr>
          <w:b/>
          <w:i/>
        </w:rPr>
        <w:t>Διαχείριση του προϋπολογισμού και χρηματοοικονομική διαχείριση</w:t>
      </w:r>
    </w:p>
    <w:p w:rsidR="00A1312A" w:rsidRPr="00831525" w:rsidRDefault="00831525" w:rsidP="00831525">
      <w:pPr>
        <w:pStyle w:val="NormalHanging12a"/>
        <w:widowControl/>
        <w:ind w:left="570" w:hanging="570"/>
      </w:pPr>
      <w:r w:rsidRPr="00831525">
        <w:t>25.</w:t>
      </w:r>
      <w:r w:rsidRPr="00831525">
        <w:tab/>
      </w:r>
      <w:r w:rsidR="00A1312A" w:rsidRPr="00831525">
        <w:t>εκφράζει τη δυσαρέσκειά του για το γεγονός ότι ο προϋπολογισμός του Ευρωπαϊκού Συμβουλίου και του Συμβουλίου δεν έχει διαιρεθεί σε δύο σαφώς χωριστούς προϋπολογισμούς, όπως συνιστά το Κοινοβούλιο σε προηγούμενα ψηφίσματά του σχετικά με την απαλλαγή, με σκοπό τη βελτίωση της διαφάνειας και της λογοδοσίας, ιδίως όσον αφορά το Ευρωπαϊκό Συμβούλιο, δεδομένου ότι είναι επί του παρόντος αδύνατο να ληφθούν αξιόπιστες πληροφορίες σχετικά με τις δαπάνες του· τονίζει τη σημασία των αξιόπιστων δεδομένων για τον αντικειμενικό έλεγχο· ζητεί τη συμμόρφωση με τη σύσταση της αρμόδιας για την απαλλαγή αρχής·</w:t>
      </w:r>
    </w:p>
    <w:p w:rsidR="00A1312A" w:rsidRPr="00831525" w:rsidRDefault="00831525" w:rsidP="00831525">
      <w:pPr>
        <w:pStyle w:val="NormalHanging12a"/>
        <w:widowControl/>
        <w:ind w:left="570" w:hanging="570"/>
      </w:pPr>
      <w:r w:rsidRPr="00831525">
        <w:t>26.</w:t>
      </w:r>
      <w:r w:rsidRPr="00831525">
        <w:tab/>
      </w:r>
      <w:r w:rsidR="00A1312A" w:rsidRPr="00831525">
        <w:t>σημειώνει ότι ο προϋπολογισμός του Συμβουλίου ανήλθε σε 647 908 757 EUR για το 2023, ποσό που συνιστά αύξηση κατά 6 % σε σύγκριση με το 2022, ποσοστό υψηλότερο από την αύξηση κατά 2,3 % που σημειώθηκε μεταξύ 2021 και 2022· σημειώνει ότι η αύξηση αυτή σχετίζεται κυρίως με την αναθεώρηση των παραμέτρων επικαιροποίησης των μισθών λόγω πληθωρισμού·</w:t>
      </w:r>
    </w:p>
    <w:p w:rsidR="00A1312A" w:rsidRPr="00831525" w:rsidRDefault="00831525" w:rsidP="00831525">
      <w:pPr>
        <w:pStyle w:val="NormalHanging12a"/>
        <w:widowControl/>
        <w:ind w:left="570" w:hanging="570"/>
      </w:pPr>
      <w:r w:rsidRPr="00831525">
        <w:t>27.</w:t>
      </w:r>
      <w:r w:rsidRPr="00831525">
        <w:tab/>
      </w:r>
      <w:r w:rsidR="00A1312A" w:rsidRPr="00831525">
        <w:t>σημειώνει ότι το συνολικό ποσοστό εκτέλεσης του προϋπολογισμού του Συμβουλίου το 2023 ήταν 97,0 %· σημειώνει ότι σχεδόν 20 εκατομμύρια EUR σε πιστώσεις ακυρώθηκαν στο τέλος του 2023, οι μισές από τις οποίες προήλθαν από τη γραμμή του προϋπολογισμού για τις δαπάνες προσωπικού·</w:t>
      </w:r>
    </w:p>
    <w:p w:rsidR="00A1312A" w:rsidRPr="00831525" w:rsidRDefault="00831525" w:rsidP="00831525">
      <w:pPr>
        <w:pStyle w:val="NormalHanging12a"/>
        <w:widowControl/>
        <w:ind w:left="570" w:hanging="570"/>
      </w:pPr>
      <w:r w:rsidRPr="00831525">
        <w:lastRenderedPageBreak/>
        <w:t>28.</w:t>
      </w:r>
      <w:r w:rsidRPr="00831525">
        <w:tab/>
      </w:r>
      <w:r w:rsidR="00A1312A" w:rsidRPr="00831525">
        <w:t>σημειώνει ότι, σύμφωνα με το άρθρο 29 του δημοσιονομικού κανονισμού, το Συμβούλιο πραγματοποίησε 41 μεταφορές πιστώσεων το 2023 για συνολικό ποσό 6,5</w:t>
      </w:r>
      <w:r w:rsidR="00402E62" w:rsidRPr="00831525">
        <w:t> </w:t>
      </w:r>
      <w:r w:rsidR="00A1312A" w:rsidRPr="00831525">
        <w:t>εκατομμυρίων EUR· σημειώνει περαιτέρω ότι τρεις από τις εν λόγω μεταφορές απαιτούσαν να ενημερωθεί η αρμόδια για τον προϋπολογισμό αρχή σύμφωνα με το άρθρο 29 παράγραφος 2, με σκοπό την ενίσχυση διαφόρων γραμμών του προϋπολογισμού, όπως «Εργασίες εξοπλισμού και εγκατάστασης», «Νερό, υγραέριο, ηλεκτρική ενέργεια και θέρμανση», «Απόκτηση εξοπλισμού και λογισμικών» και «Έξοδα ενοικίασης, συντήρησης και επιδιόρθωσης υπηρεσιακών αυτοκινήτων»·</w:t>
      </w:r>
    </w:p>
    <w:p w:rsidR="00A1312A" w:rsidRPr="00831525" w:rsidRDefault="00831525" w:rsidP="00831525">
      <w:pPr>
        <w:pStyle w:val="NormalHanging12a"/>
        <w:widowControl/>
        <w:ind w:left="570" w:hanging="570"/>
      </w:pPr>
      <w:r w:rsidRPr="00831525">
        <w:t>29.</w:t>
      </w:r>
      <w:r w:rsidRPr="00831525">
        <w:tab/>
      </w:r>
      <w:r w:rsidR="00A1312A" w:rsidRPr="00831525">
        <w:t xml:space="preserve">καλεί το Συμβούλιο να δημοσιεύει ετήσια ανάλυση των εξόδων ταξιδίου και παράστασης των ανώτερων υπαλλήλων, συμπεριλαμβανομένων του Προέδρου του Ευρωπαϊκού Συμβουλίου, της Ύπατης Εκπροσώπου </w:t>
      </w:r>
      <w:r w:rsidR="00F33976" w:rsidRPr="00831525">
        <w:t xml:space="preserve">για </w:t>
      </w:r>
      <w:r w:rsidR="000D4240" w:rsidRPr="00831525">
        <w:t>Θ</w:t>
      </w:r>
      <w:r w:rsidR="00F33976" w:rsidRPr="00831525">
        <w:t xml:space="preserve">έματα </w:t>
      </w:r>
      <w:r w:rsidR="000D4240" w:rsidRPr="00831525">
        <w:t>Ε</w:t>
      </w:r>
      <w:r w:rsidR="00F33976" w:rsidRPr="00831525">
        <w:t xml:space="preserve">ξωτερικής </w:t>
      </w:r>
      <w:r w:rsidR="000D4240" w:rsidRPr="00831525">
        <w:t>Π</w:t>
      </w:r>
      <w:r w:rsidR="00F33976" w:rsidRPr="00831525">
        <w:t xml:space="preserve">ολιτικής και </w:t>
      </w:r>
      <w:r w:rsidR="000D4240" w:rsidRPr="00831525">
        <w:t>Π</w:t>
      </w:r>
      <w:r w:rsidR="00F33976" w:rsidRPr="00831525">
        <w:t xml:space="preserve">ολιτικής </w:t>
      </w:r>
      <w:r w:rsidR="000D4240" w:rsidRPr="00831525">
        <w:t>Α</w:t>
      </w:r>
      <w:r w:rsidR="00F33976" w:rsidRPr="00831525">
        <w:t xml:space="preserve">σφαλείας, </w:t>
      </w:r>
      <w:r w:rsidR="00A1312A" w:rsidRPr="00831525">
        <w:t>και της Γραμματείας, σε εύχρηστη μορφή προσβάσιμη στο κοινό·</w:t>
      </w:r>
    </w:p>
    <w:p w:rsidR="00A1312A" w:rsidRPr="00831525" w:rsidRDefault="00831525" w:rsidP="00831525">
      <w:pPr>
        <w:pStyle w:val="NormalHanging12a"/>
        <w:widowControl/>
        <w:ind w:left="570" w:hanging="570"/>
      </w:pPr>
      <w:r w:rsidRPr="00831525">
        <w:t>30.</w:t>
      </w:r>
      <w:r w:rsidRPr="00831525">
        <w:tab/>
      </w:r>
      <w:r w:rsidR="00A1312A" w:rsidRPr="00831525">
        <w:t>σημειώνει ότι οι πιστώσεις που μεταφέρθηκαν από το 2023 στο 2024 ανήλθαν συνολικά σε 85,5 εκατομμύρια EUR και καλύπτουν κυρίως τα συστήματα πληροφορικής, το κόστος των υπηρεσιών διερμηνείας που παρασχέθηκαν το 2023 και για τις οποίες δεν είχαν ακόμη συμφωνηθεί τιμολόγια με τις υπηρεσίες της Ευρωπαϊκής Επιτροπής τη στιγμή του κλεισίματος των λογαριασμών, τα κτίρια, την πληροφόρηση και επικοινωνία, τον οπτικοακουστικό εξοπλισμό και τον εξοπλισμό συνεδριάσεων, άλλες δαπάνες προσωπικού και τις μεταφορές·</w:t>
      </w:r>
    </w:p>
    <w:p w:rsidR="00A1312A" w:rsidRPr="00831525" w:rsidRDefault="00831525" w:rsidP="00831525">
      <w:pPr>
        <w:pStyle w:val="NormalHanging12a"/>
        <w:widowControl/>
        <w:ind w:left="570" w:hanging="570"/>
      </w:pPr>
      <w:r w:rsidRPr="00831525">
        <w:t>31.</w:t>
      </w:r>
      <w:r w:rsidRPr="00831525">
        <w:tab/>
      </w:r>
      <w:r w:rsidR="00A1312A" w:rsidRPr="00831525">
        <w:t>εκφράζει την ανησυχία του για τους ανεπαρκείς μηχανισμούς ελέγχου όσον αφορά τη χρήση συμβουλευτικών υπηρεσιών και εξωτερικών αναδόχων από το Συμβούλιο· ζητεί την πλήρη δημοσιοποίηση όλων των συμβάσεων που υπερβαίνουν τα 50 000 EUR, με λεπτομερή αναφορά του πεδίου εφαρμογής, των παραδοτέων και των αναδόχων, για να προλαμβάνεται η πιθανή κατάχρηση δημόσιων πόρων·</w:t>
      </w:r>
    </w:p>
    <w:p w:rsidR="00A1312A" w:rsidRPr="00831525" w:rsidRDefault="00831525" w:rsidP="00831525">
      <w:pPr>
        <w:pStyle w:val="NormalHanging12a"/>
        <w:widowControl/>
        <w:ind w:left="570" w:hanging="570"/>
      </w:pPr>
      <w:r w:rsidRPr="00831525">
        <w:t>32.</w:t>
      </w:r>
      <w:r w:rsidRPr="00831525">
        <w:tab/>
      </w:r>
      <w:r w:rsidR="00A1312A" w:rsidRPr="00831525">
        <w:t>σημειώνει ότι ο μέσος χρόνος για τις πληρωμές τιμολογίων μειώθηκε από 18 σε 13 ημέρες από το 2022 έως το 2023, πολύ κάτω από τη μέγιστη προθεσμία των 30 ημερών, με αποτέλεσμα να αποφευχθούν οι τόκοι υπερημερίας·</w:t>
      </w:r>
    </w:p>
    <w:p w:rsidR="00A1312A" w:rsidRPr="00831525" w:rsidRDefault="00831525" w:rsidP="00831525">
      <w:pPr>
        <w:pStyle w:val="NormalHanging12a"/>
        <w:widowControl/>
        <w:ind w:left="570" w:hanging="570"/>
      </w:pPr>
      <w:r w:rsidRPr="00831525">
        <w:t>33.</w:t>
      </w:r>
      <w:r w:rsidRPr="00831525">
        <w:tab/>
      </w:r>
      <w:r w:rsidR="00A1312A" w:rsidRPr="00831525">
        <w:t>σημειώνει ότι τα έξοδα αποστολών, που περιλαμβάνουν τόσο τα έξοδα αποστολής της Γραμματείας όσο και τα έξοδα αποστολής του προσωπικού που σχετίζεται με το Ευρωπαϊκό Συμβούλιο, αυξήθηκαν κατά 25 % μεταξύ 2022 και 2023, και ότι τα έξοδα ταξιδίου των αντιπροσωπειών που συνδέονταν με τις Προεδρίες και τις εθνικές αντιπροσωπείες αυξήθηκαν κατά 36,6 % κατά τη διάρκεια της ίδιας περιόδου· καλεί το Συμβούλιο να αξιολογήσει αυτή τη σημαντική αύξηση των δαπανών για αποστολές· ελλείψει πρόσβασης σε λεπτομερείς πληροφορίες, ενθαρρύνει το Συμβούλιο να χρησιμοποιήσει τους πόρους αυτούς στο πνεύμα της χρηστής δημοσιονομικής διαχείρισης·</w:t>
      </w:r>
    </w:p>
    <w:p w:rsidR="00A1312A" w:rsidRPr="00831525" w:rsidRDefault="00A1312A" w:rsidP="00402E62">
      <w:pPr>
        <w:pStyle w:val="NormalHanging12a"/>
        <w:widowControl/>
        <w:rPr>
          <w:b/>
          <w:i/>
        </w:rPr>
      </w:pPr>
      <w:r w:rsidRPr="00831525">
        <w:rPr>
          <w:b/>
          <w:i/>
        </w:rPr>
        <w:t>Εσωτερική διαχείριση, επιδόσεις και εσωτερικός έλεγχος</w:t>
      </w:r>
    </w:p>
    <w:p w:rsidR="00A1312A" w:rsidRPr="00831525" w:rsidRDefault="00831525" w:rsidP="00831525">
      <w:pPr>
        <w:pStyle w:val="NormalHanging12a"/>
        <w:widowControl/>
        <w:ind w:left="570" w:hanging="570"/>
      </w:pPr>
      <w:r w:rsidRPr="00831525">
        <w:t>34.</w:t>
      </w:r>
      <w:r w:rsidRPr="00831525">
        <w:tab/>
      </w:r>
      <w:r w:rsidR="00A1312A" w:rsidRPr="00831525">
        <w:t xml:space="preserve">σημειώνει ότι το Συμβούλιο καθόρισε στόχους για τις επιδόσεις του προϋπολογισμού του το 2023 και, ειδικότερα, τον στόχο της διασφάλισης της συνεχούς λήψης αποφάσεων στο Ευρωπαϊκό Συμβούλιο και το Συμβούλιο· επίσης τον στόχο της διασφάλισης της παροχής συνεχούς στήριξης στο Ευρωπαϊκό Συμβούλιο και το Συμβούλιο μέσω της αποτελεσματικής και αποδοτικής χρήσης των χρηματοδοτικών πόρων, ιδίως ενόψει της διαρκούς πίεσης του πληθωρισμού και των επακόλουθων </w:t>
      </w:r>
      <w:r w:rsidR="00A1312A" w:rsidRPr="00831525">
        <w:lastRenderedPageBreak/>
        <w:t>αυξήσεων των τιμών λόγω της τιμαριθμικής αναπροσαρμογής των συμβάσεων, και τον στόχο της συνέχισης της διαδικασίας διοικητικού ψηφιακού εκσυγχρονισμού με στόχο τη βελτίωση της ποιότητας της οργάνωσης της Γραμματείας και της κατάλληλης χρήσης των πόρων·</w:t>
      </w:r>
    </w:p>
    <w:p w:rsidR="00A1312A" w:rsidRPr="00831525" w:rsidRDefault="00831525" w:rsidP="00831525">
      <w:pPr>
        <w:pStyle w:val="NormalHanging12a"/>
        <w:widowControl/>
        <w:ind w:left="570" w:hanging="570"/>
      </w:pPr>
      <w:r w:rsidRPr="00831525">
        <w:t>35.</w:t>
      </w:r>
      <w:r w:rsidRPr="00831525">
        <w:tab/>
      </w:r>
      <w:r w:rsidR="00A1312A" w:rsidRPr="00831525">
        <w:t>σημειώνει ότι, προκειμένου να διασφαλιστεί η αποδοτική χρήση του προϋπολογισμού της το 2023, η Γραμματεία συνέχισε να βελτιώνει τις διαδικασίες δημοσιονομικής διαχείρισής της, ιδίως με βάση τις συστάσεις μιας σειράς εσωτερικών ειδικών ομάδων· εκφράζει, ειδικότερα, την ικανοποίησή του για τα νέα εργαλεία επιδόσεων, όπως η ενσωμάτωση στοιχείων ανθρώπινων πόρων και δεξιοτήτων στη διαδικασία ολοκληρωμένου σχεδιασμού διαχείρισης, η πλήρης ψηφιοποίηση των χρηματοοικονομικών ροών εργασίας και η εισαγωγή της ηλεκτρονικής υπογραφής·</w:t>
      </w:r>
    </w:p>
    <w:p w:rsidR="00A1312A" w:rsidRPr="00831525" w:rsidRDefault="00831525" w:rsidP="00831525">
      <w:pPr>
        <w:pStyle w:val="NormalHanging12a"/>
        <w:widowControl/>
        <w:ind w:left="570" w:hanging="570"/>
      </w:pPr>
      <w:r w:rsidRPr="00831525">
        <w:t>36.</w:t>
      </w:r>
      <w:r w:rsidRPr="00831525">
        <w:tab/>
      </w:r>
      <w:r w:rsidR="00A1312A" w:rsidRPr="00831525">
        <w:t>εκφράζει την ικανοποίησή του για τη μεγαλύτερη χρήση δεδομένων στη διαδικασία λήψης αποφάσεων, ιδίως με βάση τον μηνιαίο οικονομικό πίνακα, που παρουσιάζει βασικούς δείκτες επιδόσεων σε όλες τις υπηρεσίες της Γραμματείας και τον πίνακα δεικτών των διαχειριστών με βασικές πληροφορίες από τα δεδομένα για τους ανθρώπινους πόρους, προκειμένου να διευκολυνθούν η καθημερινή διαχείριση και οι αποφάσεις στον τομέα των ανθρώπινων πόρων·</w:t>
      </w:r>
    </w:p>
    <w:p w:rsidR="00A1312A" w:rsidRPr="00831525" w:rsidRDefault="00831525" w:rsidP="00831525">
      <w:pPr>
        <w:pStyle w:val="NormalHanging12a"/>
        <w:widowControl/>
        <w:ind w:left="570" w:hanging="570"/>
      </w:pPr>
      <w:r w:rsidRPr="00831525">
        <w:t>37.</w:t>
      </w:r>
      <w:r w:rsidRPr="00831525">
        <w:tab/>
      </w:r>
      <w:r w:rsidR="00A1312A" w:rsidRPr="00831525">
        <w:t xml:space="preserve">σημειώνει ότι η Γραμματεία διοργάνωσε 4 429 συνεδριάσεις το 2023, αριθμός σχετικά σταθερός σε σύγκριση με το 2022· σημειώνει περαιτέρω ότι ο αριθμός των συνεδριάσεων με φυσική παρουσία αυξήθηκε κατά 11 % σε σύγκριση με το 2022, ενώ ο αριθμός των συνεδριάσεων που πραγματοποιούνται με </w:t>
      </w:r>
      <w:proofErr w:type="spellStart"/>
      <w:r w:rsidR="00A1312A" w:rsidRPr="00831525">
        <w:t>βιντεοδιάσκεψη</w:t>
      </w:r>
      <w:proofErr w:type="spellEnd"/>
      <w:r w:rsidR="00A1312A" w:rsidRPr="00831525">
        <w:t xml:space="preserve"> ή με υβριδικό τρόπο μειώθηκε σημαντικά, κατά περισσότερο από 60 %·</w:t>
      </w:r>
    </w:p>
    <w:p w:rsidR="00A1312A" w:rsidRPr="00831525" w:rsidRDefault="00831525" w:rsidP="00831525">
      <w:pPr>
        <w:pStyle w:val="NormalHanging12a"/>
        <w:widowControl/>
        <w:ind w:left="570" w:hanging="570"/>
      </w:pPr>
      <w:r w:rsidRPr="00831525">
        <w:t>38.</w:t>
      </w:r>
      <w:r w:rsidRPr="00831525">
        <w:tab/>
      </w:r>
      <w:r w:rsidR="00A1312A" w:rsidRPr="00831525">
        <w:t>σημειώνει ότι η Γραμματεία δρομολόγησε 17 ανοικτές διαδικασίες σύναψης συμβάσεων, 12 νέες διαδικασίες με διαπραγμάτευση, καθώς και 21 διοργανικές διαδικασίες (οποιαδήποτε αξία) στις οποίες δεν είναι επικεφαλής το Συμβούλιο· σημειώνει ότι, έως το τέλος του 2023, είχαν υπογραφεί 41 συμβάσεις, σε σύγκριση με 42 το 2022, και 47 παρτίδες (οποιαδήποτε κατηγορία) ήταν υπό επεξεργασία· σημειώνει ότι το 2023 ανατέθηκαν συμβάσεις συνολικού ύψους 124,1 εκατομμυρίων EUR, ποσό που αντιστοιχεί στο 19,15 % του ετήσιου προϋπολογισμού του Συμβουλίου· σημειώνει ότι, από το συνολικό ποσό των συμβάσεων, το 0,5 % δεσμεύθηκε σε συμβάσεις χαμηλής και μέσης αξίας, το 58 % σε ειδικές συμβάσεις που αποτελούσαν τμήμα συμβάσεων-πλαισίων, στις οποίες το Συμβούλιο είναι η μόνη αναθέτουσα αρχή και το 69,5 % σε ειδικές συμβάσεις που ανατέθηκαν στο πλαίσιο διοργανικών συμβάσεων-πλαισίων·</w:t>
      </w:r>
    </w:p>
    <w:p w:rsidR="00A1312A" w:rsidRPr="00831525" w:rsidRDefault="00831525" w:rsidP="00831525">
      <w:pPr>
        <w:pStyle w:val="NormalHanging12a"/>
        <w:widowControl/>
        <w:ind w:left="570" w:hanging="570"/>
        <w:rPr>
          <w:color w:val="000000" w:themeColor="text1"/>
        </w:rPr>
      </w:pPr>
      <w:r w:rsidRPr="00831525">
        <w:rPr>
          <w:color w:val="000000" w:themeColor="text1"/>
        </w:rPr>
        <w:t>39.</w:t>
      </w:r>
      <w:r w:rsidRPr="00831525">
        <w:rPr>
          <w:color w:val="000000" w:themeColor="text1"/>
        </w:rPr>
        <w:tab/>
      </w:r>
      <w:r w:rsidR="00A1312A" w:rsidRPr="00831525">
        <w:rPr>
          <w:color w:val="000000" w:themeColor="text1"/>
        </w:rPr>
        <w:t>σημειώνει ότι το Συμβούλιο διαβίβασε στην αρμόδια για την απαλλαγή αρχή την ετήσια έκθεσή του σχετικά με τους εσωτερικούς ελέγχους που πραγματοποιήθηκαν το 2023, σύμφωνα με το άρθρο 118 του δημοσιονομικού κανονισμού· σημειώνει ότι, στο τέλος του 2023, το 81 % των συστάσεων που εκδόθηκαν κατά τη διάρκεια των ετών 2020-2022 είχαν υλοποιηθεί, το 18 % εξακολουθούσαν να εκκρεμούν και για το 1 % είτε η διοίκηση είχε αποδεχθεί τον κίνδυνο είτε οι συστάσεις δεν ίσχυαν πλέον· σημειώνει ότι τέσσερις εσωτερικοί έλεγχοι που είχαν προγραμματιστεί στο πρόγραμμα εργασίας του 2023 ολοκληρώθηκαν κατά τη διάρκεια του έτους και δύο βρίσκονταν ακόμη σε εξέλιξη στο τέλος του 2023· σημειώνει ότι ο εσωτερικός ελεγκτής εξέδωσε συστάσεις υψηλής προτεραιότητας σε τρεις ελέγχους του προγράμματος εργασίας του 2023 οι οποίοι αφορούσαν τις υπηρεσίες μεταφορών, τους εξυπηρετητές και τις βασικές υπηρεσίες του IOLAN και τα συστήματα τελικών σημείων του IOLAN·</w:t>
      </w:r>
    </w:p>
    <w:p w:rsidR="00A1312A" w:rsidRPr="00831525" w:rsidRDefault="00A1312A" w:rsidP="00402E62">
      <w:pPr>
        <w:pStyle w:val="NormalHanging12a"/>
        <w:widowControl/>
        <w:rPr>
          <w:b/>
          <w:i/>
        </w:rPr>
      </w:pPr>
      <w:r w:rsidRPr="00831525">
        <w:rPr>
          <w:b/>
          <w:i/>
        </w:rPr>
        <w:lastRenderedPageBreak/>
        <w:t>Ανθρώπινοι πόροι, ισότητα και ευημερία του προσωπικού</w:t>
      </w:r>
    </w:p>
    <w:p w:rsidR="00A1312A" w:rsidRPr="00831525" w:rsidRDefault="00831525" w:rsidP="00831525">
      <w:pPr>
        <w:pStyle w:val="NormalHanging12a"/>
        <w:widowControl/>
        <w:ind w:left="570" w:hanging="570"/>
        <w:rPr>
          <w:color w:val="000000" w:themeColor="text1"/>
        </w:rPr>
      </w:pPr>
      <w:r w:rsidRPr="00831525">
        <w:rPr>
          <w:color w:val="000000" w:themeColor="text1"/>
        </w:rPr>
        <w:t>40.</w:t>
      </w:r>
      <w:r w:rsidRPr="00831525">
        <w:rPr>
          <w:color w:val="000000" w:themeColor="text1"/>
        </w:rPr>
        <w:tab/>
      </w:r>
      <w:r w:rsidR="00A1312A" w:rsidRPr="00831525">
        <w:t>σημειώνει ότι, από τα 3 116 μέλη του προσωπικού στο τέλος του 2023, το 79 % ήταν μόνιμοι υπάλληλοι, το 12,8 % ήταν έκτακτοι υπάλληλοι, το 7,2 % ήταν συμβασιούχοι υπάλληλοι και το 1 % ήταν αποσπασμένοι εθνικοί εμπειρογνώμονες·</w:t>
      </w:r>
      <w:r w:rsidR="00A1312A" w:rsidRPr="00831525">
        <w:rPr>
          <w:color w:val="000000" w:themeColor="text1"/>
        </w:rPr>
        <w:t xml:space="preserve"> σημειώνει ότι η κατανομή του μόνιμου και του έκτακτου προσωπικού μεταξύ των κατηγοριών θέσεων εργασίας παρέμεινε σταθερή με 1 474,25 διοικητικούς υπαλλήλους (AD), 1 159 βοηθούς (AST) και 230 γραμματείς (AST-SC) το 2023, σε σύγκριση με 1 519, 1 284 και 190 το 2022· σημειώνει ότι το ποσοστό πληρότητας του πίνακα προσωπικού ήταν 97,4 % στο τέλος του 2023·</w:t>
      </w:r>
    </w:p>
    <w:p w:rsidR="00A1312A" w:rsidRPr="00831525" w:rsidRDefault="00831525" w:rsidP="00831525">
      <w:pPr>
        <w:pStyle w:val="NormalHanging12a"/>
        <w:widowControl/>
        <w:ind w:left="570" w:hanging="570"/>
      </w:pPr>
      <w:r w:rsidRPr="00831525">
        <w:t>41.</w:t>
      </w:r>
      <w:r w:rsidRPr="00831525">
        <w:tab/>
      </w:r>
      <w:r w:rsidR="00A1312A" w:rsidRPr="00831525">
        <w:t>σημειώνει ότι, δεδομένης της έλλειψης συνεργασίας του Συμβουλίου με το Κοινοβούλιο, οι παρατηρήσεις στο παρόν τμήμα βασίζονται πρωτίστως σε συγκεντρωτικές πληροφορίες που δημοσιεύονται στον ιστότοπο του Συμβουλίου και παρέχουν περιορισμένες λεπτομέρειες·</w:t>
      </w:r>
    </w:p>
    <w:p w:rsidR="00A1312A" w:rsidRPr="00831525" w:rsidRDefault="00831525" w:rsidP="00831525">
      <w:pPr>
        <w:pStyle w:val="NormalHanging12a"/>
        <w:widowControl/>
        <w:ind w:left="570" w:hanging="570"/>
      </w:pPr>
      <w:r w:rsidRPr="00831525">
        <w:t>42.</w:t>
      </w:r>
      <w:r w:rsidRPr="00831525">
        <w:tab/>
      </w:r>
      <w:r w:rsidR="00A1312A" w:rsidRPr="00831525">
        <w:t>σημειώνει τις άλλες πρωτοβουλίες που ανέλαβε η Γραμματεία για να καταστεί πιο ποικιλόμορφος και συμπεριληπτικός χώρος εργασίας· εκφράζει την ικανοποίησή του για το γεγονός ότι το Συμβούλιο έλαβε το βραβείο χρηστής διοίκησης 2023 του Διαμεσολαβητή στην κατηγορία «Αριστεία στην πολυμορφία και την ένταξη» για το πρόγραμμα θετικής δράσης για τους ασκούμενους με αναπηρία που θέσπισε και στο πλαίσιο του οποίου φιλοξενήθηκαν 6 ασκούμενοι με αναπηρία στη Γραμματεία το 2023·</w:t>
      </w:r>
    </w:p>
    <w:p w:rsidR="00A1312A" w:rsidRPr="00831525" w:rsidRDefault="00831525" w:rsidP="00831525">
      <w:pPr>
        <w:pStyle w:val="NormalHanging12a"/>
        <w:widowControl/>
        <w:ind w:left="570" w:hanging="570"/>
      </w:pPr>
      <w:r w:rsidRPr="00831525">
        <w:t>43.</w:t>
      </w:r>
      <w:r w:rsidRPr="00831525">
        <w:tab/>
      </w:r>
      <w:r w:rsidR="00A1312A" w:rsidRPr="00831525">
        <w:t xml:space="preserve">εκφράζει τη λύπη του για την έλλειψη δημόσια διαθέσιμων πληροφοριών σχετικά με το φύλο και τη γεωγραφική κατανομή του προσωπικού στη Γραμματεία· καλεί το Συμβούλιο να παράσχει πληροφορίες στο Κοινοβούλιο όσον αφορά την ισόρροπη εκπροσώπηση των φύλων, τη γεωγραφική κατανομή και τις αναπηρίες των μελών του προσωπικού του, καθώς και τις σχετικές εσωτερικές πολιτικές· ενθαρρύνει το Συμβούλιο να προωθήσει τη γεωγραφική ισορροπία του προσωπικού του, με την προσφορά ευρύτερης δεξαμενής υποψηφίων από </w:t>
      </w:r>
      <w:proofErr w:type="spellStart"/>
      <w:r w:rsidR="00A1312A" w:rsidRPr="00831525">
        <w:t>υποεκπροσωπούμενα</w:t>
      </w:r>
      <w:proofErr w:type="spellEnd"/>
      <w:r w:rsidR="00A1312A" w:rsidRPr="00831525">
        <w:t xml:space="preserve"> κράτη μέλη·</w:t>
      </w:r>
    </w:p>
    <w:p w:rsidR="00A1312A" w:rsidRPr="00831525" w:rsidRDefault="00831525" w:rsidP="00831525">
      <w:pPr>
        <w:pStyle w:val="NormalHanging12a"/>
        <w:widowControl/>
        <w:ind w:left="570" w:hanging="570"/>
      </w:pPr>
      <w:r w:rsidRPr="00831525">
        <w:t>44.</w:t>
      </w:r>
      <w:r w:rsidRPr="00831525">
        <w:tab/>
      </w:r>
      <w:r w:rsidR="00A1312A" w:rsidRPr="00831525">
        <w:t xml:space="preserve">εκφράζει την ικανοποίησή του για τις προσπάθειες που κατέβαλε η Γραμματεία το 2023 για να προσελκύσει και να διατηρήσει ειδικευμένο εργατικό δυναμικό νεαρότερης ηλικίας μέσω διαφόρων πρωτοβουλιών, όπως η πρόσληψη οκτώ διοικητικών στελεχών πολιτικής νεαρής ηλικίας στο πλαίσιο του νέου προγράμματος </w:t>
      </w:r>
      <w:proofErr w:type="spellStart"/>
      <w:r w:rsidR="00A1312A" w:rsidRPr="00831525">
        <w:t>Junior</w:t>
      </w:r>
      <w:proofErr w:type="spellEnd"/>
      <w:r w:rsidR="00A1312A" w:rsidRPr="00831525">
        <w:t xml:space="preserve"> Policy Team, η αναθεώρηση των κανόνων εσωτερικής κινητικότητας και η συμμετοχή 41 μελών του προσωπικού της Γραμματείας σε διοργανική άσκηση παρακολούθησης εργασίας· επισημαίνει ότι η πρακτική άσκηση θα πρέπει να αμείβεται σύμφωνα με το ψήφισμα του Ευρωπαϊκού Κοινοβουλίου της 14ης Ιουνίου 2023 για ποιοτικές θέσεις πρακτικής άσκησης στην Ένωση (2020/2005(INL)), στο οποίο διατυπώνεται το αίτημα να αμείβονται όλοι οι ασκούμενοι στην Ευρώπη· εκφράζει τη λύπη του για την έλλειψη πληροφοριών σχετικά με την εφαρμογή του σχεδίου δράσης του Συμβουλίου για το εμπορικό σήμα εργοδότη που καταρτίστηκε το 2023·</w:t>
      </w:r>
    </w:p>
    <w:p w:rsidR="00A1312A" w:rsidRPr="00831525" w:rsidRDefault="00831525" w:rsidP="00831525">
      <w:pPr>
        <w:pStyle w:val="NormalHanging12a"/>
        <w:widowControl/>
        <w:ind w:left="570" w:hanging="570"/>
      </w:pPr>
      <w:r w:rsidRPr="00831525">
        <w:t>45.</w:t>
      </w:r>
      <w:r w:rsidRPr="00831525">
        <w:tab/>
      </w:r>
      <w:r w:rsidR="00A1312A" w:rsidRPr="00831525">
        <w:t xml:space="preserve">σημειώνει ότι, το 2023, το σχέδιο πρόληψης ψυχοκοινωνικών κινδύνων για την περίοδο 2020-2023 υποβλήθηκε σε επανεξέταση, τα αποτελέσματα της οποίας ελήφθησαν υπόψη κατά την κατάρτιση νέου σχεδίου πρόληψης κινδύνων και την επικαιροποίηση του σχεδίου ψυχοκοινωνικής παρέμβασης στο πλαίσιο των πρωτοβουλιών του Συμβουλίου για την προώθηση της ευημερίας του προσωπικού, τόσο σε ατομικό επίπεδο όσο και σε επίπεδο ομάδων ή μονάδων· σημειώνει ότι προσφέρθηκαν διάφορες </w:t>
      </w:r>
      <w:r w:rsidR="00A1312A" w:rsidRPr="00831525">
        <w:lastRenderedPageBreak/>
        <w:t>μορφές υποστήριξης και μαθημάτων στα μέλη του προσωπικού και τα διευθυντικά στελέχη της Γραμματείας, όπως ειδική συνεδρία κατάρτισης για τους διευθυντές σχετικά με την ψυχολογική ασφάλεια, καθοδήγηση για τους διευθυντές σχετικά με την ψυχική υγεία, ειδικά εργαστήρια για την πρόληψη των ψυχοκοινωνικών κινδύνων που διοργανώθηκαν κατά παραγγελία και εργαστήρια διαχείρισης άγχους για την ισπανική και τη βελγική Προεδρία του Συμβουλίου·</w:t>
      </w:r>
    </w:p>
    <w:p w:rsidR="00A1312A" w:rsidRPr="00831525" w:rsidRDefault="00831525" w:rsidP="00831525">
      <w:pPr>
        <w:pStyle w:val="NormalHanging12a"/>
        <w:widowControl/>
        <w:ind w:left="570" w:hanging="570"/>
      </w:pPr>
      <w:r w:rsidRPr="00831525">
        <w:t>46.</w:t>
      </w:r>
      <w:r w:rsidRPr="00831525">
        <w:tab/>
      </w:r>
      <w:r w:rsidR="00A1312A" w:rsidRPr="00831525">
        <w:t>σημειώνει ότι η Γραμματεία ολοκλήρωσε το πιλοτικό έργο «Νέοι τρόποι εργασίας» (NWOW), το οποίο δρομολογήθηκε το 2018, και διεξήγαγε αξιολόγηση που παρείχε πολύτιμες πληροφορίες, ιδίως όσον αφορά την επικοινωνία σχετικά με τις αλλαγές, τη συμμετοχή των χρηστών και τη συμμετοχή του προσωπικού στις διαδικασίες αλλαγής· σημειώνει ότι το Συμβούλιο κοινοποίησε τα αποτελέσματα του δοκιμαστικού σχεδίου σε άλλους οργανισμούς που εφαρμόζουν παρόμοια προγράμματα· καλεί το Συμβούλιο να κοινοποιήσει επίσης τα διδάγματα που αντλήθηκαν στην αρμόδια για την απαλλαγή αρχή·</w:t>
      </w:r>
    </w:p>
    <w:p w:rsidR="00A1312A" w:rsidRPr="00831525" w:rsidRDefault="00A1312A" w:rsidP="00402E62">
      <w:pPr>
        <w:pStyle w:val="NormalHanging12a"/>
        <w:widowControl/>
        <w:rPr>
          <w:b/>
          <w:i/>
        </w:rPr>
      </w:pPr>
      <w:r w:rsidRPr="00831525">
        <w:rPr>
          <w:b/>
          <w:i/>
        </w:rPr>
        <w:t>Δεοντολογικό πλαίσιο και διαφάνεια</w:t>
      </w:r>
    </w:p>
    <w:p w:rsidR="00A1312A" w:rsidRPr="00831525" w:rsidRDefault="00831525" w:rsidP="00831525">
      <w:pPr>
        <w:pStyle w:val="NormalHanging12a"/>
        <w:widowControl/>
        <w:ind w:left="570" w:hanging="570"/>
      </w:pPr>
      <w:r w:rsidRPr="00831525">
        <w:t>47.</w:t>
      </w:r>
      <w:r w:rsidRPr="00831525">
        <w:tab/>
      </w:r>
      <w:r w:rsidR="00A1312A" w:rsidRPr="00831525">
        <w:t>εκφράζει τη λύπη του για το γεγονός ότι δύο βασικές συνιστώσες του δεοντολογικού πλαισίου του Συμβουλίου, ο « Οδηγός για θέματα δεοντολογίας και συμπεριφοράς» για το προσωπικό της Γραμματείας και ο «Κώδικας Δεοντολογίας για τον Πρόεδρο του Ευρωπαϊκού Συμβουλίου», είναι διαθέσιμες στον ιστότοπο του Συμβουλίου χωρίς περαιτέρω καθοδήγηση ή ημερομηνία δημοσίευσης· επικρίνει το γεγονός ότι, παρά τα διάφορα αιτήματα του Κοινοβουλίου, ο κώδικας δεοντολογίας για τον Πρόεδρο του Ευρωπαϊκού Συμβουλίου δεν έχει ευθυγραμμιστεί με εκείνους του Κοινοβουλίου και της Επιτροπής, ιδίως όσον αφορά τις δραστηριότητες μετά τη θητεία· ζητεί να διορθωθούν άμεσα οι προαναφερθείσες ελλείψεις·</w:t>
      </w:r>
    </w:p>
    <w:p w:rsidR="00A1312A" w:rsidRPr="00831525" w:rsidRDefault="00831525" w:rsidP="00831525">
      <w:pPr>
        <w:pStyle w:val="NormalHanging12a"/>
        <w:widowControl/>
        <w:ind w:left="570" w:hanging="570"/>
      </w:pPr>
      <w:r w:rsidRPr="00831525">
        <w:t>48.</w:t>
      </w:r>
      <w:r w:rsidRPr="00831525">
        <w:tab/>
      </w:r>
      <w:r w:rsidR="00A1312A" w:rsidRPr="00831525">
        <w:t>επαναλαμβάνει ότι η δεοντολογική συμπεριφορά συμβάλλει στη χρηστή δημοσιονομική διαχείριση και αυξάνει την εμπιστοσύνη του κοινού και ότι, όπως τόνισε το Ελεγκτικό Συνέδριο στην ειδική έκθεσή του αριθ. 13/2019, υπάρχουν περιθώρια βελτίωσης των πλαισίων δεοντολογίας των θεσμικών οργάνων της Ένωσης· υπενθυμίζει ειδικότερα τη σύσταση που εξέδωσε το Ελεγκτικό Συνέδριο όσον αφορά τη βελτίωση του δεοντολογικού πλαισίου του Συμβουλίου· εκφράζει την ανησυχία του για την έλλειψη κοινού ενωσιακού δεοντολογικού πλαισίου που να διέπει το έργο των εκπροσώπων των κρατών μελών στο Συμβούλιο, όπως διαπιστώθηκε από το Ελεγκτικό Συνέδριο·</w:t>
      </w:r>
    </w:p>
    <w:p w:rsidR="00A1312A" w:rsidRPr="00831525" w:rsidRDefault="00831525" w:rsidP="00831525">
      <w:pPr>
        <w:pStyle w:val="NormalHanging12a"/>
        <w:widowControl/>
        <w:ind w:left="570" w:hanging="570"/>
      </w:pPr>
      <w:r w:rsidRPr="00831525">
        <w:t>49.</w:t>
      </w:r>
      <w:r w:rsidRPr="00831525">
        <w:tab/>
      </w:r>
      <w:r w:rsidR="00A1312A" w:rsidRPr="00831525">
        <w:t xml:space="preserve">σημειώνει ότι, στο πλαίσιο της εφαρμογής της απόφασης 23/2021 του Γενικού Γραμματέα σχετικά με την ψυχολογική και σεξουαλική παρενόχληση στην εργασία, το 2023 ελήφθησαν διάφορα μέτρα, όπως η δημοσίευση στο </w:t>
      </w:r>
      <w:proofErr w:type="spellStart"/>
      <w:r w:rsidR="00A1312A" w:rsidRPr="00831525">
        <w:t>ενδοδίκτυο</w:t>
      </w:r>
      <w:proofErr w:type="spellEnd"/>
      <w:r w:rsidR="00A1312A" w:rsidRPr="00831525">
        <w:t xml:space="preserve"> της Γραμματείας του οδηγού για την πρόληψη της παρενόχλησης στον χώρο εργασίας, οι δραστηριότητες ευαισθητοποίησης των </w:t>
      </w:r>
      <w:proofErr w:type="spellStart"/>
      <w:r w:rsidR="00A1312A" w:rsidRPr="00831525">
        <w:t>νεοαφιχθέντων</w:t>
      </w:r>
      <w:proofErr w:type="spellEnd"/>
      <w:r w:rsidR="00A1312A" w:rsidRPr="00831525">
        <w:t xml:space="preserve"> σχετικά με την προσέγγιση μηδενικής ανοχής του Συμβουλίου και η οργάνωση υποχρεωτικών προγραμμάτων κατάρτισης σχετικά με την καταπολέμηση της παρενόχλησης και την ανάρμοστη συμπεριφορά για τα νέα διευθυντικά στελέχη και το προσωπικό με αρμοδιότητες διαχείρισης·</w:t>
      </w:r>
    </w:p>
    <w:p w:rsidR="00A1312A" w:rsidRPr="00831525" w:rsidRDefault="00831525" w:rsidP="00831525">
      <w:pPr>
        <w:pStyle w:val="NormalHanging12a"/>
        <w:widowControl/>
        <w:ind w:left="570" w:hanging="570"/>
      </w:pPr>
      <w:r w:rsidRPr="00831525">
        <w:t>50.</w:t>
      </w:r>
      <w:r w:rsidRPr="00831525">
        <w:tab/>
      </w:r>
      <w:r w:rsidR="00A1312A" w:rsidRPr="00831525">
        <w:t xml:space="preserve">σημειώνει ότι η Γραμματεία δημοσιεύει ετήσια έκθεση με πληροφορίες σχετικά με τις επαγγελματικές δραστηριότητες πρώην ανώτερων υπαλλήλων της Γενικής Γραμματείας του Συμβουλίου μετά την αποχώρησή τους από την υπηρεσία, σύμφωνα με το </w:t>
      </w:r>
      <w:r w:rsidR="00A1312A" w:rsidRPr="00831525">
        <w:lastRenderedPageBreak/>
        <w:t>άρθρο 16, τρίτο και τέταρτο εδάφιο, του κανονισμού υπηρεσιακής κατάστασης των υπαλλήλων της Ευρωπαϊκής Ένωσης· σημειώνει ότι, σύμφωνα με την έκθεση για το 2023, πρώην ανώτερος υπάλληλος δήλωσε την πρόθεσή του να ασκήσει επαγγελματικές δραστηριότητες λιγότερο από 12 μήνες μετά την αποχώρησή του και έλαβε άδεια από την αρμόδια για τους διορισμούς αρχή να ασκήσει μία δραστηριότητα υπό συγκεκριμένη προϋπόθεση η οποία αποσκοπούσε στην τήρηση της περιόδου αναμονής του άρθρου 16 δεύτερο εδάφιο του κανονισμού υπηρεσιακής κατάστασης·</w:t>
      </w:r>
    </w:p>
    <w:p w:rsidR="00A1312A" w:rsidRPr="00831525" w:rsidRDefault="00831525" w:rsidP="00831525">
      <w:pPr>
        <w:pStyle w:val="NormalHanging12a"/>
        <w:widowControl/>
        <w:ind w:left="570" w:hanging="570"/>
      </w:pPr>
      <w:r w:rsidRPr="00831525">
        <w:t>51.</w:t>
      </w:r>
      <w:r w:rsidRPr="00831525">
        <w:tab/>
      </w:r>
      <w:r w:rsidR="00A1312A" w:rsidRPr="00831525">
        <w:t>παροτρύνει το Συμβούλιο να θεσπίσει αυστηρότερους κανόνες για την απασχόληση μετά τη λήξη της θητείας για τους ανώτερους υπαλλήλους, συμπεριλαμβανομένης της παράτασης της περιόδου αναμονής και της υποχρεωτικής δημοσιοποίησης των σχέσεων με τον ιδιωτικό τομέα· καλεί το Συμβούλιο να καταστήσει υποχρεωτική τη συμμετοχή των μόνιμων αντιπροσωπειών των κρατών μελών στο μητρώο διαφάνειας της ΕΕ·</w:t>
      </w:r>
    </w:p>
    <w:p w:rsidR="00A1312A" w:rsidRPr="00831525" w:rsidRDefault="00831525" w:rsidP="00831525">
      <w:pPr>
        <w:pStyle w:val="NormalHanging12a"/>
        <w:widowControl/>
        <w:ind w:left="570" w:hanging="570"/>
      </w:pPr>
      <w:r w:rsidRPr="00831525">
        <w:t>52.</w:t>
      </w:r>
      <w:r w:rsidRPr="00831525">
        <w:tab/>
      </w:r>
      <w:r w:rsidR="00A1312A" w:rsidRPr="00831525">
        <w:t xml:space="preserve">εκφράζει τη λύπη του για το γεγονός ότι η συμμετοχή των Μόνιμων Αντιπροσώπων των κρατών μελών στο υποχρεωτικό μητρώο διαφάνειας, που θεσπίστηκε με τη διοργανική συμφωνία της 20ής Μαΐου 2021 μεταξύ του Κοινοβουλίου, του Συμβουλίου και της Επιτροπής, είναι εντελώς εθελοντική, δεδομένου ότι η εφαρμογή της αρχής της αιρεσιμότητας επαφίεται στη διακριτική ευχέρεια της Μόνιμης Αντιπροσωπείας κάθε κράτους μέλους· σημειώνει ότι μόνο οκτώ κράτη μέλη και τα θεσμικά όργανα της Ένωσης τηρούν τη βέλτιστη πρακτική της εφαρμογής υποχρεωτικού ορισμού ευρείας κλίμακας για τους εκπροσώπους ομάδων συμφερόντων στο κανονιστικό τους πλαίσιο και επιμένει ότι όλες οι μόνιμες αντιπροσωπείες θα πρέπει να συμμετέχουν ενεργά στο υποχρεωτικό μητρώο διαφάνειας πριν, κατά τη διάρκεια και μετά την άσκηση της προεδρίας του Συμβουλίου από το κράτος μέλος τους· ζητεί αυστηρότερους και εναρμονισμένους κανόνες δεοντολογίας σχετικά με τις συγκρούσεις συμφερόντων, τη μεταπήδηση από τον δημόσιο στον ιδιωτικό τομέα και τη διαφάνεια της άσκησης πίεσης από ομάδες συμφερόντων· </w:t>
      </w:r>
      <w:r w:rsidR="00581233" w:rsidRPr="00831525">
        <w:t xml:space="preserve">υπενθυμίζει τη θέση του </w:t>
      </w:r>
      <w:r w:rsidR="00B90F02" w:rsidRPr="00831525">
        <w:t xml:space="preserve">Κοινοβουλίου </w:t>
      </w:r>
      <w:r w:rsidR="00581233" w:rsidRPr="00831525">
        <w:t xml:space="preserve">ότι εκπρόσωποι κρατών μελών που ωφελούνται άμεσα από επιδοτήσεις της Ένωσης μέσω επιχειρήσεων που έχουν στην ιδιοκτησία τους δεν θα πρέπει να συμμετέχουν στις συζητήσεις και τις ψηφοφορίες για θέματα πολιτικής και προϋπολογισμού σχετικά με τις συγκεκριμένες επιδοτήσεις· </w:t>
      </w:r>
      <w:r w:rsidR="00A1312A" w:rsidRPr="00831525">
        <w:t>εκφράζει τη λύπη του για το γεγονός ότι το Συμβούλιο δεν χρησιμοποιεί πλήρως το υποχρεωτικό μητρώο διαφάνειας ούτε αποδέχεται προτάσεις για τη βελτίωσή του· επαναλαμβάνει την έκκλησή του προς το Συμβούλιο να μη συνεργάζεται με μη εγγεγραμμένους εκπροσώπους ομάδων συμφερόντων·</w:t>
      </w:r>
    </w:p>
    <w:p w:rsidR="00A1312A" w:rsidRPr="00831525" w:rsidRDefault="00831525" w:rsidP="00831525">
      <w:pPr>
        <w:pStyle w:val="NormalHanging12a"/>
        <w:widowControl/>
        <w:ind w:left="570" w:hanging="570"/>
      </w:pPr>
      <w:r w:rsidRPr="00831525">
        <w:t>53.</w:t>
      </w:r>
      <w:r w:rsidRPr="00831525">
        <w:tab/>
      </w:r>
      <w:r w:rsidR="00A1312A" w:rsidRPr="00831525">
        <w:t>εκφράζει τη λύπη του για το γεγονός ότι το Συμβούλιο δεν χρησιμοποιεί πλήρως το υποχρεωτικό μητρώο διαφάνειας, πέρα από τους υφιστάμενους περιορισμούς του, και απορρίπτει οποιαδήποτε σύσταση για βελτιώσεις· επαναλαμβάνει την έκκλησή του προς το Συμβούλιο να αρνείται συναντήσεις με μη εγγεγραμμένους εκπροσώπους ομάδων συμφερόντων·</w:t>
      </w:r>
    </w:p>
    <w:p w:rsidR="00A1312A" w:rsidRPr="00831525" w:rsidRDefault="00831525" w:rsidP="00831525">
      <w:pPr>
        <w:pStyle w:val="NormalHanging12a"/>
        <w:widowControl/>
        <w:ind w:left="570" w:hanging="570"/>
      </w:pPr>
      <w:r w:rsidRPr="00831525">
        <w:t>54.</w:t>
      </w:r>
      <w:r w:rsidRPr="00831525">
        <w:tab/>
      </w:r>
      <w:r w:rsidR="00A1312A" w:rsidRPr="00831525">
        <w:t>παροτρύνει το Συμβούλιο να δώσει εντολή σε όλους τους υψηλόβαθμους αξιωματούχους, συμπεριλαμβανομένων των Μόνιμων Αντιπροσώπων και των επικεφαλής των αντιπροσωπειών, να δημοσιοποιούν τις συναντήσεις τους με ομάδες συμφερόντων και εκπροσώπους ομάδων συμφερόντων σε ένα τυποποιημένο μητρώο διαφάνειας, παρόμοιο με τις υποχρεώσεις που επιβάλλονται στους βουλευτές του Ευρωπαϊκού Κοινοβουλίου και τους Επιτρόπους της Ευρωπαϊκής Επιτροπής·</w:t>
      </w:r>
    </w:p>
    <w:p w:rsidR="00A1312A" w:rsidRPr="00831525" w:rsidRDefault="00831525" w:rsidP="00831525">
      <w:pPr>
        <w:pStyle w:val="NormalHanging12a"/>
        <w:widowControl/>
        <w:ind w:left="570" w:hanging="570"/>
      </w:pPr>
      <w:r w:rsidRPr="00831525">
        <w:t>55.</w:t>
      </w:r>
      <w:r w:rsidRPr="00831525">
        <w:tab/>
      </w:r>
      <w:r w:rsidR="00A1312A" w:rsidRPr="00831525">
        <w:t xml:space="preserve">εκφράζει τη βαθιά αποδοκιμασία του για το γεγονός ότι το Συμβούλιο εξακολουθεί να αρνείται ή να καθυστερεί την πρόσβαση στα νομοθετικά έγγραφα και ότι η διαδικασία </w:t>
      </w:r>
      <w:r w:rsidR="00A1312A" w:rsidRPr="00831525">
        <w:lastRenderedPageBreak/>
        <w:t xml:space="preserve">λήψης αποφάσεων στο Συμβούλιο εξακολουθεί να απέχει πολύ από την πλήρη διαφάνεια, με αποτέλεσμα να παρεμποδίζεται ο δημόσιος έλεγχός της, πράγμα που επηρεάζει αρνητικά την εμπιστοσύνη των πολιτών στην Ένωση ως διαφανή οντότητα και θέτει σε κίνδυνο τη φήμη της Ένωσης στο σύνολό της· υπενθυμίζει και υποστηρίζει τις συστάσεις της Ευρωπαίας Διαμεσολαβήτριας σχετικά με τη διαφάνεια της νομοθετικής διαδικασίας του Συμβουλίου στο πλαίσιο της στρατηγικής έρευνας OI/2/2017/TE· καλεί το Συμβούλιο να λάβει δίχως αδικαιολόγητη καθυστέρηση όλα τα αναγκαία μέτρα για την εφαρμογή των συστάσεων της Διαμεσολαβήτριας και των σχετικών αποφάσεων του Δικαστηρίου της Ευρωπαϊκής Ένωσης· υπενθυμίζει ότι το Δικαστήριο της Ευρωπαϊκής Ένωσης, στην απόφασή του στην υπόθεση T-163/21, De </w:t>
      </w:r>
      <w:proofErr w:type="spellStart"/>
      <w:r w:rsidR="00A1312A" w:rsidRPr="00831525">
        <w:t>Capitani</w:t>
      </w:r>
      <w:proofErr w:type="spellEnd"/>
      <w:r w:rsidR="00A1312A" w:rsidRPr="00831525">
        <w:t xml:space="preserve"> κατά Συμβουλίου, υπογράμμισε ότι απαιτείται σαφέστερη νομοθετική διαφάνεια εκ μέρους του Συμβουλίου, προκειμένου να διασφαλιστεί η πρόσβαση στα νομοθετικά έγγραφα, κάτι που ανταποκρίνεται στην υποχρέωση του Συμβουλίου όσον αφορά τον δημόσιο έλεγχο και τη λογοδοσία των </w:t>
      </w:r>
      <w:proofErr w:type="spellStart"/>
      <w:r w:rsidR="00A1312A" w:rsidRPr="00831525">
        <w:t>συννομοθετών</w:t>
      </w:r>
      <w:proofErr w:type="spellEnd"/>
      <w:r w:rsidR="00A1312A" w:rsidRPr="00831525">
        <w:t xml:space="preserve"> ως βάση κάθε δημοκρατικής νομιμότητας·</w:t>
      </w:r>
    </w:p>
    <w:p w:rsidR="00A1312A" w:rsidRPr="00831525" w:rsidRDefault="00831525" w:rsidP="00831525">
      <w:pPr>
        <w:pStyle w:val="NormalHanging12a"/>
        <w:widowControl/>
        <w:ind w:left="570" w:hanging="570"/>
      </w:pPr>
      <w:r w:rsidRPr="00831525">
        <w:t>56.</w:t>
      </w:r>
      <w:r w:rsidRPr="00831525">
        <w:tab/>
      </w:r>
      <w:r w:rsidR="00A1312A" w:rsidRPr="00831525">
        <w:t>εκφράζει την ανησυχία του για το γεγονός ότι, το 2023, η Ευρωπαία Διαμεσολαβήτρια ζήτησε εκ νέου από το Συμβούλιο να διαθέτει νομοθετικά έγγραφα σε χρόνο που θα επέτρεπε στο κοινό να συμμετέχει αποτελεσματικά στις συζητήσεις· σημειώνει ότι η Ευρωπαία Διαμεσολαβήτρια κάλεσε επίσης το Συμβούλιο να συνεχίσει τις προσπάθειές του όσον αφορά την επαρκή ενημέρωση του κοινού σχετικά με τα περιοριστικά μέτρα που ελήφθησαν κατά της Ρωσίας, στον μέγιστο δυνατό βαθμό· εκφράζει την ικανοποίησή του για τη στρατηγική έρευνα που δρομολόγησε η Ευρωπαία Διαμεσολαβήτρια το 2023 σχετικά με τον τρόπο με τον οποίο τα θεσμικά όργανα χειρίζονται τα αιτήματα για πρόσβαση του κοινού σε νομοθετικά έγγραφα, με βάση ιδίως έξι πρόσφατες καταγγελίες προς τη Διαμεσολαβήτρια σχετικά με την πρόσβαση του κοινού στα νομοθετικά έγγραφα της Ένωσης που χειρίζεται το Συμβούλιο·</w:t>
      </w:r>
    </w:p>
    <w:p w:rsidR="00A1312A" w:rsidRPr="00831525" w:rsidRDefault="00831525" w:rsidP="00831525">
      <w:pPr>
        <w:pStyle w:val="NormalHanging12a"/>
        <w:widowControl/>
        <w:ind w:left="570" w:hanging="570"/>
      </w:pPr>
      <w:r w:rsidRPr="00831525">
        <w:t>57.</w:t>
      </w:r>
      <w:r w:rsidRPr="00831525">
        <w:tab/>
      </w:r>
      <w:r w:rsidR="00A1312A" w:rsidRPr="00831525">
        <w:t>σημειώνει ότι η ομάδα για την πρόσβαση σε έγγραφα ανέφερε ότι έλαβε ασυνήθιστα υψηλό αριθμό αιτήσεων για πρόσβαση του κοινού σε έγγραφα το 2023, στις οποίες απάντησε και, συγκεκριμένα, 3 732 αρχικές αιτήσεις πρόσβασης σε έγγραφα και 40 επιβεβαιωτικές αιτήσεις, οι οποίες απαιτούσαν την ανάλυση 13 912 εγγράφων· σημειώνει ότι, μεταξύ των αρχικών αιτήσεων πρόσβασης, χορηγήθηκε πλήρης πρόσβαση σε 10 908 έγγραφα (78,4 %) και μερική πρόσβαση σε 1 600 έγγραφα (11,5 %), ενώ απορρίφθηκε η πρόσβαση σε 1 404 έγγραφα (10,1 %)· σημειώνει ότι, όσον αφορά τις επιβεβαιωτικές αιτήσεις, χορηγήθηκε πλήρης πρόσβαση σε 53 έγγραφα και μερική πρόσβαση σε 45 έγγραφα, ενώ απορρίφθηκε η πρόσβαση σε 48 έγγραφα· σημειώνει ότι οι αρχικές αιτήσεις διεκπεραιώθηκαν, κατά μέσο όρο, σε 16 εργάσιμες ημέρες και οι επιβεβαιωτικές αιτήσεις σε 32 εργάσιμες ημέρες·</w:t>
      </w:r>
    </w:p>
    <w:p w:rsidR="00A1312A" w:rsidRPr="00831525" w:rsidRDefault="00831525" w:rsidP="00831525">
      <w:pPr>
        <w:pStyle w:val="NormalHanging12a"/>
        <w:widowControl/>
        <w:ind w:left="570" w:hanging="570"/>
      </w:pPr>
      <w:r w:rsidRPr="00831525">
        <w:t>58.</w:t>
      </w:r>
      <w:r w:rsidRPr="00831525">
        <w:tab/>
      </w:r>
      <w:r w:rsidR="00A1312A" w:rsidRPr="00831525">
        <w:t>εκφράζει την ικανοποίησή του για το γεγονός ότι, σύμφωνα με τις διαθέσιμες στο κοινό ετήσιες εκθέσεις, καμία περίπτωση απάτης ή παρατυπίας δεν τέθηκε υπόψη των αρμόδιων κύριων διατακτών κατά τη διάρκεια του 2023 και ότι οι υποθέσεις αυτές δεν ενέπιπταν στην αρμοδιότητα της επιτροπής (άρθρο 143 του δημοσιονομικού κανονισμού) ή της OLAF·</w:t>
      </w:r>
    </w:p>
    <w:p w:rsidR="00A1312A" w:rsidRPr="00831525" w:rsidRDefault="00A1312A" w:rsidP="00402E62">
      <w:pPr>
        <w:pStyle w:val="NormalHanging12a"/>
        <w:widowControl/>
        <w:rPr>
          <w:b/>
          <w:i/>
        </w:rPr>
      </w:pPr>
      <w:r w:rsidRPr="00831525">
        <w:rPr>
          <w:b/>
          <w:i/>
        </w:rPr>
        <w:t>Ψηφιοποίηση</w:t>
      </w:r>
    </w:p>
    <w:p w:rsidR="00A1312A" w:rsidRPr="00831525" w:rsidRDefault="00831525" w:rsidP="00831525">
      <w:pPr>
        <w:pStyle w:val="NormalHanging12a"/>
        <w:widowControl/>
        <w:ind w:left="570" w:hanging="570"/>
      </w:pPr>
      <w:r w:rsidRPr="00831525">
        <w:t>59.</w:t>
      </w:r>
      <w:r w:rsidRPr="00831525">
        <w:tab/>
      </w:r>
      <w:r w:rsidR="00A1312A" w:rsidRPr="00831525">
        <w:t>σημειώνει ότι, το 2023, η Γραμματεία συνέχισε να επιδιώκει τον στόχο της για ψηφιακό μετασχηματισμό, σύμφωνα με τις προτεραιότητες της ψηφιακής στρατηγικής της για την περίοδο 2022-2025·</w:t>
      </w:r>
      <w:r w:rsidR="00A1312A" w:rsidRPr="00831525">
        <w:rPr>
          <w:rFonts w:ascii="TimesNewRomanPSMT" w:hAnsi="TimesNewRomanPSMT"/>
        </w:rPr>
        <w:t xml:space="preserve"> </w:t>
      </w:r>
      <w:r w:rsidR="00A1312A" w:rsidRPr="00831525">
        <w:t xml:space="preserve">σημειώνει ότι, από τα 113 έργα ψηφιοποίησης στο ετήσιο </w:t>
      </w:r>
      <w:r w:rsidR="00A1312A" w:rsidRPr="00831525">
        <w:lastRenderedPageBreak/>
        <w:t>πρόγραμμα εργασίας, που αφορούν, συγκεκριμένα, τους τομείς των κοινών υπηρεσιών, της πολιτικής, των νομικών θεμάτων και των ΤΠ, το 37 % ολοκληρώθηκε στο τέλος του έτους, ενώ το 8 % ακυρώθηκε ή συγχωνεύθηκε και το 38 % βρισκόταν ακόμη σε εξέλιξη· σημειώνει ότι διοργανώθηκαν πιο διαφοροποιημένα μαθήματα κατάρτισης, συμπεριλαμβανομένων ειδικών μαθημάτων για την ηλεκτρονική υπογραφή συμβάσεων και για την προώθηση του FIORI, της νέας εμπειρίας χρήστη του SAP·</w:t>
      </w:r>
    </w:p>
    <w:p w:rsidR="00A1312A" w:rsidRPr="00831525" w:rsidRDefault="00831525" w:rsidP="00831525">
      <w:pPr>
        <w:pStyle w:val="NormalHanging12a"/>
        <w:widowControl/>
        <w:ind w:left="570" w:hanging="570"/>
      </w:pPr>
      <w:r w:rsidRPr="00831525">
        <w:t>60.</w:t>
      </w:r>
      <w:r w:rsidRPr="00831525">
        <w:tab/>
      </w:r>
      <w:r w:rsidR="00A1312A" w:rsidRPr="00831525">
        <w:t xml:space="preserve">παροτρύνει το Συμβούλιο να επιταχύνει την εφαρμογή ασφαλών ψηφιακών συστημάτων ψηφοφορίας και ανταλλαγής εγγράφων για την ενίσχυση της αποδοτικότητας και της λογοδοσίας, και για τη μείωση των περιττών </w:t>
      </w:r>
      <w:proofErr w:type="spellStart"/>
      <w:r w:rsidR="00A1312A" w:rsidRPr="00831525">
        <w:t>έγχαρτων</w:t>
      </w:r>
      <w:proofErr w:type="spellEnd"/>
      <w:r w:rsidR="00A1312A" w:rsidRPr="00831525">
        <w:t xml:space="preserve"> διαδικασιών·</w:t>
      </w:r>
    </w:p>
    <w:p w:rsidR="00A1312A" w:rsidRPr="00831525" w:rsidRDefault="00831525" w:rsidP="00831525">
      <w:pPr>
        <w:pStyle w:val="NormalHanging12a"/>
        <w:widowControl/>
        <w:ind w:left="570" w:hanging="570"/>
        <w:rPr>
          <w:rFonts w:ascii="TimesNewRomanPSMT" w:hAnsi="TimesNewRomanPSMT" w:cs="TimesNewRomanPSMT"/>
          <w:szCs w:val="24"/>
        </w:rPr>
      </w:pPr>
      <w:r w:rsidRPr="00831525">
        <w:rPr>
          <w:rFonts w:ascii="TimesNewRomanPSMT" w:hAnsi="TimesNewRomanPSMT" w:cs="TimesNewRomanPSMT"/>
          <w:szCs w:val="24"/>
        </w:rPr>
        <w:t>61.</w:t>
      </w:r>
      <w:r w:rsidRPr="00831525">
        <w:rPr>
          <w:rFonts w:ascii="TimesNewRomanPSMT" w:hAnsi="TimesNewRomanPSMT" w:cs="TimesNewRomanPSMT"/>
          <w:szCs w:val="24"/>
        </w:rPr>
        <w:tab/>
      </w:r>
      <w:r w:rsidR="00A1312A" w:rsidRPr="00831525">
        <w:t>εκφράζει την ικανοποίησή του για το γεγονός ότι, το 2023, το 97 % των τιμολογίων υποβλήθηκαν ηλεκτρονικά, όπως και το 2022· αναγνωρίζει ότι, με το 30 έως το 40 % των παραγγελιών και των συμβάσεων αγοράς να υπογράφονται ηλεκτρονικά κάθε μήνα το 2023, σημειώθηκε σημαντική πρόοδος προς την κατεύθυνση της πλήρους ψηφιοποίησης της ροής των χρηματοοικονομικών εργασιών, από την έναρξη διαδικασιών σύναψης συμβάσεων έως την ηλεκτρονική πληρωμή των τιμολογίων·</w:t>
      </w:r>
    </w:p>
    <w:p w:rsidR="00A1312A" w:rsidRPr="00831525" w:rsidRDefault="00831525" w:rsidP="00831525">
      <w:pPr>
        <w:pStyle w:val="NormalHanging12a"/>
        <w:widowControl/>
        <w:ind w:left="570" w:hanging="570"/>
      </w:pPr>
      <w:r w:rsidRPr="00831525">
        <w:t>62.</w:t>
      </w:r>
      <w:r w:rsidRPr="00831525">
        <w:tab/>
      </w:r>
      <w:r w:rsidR="00A1312A" w:rsidRPr="00831525">
        <w:t>σημειώνει ότι, το 2023, το Συμβούλιο έλαβε μέτρα υπέρ της μεγαλύτερης ψηφιακής προσβασιμότητας, ιδίως μέσω της δημοσίευσης οδηγού ψηφιακής προσβασιμότητας·</w:t>
      </w:r>
    </w:p>
    <w:p w:rsidR="00A1312A" w:rsidRPr="00831525" w:rsidRDefault="00A1312A" w:rsidP="00402E62">
      <w:pPr>
        <w:pStyle w:val="NormalHanging12a"/>
        <w:widowControl/>
        <w:rPr>
          <w:b/>
          <w:i/>
        </w:rPr>
      </w:pPr>
      <w:r w:rsidRPr="00831525">
        <w:rPr>
          <w:b/>
          <w:i/>
        </w:rPr>
        <w:t>Κυβερνοασφάλεια και προστασία δεδομένων</w:t>
      </w:r>
    </w:p>
    <w:p w:rsidR="00A1312A" w:rsidRPr="00831525" w:rsidRDefault="00831525" w:rsidP="00831525">
      <w:pPr>
        <w:pStyle w:val="NormalHanging12a"/>
        <w:widowControl/>
        <w:ind w:left="570" w:hanging="570"/>
      </w:pPr>
      <w:r w:rsidRPr="00831525">
        <w:t>63.</w:t>
      </w:r>
      <w:r w:rsidRPr="00831525">
        <w:tab/>
      </w:r>
      <w:r w:rsidR="00A1312A" w:rsidRPr="00831525">
        <w:t>σημειώνει ότι, το 2023, ο Ευρωπαίος Επόπτης Προστασίας Δεδομένων (ΕΕΠΔ) εξέδωσε εποπτική γνωμοδότηση σύμφωνα με το άρθρο 57 παράγραφος 1 στοιχείο ζ) του κανονισμού (ΕΕ) 2018/1725 σχετικά με την ανάγκη διενέργειας εκτίμησης επιπτώσεων στην προστασία των δεδομένων όσον αφορά το έργο της Γραμματείας σχετικά με τη χρήση κεντρικών υπηρεσιών ανάλυσης ανθρώπινων πόρων και υποβολής εκθέσεων και τη δημιουργία αποθήκης δεδομένων· σημειώνει ότι ο ΕΕΠΔ δεν υπέβαλε καμία έρευνα ή καταγγελία που να αφορούσε το Συμβούλιο το 2023·</w:t>
      </w:r>
    </w:p>
    <w:p w:rsidR="00A1312A" w:rsidRPr="00831525" w:rsidRDefault="00831525" w:rsidP="00831525">
      <w:pPr>
        <w:pStyle w:val="NormalHanging12a"/>
        <w:widowControl/>
        <w:ind w:left="570" w:hanging="570"/>
      </w:pPr>
      <w:r w:rsidRPr="00831525">
        <w:t>64.</w:t>
      </w:r>
      <w:r w:rsidRPr="00831525">
        <w:tab/>
      </w:r>
      <w:r w:rsidR="00A1312A" w:rsidRPr="00831525">
        <w:t>εκφράζει την ανησυχία του για την έλλειψη ισχυρών διασφαλίσεων κατά της παρακολούθησης και της συλλογής δεδομένων από τρίτους· ζητεί ενισχυμένα μέτρα ασφάλειας, συμπεριλαμβανομένων της υποχρεωτικής κρυπτογράφησης δεδομένων και τακτικών ελέγχων ασφάλειας όλων των ψηφιακών συστημάτων επικοινωνίας που χρησιμοποιεί το Συμβούλιο·</w:t>
      </w:r>
    </w:p>
    <w:p w:rsidR="00A1312A" w:rsidRPr="00831525" w:rsidRDefault="00831525" w:rsidP="00831525">
      <w:pPr>
        <w:pStyle w:val="NormalHanging12a"/>
        <w:widowControl/>
        <w:ind w:left="570" w:hanging="570"/>
        <w:rPr>
          <w:i/>
        </w:rPr>
      </w:pPr>
      <w:r w:rsidRPr="00831525">
        <w:rPr>
          <w:i/>
        </w:rPr>
        <w:t>65.</w:t>
      </w:r>
      <w:r w:rsidRPr="00831525">
        <w:rPr>
          <w:i/>
        </w:rPr>
        <w:tab/>
      </w:r>
      <w:r w:rsidR="00A1312A" w:rsidRPr="00831525">
        <w:t>σημειώνει ότι, προκειμένου να βελτιωθεί η ευαισθητοποίηση και η ετοιμότητα του προσωπικού της στον τομέα της κυβερνοασφάλειας, η Γραμματεία σχεδίασε και δρομολόγησε διάφορα νέα μαθήματα κατάρτισης σχετικά με την ασφάλεια των πληροφοριών, την αντικατασκοπεία και την κυβερνοασφάλεια το 2023· σημειώνει περαιτέρω ότι τον Οκτώβριο του 2023 διοργανώθηκαν εκδηλώσεις ευαισθητοποίησης σχετικά με την κυβερνοασφάλεια και την ασφάλεια των πληροφοριών κατά τη διάρκεια του μήνα κυβερνοασφάλειας·</w:t>
      </w:r>
    </w:p>
    <w:p w:rsidR="00A1312A" w:rsidRPr="00831525" w:rsidRDefault="00A1312A" w:rsidP="00402E62">
      <w:pPr>
        <w:pStyle w:val="NormalHanging12a"/>
        <w:widowControl/>
        <w:rPr>
          <w:b/>
          <w:bCs/>
          <w:i/>
          <w:iCs/>
        </w:rPr>
      </w:pPr>
      <w:r w:rsidRPr="00831525">
        <w:rPr>
          <w:b/>
          <w:i/>
        </w:rPr>
        <w:t>Κτιριακές εγκαταστάσεις</w:t>
      </w:r>
    </w:p>
    <w:p w:rsidR="00A1312A" w:rsidRPr="00831525" w:rsidRDefault="00A1312A" w:rsidP="00402E62">
      <w:pPr>
        <w:pStyle w:val="NormalHanging12a"/>
        <w:widowControl/>
      </w:pPr>
      <w:r w:rsidRPr="00831525">
        <w:t>66.</w:t>
      </w:r>
      <w:r w:rsidRPr="00831525">
        <w:tab/>
        <w:t xml:space="preserve">σημειώνει ότι η γραμμή 2011 του προϋπολογισμού «Νερό, υγραέριο, ηλεκτρική ενέργεια και θέρμανση» ενισχύθηκε κατά 33 % μέσω μεταφοράς πιστώσεων το 2023· σημειώνει ότι η Γραμματεία συνέχισε να μειώνει την κατανάλωση ενέργειας, μέσω </w:t>
      </w:r>
      <w:r w:rsidRPr="00831525">
        <w:lastRenderedPageBreak/>
        <w:t xml:space="preserve">μεθόδων όπως η μείωση της θέρμανσης του κτιρίου και η αντικατάσταση των λεβήτων στο κτίριο </w:t>
      </w:r>
      <w:proofErr w:type="spellStart"/>
      <w:r w:rsidRPr="00831525">
        <w:t>Justus</w:t>
      </w:r>
      <w:proofErr w:type="spellEnd"/>
      <w:r w:rsidRPr="00831525">
        <w:t xml:space="preserve"> </w:t>
      </w:r>
      <w:proofErr w:type="spellStart"/>
      <w:r w:rsidRPr="00831525">
        <w:t>Lipsius</w:t>
      </w:r>
      <w:proofErr w:type="spellEnd"/>
      <w:r w:rsidRPr="00831525">
        <w:t>·</w:t>
      </w:r>
    </w:p>
    <w:p w:rsidR="00A1312A" w:rsidRPr="00831525" w:rsidRDefault="00A1312A" w:rsidP="00402E62">
      <w:pPr>
        <w:pStyle w:val="NormalHanging12a"/>
        <w:widowControl/>
      </w:pPr>
      <w:r w:rsidRPr="00831525">
        <w:t>67.</w:t>
      </w:r>
      <w:r w:rsidRPr="00831525">
        <w:tab/>
        <w:t xml:space="preserve">σημειώνει ότι το 2023 εκτελέστηκαν βασικά οικοδομικά έργα, όπως η ανακαίνιση ορισμένων αιθουσών συνεδριάσεων στα κτίρια LEX και </w:t>
      </w:r>
      <w:proofErr w:type="spellStart"/>
      <w:r w:rsidRPr="00831525">
        <w:t>Justus</w:t>
      </w:r>
      <w:proofErr w:type="spellEnd"/>
      <w:r w:rsidRPr="00831525">
        <w:t xml:space="preserve"> </w:t>
      </w:r>
      <w:proofErr w:type="spellStart"/>
      <w:r w:rsidRPr="00831525">
        <w:t>Lipsius</w:t>
      </w:r>
      <w:proofErr w:type="spellEnd"/>
      <w:r w:rsidRPr="00831525">
        <w:t xml:space="preserve">, η συνεχής ανακαίνιση των διαδρόμων γραφείων στο κτίριο </w:t>
      </w:r>
      <w:proofErr w:type="spellStart"/>
      <w:r w:rsidRPr="00831525">
        <w:t>Justus</w:t>
      </w:r>
      <w:proofErr w:type="spellEnd"/>
      <w:r w:rsidRPr="00831525">
        <w:t xml:space="preserve"> </w:t>
      </w:r>
      <w:proofErr w:type="spellStart"/>
      <w:r w:rsidRPr="00831525">
        <w:t>Lipsius</w:t>
      </w:r>
      <w:proofErr w:type="spellEnd"/>
      <w:r w:rsidRPr="00831525">
        <w:t xml:space="preserve">, η βελτίωση των εγκαταστάσεων και των υποδομών για τα ποδήλατα στους χώρους του Συμβουλίου και ο εκσυγχρονισμός των γραφείων υποδοχής </w:t>
      </w:r>
      <w:proofErr w:type="spellStart"/>
      <w:r w:rsidRPr="00831525">
        <w:t>Justus</w:t>
      </w:r>
      <w:proofErr w:type="spellEnd"/>
      <w:r w:rsidRPr="00831525">
        <w:t xml:space="preserve"> </w:t>
      </w:r>
      <w:proofErr w:type="spellStart"/>
      <w:r w:rsidRPr="00831525">
        <w:t>Lipsius</w:t>
      </w:r>
      <w:proofErr w:type="spellEnd"/>
      <w:r w:rsidRPr="00831525">
        <w:t>·</w:t>
      </w:r>
    </w:p>
    <w:p w:rsidR="00A1312A" w:rsidRPr="00831525" w:rsidRDefault="00A1312A" w:rsidP="00402E62">
      <w:pPr>
        <w:pStyle w:val="NormalHanging12a"/>
        <w:widowControl/>
      </w:pPr>
      <w:r w:rsidRPr="00831525">
        <w:t>68.</w:t>
      </w:r>
      <w:r w:rsidRPr="00831525">
        <w:tab/>
        <w:t>εκφράζει τη λύπη του για το γεγονός ότι το Συμβούλιο δεν έχει ακόμη εφαρμόσει απλουστευμένη διαδικασία διαπίστευσης για να διευκολύνει την πρόσβαση του προσωπικού των άλλων θεσμικών οργάνων της Ένωσης στις εγκαταστάσεις του Συμβουλίου· καλεί το Συμβούλιο να εφαρμόσει το μέτρο αυτό·</w:t>
      </w:r>
    </w:p>
    <w:p w:rsidR="00A1312A" w:rsidRPr="00831525" w:rsidRDefault="00A1312A" w:rsidP="00402E62">
      <w:pPr>
        <w:pStyle w:val="NormalHanging12a"/>
        <w:widowControl/>
        <w:rPr>
          <w:b/>
          <w:i/>
        </w:rPr>
      </w:pPr>
      <w:r w:rsidRPr="00831525">
        <w:rPr>
          <w:b/>
          <w:i/>
        </w:rPr>
        <w:t>Περιβάλλον και βιωσιμότητα</w:t>
      </w:r>
    </w:p>
    <w:p w:rsidR="00A1312A" w:rsidRPr="00831525" w:rsidRDefault="00A1312A" w:rsidP="00402E62">
      <w:pPr>
        <w:pStyle w:val="NormalHanging12a"/>
        <w:widowControl/>
      </w:pPr>
      <w:r w:rsidRPr="00831525">
        <w:t>69.</w:t>
      </w:r>
      <w:r w:rsidRPr="00831525">
        <w:tab/>
        <w:t>σημειώνει ότι, σε συνέχεια εξωτερικού ελέγχου που διενεργήθηκε το 2023, διατηρήθηκε το σύστημα οικολογικής διαχείρισης και οικολογικού ελέγχου και ανανεώθηκαν τα πιστοποιητικά ενεργειακής απόδοσης των κτιρίων·</w:t>
      </w:r>
    </w:p>
    <w:p w:rsidR="00A1312A" w:rsidRPr="00831525" w:rsidRDefault="00A1312A" w:rsidP="00402E62">
      <w:pPr>
        <w:pStyle w:val="NormalHanging12a"/>
        <w:widowControl/>
      </w:pPr>
      <w:r w:rsidRPr="00831525">
        <w:t>70.</w:t>
      </w:r>
      <w:r w:rsidRPr="00831525">
        <w:tab/>
        <w:t>σημειώνει ότι, στο πλαίσιο των συνεχιζόμενων προσπαθειών προτεραιότητας για τη βιώσιμη κινητικότητα, βελτιώθηκαν και προσαρμόστηκαν οι εγκαταστάσεις και οι υποδομές για τα ποδήλατα στις εγκαταστάσεις της Γραμματείας και ανακαινίστηκαν ή τέθηκαν σε λειτουργία εγκαταστάσεις βιντεοδιάσκεψης με τη μορφή «αίθουσας συνεδριάσεων οπουδήποτε»· σημειώνει περαιτέρω ότι οι προσπάθειες για συμμετοχή του προσωπικού και των διευθυντικών στελεχών στον οικολογικό μετασχηματισμό αναπτύχθηκαν μέσω δράσεων κατάρτισης και ευαισθητοποίησης·</w:t>
      </w:r>
    </w:p>
    <w:p w:rsidR="00A1312A" w:rsidRPr="00831525" w:rsidRDefault="00A1312A" w:rsidP="00402E62">
      <w:pPr>
        <w:pStyle w:val="NormalHanging12a"/>
        <w:widowControl/>
        <w:rPr>
          <w:b/>
          <w:i/>
        </w:rPr>
      </w:pPr>
      <w:r w:rsidRPr="00831525">
        <w:rPr>
          <w:b/>
          <w:i/>
        </w:rPr>
        <w:t>Διοργανική συνεργασία</w:t>
      </w:r>
    </w:p>
    <w:p w:rsidR="00A1312A" w:rsidRPr="00831525" w:rsidRDefault="00A1312A" w:rsidP="00402E62">
      <w:pPr>
        <w:pStyle w:val="NormalHanging12a"/>
        <w:widowControl/>
      </w:pPr>
      <w:r w:rsidRPr="00831525">
        <w:t>71.</w:t>
      </w:r>
      <w:r w:rsidRPr="00831525">
        <w:tab/>
        <w:t>τονίζει ότι είναι αναγκαίο να αναθεωρηθεί το άρθρο 319 ΣΛΕΕ, προκειμένου να οριστεί ρητά ότι το Κοινοβούλιο, εκτός από τη χορήγηση απαλλαγής στην Επιτροπή, χορηγεί επίσης απαλλαγή σε άλλα θεσμικά και λοιπά όργανα και οργανισμούς της Ένωσης όσον αφορά την εκτέλεση των τμημάτων του προϋπολογισμού που τους αντιστοιχούν ή του προϋπολογισμού τους· καλεί το Συμβούλιο να ξεπεράσει τη διοργανική διένεξη και να επαναλάβει τις συνομιλίες με το Ευρωπαϊκό Κοινοβούλιο προκειμένου να επιτευχθεί κοινή συμφωνία για την ομαλή επανέναρξη της διαδικασίας απαλλαγής·</w:t>
      </w:r>
    </w:p>
    <w:p w:rsidR="00A1312A" w:rsidRPr="00831525" w:rsidRDefault="00A1312A" w:rsidP="00402E62">
      <w:pPr>
        <w:pStyle w:val="NormalHanging12a"/>
        <w:widowControl/>
        <w:rPr>
          <w:b/>
          <w:i/>
        </w:rPr>
      </w:pPr>
      <w:r w:rsidRPr="00831525">
        <w:rPr>
          <w:b/>
          <w:i/>
        </w:rPr>
        <w:t>Επικοινωνία</w:t>
      </w:r>
    </w:p>
    <w:p w:rsidR="00A1312A" w:rsidRPr="00831525" w:rsidRDefault="00A1312A" w:rsidP="00402E62">
      <w:pPr>
        <w:pStyle w:val="NormalHanging12a"/>
        <w:widowControl/>
      </w:pPr>
      <w:r w:rsidRPr="00831525">
        <w:t>72.</w:t>
      </w:r>
      <w:r w:rsidRPr="00831525">
        <w:tab/>
        <w:t>σημειώνει ότι, το 2023, ο συνολικός προϋπολογισμός για την επικοινωνία που εκτελέστηκε κατά τη διάρκεια του έτους, λαμβανομένων υπόψη των μεταφορών, ήταν 11 187 300 EUR, δηλαδή 3,54 % υψηλότερος από τον προϋπολογισμό του 2022·</w:t>
      </w:r>
    </w:p>
    <w:p w:rsidR="00A1312A" w:rsidRPr="00831525" w:rsidRDefault="00A1312A" w:rsidP="00402E62">
      <w:pPr>
        <w:pStyle w:val="NormalHanging12a"/>
        <w:widowControl/>
      </w:pPr>
      <w:r w:rsidRPr="00831525">
        <w:t>73.</w:t>
      </w:r>
      <w:r w:rsidRPr="00831525">
        <w:tab/>
        <w:t>σημειώνει ότι η Γραμματεία παρέχει υπηρεσίες επικοινωνίας στον Πρόεδρο του Ευρωπαϊκού Συμβουλίου, του οποίου η διαδικτυακή παρουσία ανανεώθηκε ριζικά το 2022, στον Πρόεδρο της Ευρωομάδας, στην εκ περιτροπής Προεδρία, στ</w:t>
      </w:r>
      <w:r w:rsidR="000D4240" w:rsidRPr="00831525">
        <w:t>ο</w:t>
      </w:r>
      <w:r w:rsidR="00F33976" w:rsidRPr="00831525">
        <w:t xml:space="preserve">ν Αντιπρόεδρο της Επιτροπής / </w:t>
      </w:r>
      <w:r w:rsidRPr="00831525">
        <w:t>Ύπατο Εκπρόσωπο</w:t>
      </w:r>
      <w:r w:rsidR="000D4240" w:rsidRPr="00831525">
        <w:t xml:space="preserve"> για Θ</w:t>
      </w:r>
      <w:r w:rsidR="00F33976" w:rsidRPr="00831525">
        <w:t xml:space="preserve">έματα </w:t>
      </w:r>
      <w:r w:rsidR="000D4240" w:rsidRPr="00831525">
        <w:t>Ε</w:t>
      </w:r>
      <w:r w:rsidR="00F33976" w:rsidRPr="00831525">
        <w:t xml:space="preserve">ξωτερικής </w:t>
      </w:r>
      <w:r w:rsidR="000D4240" w:rsidRPr="00831525">
        <w:t>Π</w:t>
      </w:r>
      <w:r w:rsidR="00F33976" w:rsidRPr="00831525">
        <w:t xml:space="preserve">ολιτικής και </w:t>
      </w:r>
      <w:r w:rsidR="000D4240" w:rsidRPr="00831525">
        <w:t>Π</w:t>
      </w:r>
      <w:r w:rsidR="00F33976" w:rsidRPr="00831525">
        <w:t xml:space="preserve">ολιτικής </w:t>
      </w:r>
      <w:r w:rsidR="000D4240" w:rsidRPr="00831525">
        <w:t>Α</w:t>
      </w:r>
      <w:r w:rsidR="00F33976" w:rsidRPr="00831525">
        <w:t>σφαλείας</w:t>
      </w:r>
      <w:r w:rsidRPr="00831525">
        <w:t xml:space="preserve">, στα κράτη μέλη και στη Γραμματεία· σημειώνει ότι το 2023 σημειώθηκε σημαντική αύξηση της συνεργασίας μεταξύ της ψηφιακής ομάδας της Γραμματείας και των Προεδριών και ότι, ειδικότερα, ο στενός συντακτικός </w:t>
      </w:r>
      <w:r w:rsidRPr="00831525">
        <w:lastRenderedPageBreak/>
        <w:t>συντονισμός οδήγησε σε αυξημένες συνέργειες όσον αφορά την επαναχρησιμοποίηση περιεχομένου και τη βελτίωση της συμπληρωματικότητας, γεγονός που μεγιστοποίησε τον συνολικό επικοινωνιακό αντίκτυπο·</w:t>
      </w:r>
    </w:p>
    <w:p w:rsidR="00E365E1" w:rsidRPr="00831525" w:rsidRDefault="00A1312A" w:rsidP="00402E62">
      <w:pPr>
        <w:pStyle w:val="NormalHanging12a"/>
        <w:widowControl/>
      </w:pPr>
      <w:r w:rsidRPr="00831525">
        <w:t>74.</w:t>
      </w:r>
      <w:r w:rsidRPr="00831525">
        <w:tab/>
        <w:t>σημειώνει ότι, σύμφωνα με διαδικτυακή έρευνα που πραγματοποιήθηκε το τελευταίο τρίμηνο του 2023, το 67 % των χρηστών ήταν ικανοποιημένοι με τη συνολική εμπειρία τους με τον ιστότοπο του Συμβουλίου, ο οποίος δέχθηκε πάνω από 23 εκατομμύρια επισκέψεις το 2023, αύξηση κατά 1 % σε σύγκριση με το 2022 και 57 900 συνδρομητές, σε σύγκριση με 51 600 το 2022.</w:t>
      </w:r>
    </w:p>
    <w:p w:rsidR="00402E62" w:rsidRPr="00831525" w:rsidRDefault="00402E62">
      <w:pPr>
        <w:widowControl/>
        <w:spacing w:after="240"/>
        <w:ind w:left="567" w:hanging="567"/>
      </w:pPr>
    </w:p>
    <w:sectPr w:rsidR="00402E62" w:rsidRPr="00831525" w:rsidSect="00CC1CF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DF5" w:rsidRPr="00CC1CFF" w:rsidRDefault="007A7DF5">
      <w:r w:rsidRPr="00CC1CFF">
        <w:separator/>
      </w:r>
    </w:p>
  </w:endnote>
  <w:endnote w:type="continuationSeparator" w:id="0">
    <w:p w:rsidR="007A7DF5" w:rsidRPr="00CC1CFF" w:rsidRDefault="007A7DF5">
      <w:r w:rsidRPr="00CC1C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9"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2A" w:rsidRPr="00CC1CFF" w:rsidRDefault="00A1312A" w:rsidP="000B6B31">
    <w:pPr>
      <w:pStyle w:val="EPFooter"/>
    </w:pPr>
    <w:r w:rsidRPr="00CC1CFF">
      <w:t>PE</w:t>
    </w:r>
    <w:r w:rsidRPr="00CC1CFF">
      <w:rPr>
        <w:rStyle w:val="HideTWBExt"/>
      </w:rPr>
      <w:t>&lt;NoPE&gt;</w:t>
    </w:r>
    <w:r w:rsidRPr="00CC1CFF">
      <w:t>764.997</w:t>
    </w:r>
    <w:r w:rsidRPr="00CC1CFF">
      <w:rPr>
        <w:rStyle w:val="HideTWBExt"/>
      </w:rPr>
      <w:t>&lt;/NoPE&gt;&lt;Version&gt;</w:t>
    </w:r>
    <w:r w:rsidRPr="00CC1CFF">
      <w:t>v03-00</w:t>
    </w:r>
    <w:r w:rsidRPr="00CC1CFF">
      <w:rPr>
        <w:rStyle w:val="HideTWBExt"/>
      </w:rPr>
      <w:t>&lt;/Version&gt;</w:t>
    </w:r>
    <w:r w:rsidRPr="00CC1CFF">
      <w:tab/>
    </w:r>
    <w:r w:rsidRPr="00CC1CFF">
      <w:fldChar w:fldCharType="begin"/>
    </w:r>
    <w:r w:rsidRPr="00CC1CFF">
      <w:instrText xml:space="preserve"> PAGE  \* MERGEFORMAT </w:instrText>
    </w:r>
    <w:r w:rsidRPr="00CC1CFF">
      <w:fldChar w:fldCharType="separate"/>
    </w:r>
    <w:r w:rsidR="00CC1CFF" w:rsidRPr="00CC1CFF">
      <w:rPr>
        <w:noProof/>
      </w:rPr>
      <w:t>2</w:t>
    </w:r>
    <w:r w:rsidRPr="00CC1CFF">
      <w:fldChar w:fldCharType="end"/>
    </w:r>
    <w:r w:rsidRPr="00CC1CFF">
      <w:t>/</w:t>
    </w:r>
    <w:r w:rsidR="00831525">
      <w:fldChar w:fldCharType="begin"/>
    </w:r>
    <w:r w:rsidR="00831525">
      <w:instrText xml:space="preserve"> NUMPAGES  \* MERGEFORMAT </w:instrText>
    </w:r>
    <w:r w:rsidR="00831525">
      <w:fldChar w:fldCharType="separate"/>
    </w:r>
    <w:r w:rsidR="00CC1CFF" w:rsidRPr="00CC1CFF">
      <w:rPr>
        <w:noProof/>
      </w:rPr>
      <w:t>8</w:t>
    </w:r>
    <w:r w:rsidR="00831525">
      <w:rPr>
        <w:noProof/>
      </w:rPr>
      <w:fldChar w:fldCharType="end"/>
    </w:r>
    <w:r w:rsidRPr="00CC1CFF">
      <w:tab/>
    </w:r>
    <w:r w:rsidRPr="00CC1CFF">
      <w:rPr>
        <w:rStyle w:val="HideTWBExt"/>
      </w:rPr>
      <w:t>&lt;PathFdR&gt;</w:t>
    </w:r>
    <w:r w:rsidRPr="00CC1CFF">
      <w:t>RR\1318516EL.docx</w:t>
    </w:r>
    <w:r w:rsidRPr="00CC1CFF">
      <w:rPr>
        <w:rStyle w:val="HideTWBExt"/>
      </w:rPr>
      <w:t>&lt;/PathFdR&gt;</w:t>
    </w:r>
  </w:p>
  <w:p w:rsidR="00A1312A" w:rsidRPr="00CC1CFF" w:rsidRDefault="00A1312A" w:rsidP="000B6B31">
    <w:pPr>
      <w:pStyle w:val="EPFooter2"/>
    </w:pPr>
    <w:r w:rsidRPr="00CC1CF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2A" w:rsidRPr="00CC1CFF" w:rsidRDefault="00A1312A" w:rsidP="000B6B31">
    <w:pPr>
      <w:pStyle w:val="EPFooter"/>
    </w:pPr>
    <w:r w:rsidRPr="00CC1CFF">
      <w:rPr>
        <w:rStyle w:val="HideTWBExt"/>
      </w:rPr>
      <w:t>&lt;PathFdR&gt;</w:t>
    </w:r>
    <w:r w:rsidRPr="00CC1CFF">
      <w:t>RR\1318516EL.docx</w:t>
    </w:r>
    <w:r w:rsidRPr="00CC1CFF">
      <w:rPr>
        <w:rStyle w:val="HideTWBExt"/>
      </w:rPr>
      <w:t>&lt;/PathFdR&gt;</w:t>
    </w:r>
    <w:r w:rsidRPr="00CC1CFF">
      <w:tab/>
    </w:r>
    <w:r w:rsidRPr="00CC1CFF">
      <w:tab/>
      <w:t>PE</w:t>
    </w:r>
    <w:r w:rsidRPr="00CC1CFF">
      <w:rPr>
        <w:rStyle w:val="HideTWBExt"/>
      </w:rPr>
      <w:t>&lt;NoPE&gt;</w:t>
    </w:r>
    <w:r w:rsidRPr="00CC1CFF">
      <w:t>764.997</w:t>
    </w:r>
    <w:r w:rsidRPr="00CC1CFF">
      <w:rPr>
        <w:rStyle w:val="HideTWBExt"/>
      </w:rPr>
      <w:t>&lt;/NoPE&gt;&lt;Version&gt;</w:t>
    </w:r>
    <w:r w:rsidRPr="00CC1CFF">
      <w:t>v03-00</w:t>
    </w:r>
    <w:r w:rsidRPr="00CC1CFF">
      <w:rPr>
        <w:rStyle w:val="HideTWBExt"/>
      </w:rPr>
      <w:t>&lt;/Version&gt;</w:t>
    </w:r>
  </w:p>
  <w:p w:rsidR="00A1312A" w:rsidRPr="00CC1CFF" w:rsidRDefault="00A1312A" w:rsidP="000B6B31">
    <w:pPr>
      <w:pStyle w:val="EPFooter2"/>
    </w:pPr>
    <w:r w:rsidRPr="00CC1CFF">
      <w:t>EL</w:t>
    </w:r>
    <w:r w:rsidRPr="00CC1CFF">
      <w:tab/>
    </w:r>
    <w:r w:rsidRPr="00CC1CFF">
      <w:rPr>
        <w:b w:val="0"/>
        <w:i/>
        <w:color w:val="C0C0C0"/>
        <w:sz w:val="22"/>
      </w:rPr>
      <w:t>Ενωμένη στην πολυμορφία</w:t>
    </w:r>
    <w:r w:rsidRPr="00CC1CF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CF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CF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C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DF5" w:rsidRPr="00CC1CFF" w:rsidRDefault="007A7DF5">
      <w:r w:rsidRPr="00CC1CFF">
        <w:separator/>
      </w:r>
    </w:p>
  </w:footnote>
  <w:footnote w:type="continuationSeparator" w:id="0">
    <w:p w:rsidR="007A7DF5" w:rsidRPr="00CC1CFF" w:rsidRDefault="007A7DF5">
      <w:r w:rsidRPr="00CC1CFF">
        <w:continuationSeparator/>
      </w:r>
    </w:p>
  </w:footnote>
  <w:footnote w:id="1">
    <w:p w:rsidR="00A1312A" w:rsidRPr="00CC1CFF" w:rsidRDefault="00A1312A" w:rsidP="00402E62">
      <w:pPr>
        <w:ind w:left="567" w:hanging="567"/>
      </w:pPr>
      <w:r w:rsidRPr="00CC1CFF">
        <w:rPr>
          <w:rStyle w:val="FootnoteReference"/>
        </w:rPr>
        <w:footnoteRef/>
      </w:r>
      <w:r w:rsidR="00CC1CFF" w:rsidRPr="00CC1CFF">
        <w:t xml:space="preserve"> </w:t>
      </w:r>
      <w:r w:rsidR="00CC1CFF" w:rsidRPr="00CC1CFF">
        <w:tab/>
      </w:r>
      <w:r w:rsidRPr="00CC1CFF">
        <w:t xml:space="preserve">ΕΕ L 58 της 23.2.2023, σ. 1, ELI: </w:t>
      </w:r>
      <w:hyperlink r:id="rId1" w:tooltip="Επιτρέπει πρόσβαση στο έγγραφο μέσω του ELI URI." w:history="1">
        <w:r w:rsidRPr="00CC1CFF">
          <w:rPr>
            <w:rStyle w:val="Hyperlink"/>
            <w:color w:val="0563C1"/>
            <w:shd w:val="clear" w:color="auto" w:fill="FFFFFF"/>
          </w:rPr>
          <w:t>http://data.europa.eu/eli/budget/2023/1/oj</w:t>
        </w:r>
      </w:hyperlink>
      <w:r w:rsidRPr="00CC1CFF">
        <w:rPr>
          <w:shd w:val="clear" w:color="auto" w:fill="FFFFFF"/>
        </w:rPr>
        <w:t>.</w:t>
      </w:r>
    </w:p>
  </w:footnote>
  <w:footnote w:id="2">
    <w:p w:rsidR="00A1312A" w:rsidRPr="00581233" w:rsidRDefault="00A1312A" w:rsidP="00402E62">
      <w:pPr>
        <w:pStyle w:val="FootnoteText"/>
        <w:spacing w:line="240" w:lineRule="auto"/>
        <w:ind w:left="567" w:hanging="567"/>
        <w:rPr>
          <w:sz w:val="24"/>
          <w:lang w:val="fi-FI"/>
        </w:rPr>
      </w:pPr>
      <w:r w:rsidRPr="00CC1CFF">
        <w:rPr>
          <w:rStyle w:val="FootnoteReference"/>
          <w:sz w:val="24"/>
          <w:lang w:val="el-GR"/>
        </w:rPr>
        <w:footnoteRef/>
      </w:r>
      <w:r w:rsidR="00CC1CFF" w:rsidRPr="00581233">
        <w:rPr>
          <w:sz w:val="24"/>
          <w:lang w:val="fi-FI"/>
        </w:rPr>
        <w:t xml:space="preserve"> </w:t>
      </w:r>
      <w:r w:rsidR="00CC1CFF" w:rsidRPr="00581233">
        <w:rPr>
          <w:sz w:val="24"/>
          <w:lang w:val="fi-FI"/>
        </w:rPr>
        <w:tab/>
      </w:r>
      <w:r w:rsidRPr="00CC1CFF">
        <w:rPr>
          <w:sz w:val="24"/>
          <w:lang w:val="el-GR"/>
        </w:rPr>
        <w:t>ΕΕ</w:t>
      </w:r>
      <w:r w:rsidRPr="00581233">
        <w:rPr>
          <w:sz w:val="24"/>
          <w:lang w:val="fi-FI"/>
        </w:rPr>
        <w:t xml:space="preserve"> C, C/2024/5462, 10.10.2024, ELI: </w:t>
      </w:r>
      <w:r w:rsidR="00831525">
        <w:fldChar w:fldCharType="begin"/>
      </w:r>
      <w:r w:rsidR="00831525" w:rsidRPr="00B90F02">
        <w:rPr>
          <w:lang w:val="fi-FI"/>
        </w:rPr>
        <w:instrText xml:space="preserve"> HYPERLINK "http://data.europa.eu/eli/C/2024/5462/oj" </w:instrText>
      </w:r>
      <w:r w:rsidR="00831525">
        <w:fldChar w:fldCharType="separate"/>
      </w:r>
      <w:r w:rsidRPr="00581233">
        <w:rPr>
          <w:rStyle w:val="Hyperlink"/>
          <w:sz w:val="24"/>
          <w:lang w:val="fi-FI"/>
        </w:rPr>
        <w:t>http://data.europa.eu/eli/C/2024/5462/oj</w:t>
      </w:r>
      <w:r w:rsidR="00831525">
        <w:rPr>
          <w:rStyle w:val="Hyperlink"/>
          <w:sz w:val="24"/>
          <w:lang w:val="fi-FI"/>
        </w:rPr>
        <w:fldChar w:fldCharType="end"/>
      </w:r>
      <w:r w:rsidRPr="00581233">
        <w:rPr>
          <w:rStyle w:val="Hyperlink"/>
          <w:sz w:val="24"/>
          <w:lang w:val="fi-FI"/>
        </w:rPr>
        <w:t>.</w:t>
      </w:r>
    </w:p>
  </w:footnote>
  <w:footnote w:id="3">
    <w:p w:rsidR="00A1312A" w:rsidRPr="00581233" w:rsidRDefault="00A1312A" w:rsidP="00402E62">
      <w:pPr>
        <w:pStyle w:val="FootnoteText"/>
        <w:spacing w:line="240" w:lineRule="auto"/>
        <w:ind w:left="567" w:hanging="567"/>
        <w:rPr>
          <w:sz w:val="24"/>
          <w:lang w:val="fi-FI"/>
        </w:rPr>
      </w:pPr>
      <w:r w:rsidRPr="00CC1CFF">
        <w:rPr>
          <w:rStyle w:val="FootnoteReference"/>
          <w:sz w:val="24"/>
          <w:lang w:val="el-GR"/>
        </w:rPr>
        <w:footnoteRef/>
      </w:r>
      <w:r w:rsidR="00CC1CFF" w:rsidRPr="00581233">
        <w:rPr>
          <w:sz w:val="24"/>
          <w:lang w:val="fi-FI"/>
        </w:rPr>
        <w:t xml:space="preserve"> </w:t>
      </w:r>
      <w:r w:rsidR="00CC1CFF" w:rsidRPr="00581233">
        <w:rPr>
          <w:sz w:val="24"/>
          <w:lang w:val="fi-FI"/>
        </w:rPr>
        <w:tab/>
      </w:r>
      <w:r w:rsidRPr="00CC1CFF">
        <w:rPr>
          <w:sz w:val="24"/>
          <w:lang w:val="el-GR"/>
        </w:rPr>
        <w:t>ΕΕ</w:t>
      </w:r>
      <w:r w:rsidRPr="00581233">
        <w:rPr>
          <w:sz w:val="24"/>
          <w:lang w:val="fi-FI"/>
        </w:rPr>
        <w:t xml:space="preserve"> C, C/2024/5882, 9.10.2024, ELI: </w:t>
      </w:r>
      <w:r w:rsidR="00831525">
        <w:fldChar w:fldCharType="begin"/>
      </w:r>
      <w:r w:rsidR="00831525" w:rsidRPr="00B90F02">
        <w:rPr>
          <w:lang w:val="fi-FI"/>
        </w:rPr>
        <w:instrText xml:space="preserve"> HYPERLINK "http://data.europa.eu/eli/C/2024/5882/oj" </w:instrText>
      </w:r>
      <w:r w:rsidR="00831525">
        <w:fldChar w:fldCharType="separate"/>
      </w:r>
      <w:r w:rsidRPr="00581233">
        <w:rPr>
          <w:rStyle w:val="Hyperlink"/>
          <w:sz w:val="24"/>
          <w:lang w:val="fi-FI"/>
        </w:rPr>
        <w:t>http://data.europa.eu/eli/C/2024/5882/oj</w:t>
      </w:r>
      <w:r w:rsidR="00831525">
        <w:rPr>
          <w:rStyle w:val="Hyperlink"/>
          <w:sz w:val="24"/>
          <w:lang w:val="fi-FI"/>
        </w:rPr>
        <w:fldChar w:fldCharType="end"/>
      </w:r>
      <w:r w:rsidRPr="00581233">
        <w:rPr>
          <w:sz w:val="24"/>
          <w:lang w:val="fi-FI"/>
        </w:rPr>
        <w:t>.</w:t>
      </w:r>
    </w:p>
  </w:footnote>
  <w:footnote w:id="4">
    <w:p w:rsidR="00A1312A" w:rsidRPr="00581233" w:rsidRDefault="00A1312A" w:rsidP="00402E62">
      <w:pPr>
        <w:pStyle w:val="FootnoteText"/>
        <w:spacing w:line="240" w:lineRule="auto"/>
        <w:ind w:left="567" w:hanging="567"/>
        <w:rPr>
          <w:sz w:val="24"/>
          <w:lang w:val="fi-FI"/>
        </w:rPr>
      </w:pPr>
      <w:r w:rsidRPr="00CC1CFF">
        <w:rPr>
          <w:rStyle w:val="FootnoteReference"/>
          <w:sz w:val="24"/>
          <w:lang w:val="el-GR"/>
        </w:rPr>
        <w:footnoteRef/>
      </w:r>
      <w:r w:rsidR="00CC1CFF" w:rsidRPr="00581233">
        <w:rPr>
          <w:sz w:val="24"/>
          <w:lang w:val="fi-FI"/>
        </w:rPr>
        <w:t xml:space="preserve"> </w:t>
      </w:r>
      <w:r w:rsidR="00CC1CFF" w:rsidRPr="00581233">
        <w:rPr>
          <w:sz w:val="24"/>
          <w:lang w:val="fi-FI"/>
        </w:rPr>
        <w:tab/>
      </w:r>
      <w:r w:rsidRPr="00CC1CFF">
        <w:rPr>
          <w:sz w:val="24"/>
          <w:lang w:val="el-GR"/>
        </w:rPr>
        <w:t>ΕΕ</w:t>
      </w:r>
      <w:r w:rsidRPr="00581233">
        <w:rPr>
          <w:sz w:val="24"/>
          <w:lang w:val="fi-FI"/>
        </w:rPr>
        <w:t xml:space="preserve"> C, C/2024/6041, 10.10.2024, ELI: </w:t>
      </w:r>
      <w:r w:rsidR="00831525">
        <w:fldChar w:fldCharType="begin"/>
      </w:r>
      <w:r w:rsidR="00831525" w:rsidRPr="00B90F02">
        <w:rPr>
          <w:lang w:val="fi-FI"/>
        </w:rPr>
        <w:instrText xml:space="preserve"> HYPERLINK "http://data.europa.eu/eli/C/2024/6041/oj" </w:instrText>
      </w:r>
      <w:r w:rsidR="00831525">
        <w:fldChar w:fldCharType="separate"/>
      </w:r>
      <w:r w:rsidRPr="00581233">
        <w:rPr>
          <w:rStyle w:val="Hyperlink"/>
          <w:sz w:val="24"/>
          <w:lang w:val="fi-FI"/>
        </w:rPr>
        <w:t>http://data.europa.eu/eli/C/2024/6041/oj</w:t>
      </w:r>
      <w:r w:rsidR="00831525">
        <w:rPr>
          <w:rStyle w:val="Hyperlink"/>
          <w:sz w:val="24"/>
          <w:lang w:val="fi-FI"/>
        </w:rPr>
        <w:fldChar w:fldCharType="end"/>
      </w:r>
      <w:r w:rsidRPr="00581233">
        <w:rPr>
          <w:sz w:val="24"/>
          <w:lang w:val="fi-FI"/>
        </w:rPr>
        <w:t>.</w:t>
      </w:r>
    </w:p>
  </w:footnote>
  <w:footnote w:id="5">
    <w:p w:rsidR="00A1312A" w:rsidRPr="00CC1CFF" w:rsidRDefault="00A1312A" w:rsidP="00402E62">
      <w:pPr>
        <w:pStyle w:val="FootnoteText"/>
        <w:spacing w:line="240" w:lineRule="auto"/>
        <w:ind w:left="567" w:hanging="567"/>
        <w:rPr>
          <w:sz w:val="24"/>
          <w:lang w:val="el-GR"/>
        </w:rPr>
      </w:pPr>
      <w:r w:rsidRPr="00CC1CFF">
        <w:rPr>
          <w:rStyle w:val="FootnoteReference"/>
          <w:sz w:val="24"/>
          <w:lang w:val="el-GR"/>
        </w:rPr>
        <w:footnoteRef/>
      </w:r>
      <w:r w:rsidR="00CC1CFF" w:rsidRPr="00CC1CFF">
        <w:rPr>
          <w:sz w:val="24"/>
          <w:lang w:val="el-GR"/>
        </w:rPr>
        <w:t xml:space="preserve"> </w:t>
      </w:r>
      <w:r w:rsidR="00CC1CFF" w:rsidRPr="00CC1CFF">
        <w:rPr>
          <w:sz w:val="24"/>
          <w:lang w:val="el-GR"/>
        </w:rPr>
        <w:tab/>
      </w:r>
      <w:r w:rsidRPr="00CC1CFF">
        <w:rPr>
          <w:sz w:val="24"/>
          <w:lang w:val="el-GR"/>
        </w:rPr>
        <w:t xml:space="preserve">ΕΕ L 193 της 30.7.2018, σ. 1, ELI: </w:t>
      </w:r>
      <w:r w:rsidR="00831525">
        <w:fldChar w:fldCharType="begin"/>
      </w:r>
      <w:r w:rsidR="00831525" w:rsidRPr="00B90F02">
        <w:rPr>
          <w:lang w:val="el-GR"/>
        </w:rPr>
        <w:instrText xml:space="preserve"> </w:instrText>
      </w:r>
      <w:r w:rsidR="00831525">
        <w:instrText>HYPERLINK</w:instrText>
      </w:r>
      <w:r w:rsidR="00831525" w:rsidRPr="00B90F02">
        <w:rPr>
          <w:lang w:val="el-GR"/>
        </w:rPr>
        <w:instrText xml:space="preserve"> "</w:instrText>
      </w:r>
      <w:r w:rsidR="00831525">
        <w:instrText>http</w:instrText>
      </w:r>
      <w:r w:rsidR="00831525" w:rsidRPr="00B90F02">
        <w:rPr>
          <w:lang w:val="el-GR"/>
        </w:rPr>
        <w:instrText>://</w:instrText>
      </w:r>
      <w:r w:rsidR="00831525">
        <w:instrText>data</w:instrText>
      </w:r>
      <w:r w:rsidR="00831525" w:rsidRPr="00B90F02">
        <w:rPr>
          <w:lang w:val="el-GR"/>
        </w:rPr>
        <w:instrText>.</w:instrText>
      </w:r>
      <w:r w:rsidR="00831525">
        <w:instrText>europa</w:instrText>
      </w:r>
      <w:r w:rsidR="00831525" w:rsidRPr="00B90F02">
        <w:rPr>
          <w:lang w:val="el-GR"/>
        </w:rPr>
        <w:instrText>.</w:instrText>
      </w:r>
      <w:r w:rsidR="00831525">
        <w:instrText>eu</w:instrText>
      </w:r>
      <w:r w:rsidR="00831525" w:rsidRPr="00B90F02">
        <w:rPr>
          <w:lang w:val="el-GR"/>
        </w:rPr>
        <w:instrText>/</w:instrText>
      </w:r>
      <w:r w:rsidR="00831525">
        <w:instrText>eli</w:instrText>
      </w:r>
      <w:r w:rsidR="00831525" w:rsidRPr="00B90F02">
        <w:rPr>
          <w:lang w:val="el-GR"/>
        </w:rPr>
        <w:instrText>/</w:instrText>
      </w:r>
      <w:r w:rsidR="00831525">
        <w:instrText>reg</w:instrText>
      </w:r>
      <w:r w:rsidR="00831525" w:rsidRPr="00B90F02">
        <w:rPr>
          <w:lang w:val="el-GR"/>
        </w:rPr>
        <w:instrText>/2018/1046/</w:instrText>
      </w:r>
      <w:r w:rsidR="00831525">
        <w:instrText>oj</w:instrText>
      </w:r>
      <w:r w:rsidR="00831525" w:rsidRPr="00B90F02">
        <w:rPr>
          <w:lang w:val="el-GR"/>
        </w:rPr>
        <w:instrText xml:space="preserve">" </w:instrText>
      </w:r>
      <w:r w:rsidR="00831525">
        <w:fldChar w:fldCharType="separate"/>
      </w:r>
      <w:r w:rsidRPr="00CC1CFF">
        <w:rPr>
          <w:rStyle w:val="Hyperlink"/>
          <w:sz w:val="24"/>
          <w:lang w:val="el-GR"/>
        </w:rPr>
        <w:t>http://data.europa.eu/eli/reg/2018/1046/oj</w:t>
      </w:r>
      <w:r w:rsidR="00831525">
        <w:rPr>
          <w:rStyle w:val="Hyperlink"/>
          <w:sz w:val="24"/>
          <w:lang w:val="el-GR"/>
        </w:rPr>
        <w:fldChar w:fldCharType="end"/>
      </w:r>
      <w:r w:rsidRPr="00CC1CFF">
        <w:rPr>
          <w:sz w:val="24"/>
          <w:lang w:val="el-GR"/>
        </w:rPr>
        <w:t>.</w:t>
      </w:r>
    </w:p>
  </w:footnote>
  <w:footnote w:id="6">
    <w:p w:rsidR="00A1312A" w:rsidRPr="00581233" w:rsidRDefault="00A1312A" w:rsidP="00402E62">
      <w:pPr>
        <w:pStyle w:val="FootnoteText"/>
        <w:spacing w:line="240" w:lineRule="auto"/>
        <w:ind w:left="567" w:hanging="567"/>
        <w:rPr>
          <w:sz w:val="24"/>
          <w:szCs w:val="24"/>
          <w:lang w:val="fi-FI"/>
        </w:rPr>
      </w:pPr>
      <w:r w:rsidRPr="00CC1CFF">
        <w:rPr>
          <w:rStyle w:val="FootnoteReference"/>
          <w:sz w:val="24"/>
          <w:lang w:val="el-GR"/>
        </w:rPr>
        <w:footnoteRef/>
      </w:r>
      <w:r w:rsidR="00CC1CFF" w:rsidRPr="00581233">
        <w:rPr>
          <w:sz w:val="24"/>
          <w:lang w:val="fi-FI"/>
        </w:rPr>
        <w:t xml:space="preserve"> </w:t>
      </w:r>
      <w:r w:rsidR="00CC1CFF" w:rsidRPr="00581233">
        <w:rPr>
          <w:sz w:val="24"/>
          <w:lang w:val="fi-FI"/>
        </w:rPr>
        <w:tab/>
      </w:r>
      <w:r w:rsidRPr="00CC1CFF">
        <w:rPr>
          <w:sz w:val="24"/>
          <w:lang w:val="el-GR"/>
        </w:rPr>
        <w:t>ΕΕ</w:t>
      </w:r>
      <w:r w:rsidRPr="00581233">
        <w:rPr>
          <w:sz w:val="24"/>
          <w:lang w:val="fi-FI"/>
        </w:rPr>
        <w:t xml:space="preserve"> L, 2024/2509, 26.9.2024, ELI: </w:t>
      </w:r>
      <w:r w:rsidR="00831525">
        <w:fldChar w:fldCharType="begin"/>
      </w:r>
      <w:r w:rsidR="00831525" w:rsidRPr="00B90F02">
        <w:rPr>
          <w:lang w:val="fi-FI"/>
        </w:rPr>
        <w:instrText xml:space="preserve"> HYPERLINK "https://eur-lex.europa.eu/eli/reg/2024/2509/oj" </w:instrText>
      </w:r>
      <w:r w:rsidR="00831525">
        <w:fldChar w:fldCharType="separate"/>
      </w:r>
      <w:r w:rsidRPr="00581233">
        <w:rPr>
          <w:rStyle w:val="Hyperlink"/>
          <w:sz w:val="24"/>
          <w:lang w:val="fi-FI"/>
        </w:rPr>
        <w:t>https://eur-lex.europa.eu/eli/reg/2024/2509/oj</w:t>
      </w:r>
      <w:r w:rsidR="00831525">
        <w:rPr>
          <w:rStyle w:val="Hyperlink"/>
          <w:sz w:val="24"/>
          <w:lang w:val="fi-FI"/>
        </w:rPr>
        <w:fldChar w:fldCharType="end"/>
      </w:r>
      <w:r w:rsidRPr="00581233">
        <w:rPr>
          <w:sz w:val="24"/>
          <w:lang w:val="fi-FI"/>
        </w:rPr>
        <w:t>.</w:t>
      </w:r>
    </w:p>
  </w:footnote>
  <w:footnote w:id="7">
    <w:p w:rsidR="00A1312A" w:rsidRPr="00CC1CFF" w:rsidRDefault="00A1312A" w:rsidP="00402E62">
      <w:pPr>
        <w:pStyle w:val="FootnoteText"/>
        <w:spacing w:line="240" w:lineRule="auto"/>
        <w:ind w:left="567" w:hanging="567"/>
        <w:rPr>
          <w:sz w:val="24"/>
          <w:lang w:val="el-GR"/>
        </w:rPr>
      </w:pPr>
      <w:r w:rsidRPr="00CC1CFF">
        <w:rPr>
          <w:rStyle w:val="FootnoteReference"/>
          <w:sz w:val="24"/>
          <w:lang w:val="el-GR"/>
        </w:rPr>
        <w:footnoteRef/>
      </w:r>
      <w:r w:rsidR="00CC1CFF" w:rsidRPr="00CC1CFF">
        <w:rPr>
          <w:sz w:val="24"/>
          <w:lang w:val="el-GR"/>
        </w:rPr>
        <w:t xml:space="preserve"> </w:t>
      </w:r>
      <w:r w:rsidR="00CC1CFF" w:rsidRPr="00CC1CFF">
        <w:rPr>
          <w:sz w:val="24"/>
          <w:lang w:val="el-GR"/>
        </w:rPr>
        <w:tab/>
      </w:r>
      <w:r w:rsidRPr="00CC1CFF">
        <w:rPr>
          <w:sz w:val="24"/>
          <w:lang w:val="el-GR"/>
        </w:rPr>
        <w:t>Απόφαση του Γενικού Δικαστηρίου, της 25ης Ιανουαρίου 2023, στην υπόθεση T-163/21</w:t>
      </w:r>
      <w:r w:rsidRPr="00402E62">
        <w:rPr>
          <w:sz w:val="24"/>
          <w:lang w:val="el-GR"/>
        </w:rPr>
        <w:t xml:space="preserve">, </w:t>
      </w:r>
      <w:r w:rsidRPr="00581233">
        <w:rPr>
          <w:iCs/>
          <w:sz w:val="24"/>
          <w:lang w:val="el-GR"/>
        </w:rPr>
        <w:t xml:space="preserve">De </w:t>
      </w:r>
      <w:proofErr w:type="spellStart"/>
      <w:r w:rsidRPr="00581233">
        <w:rPr>
          <w:iCs/>
          <w:sz w:val="24"/>
          <w:lang w:val="el-GR"/>
        </w:rPr>
        <w:t>Capitani</w:t>
      </w:r>
      <w:proofErr w:type="spellEnd"/>
      <w:r w:rsidRPr="00402E62">
        <w:rPr>
          <w:sz w:val="24"/>
          <w:lang w:val="el-GR"/>
        </w:rPr>
        <w:t xml:space="preserve"> κατά </w:t>
      </w:r>
      <w:r w:rsidRPr="00581233">
        <w:rPr>
          <w:iCs/>
          <w:sz w:val="24"/>
          <w:lang w:val="el-GR"/>
        </w:rPr>
        <w:t>Συμβουλίου</w:t>
      </w:r>
      <w:r w:rsidRPr="00402E62">
        <w:rPr>
          <w:sz w:val="24"/>
          <w:lang w:val="el-GR"/>
        </w:rPr>
        <w:t>, E</w:t>
      </w:r>
      <w:r w:rsidRPr="00CC1CFF">
        <w:rPr>
          <w:sz w:val="24"/>
          <w:lang w:val="el-GR"/>
        </w:rPr>
        <w:t xml:space="preserve">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C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C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C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F4D235F"/>
    <w:multiLevelType w:val="hybridMultilevel"/>
    <w:tmpl w:val="4B9291E8"/>
    <w:lvl w:ilvl="0" w:tplc="2A12607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B4306C"/>
    <w:multiLevelType w:val="multilevel"/>
    <w:tmpl w:val="CAF002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1"/>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2/2025"/>
    <w:docVar w:name="dvlangue" w:val="EL"/>
    <w:docVar w:name="dvnumam" w:val="0"/>
    <w:docVar w:name="dvpe" w:val="764.997"/>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2024/2021(DEC))"/>
  </w:docVars>
  <w:rsids>
    <w:rsidRoot w:val="007A7DF5"/>
    <w:rsid w:val="00002272"/>
    <w:rsid w:val="00064002"/>
    <w:rsid w:val="000677B9"/>
    <w:rsid w:val="000831BA"/>
    <w:rsid w:val="000A42CC"/>
    <w:rsid w:val="000D4240"/>
    <w:rsid w:val="000E7DD9"/>
    <w:rsid w:val="0010095E"/>
    <w:rsid w:val="00125B37"/>
    <w:rsid w:val="00187494"/>
    <w:rsid w:val="001F32AE"/>
    <w:rsid w:val="002767FF"/>
    <w:rsid w:val="002B18FE"/>
    <w:rsid w:val="002B5493"/>
    <w:rsid w:val="00343214"/>
    <w:rsid w:val="00361C00"/>
    <w:rsid w:val="00395FA1"/>
    <w:rsid w:val="003E15D4"/>
    <w:rsid w:val="00402E62"/>
    <w:rsid w:val="00411CCE"/>
    <w:rsid w:val="0041666E"/>
    <w:rsid w:val="00421060"/>
    <w:rsid w:val="00471C19"/>
    <w:rsid w:val="004867E3"/>
    <w:rsid w:val="00494A28"/>
    <w:rsid w:val="004C0004"/>
    <w:rsid w:val="004C5D52"/>
    <w:rsid w:val="0050519A"/>
    <w:rsid w:val="005072A1"/>
    <w:rsid w:val="00514517"/>
    <w:rsid w:val="00545827"/>
    <w:rsid w:val="00560270"/>
    <w:rsid w:val="00581233"/>
    <w:rsid w:val="005C2568"/>
    <w:rsid w:val="005F1B17"/>
    <w:rsid w:val="006037C0"/>
    <w:rsid w:val="006631B6"/>
    <w:rsid w:val="0067553C"/>
    <w:rsid w:val="00680577"/>
    <w:rsid w:val="006D3C91"/>
    <w:rsid w:val="006F74FA"/>
    <w:rsid w:val="00731ADD"/>
    <w:rsid w:val="00734777"/>
    <w:rsid w:val="00747932"/>
    <w:rsid w:val="00751A4A"/>
    <w:rsid w:val="00756632"/>
    <w:rsid w:val="00762C74"/>
    <w:rsid w:val="00786EC0"/>
    <w:rsid w:val="007A7DF5"/>
    <w:rsid w:val="007D1690"/>
    <w:rsid w:val="007E22AD"/>
    <w:rsid w:val="00817416"/>
    <w:rsid w:val="00831525"/>
    <w:rsid w:val="00842779"/>
    <w:rsid w:val="00865F67"/>
    <w:rsid w:val="00881A7B"/>
    <w:rsid w:val="008840E5"/>
    <w:rsid w:val="00887B3E"/>
    <w:rsid w:val="008C2AC6"/>
    <w:rsid w:val="00930C23"/>
    <w:rsid w:val="0093193B"/>
    <w:rsid w:val="009509D8"/>
    <w:rsid w:val="00950B64"/>
    <w:rsid w:val="00981893"/>
    <w:rsid w:val="009F4B25"/>
    <w:rsid w:val="00A1312A"/>
    <w:rsid w:val="00A1687D"/>
    <w:rsid w:val="00A43E52"/>
    <w:rsid w:val="00A4678D"/>
    <w:rsid w:val="00A778C7"/>
    <w:rsid w:val="00AB441E"/>
    <w:rsid w:val="00AB6293"/>
    <w:rsid w:val="00AE0928"/>
    <w:rsid w:val="00AF3B82"/>
    <w:rsid w:val="00B12E95"/>
    <w:rsid w:val="00B22876"/>
    <w:rsid w:val="00B558F0"/>
    <w:rsid w:val="00B90F02"/>
    <w:rsid w:val="00BD48FE"/>
    <w:rsid w:val="00BD7BD8"/>
    <w:rsid w:val="00BE6ADC"/>
    <w:rsid w:val="00C05BFE"/>
    <w:rsid w:val="00C23CD4"/>
    <w:rsid w:val="00C61C0C"/>
    <w:rsid w:val="00C941CB"/>
    <w:rsid w:val="00CA3769"/>
    <w:rsid w:val="00CC1CF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97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7BCF6"/>
  <w15:chartTrackingRefBased/>
  <w15:docId w15:val="{80FCD34D-07E9-4C11-AC13-909C418D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312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312A"/>
    <w:pPr>
      <w:spacing w:before="480" w:after="240"/>
    </w:pPr>
  </w:style>
  <w:style w:type="paragraph" w:customStyle="1" w:styleId="PageHeading">
    <w:name w:val="PageHeading"/>
    <w:basedOn w:val="Normal"/>
    <w:rsid w:val="00A1312A"/>
    <w:pPr>
      <w:keepNext/>
      <w:spacing w:after="480"/>
      <w:jc w:val="center"/>
    </w:pPr>
    <w:rPr>
      <w:rFonts w:ascii="Arial" w:hAnsi="Arial" w:cs="Arial"/>
      <w:b/>
    </w:rPr>
  </w:style>
  <w:style w:type="paragraph" w:customStyle="1" w:styleId="NormalBold">
    <w:name w:val="NormalBold"/>
    <w:basedOn w:val="Normal"/>
    <w:rsid w:val="00A1312A"/>
    <w:rPr>
      <w:b/>
    </w:rPr>
  </w:style>
  <w:style w:type="paragraph" w:customStyle="1" w:styleId="NormalHanging12a">
    <w:name w:val="NormalHanging12a"/>
    <w:basedOn w:val="Normal"/>
    <w:link w:val="NormalHanging12aChar"/>
    <w:rsid w:val="00A1312A"/>
    <w:pPr>
      <w:spacing w:after="240"/>
      <w:ind w:left="567" w:hanging="567"/>
    </w:pPr>
  </w:style>
  <w:style w:type="paragraph" w:styleId="Header">
    <w:name w:val="header"/>
    <w:basedOn w:val="Normal"/>
    <w:link w:val="HeaderChar"/>
    <w:rsid w:val="00A1312A"/>
    <w:pPr>
      <w:tabs>
        <w:tab w:val="center" w:pos="4513"/>
        <w:tab w:val="right" w:pos="9026"/>
      </w:tabs>
    </w:pPr>
  </w:style>
  <w:style w:type="character" w:customStyle="1" w:styleId="HeaderChar">
    <w:name w:val="Header Char"/>
    <w:basedOn w:val="DefaultParagraphFont"/>
    <w:link w:val="Header"/>
    <w:rsid w:val="00A1312A"/>
    <w:rPr>
      <w:sz w:val="24"/>
      <w:lang w:val="el-GR"/>
    </w:rPr>
  </w:style>
  <w:style w:type="paragraph" w:customStyle="1" w:styleId="EPFooter">
    <w:name w:val="EPFooter"/>
    <w:basedOn w:val="Normal"/>
    <w:rsid w:val="00A1312A"/>
    <w:pPr>
      <w:tabs>
        <w:tab w:val="center" w:pos="4535"/>
        <w:tab w:val="right" w:pos="9071"/>
      </w:tabs>
      <w:spacing w:before="240" w:after="240"/>
    </w:pPr>
    <w:rPr>
      <w:color w:val="010000"/>
      <w:sz w:val="22"/>
    </w:rPr>
  </w:style>
  <w:style w:type="character" w:styleId="Hyperlink">
    <w:name w:val="Hyperlink"/>
    <w:basedOn w:val="DefaultParagraphFont"/>
    <w:uiPriority w:val="99"/>
    <w:rsid w:val="00A1312A"/>
    <w:rPr>
      <w:color w:val="0563C1" w:themeColor="hyperlink"/>
      <w:u w:val="single"/>
    </w:rPr>
  </w:style>
  <w:style w:type="character" w:customStyle="1" w:styleId="NormalHanging12aChar">
    <w:name w:val="NormalHanging12a Char"/>
    <w:basedOn w:val="DefaultParagraphFont"/>
    <w:link w:val="NormalHanging12a"/>
    <w:locked/>
    <w:rsid w:val="00A1312A"/>
    <w:rPr>
      <w:sz w:val="24"/>
      <w:lang w:val="el-GR"/>
    </w:rPr>
  </w:style>
  <w:style w:type="paragraph" w:styleId="Footer">
    <w:name w:val="footer"/>
    <w:basedOn w:val="Normal"/>
    <w:link w:val="FooterChar"/>
    <w:rsid w:val="00402E62"/>
    <w:pPr>
      <w:tabs>
        <w:tab w:val="center" w:pos="4513"/>
        <w:tab w:val="right" w:pos="9026"/>
      </w:tabs>
    </w:pPr>
  </w:style>
  <w:style w:type="character" w:customStyle="1" w:styleId="FooterChar">
    <w:name w:val="Footer Char"/>
    <w:basedOn w:val="DefaultParagraphFont"/>
    <w:link w:val="Footer"/>
    <w:rsid w:val="00402E62"/>
    <w:rPr>
      <w:sz w:val="24"/>
      <w:lang w:val="el-GR"/>
    </w:rPr>
  </w:style>
  <w:style w:type="paragraph" w:styleId="BalloonText">
    <w:name w:val="Balloon Text"/>
    <w:basedOn w:val="Normal"/>
    <w:link w:val="BalloonTextChar"/>
    <w:rsid w:val="00402E62"/>
    <w:rPr>
      <w:rFonts w:ascii="Segoe UI" w:hAnsi="Segoe UI" w:cs="Segoe UI"/>
      <w:sz w:val="18"/>
      <w:szCs w:val="18"/>
    </w:rPr>
  </w:style>
  <w:style w:type="character" w:customStyle="1" w:styleId="BalloonTextChar">
    <w:name w:val="Balloon Text Char"/>
    <w:basedOn w:val="DefaultParagraphFont"/>
    <w:link w:val="BalloonText"/>
    <w:rsid w:val="00402E6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87996-6776-43ED-8F20-383DF0C28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6934</Words>
  <Characters>41140</Characters>
  <Application>Microsoft Office Word</Application>
  <DocSecurity>0</DocSecurity>
  <Lines>342</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2025-05-07T14:36:00Z</dcterms:created>
  <dcterms:modified xsi:type="dcterms:W3CDTF">2025-05-07T14:36:00Z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A10-0052/2025</vt:lpwstr>
  </property>
  <property fmtid="{D5CDD505-2E9C-101B-9397-08002B2CF9AE}" pid="4" name="&lt;Type&gt;">
    <vt:lpwstr>RR</vt:lpwstr>
  </property>
</Properties>
</file>