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3849" w14:paraId="4CEE0861" w14:textId="77777777" w:rsidTr="0010095E">
        <w:trPr>
          <w:trHeight w:hRule="exact" w:val="1418"/>
        </w:trPr>
        <w:tc>
          <w:tcPr>
            <w:tcW w:w="6804" w:type="dxa"/>
            <w:shd w:val="clear" w:color="auto" w:fill="auto"/>
            <w:vAlign w:val="center"/>
          </w:tcPr>
          <w:p w14:paraId="62C79963" w14:textId="77777777" w:rsidR="00751A4A" w:rsidRPr="00143849" w:rsidRDefault="000C2E86" w:rsidP="0010095E">
            <w:pPr>
              <w:pStyle w:val="EPName"/>
            </w:pPr>
            <w:r w:rsidRPr="00143849">
              <w:t>Parlamentul European</w:t>
            </w:r>
          </w:p>
          <w:p w14:paraId="1E5461F5" w14:textId="01866986" w:rsidR="00751A4A" w:rsidRPr="00143849" w:rsidRDefault="005F1B17" w:rsidP="005F1B17">
            <w:pPr>
              <w:pStyle w:val="EPTerm"/>
              <w:rPr>
                <w:rStyle w:val="HideTWBExt"/>
                <w:noProof w:val="0"/>
                <w:vanish w:val="0"/>
                <w:color w:val="auto"/>
              </w:rPr>
            </w:pPr>
            <w:r w:rsidRPr="00143849">
              <w:t>2024</w:t>
            </w:r>
            <w:r w:rsidR="00E71C25">
              <w:t>–</w:t>
            </w:r>
            <w:r w:rsidR="00817416" w:rsidRPr="00143849">
              <w:t>202</w:t>
            </w:r>
            <w:r w:rsidRPr="00143849">
              <w:t>9</w:t>
            </w:r>
          </w:p>
        </w:tc>
        <w:tc>
          <w:tcPr>
            <w:tcW w:w="2268" w:type="dxa"/>
            <w:shd w:val="clear" w:color="auto" w:fill="auto"/>
          </w:tcPr>
          <w:p w14:paraId="263EA934" w14:textId="77777777" w:rsidR="00751A4A" w:rsidRPr="00143849" w:rsidRDefault="00187494" w:rsidP="0010095E">
            <w:pPr>
              <w:pStyle w:val="EPLogo"/>
            </w:pPr>
            <w:r w:rsidRPr="00143849">
              <w:rPr>
                <w:noProof/>
                <w:lang w:eastAsia="ro-RO"/>
              </w:rPr>
              <w:drawing>
                <wp:inline distT="0" distB="0" distL="0" distR="0" wp14:anchorId="5EDCAD3A" wp14:editId="52EE79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C45EEE" w14:textId="77777777" w:rsidR="00D058B8" w:rsidRPr="00143849" w:rsidRDefault="00D058B8" w:rsidP="004C5D52">
      <w:pPr>
        <w:pStyle w:val="LineTop"/>
      </w:pPr>
    </w:p>
    <w:p w14:paraId="227ACDAB" w14:textId="77777777" w:rsidR="00680577" w:rsidRPr="00143849" w:rsidRDefault="000C2E86" w:rsidP="00680577">
      <w:pPr>
        <w:pStyle w:val="EPBodyTA1"/>
      </w:pPr>
      <w:r w:rsidRPr="00143849">
        <w:t>TEXTE ADOPTATE</w:t>
      </w:r>
    </w:p>
    <w:p w14:paraId="5C30E09A" w14:textId="77777777" w:rsidR="00D058B8" w:rsidRPr="00143849" w:rsidRDefault="00D058B8" w:rsidP="00D058B8">
      <w:pPr>
        <w:pStyle w:val="LineBottom"/>
      </w:pPr>
    </w:p>
    <w:p w14:paraId="5A2558B9" w14:textId="77777777" w:rsidR="000C2E86" w:rsidRPr="00143849" w:rsidRDefault="000C2E86" w:rsidP="000C2E86">
      <w:pPr>
        <w:pStyle w:val="ATHeading1"/>
      </w:pPr>
      <w:bookmarkStart w:id="0" w:name="TANumber"/>
      <w:r w:rsidRPr="00143849">
        <w:t>P10_TA(2025)00</w:t>
      </w:r>
      <w:bookmarkEnd w:id="0"/>
      <w:r w:rsidR="00D1281D" w:rsidRPr="00143849">
        <w:t>79</w:t>
      </w:r>
    </w:p>
    <w:p w14:paraId="65C996CF" w14:textId="15F8A8E4" w:rsidR="000C2E86" w:rsidRPr="00143849" w:rsidRDefault="000C2E86" w:rsidP="000C2E86">
      <w:pPr>
        <w:pStyle w:val="ATHeading2"/>
      </w:pPr>
      <w:bookmarkStart w:id="1" w:name="title"/>
      <w:r w:rsidRPr="00143849">
        <w:t xml:space="preserve">Descărcarea de gestiune 2023: Bugetul general al UE </w:t>
      </w:r>
      <w:r w:rsidR="00E71C25">
        <w:t>–</w:t>
      </w:r>
      <w:r w:rsidRPr="00143849">
        <w:t xml:space="preserve"> Consiliul European și Consiliul</w:t>
      </w:r>
      <w:bookmarkEnd w:id="1"/>
    </w:p>
    <w:p w14:paraId="01AB68BB" w14:textId="19BB41E4" w:rsidR="000C2E86" w:rsidRPr="00143849" w:rsidRDefault="000C2E86" w:rsidP="000C2E86">
      <w:pPr>
        <w:rPr>
          <w:i/>
          <w:vanish/>
        </w:rPr>
      </w:pPr>
      <w:r w:rsidRPr="00143849">
        <w:rPr>
          <w:i/>
        </w:rPr>
        <w:fldChar w:fldCharType="begin"/>
      </w:r>
      <w:r w:rsidRPr="00143849">
        <w:rPr>
          <w:i/>
        </w:rPr>
        <w:instrText xml:space="preserve"> TC"(</w:instrText>
      </w:r>
      <w:bookmarkStart w:id="2" w:name="DocNumber"/>
      <w:r w:rsidRPr="00143849">
        <w:rPr>
          <w:i/>
        </w:rPr>
        <w:instrText>A10</w:instrText>
      </w:r>
      <w:r w:rsidR="00E71C25">
        <w:rPr>
          <w:i/>
        </w:rPr>
        <w:instrText>–</w:instrText>
      </w:r>
      <w:r w:rsidRPr="00143849">
        <w:rPr>
          <w:i/>
        </w:rPr>
        <w:instrText>0052/2025</w:instrText>
      </w:r>
      <w:bookmarkEnd w:id="2"/>
      <w:r w:rsidRPr="00143849">
        <w:rPr>
          <w:i/>
        </w:rPr>
        <w:instrText xml:space="preserve"> </w:instrText>
      </w:r>
      <w:r w:rsidR="00E71C25">
        <w:rPr>
          <w:i/>
        </w:rPr>
        <w:instrText>–</w:instrText>
      </w:r>
      <w:r w:rsidRPr="00143849">
        <w:rPr>
          <w:i/>
        </w:rPr>
        <w:instrText xml:space="preserve"> Raportor: Joachim Stanisław Brudziński)"\l3 \n&gt; \* MERGEFORMAT </w:instrText>
      </w:r>
      <w:r w:rsidRPr="00143849">
        <w:rPr>
          <w:i/>
        </w:rPr>
        <w:fldChar w:fldCharType="end"/>
      </w:r>
    </w:p>
    <w:p w14:paraId="27DD8622" w14:textId="77777777" w:rsidR="000C2E86" w:rsidRPr="00143849" w:rsidRDefault="000C2E86" w:rsidP="000C2E86">
      <w:pPr>
        <w:rPr>
          <w:vanish/>
        </w:rPr>
      </w:pPr>
      <w:bookmarkStart w:id="3" w:name="Commission"/>
      <w:r w:rsidRPr="00143849">
        <w:rPr>
          <w:vanish/>
        </w:rPr>
        <w:t>Comisia pentru control bugetar</w:t>
      </w:r>
      <w:bookmarkEnd w:id="3"/>
    </w:p>
    <w:p w14:paraId="786F82AB" w14:textId="77777777" w:rsidR="000C2E86" w:rsidRDefault="000C2E86" w:rsidP="000C2E86">
      <w:pPr>
        <w:rPr>
          <w:vanish/>
        </w:rPr>
      </w:pPr>
      <w:bookmarkStart w:id="4" w:name="PE"/>
      <w:r w:rsidRPr="00143849">
        <w:rPr>
          <w:vanish/>
        </w:rPr>
        <w:t>PE764.997</w:t>
      </w:r>
      <w:bookmarkEnd w:id="4"/>
    </w:p>
    <w:p w14:paraId="5D25F3E0" w14:textId="77777777" w:rsidR="00D1761C" w:rsidRPr="00D1761C" w:rsidRDefault="00D1761C" w:rsidP="00794B05">
      <w:pPr>
        <w:pStyle w:val="ATHeading3"/>
      </w:pPr>
      <w:r w:rsidRPr="00D1761C">
        <w:t>1. Decizia Parlamentului European din 7 mai 2025 privind descărcarea de gestiune pentru execuția bugetului general al Uniunii Europene aferent exercițiului financiar 2023, secțiunea II – Consiliul European și Consiliul  (2024/2021(DEC))</w:t>
      </w:r>
    </w:p>
    <w:p w14:paraId="1409B883" w14:textId="23AC2DDE" w:rsidR="00D1761C" w:rsidRPr="00D1761C" w:rsidRDefault="00B44359" w:rsidP="00D1761C">
      <w:pPr>
        <w:spacing w:before="480" w:after="240"/>
        <w:rPr>
          <w:i/>
          <w:kern w:val="2"/>
          <w14:ligatures w14:val="standardContextual"/>
        </w:rPr>
      </w:pPr>
      <w:r w:rsidRPr="00B44359">
        <w:rPr>
          <w:i/>
          <w:kern w:val="2"/>
          <w14:ligatures w14:val="standardContextual"/>
        </w:rPr>
        <w:t xml:space="preserve">Parlamentul </w:t>
      </w:r>
      <w:r>
        <w:rPr>
          <w:i/>
          <w:kern w:val="2"/>
          <w14:ligatures w14:val="standardContextual"/>
        </w:rPr>
        <w:t>E</w:t>
      </w:r>
      <w:r w:rsidRPr="00B44359">
        <w:rPr>
          <w:i/>
          <w:kern w:val="2"/>
          <w14:ligatures w14:val="standardContextual"/>
        </w:rPr>
        <w:t>uropean,</w:t>
      </w:r>
    </w:p>
    <w:p w14:paraId="53F82ECA"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bugetul general al Uniunii Europene aferent exercițiului financiar 2023</w:t>
      </w:r>
      <w:r w:rsidRPr="00D1761C">
        <w:rPr>
          <w:kern w:val="2"/>
          <w:vertAlign w:val="superscript"/>
          <w14:ligatures w14:val="standardContextual"/>
        </w:rPr>
        <w:footnoteReference w:id="1"/>
      </w:r>
      <w:r w:rsidRPr="00D1761C">
        <w:rPr>
          <w:kern w:val="2"/>
          <w14:ligatures w14:val="standardContextual"/>
        </w:rPr>
        <w:t>,</w:t>
      </w:r>
    </w:p>
    <w:p w14:paraId="7327D3DF" w14:textId="3A0BB9BB"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 xml:space="preserve">având în vedere conturile anuale consolidate ale Uniunii Europene pentru exercițiul financiar 2023 </w:t>
      </w:r>
      <w:r w:rsidR="00644EEB">
        <w:rPr>
          <w:kern w:val="2"/>
          <w14:ligatures w14:val="standardContextual"/>
        </w:rPr>
        <w:t>(</w:t>
      </w:r>
      <w:r w:rsidRPr="00D1761C">
        <w:rPr>
          <w:kern w:val="2"/>
          <w14:ligatures w14:val="standardContextual"/>
        </w:rPr>
        <w:t>COM(2024)0272 – C10</w:t>
      </w:r>
      <w:r w:rsidR="00E71C25">
        <w:rPr>
          <w:kern w:val="2"/>
          <w14:ligatures w14:val="standardContextual"/>
        </w:rPr>
        <w:t>–</w:t>
      </w:r>
      <w:r w:rsidRPr="00D1761C">
        <w:rPr>
          <w:kern w:val="2"/>
          <w14:ligatures w14:val="standardContextual"/>
        </w:rPr>
        <w:t>0069/2024</w:t>
      </w:r>
      <w:r w:rsidR="00644EEB">
        <w:rPr>
          <w:kern w:val="2"/>
          <w14:ligatures w14:val="standardContextual"/>
        </w:rPr>
        <w:t>)</w:t>
      </w:r>
      <w:r w:rsidRPr="00D1761C">
        <w:rPr>
          <w:kern w:val="2"/>
          <w:vertAlign w:val="superscript"/>
          <w14:ligatures w14:val="standardContextual"/>
        </w:rPr>
        <w:footnoteReference w:id="2"/>
      </w:r>
      <w:r w:rsidRPr="00D1761C">
        <w:rPr>
          <w:kern w:val="2"/>
          <w14:ligatures w14:val="standardContextual"/>
        </w:rPr>
        <w:t>,</w:t>
      </w:r>
    </w:p>
    <w:p w14:paraId="59F7FFB5"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rapoartele anuale ale Consiliului pe 2023,</w:t>
      </w:r>
    </w:p>
    <w:p w14:paraId="1A199999"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Raportul anual al Curții de Conturi referitor la execuția bugetului privind exercițiul financiar 2023, însoțit de răspunsurile instituțiilor</w:t>
      </w:r>
      <w:r w:rsidRPr="00D1761C">
        <w:rPr>
          <w:kern w:val="2"/>
          <w:vertAlign w:val="superscript"/>
          <w14:ligatures w14:val="standardContextual"/>
        </w:rPr>
        <w:footnoteReference w:id="3"/>
      </w:r>
      <w:r w:rsidRPr="00D1761C">
        <w:rPr>
          <w:kern w:val="2"/>
          <w14:ligatures w14:val="standardContextual"/>
        </w:rPr>
        <w:t>,</w:t>
      </w:r>
    </w:p>
    <w:p w14:paraId="63264A10"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declarația de asigurare</w:t>
      </w:r>
      <w:r w:rsidRPr="00D1761C">
        <w:rPr>
          <w:kern w:val="2"/>
          <w:vertAlign w:val="superscript"/>
          <w14:ligatures w14:val="standardContextual"/>
        </w:rPr>
        <w:footnoteReference w:id="4"/>
      </w:r>
      <w:r w:rsidRPr="00D1761C">
        <w:rPr>
          <w:kern w:val="2"/>
          <w14:ligatures w14:val="standardContextual"/>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4EF42C9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articolul 314 alineatul (10) și articolele 317, 318 și 319 din Tratatul privind funcționarea Uniunii Europene,</w:t>
      </w:r>
    </w:p>
    <w:p w14:paraId="085F8276"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 xml:space="preserve">având în vedere Regulamentul (UE, Euratom) 2018/1046 al Parlamentului European și al Consiliului din 18 iulie 2018 privind normele financiare aplicabile bugetului general </w:t>
      </w:r>
      <w:r w:rsidRPr="00D1761C">
        <w:rPr>
          <w:kern w:val="2"/>
          <w14:ligatures w14:val="standardContextual"/>
        </w:rPr>
        <w:lastRenderedPageBreak/>
        <w:t>al Uniunii, de modificare a Regulamentelor (UE) nr. 1296/2013, (UE) nr. 1301/2013, (UE) nr. 1303/2013, (UE) nr. 1304/2013, (UE) nr. 1309/2013, (UE) nr. 1316/2013, (UE) nr. 223/2014, (UE) nr. 283/2014 și a Deciziei nr. 541/2014/UE și de abrogare a Regulamentului (UE, Euratom) nr. 966/2012</w:t>
      </w:r>
      <w:r w:rsidRPr="00D1761C">
        <w:rPr>
          <w:kern w:val="2"/>
          <w:vertAlign w:val="superscript"/>
          <w14:ligatures w14:val="standardContextual"/>
        </w:rPr>
        <w:footnoteReference w:id="5"/>
      </w:r>
      <w:r w:rsidRPr="00D1761C">
        <w:rPr>
          <w:kern w:val="2"/>
          <w14:ligatures w14:val="standardContextual"/>
        </w:rPr>
        <w:t>, în special articolele 59, 118, 260, 261 și 262,</w:t>
      </w:r>
    </w:p>
    <w:p w14:paraId="531CA808"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 xml:space="preserve">având în vedere </w:t>
      </w:r>
      <w:r w:rsidRPr="00D1761C">
        <w:rPr>
          <w:color w:val="333333"/>
          <w:kern w:val="2"/>
          <w:shd w:val="clear" w:color="auto" w:fill="FFFFFF"/>
          <w14:ligatures w14:val="standardContextual"/>
        </w:rPr>
        <w:t>Regulamentul (UE, Euratom) 2024/2509 al Parlamentului European și al Consiliului din 23 septembrie 2024 privind normele financiare aplicabile bugetului general al Uniunii</w:t>
      </w:r>
      <w:r w:rsidRPr="00D1761C">
        <w:rPr>
          <w:bCs/>
          <w:color w:val="333333"/>
          <w:kern w:val="2"/>
          <w:szCs w:val="24"/>
          <w:shd w:val="clear" w:color="auto" w:fill="FFFFFF"/>
          <w:vertAlign w:val="superscript"/>
          <w14:ligatures w14:val="standardContextual"/>
        </w:rPr>
        <w:footnoteReference w:id="6"/>
      </w:r>
      <w:r w:rsidRPr="00D1761C">
        <w:rPr>
          <w:color w:val="333333"/>
          <w:kern w:val="2"/>
          <w:shd w:val="clear" w:color="auto" w:fill="FFFFFF"/>
          <w14:ligatures w14:val="standardContextual"/>
        </w:rPr>
        <w:t>, în special articolele 59, 118, 266, 267 și 268</w:t>
      </w:r>
      <w:r w:rsidRPr="00D1761C">
        <w:rPr>
          <w:kern w:val="2"/>
          <w14:ligatures w14:val="standardContextual"/>
        </w:rPr>
        <w:t>,</w:t>
      </w:r>
    </w:p>
    <w:p w14:paraId="0D671978"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articolul 102 și anexa V la Regulamentul său de procedură,</w:t>
      </w:r>
    </w:p>
    <w:p w14:paraId="4748CCE9"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avizul Comisiei pentru afaceri constituționale,</w:t>
      </w:r>
    </w:p>
    <w:p w14:paraId="4EE9E8F3" w14:textId="6EA0C4C9" w:rsidR="00D1761C" w:rsidRPr="00D1761C" w:rsidRDefault="00D1761C" w:rsidP="00D1761C">
      <w:pPr>
        <w:spacing w:after="240"/>
        <w:ind w:left="567" w:hanging="567"/>
        <w:rPr>
          <w:kern w:val="2"/>
          <w14:ligatures w14:val="standardContextual"/>
        </w:rPr>
      </w:pPr>
      <w:r w:rsidRPr="00D1761C">
        <w:rPr>
          <w:kern w:val="2"/>
          <w14:ligatures w14:val="standardContextual"/>
        </w:rPr>
        <w:t>–</w:t>
      </w:r>
      <w:r w:rsidRPr="00D1761C">
        <w:rPr>
          <w:kern w:val="2"/>
          <w14:ligatures w14:val="standardContextual"/>
        </w:rPr>
        <w:tab/>
        <w:t>având în vedere raportul Comisiei pentru control bugetar (A10</w:t>
      </w:r>
      <w:r w:rsidR="00E71C25">
        <w:rPr>
          <w:kern w:val="2"/>
          <w14:ligatures w14:val="standardContextual"/>
        </w:rPr>
        <w:t>–</w:t>
      </w:r>
      <w:r w:rsidRPr="00D1761C">
        <w:rPr>
          <w:kern w:val="2"/>
          <w14:ligatures w14:val="standardContextual"/>
        </w:rPr>
        <w:t>0052/2025),</w:t>
      </w:r>
    </w:p>
    <w:p w14:paraId="7E9A981A"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1.</w:t>
      </w:r>
      <w:r w:rsidRPr="00D1761C">
        <w:rPr>
          <w:kern w:val="2"/>
          <w14:ligatures w14:val="standardContextual"/>
        </w:rPr>
        <w:tab/>
        <w:t>își amână decizia de a acorda secretarului general al Consiliului descărcarea de gestiune pentru execuția bugetului Consiliului European și al Consiliului aferent exercițiului financiar 2023;</w:t>
      </w:r>
    </w:p>
    <w:p w14:paraId="0BCA17E2"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w:t>
      </w:r>
      <w:r w:rsidRPr="00D1761C">
        <w:rPr>
          <w:kern w:val="2"/>
          <w14:ligatures w14:val="standardContextual"/>
        </w:rPr>
        <w:tab/>
        <w:t>își prezintă observațiile în cadrul rezoluției de mai jos;</w:t>
      </w:r>
    </w:p>
    <w:p w14:paraId="6302E515" w14:textId="009A4F43" w:rsidR="00D1761C" w:rsidRDefault="00D1761C" w:rsidP="00D1761C">
      <w:pPr>
        <w:spacing w:after="240"/>
        <w:ind w:left="567" w:hanging="567"/>
        <w:rPr>
          <w:kern w:val="2"/>
          <w14:ligatures w14:val="standardContextual"/>
        </w:rPr>
      </w:pPr>
      <w:r w:rsidRPr="00D1761C">
        <w:rPr>
          <w:kern w:val="2"/>
          <w14:ligatures w14:val="standardContextual"/>
        </w:rPr>
        <w:t>3.</w:t>
      </w:r>
      <w:r w:rsidRPr="00D1761C">
        <w:rPr>
          <w:kern w:val="2"/>
          <w14:ligatures w14:val="standardContextual"/>
        </w:rPr>
        <w:tab/>
        <w:t xml:space="preserve">încredințează </w:t>
      </w:r>
      <w:r w:rsidR="00B53984">
        <w:rPr>
          <w:kern w:val="2"/>
          <w14:ligatures w14:val="standardContextual"/>
        </w:rPr>
        <w:t>P</w:t>
      </w:r>
      <w:r w:rsidRPr="00D1761C">
        <w:rPr>
          <w:kern w:val="2"/>
          <w14:ligatures w14:val="standardContextual"/>
        </w:rPr>
        <w:t xml:space="preserve">reședintei sarcina de a transmite prezenta decizie împreună cu rezoluția Parlamentului, ca parte integrantă a acesteia, Consiliului European, Consiliului, Comisiei, Ombudsmanului European, Autorității Europene pentru Protecția Datelor și Curții de Conturi și de a asigura publicarea acestora în </w:t>
      </w:r>
      <w:r w:rsidRPr="00D1761C">
        <w:rPr>
          <w:i/>
          <w:kern w:val="2"/>
          <w14:ligatures w14:val="standardContextual"/>
        </w:rPr>
        <w:t>Jurnalul Oficial al Uniunii Europene</w:t>
      </w:r>
      <w:r w:rsidRPr="00D1761C">
        <w:rPr>
          <w:kern w:val="2"/>
          <w14:ligatures w14:val="standardContextual"/>
        </w:rPr>
        <w:t xml:space="preserve"> (seria L).</w:t>
      </w:r>
    </w:p>
    <w:p w14:paraId="6CF81ED2" w14:textId="77777777" w:rsidR="00B53984" w:rsidRDefault="00B53984" w:rsidP="00794B05">
      <w:pPr>
        <w:spacing w:after="240"/>
        <w:rPr>
          <w:kern w:val="2"/>
          <w14:ligatures w14:val="standardContextual"/>
        </w:rPr>
      </w:pPr>
    </w:p>
    <w:p w14:paraId="5442A07F" w14:textId="77777777" w:rsidR="00B53984" w:rsidRDefault="00B53984" w:rsidP="00794B05">
      <w:pPr>
        <w:spacing w:after="240"/>
        <w:rPr>
          <w:kern w:val="2"/>
          <w14:ligatures w14:val="standardContextual"/>
        </w:rPr>
        <w:sectPr w:rsidR="00B53984" w:rsidSect="00644E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pgMar w:top="1134" w:right="1418" w:bottom="1418" w:left="1418" w:header="1134" w:footer="567" w:gutter="0"/>
          <w:cols w:space="720"/>
          <w:docGrid w:linePitch="326"/>
        </w:sectPr>
      </w:pPr>
    </w:p>
    <w:p w14:paraId="0EB43404" w14:textId="77777777" w:rsidR="00D1761C" w:rsidRPr="00D1761C" w:rsidRDefault="00D1761C" w:rsidP="00794B05">
      <w:pPr>
        <w:pStyle w:val="ATHeading3"/>
      </w:pPr>
      <w:r w:rsidRPr="00D1761C">
        <w:lastRenderedPageBreak/>
        <w:t>2. Rezoluția Parlamentului European din 7 mai 2025 conținând observațiile care fac parte integrantă din decizia privind descărcarea de gestiune pentru execuția bugetului general al Uniunii Europene aferent exercițiului financiar 2023, secțiunea II – Consiliul European și Consiliul (2024/2021(DEC))</w:t>
      </w:r>
    </w:p>
    <w:p w14:paraId="323C2637" w14:textId="46293894" w:rsidR="00D1761C" w:rsidRPr="00D1761C" w:rsidRDefault="00B44359" w:rsidP="00D1761C">
      <w:pPr>
        <w:spacing w:before="480" w:after="240"/>
        <w:rPr>
          <w:i/>
          <w:kern w:val="2"/>
          <w14:ligatures w14:val="standardContextual"/>
        </w:rPr>
      </w:pPr>
      <w:r w:rsidRPr="00B44359">
        <w:rPr>
          <w:i/>
          <w:kern w:val="2"/>
          <w14:ligatures w14:val="standardContextual"/>
        </w:rPr>
        <w:t>Parlamentul European,</w:t>
      </w:r>
    </w:p>
    <w:p w14:paraId="4892EA21" w14:textId="729FA871" w:rsidR="00D1761C" w:rsidRPr="00D1761C" w:rsidRDefault="00644EEB" w:rsidP="00D1761C">
      <w:pPr>
        <w:spacing w:after="240"/>
        <w:ind w:left="567" w:hanging="567"/>
        <w:rPr>
          <w:kern w:val="2"/>
          <w14:ligatures w14:val="standardContextual"/>
        </w:rPr>
      </w:pPr>
      <w:r>
        <w:rPr>
          <w:kern w:val="2"/>
          <w14:ligatures w14:val="standardContextual"/>
        </w:rPr>
        <w:t>–</w:t>
      </w:r>
      <w:r w:rsidR="00D1761C" w:rsidRPr="00D1761C">
        <w:rPr>
          <w:kern w:val="2"/>
          <w14:ligatures w14:val="standardContextual"/>
        </w:rPr>
        <w:tab/>
        <w:t>având în vedere Decizia sa privind descărcarea de gestiune pentru execuția bugetului general al Uniunii Europene aferent exercițiului financiar 2023, secțiunea II − Consiliul European și Consiliul,</w:t>
      </w:r>
    </w:p>
    <w:p w14:paraId="472CC386" w14:textId="1C2C91DD" w:rsidR="00D1761C" w:rsidRPr="00D1761C" w:rsidRDefault="00644EEB" w:rsidP="00D1761C">
      <w:pPr>
        <w:spacing w:after="240"/>
        <w:ind w:left="567" w:hanging="567"/>
        <w:rPr>
          <w:kern w:val="2"/>
          <w14:ligatures w14:val="standardContextual"/>
        </w:rPr>
      </w:pPr>
      <w:r>
        <w:rPr>
          <w:kern w:val="2"/>
          <w14:ligatures w14:val="standardContextual"/>
        </w:rPr>
        <w:t>–</w:t>
      </w:r>
      <w:r w:rsidR="00D1761C" w:rsidRPr="00D1761C">
        <w:rPr>
          <w:kern w:val="2"/>
          <w14:ligatures w14:val="standardContextual"/>
        </w:rPr>
        <w:tab/>
        <w:t>având în vedere articolul 102 și anexa V la Regulamentul său de procedură,</w:t>
      </w:r>
    </w:p>
    <w:p w14:paraId="1B55D16F" w14:textId="7F2FF5DE" w:rsidR="00D1761C" w:rsidRPr="00D1761C" w:rsidRDefault="00644EEB" w:rsidP="00D1761C">
      <w:pPr>
        <w:spacing w:after="240"/>
        <w:ind w:left="567" w:hanging="567"/>
        <w:rPr>
          <w:kern w:val="2"/>
          <w14:ligatures w14:val="standardContextual"/>
        </w:rPr>
      </w:pPr>
      <w:r>
        <w:rPr>
          <w:kern w:val="2"/>
          <w14:ligatures w14:val="standardContextual"/>
        </w:rPr>
        <w:t>–</w:t>
      </w:r>
      <w:r w:rsidR="00D1761C" w:rsidRPr="00D1761C">
        <w:rPr>
          <w:kern w:val="2"/>
          <w14:ligatures w14:val="standardContextual"/>
        </w:rPr>
        <w:tab/>
        <w:t>având în vedere avizul Comisiei pentru afaceri constituționale,</w:t>
      </w:r>
    </w:p>
    <w:p w14:paraId="46505C6D" w14:textId="67CD9740" w:rsidR="00D1761C" w:rsidRPr="00D1761C" w:rsidRDefault="00644EEB" w:rsidP="00D1761C">
      <w:pPr>
        <w:spacing w:after="240"/>
        <w:ind w:left="567" w:hanging="567"/>
        <w:rPr>
          <w:kern w:val="2"/>
          <w14:ligatures w14:val="standardContextual"/>
        </w:rPr>
      </w:pPr>
      <w:r>
        <w:rPr>
          <w:kern w:val="2"/>
          <w14:ligatures w14:val="standardContextual"/>
        </w:rPr>
        <w:t>–</w:t>
      </w:r>
      <w:r w:rsidR="00D1761C" w:rsidRPr="00D1761C">
        <w:rPr>
          <w:kern w:val="2"/>
          <w14:ligatures w14:val="standardContextual"/>
        </w:rPr>
        <w:tab/>
        <w:t>având în vedere raportul Comisiei pentru control bugetar (A10</w:t>
      </w:r>
      <w:r w:rsidR="00E71C25">
        <w:rPr>
          <w:kern w:val="2"/>
          <w14:ligatures w14:val="standardContextual"/>
        </w:rPr>
        <w:t>–</w:t>
      </w:r>
      <w:r w:rsidR="00D1761C" w:rsidRPr="00D1761C">
        <w:rPr>
          <w:kern w:val="2"/>
          <w14:ligatures w14:val="standardContextual"/>
        </w:rPr>
        <w:t>0052/2025),</w:t>
      </w:r>
    </w:p>
    <w:p w14:paraId="13F697EB"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A.</w:t>
      </w:r>
      <w:r w:rsidRPr="00D1761C">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762ECF6F"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B.</w:t>
      </w:r>
      <w:r w:rsidRPr="00D1761C">
        <w:rPr>
          <w:kern w:val="2"/>
          <w14:ligatures w14:val="standardContextual"/>
        </w:rPr>
        <w:tab/>
        <w:t>întrucât, conform articolului 319 din Tratatul privind funcționarea Uniunii Europene (TFUE), Parlamentului îi revine responsabilitatea exclusivă de a acorda descărcarea de gestiune pentru execuția bugetului general al Uniunii și întrucât bugetul Consiliului European și al Consiliului este o secțiune a bugetului Uniunii;</w:t>
      </w:r>
    </w:p>
    <w:p w14:paraId="7CD8D6F2"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C.</w:t>
      </w:r>
      <w:r w:rsidRPr="00D1761C">
        <w:rPr>
          <w:kern w:val="2"/>
          <w14:ligatures w14:val="standardContextual"/>
        </w:rPr>
        <w:tab/>
        <w:t>întrucât, în conformitate cu articolul 15 alineatul (1) din Tratatul privind Uniunea Europeană (TUE), Consiliul European nu exercită funcții legislative;</w:t>
      </w:r>
    </w:p>
    <w:p w14:paraId="25BB0B69"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D.</w:t>
      </w:r>
      <w:r w:rsidRPr="00D1761C">
        <w:rPr>
          <w:kern w:val="2"/>
          <w14:ligatures w14:val="standardContextual"/>
        </w:rPr>
        <w:tab/>
        <w:t>întrucât, conform articolului 317 din TFUE, Comisia execută bugetul pe propria răspundere, ținând cont de principiile unei bune gestiuni financiare, și întrucât, potrivit cadrului în vigoare, Comisia conferă celorlalte instituții ale Uniunii competențele necesare execuției secțiunii din buget care le este destinată;</w:t>
      </w:r>
    </w:p>
    <w:p w14:paraId="13B17A9D"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E.</w:t>
      </w:r>
      <w:r w:rsidRPr="00D1761C">
        <w:rPr>
          <w:kern w:val="2"/>
          <w14:ligatures w14:val="standardContextual"/>
        </w:rPr>
        <w:tab/>
        <w:t>întrucât, conform articolului 235 alineatul (4) și articolului 240 alineatul (2) din TFUE, Consiliul European și Consiliul (denumit în continuare „Consiliul”) sunt asistate de Secretariatul General al Consiliului (denumit în continuare „Secretariatul”), și întrucât secretarul general al Consiliului este exclusiv responsabil pentru buna gestiune financiară a creditelor introduse în secțiunea II din bugetul Uniunii;</w:t>
      </w:r>
    </w:p>
    <w:p w14:paraId="1AB986BE"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F.</w:t>
      </w:r>
      <w:r w:rsidRPr="00D1761C">
        <w:rPr>
          <w:kern w:val="2"/>
          <w14:ligatures w14:val="standardContextual"/>
        </w:rPr>
        <w:tab/>
        <w:t>întrucât, pe parcursul a peste douăzeci de ani, Parlamentul a aplicat practica respectată și consacrată de a acorda descărcarea de gestiune pentru toate instituțiile, organismele, birourile și agențiile Uniunii, și întrucât Comisia sprijină ideea ca practica de a acorda descărcarea de gestiune fiecărei instituții, organism, birou și agenție a Uniunii pentru cheltuielile administrative efectuate să fie continuată;</w:t>
      </w:r>
    </w:p>
    <w:p w14:paraId="5A72F938"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G.</w:t>
      </w:r>
      <w:r w:rsidRPr="00D1761C">
        <w:rPr>
          <w:kern w:val="2"/>
          <w14:ligatures w14:val="standardContextual"/>
        </w:rPr>
        <w:tab/>
        <w:t>întrucât, potrivit articolului 59 alineatul (1) din Regulamentul financiar, Comisia conferă celorlalte instituții ale Uniunii competențele necesare executării secțiunilor din buget care le sunt destinate;</w:t>
      </w:r>
    </w:p>
    <w:p w14:paraId="07CFBD2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lastRenderedPageBreak/>
        <w:t>H.</w:t>
      </w:r>
      <w:r w:rsidRPr="00D1761C">
        <w:rPr>
          <w:kern w:val="2"/>
          <w14:ligatures w14:val="standardContextual"/>
        </w:rPr>
        <w:tab/>
        <w:t>întrucât, începând cu exercițiul de descărcare de gestiune din 2009, lipsa de cooperare din partea Consiliului în cadrul procedurii de descărcare de gestiune a obligat Parlamentul să refuze să acorde secretarului general al Consiliului descărcarea de gestiune;</w:t>
      </w:r>
    </w:p>
    <w:p w14:paraId="4798328C"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I.</w:t>
      </w:r>
      <w:r w:rsidRPr="00D1761C">
        <w:rPr>
          <w:kern w:val="2"/>
          <w14:ligatures w14:val="standardContextual"/>
        </w:rPr>
        <w:tab/>
        <w:t>întrucât Consiliul European și Consiliul, în calitate de instituții ale Uniunii și de beneficiari ai bugetului general al Uniunii, ar trebui să fie transparente și să poată fi trase la răspundere democratic de cetățenii Uniunii, fiind totodată supuse controlului democratic al modalității de cheltuire a fondurilor publice;</w:t>
      </w:r>
    </w:p>
    <w:p w14:paraId="34D7F33C"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J.</w:t>
      </w:r>
      <w:r w:rsidRPr="00D1761C">
        <w:rPr>
          <w:kern w:val="2"/>
          <w14:ligatures w14:val="standardContextual"/>
        </w:rPr>
        <w:tab/>
        <w:t>întrucât articolul 15 alineatul (3) din TFUE impune instituțiilor UE să se asigure, în Regulamentul lor de procedură, că procedurile lor sunt transparente, în timp ce, în mai multe dintre anchetele și deciziile sale, Ombudsmanul a criticat Consiliul pentru lipsa sa de transparență, sugerând că Consiliul nu a reușit să înțeleagă pe deplin legătura critică dintre democrație și transparența procesului decizional;</w:t>
      </w:r>
    </w:p>
    <w:p w14:paraId="5B9B1E7C" w14:textId="7ECE8C47" w:rsidR="00D1761C" w:rsidRPr="00D1761C" w:rsidRDefault="00D1761C" w:rsidP="00D1761C">
      <w:pPr>
        <w:spacing w:after="240"/>
        <w:ind w:left="567" w:hanging="567"/>
        <w:rPr>
          <w:kern w:val="2"/>
          <w14:ligatures w14:val="standardContextual"/>
        </w:rPr>
      </w:pPr>
      <w:r w:rsidRPr="00D1761C">
        <w:rPr>
          <w:kern w:val="2"/>
          <w14:ligatures w14:val="standardContextual"/>
        </w:rPr>
        <w:t>K.</w:t>
      </w:r>
      <w:r w:rsidRPr="00D1761C">
        <w:rPr>
          <w:kern w:val="2"/>
          <w14:ligatures w14:val="standardContextual"/>
        </w:rPr>
        <w:tab/>
        <w:t>întrucât jurisprudența Curții de Justiție a Uniunii Europene confirmă dreptul contribuabililor și al publicului de a fi informați despre utilizarea veniturilor publice și întrucât, în hotărârea sa din 25 ianuarie 2023 în cauza T</w:t>
      </w:r>
      <w:r w:rsidR="00E71C25">
        <w:rPr>
          <w:kern w:val="2"/>
          <w14:ligatures w14:val="standardContextual"/>
        </w:rPr>
        <w:t>–</w:t>
      </w:r>
      <w:r w:rsidRPr="00D1761C">
        <w:rPr>
          <w:kern w:val="2"/>
          <w14:ligatures w14:val="standardContextual"/>
        </w:rPr>
        <w:t>163/21 </w:t>
      </w:r>
      <w:r w:rsidRPr="00D1761C">
        <w:rPr>
          <w:kern w:val="2"/>
          <w:vertAlign w:val="superscript"/>
          <w14:ligatures w14:val="standardContextual"/>
        </w:rPr>
        <w:footnoteReference w:id="7"/>
      </w:r>
      <w:r w:rsidRPr="00D1761C">
        <w:rPr>
          <w:kern w:val="2"/>
          <w14:ligatures w14:val="standardContextual"/>
        </w:rPr>
        <w:t xml:space="preserve">, </w:t>
      </w:r>
      <w:r w:rsidRPr="00D1761C">
        <w:rPr>
          <w:iCs/>
          <w:kern w:val="2"/>
          <w14:ligatures w14:val="standardContextual"/>
        </w:rPr>
        <w:t xml:space="preserve">De </w:t>
      </w:r>
      <w:proofErr w:type="spellStart"/>
      <w:r w:rsidRPr="00D1761C">
        <w:rPr>
          <w:iCs/>
          <w:kern w:val="2"/>
          <w14:ligatures w14:val="standardContextual"/>
        </w:rPr>
        <w:t>Capitani</w:t>
      </w:r>
      <w:proofErr w:type="spellEnd"/>
      <w:r w:rsidRPr="00D1761C">
        <w:rPr>
          <w:iCs/>
          <w:kern w:val="2"/>
          <w14:ligatures w14:val="standardContextual"/>
        </w:rPr>
        <w:t>/Consiliul</w:t>
      </w:r>
      <w:r w:rsidRPr="00D1761C">
        <w:rPr>
          <w:kern w:val="2"/>
          <w14:ligatures w14:val="standardContextual"/>
        </w:rPr>
        <w:t>, Tribunalul a afirmat, cu privire la transparența în procesul legislativ al Uniunii, că documentele elaborate de Consiliu în cadrul grupurilor sale de lucru nu sunt de natură tehnică, ci legislativă și, prin urmare, fac obiectul cererilor de acces la documente,</w:t>
      </w:r>
    </w:p>
    <w:p w14:paraId="68ED6525" w14:textId="77608159" w:rsidR="00D1761C" w:rsidRPr="00D1761C" w:rsidRDefault="00D1761C" w:rsidP="00D1761C">
      <w:pPr>
        <w:spacing w:after="240"/>
        <w:ind w:left="567" w:hanging="567"/>
        <w:rPr>
          <w:kern w:val="2"/>
          <w14:ligatures w14:val="standardContextual"/>
        </w:rPr>
      </w:pPr>
      <w:r w:rsidRPr="00D1761C">
        <w:rPr>
          <w:kern w:val="2"/>
          <w14:ligatures w14:val="standardContextual"/>
        </w:rPr>
        <w:t>1.</w:t>
      </w:r>
      <w:r w:rsidRPr="00D1761C">
        <w:rPr>
          <w:kern w:val="2"/>
          <w14:ligatures w14:val="standardContextual"/>
        </w:rPr>
        <w:tab/>
        <w:t>observă că bugetul Consiliului se încadrează la rubrica 7 din CFM, „Administrație publică europeană”, care s</w:t>
      </w:r>
      <w:r w:rsidR="00E71C25">
        <w:rPr>
          <w:kern w:val="2"/>
          <w14:ligatures w14:val="standardContextual"/>
        </w:rPr>
        <w:t>–</w:t>
      </w:r>
      <w:r w:rsidRPr="00D1761C">
        <w:rPr>
          <w:kern w:val="2"/>
          <w14:ligatures w14:val="standardContextual"/>
        </w:rPr>
        <w:t>a ridicat la 12,3 miliarde EUR în 2023 (reprezentând 6,4 % din bugetul total al Uniunii); ia act de faptul că bugetul de aproximativ 0,6 miliarde EUR al Consiliului reprezintă aproximativ 5,2 % din cheltuielile administrative totale ale Uniunii;</w:t>
      </w:r>
    </w:p>
    <w:p w14:paraId="764E1E12" w14:textId="183AABA9" w:rsidR="00D1761C" w:rsidRPr="00D1761C" w:rsidRDefault="00D1761C" w:rsidP="00D1761C">
      <w:pPr>
        <w:spacing w:after="240"/>
        <w:ind w:left="567" w:hanging="567"/>
        <w:rPr>
          <w:kern w:val="2"/>
          <w14:ligatures w14:val="standardContextual"/>
        </w:rPr>
      </w:pPr>
      <w:r w:rsidRPr="00D1761C">
        <w:rPr>
          <w:kern w:val="2"/>
          <w14:ligatures w14:val="standardContextual"/>
        </w:rPr>
        <w:t>2.</w:t>
      </w:r>
      <w:r w:rsidRPr="00D1761C">
        <w:rPr>
          <w:kern w:val="2"/>
          <w14:ligatures w14:val="standardContextual"/>
        </w:rPr>
        <w:tab/>
        <w:t>salută faptul că în Raportul său anual pentru exercițiul financiar 2023, Curtea de Conturi (denumită în continuare „Curtea”) a examinat un eșantion de 70 de operațiuni de la rubrica „Administrație”, cu zece mai mult decât în 2022; constată totodată că Curtea scrie că cheltuielile administrative cuprind cheltuieli cu resursele umane, inclusiv cheltuieli cu pensiile, care, în 2023, au reprezentat aproximativ 70 % din cheltuielile administrative totale, precum și cheltuieli cu clădirile, echipamentele, energia, comunicațiile și tehnologia informației și că activitatea pe care a desfășurat</w:t>
      </w:r>
      <w:r w:rsidR="00E71C25">
        <w:rPr>
          <w:kern w:val="2"/>
          <w14:ligatures w14:val="standardContextual"/>
        </w:rPr>
        <w:t>–</w:t>
      </w:r>
      <w:r w:rsidRPr="00D1761C">
        <w:rPr>
          <w:kern w:val="2"/>
          <w14:ligatures w14:val="standardContextual"/>
        </w:rPr>
        <w:t>o de</w:t>
      </w:r>
      <w:r w:rsidR="00E71C25">
        <w:rPr>
          <w:kern w:val="2"/>
          <w14:ligatures w14:val="standardContextual"/>
        </w:rPr>
        <w:t>–</w:t>
      </w:r>
      <w:r w:rsidRPr="00D1761C">
        <w:rPr>
          <w:kern w:val="2"/>
          <w14:ligatures w14:val="standardContextual"/>
        </w:rPr>
        <w:t>a lungul mai multor ani indică faptul că, în general, aceste cheltuieli prezintă riscuri scăzute;</w:t>
      </w:r>
    </w:p>
    <w:p w14:paraId="2DE48C61"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3.</w:t>
      </w:r>
      <w:r w:rsidRPr="00D1761C">
        <w:rPr>
          <w:kern w:val="2"/>
          <w14:ligatures w14:val="standardContextual"/>
        </w:rPr>
        <w:tab/>
        <w:t>constată că 21 (30 %) dintre cele 70 de operațiuni au conținut erori, însă Curtea, pe baza celor cinci erori care au fost cuantificate, estimează că nivelul de eroare este sub pragul de semnificație;</w:t>
      </w:r>
    </w:p>
    <w:p w14:paraId="33EA382F" w14:textId="07FB1025" w:rsidR="00D1761C" w:rsidRPr="00D1761C" w:rsidRDefault="00D1761C" w:rsidP="00D1761C">
      <w:pPr>
        <w:spacing w:after="240"/>
        <w:ind w:left="567" w:hanging="567"/>
        <w:rPr>
          <w:kern w:val="2"/>
          <w14:ligatures w14:val="standardContextual"/>
        </w:rPr>
      </w:pPr>
      <w:r w:rsidRPr="00D1761C">
        <w:rPr>
          <w:kern w:val="2"/>
          <w14:ligatures w14:val="standardContextual"/>
        </w:rPr>
        <w:t>4.</w:t>
      </w:r>
      <w:r w:rsidRPr="00D1761C">
        <w:rPr>
          <w:kern w:val="2"/>
          <w14:ligatures w14:val="standardContextual"/>
        </w:rPr>
        <w:tab/>
        <w:t>ia act de faptul că, în raportul său anual pentru exercițiul financiar 2023, Curtea a făcut o observație cu privire la durata unui contract</w:t>
      </w:r>
      <w:r w:rsidR="00E71C25">
        <w:rPr>
          <w:kern w:val="2"/>
          <w14:ligatures w14:val="standardContextual"/>
        </w:rPr>
        <w:t>–</w:t>
      </w:r>
      <w:r w:rsidRPr="00D1761C">
        <w:rPr>
          <w:kern w:val="2"/>
          <w14:ligatures w14:val="standardContextual"/>
        </w:rPr>
        <w:t xml:space="preserve">cadru de întreținere a clădirilor atribuit de Consiliu; ia act de faptul că Curtea nu a identificat erori cuantificabile în legătură cu </w:t>
      </w:r>
      <w:r w:rsidRPr="00D1761C">
        <w:rPr>
          <w:kern w:val="2"/>
          <w14:ligatures w14:val="standardContextual"/>
        </w:rPr>
        <w:lastRenderedPageBreak/>
        <w:t>cele patru plăți examinate în ceea ce privește Consiliul;</w:t>
      </w:r>
    </w:p>
    <w:p w14:paraId="3B7A3FD6"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Situația procedurii de descărcare de gestiune</w:t>
      </w:r>
    </w:p>
    <w:p w14:paraId="5BEFC9A2"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5.</w:t>
      </w:r>
      <w:r w:rsidRPr="00D1761C">
        <w:rPr>
          <w:kern w:val="2"/>
          <w14:ligatures w14:val="standardContextual"/>
        </w:rPr>
        <w:tab/>
        <w:t>regretă profund faptul că, începând din 2009 și, din nou, pentru exercițiul financiar 2022, Parlamentul a fost nevoit să refuze Consiliului descărcarea de gestiune, deoarece Consiliul refuză în continuare să coopereze cu Parlamentul în cadrul procedurii de descărcare de gestiune, împiedicând Parlamentul să ia o decizie în cunoștință de cauză, bazată pe un control serios și amănunțit al execuției bugetului Consiliului;</w:t>
      </w:r>
    </w:p>
    <w:p w14:paraId="1917445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w:t>
      </w:r>
      <w:r w:rsidRPr="00D1761C">
        <w:rPr>
          <w:kern w:val="2"/>
          <w14:ligatures w14:val="standardContextual"/>
        </w:rPr>
        <w:tab/>
        <w:t>observă că, la 20 septembrie 2024, serviciile competente ale Parlamentului au transmis Secretariatului Consiliului un chestionar conținând 90 de întrebări importante pentru Parlament, în numele raportorului pentru procedura de descărcare de gestiune, pentru a permite un control amănunțit al execuției bugetului Consiliului și al administrării acestei instituții; constată, de asemenea, că au fost trimise chestionare similare tuturor celorlalte instituții, care au oferit Parlamentului răspunsuri detaliate la toate întrebările;</w:t>
      </w:r>
    </w:p>
    <w:p w14:paraId="2CA57414"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7.</w:t>
      </w:r>
      <w:r w:rsidRPr="00D1761C">
        <w:rPr>
          <w:kern w:val="2"/>
          <w14:ligatures w14:val="standardContextual"/>
        </w:rPr>
        <w:tab/>
        <w:t>regretă că, la 23 septembrie 2024, Secretariatul a informat din nou Parlamentul că nu va răspunde la chestionarul acestuia și că Consiliul nu va participa la audierea care a fost programată pentru 12 noiembrie 2024 ca parte a procesului de descărcare de gestiune, la care au participat toate celelalte instituții invitate;</w:t>
      </w:r>
    </w:p>
    <w:p w14:paraId="6262FF20"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8.</w:t>
      </w:r>
      <w:r w:rsidRPr="00D1761C">
        <w:rPr>
          <w:kern w:val="2"/>
          <w14:ligatures w14:val="standardContextual"/>
        </w:rPr>
        <w:tab/>
        <w:t>reiterează prerogativa Parlamentului de a acorda descărcarea de gestiune în temeiul articolului 319 din TFUE, precum și în temeiul dispozițiilor aplicabile din Regulamentul financiar și Regulamentul de procedură al Parlamentului European, în conformitate cu interpretarea și practica actuală, și anume competența de a acorda descărcarea de gestiune cu scopul de a menține transparența și de a garanta răspunderea democratică față de contribuabilii Uniunii;</w:t>
      </w:r>
    </w:p>
    <w:p w14:paraId="0AE262FE"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9.</w:t>
      </w:r>
      <w:r w:rsidRPr="00D1761C">
        <w:rPr>
          <w:kern w:val="2"/>
          <w14:ligatures w14:val="standardContextual"/>
        </w:rPr>
        <w:tab/>
        <w:t>subliniază că articolul 59 alineatul (1) din Regulamentul financiar prevede că Comisia conferă celorlalte instituții ale Uniunii competențele necesare pentru execuția secțiunilor din buget care le privesc și, prin urmare, i se pare de neînțeles faptul că Consiliul consideră că este oportun să se acorde Comisiei descărcarea de gestiune pentru execuția bugetului Consiliului;</w:t>
      </w:r>
    </w:p>
    <w:p w14:paraId="29FC611F" w14:textId="3741D13B" w:rsidR="00D1761C" w:rsidRPr="00D1761C" w:rsidRDefault="00D1761C" w:rsidP="00D1761C">
      <w:pPr>
        <w:spacing w:after="240"/>
        <w:ind w:left="567" w:hanging="567"/>
        <w:rPr>
          <w:kern w:val="2"/>
          <w14:ligatures w14:val="standardContextual"/>
        </w:rPr>
      </w:pPr>
      <w:r w:rsidRPr="00D1761C">
        <w:rPr>
          <w:kern w:val="2"/>
          <w14:ligatures w14:val="standardContextual"/>
        </w:rPr>
        <w:t>10.</w:t>
      </w:r>
      <w:r w:rsidRPr="00D1761C">
        <w:rPr>
          <w:kern w:val="2"/>
          <w14:ligatures w14:val="standardContextual"/>
        </w:rPr>
        <w:tab/>
        <w:t>subliniază practica respectată și consacrată aplicată de Parlament pe parcursul a peste douăzeci de ani în care s</w:t>
      </w:r>
      <w:r w:rsidR="00E71C25">
        <w:rPr>
          <w:kern w:val="2"/>
          <w14:ligatures w14:val="standardContextual"/>
        </w:rPr>
        <w:t>–</w:t>
      </w:r>
      <w:r w:rsidRPr="00D1761C">
        <w:rPr>
          <w:kern w:val="2"/>
          <w14:ligatures w14:val="standardContextual"/>
        </w:rPr>
        <w:t>a acordat descărcarea de gestiune pentru toate instituțiile, organismele, birourile și agențiile Uniunii, inclusiv pentru Consiliul European și Consiliu; reamintește că Comisia și</w:t>
      </w:r>
      <w:r w:rsidR="00E71C25">
        <w:rPr>
          <w:kern w:val="2"/>
          <w14:ligatures w14:val="standardContextual"/>
        </w:rPr>
        <w:t>–</w:t>
      </w:r>
      <w:r w:rsidRPr="00D1761C">
        <w:rPr>
          <w:kern w:val="2"/>
          <w14:ligatures w14:val="standardContextual"/>
        </w:rPr>
        <w:t>a declarat incapacitatea de a supraveghea execuția bugetelor celorlalte instituții ale Uniunii; subliniază viziunea reiterată a Comisiei, aceea că practica de a acorda descărcarea de gestiune fiecărei instituții a Uniunii pentru propriile cheltuieli administrative și pentru execuția bugetului UE ar trebui continuată în viitor direct de către Parlament, pentru a asigura în continuare respectarea principiului bunei gestiuni financiare;</w:t>
      </w:r>
    </w:p>
    <w:p w14:paraId="5226BA9A" w14:textId="1CACED67" w:rsidR="00D1761C" w:rsidRPr="00D1761C" w:rsidRDefault="00D1761C" w:rsidP="00D1761C">
      <w:pPr>
        <w:spacing w:after="240"/>
        <w:ind w:left="567" w:hanging="567"/>
        <w:rPr>
          <w:bCs/>
          <w:iCs/>
          <w:kern w:val="2"/>
          <w:szCs w:val="24"/>
          <w14:ligatures w14:val="standardContextual"/>
        </w:rPr>
      </w:pPr>
      <w:r w:rsidRPr="00D1761C">
        <w:rPr>
          <w:kern w:val="2"/>
          <w14:ligatures w14:val="standardContextual"/>
        </w:rPr>
        <w:t>11.</w:t>
      </w:r>
      <w:r w:rsidRPr="00D1761C">
        <w:rPr>
          <w:kern w:val="2"/>
          <w14:ligatures w14:val="standardContextual"/>
        </w:rPr>
        <w:tab/>
        <w:t>subliniază că, în situația actuală, Parlamentul nu poate decât să verifice rapoartele Curții și ale Ombudsmanului, precum și informațiile disponibile public pe site</w:t>
      </w:r>
      <w:r w:rsidR="00E71C25">
        <w:rPr>
          <w:kern w:val="2"/>
          <w14:ligatures w14:val="standardContextual"/>
        </w:rPr>
        <w:t>–</w:t>
      </w:r>
      <w:proofErr w:type="spellStart"/>
      <w:r w:rsidRPr="00D1761C">
        <w:rPr>
          <w:kern w:val="2"/>
          <w14:ligatures w14:val="standardContextual"/>
        </w:rPr>
        <w:t>ul</w:t>
      </w:r>
      <w:proofErr w:type="spellEnd"/>
      <w:r w:rsidRPr="00D1761C">
        <w:rPr>
          <w:kern w:val="2"/>
          <w14:ligatures w14:val="standardContextual"/>
        </w:rPr>
        <w:t xml:space="preserve"> Consiliului, ca urmare a lipsei sistematice de cooperare a Consiliului cu Parlamentul; subliniază că această lipsă de cooperare subminează capacitatea Parlamentului de a</w:t>
      </w:r>
      <w:r w:rsidR="00E71C25">
        <w:rPr>
          <w:kern w:val="2"/>
          <w14:ligatures w14:val="standardContextual"/>
        </w:rPr>
        <w:t>–</w:t>
      </w:r>
      <w:r w:rsidRPr="00D1761C">
        <w:rPr>
          <w:kern w:val="2"/>
          <w14:ligatures w14:val="standardContextual"/>
        </w:rPr>
        <w:t>și îndeplini în mod eficace rolul de supraveghere și de a lua o decizie în cunoștință de cauză cu privire la acordarea descărcării de gestiune;</w:t>
      </w:r>
    </w:p>
    <w:p w14:paraId="32D185B4" w14:textId="77777777" w:rsidR="00D1761C" w:rsidRPr="00D1761C" w:rsidRDefault="00D1761C" w:rsidP="00D1761C">
      <w:pPr>
        <w:spacing w:after="240"/>
        <w:ind w:left="567" w:hanging="567"/>
        <w:rPr>
          <w:bCs/>
          <w:iCs/>
          <w:kern w:val="2"/>
          <w:szCs w:val="24"/>
          <w14:ligatures w14:val="standardContextual"/>
        </w:rPr>
      </w:pPr>
      <w:r w:rsidRPr="00D1761C">
        <w:rPr>
          <w:kern w:val="2"/>
          <w14:ligatures w14:val="standardContextual"/>
        </w:rPr>
        <w:lastRenderedPageBreak/>
        <w:t>12.</w:t>
      </w:r>
      <w:r w:rsidRPr="00D1761C">
        <w:rPr>
          <w:kern w:val="2"/>
          <w14:ligatures w14:val="standardContextual"/>
        </w:rPr>
        <w:tab/>
        <w:t>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a discreditat gestiunea și controlul democratic al bugetului Uniunii și a afectat încrederea cetățenilor în Uniune ca entitate transparentă;</w:t>
      </w:r>
      <w:r w:rsidRPr="00D1761C">
        <w:rPr>
          <w:bCs/>
          <w:iCs/>
          <w:kern w:val="2"/>
          <w14:ligatures w14:val="standardContextual"/>
        </w:rPr>
        <w:t xml:space="preserve"> </w:t>
      </w:r>
      <w:r w:rsidRPr="00D1761C">
        <w:rPr>
          <w:kern w:val="2"/>
          <w14:ligatures w14:val="standardContextual"/>
        </w:rPr>
        <w:t>subliniază că Consiliul trebuie să respecte aceleași standarde în materie de responsabilitate pe care le așteaptă din partea altor instituții ale Uniunii;</w:t>
      </w:r>
    </w:p>
    <w:p w14:paraId="2B03297A"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13</w:t>
      </w:r>
      <w:r w:rsidRPr="00D1761C">
        <w:rPr>
          <w:b/>
          <w:i/>
          <w:kern w:val="2"/>
          <w14:ligatures w14:val="standardContextual"/>
        </w:rPr>
        <w:t>.</w:t>
      </w:r>
      <w:r w:rsidRPr="00D1761C">
        <w:rPr>
          <w:b/>
          <w:i/>
          <w:kern w:val="2"/>
          <w14:ligatures w14:val="standardContextual"/>
        </w:rPr>
        <w:tab/>
      </w:r>
      <w:r w:rsidRPr="00D1761C">
        <w:rPr>
          <w:kern w:val="2"/>
          <w14:ligatures w14:val="standardContextual"/>
        </w:rPr>
        <w:t>reiterează faptul că refuzul continuu al Consiliului de a coopera în cadrul procedurii de descărcare de gestiune reprezintă o încălcare inacceptabilă a responsabilității democratice; solicită să se introducă modificări juridice și procedurale pentru a suspenda transferul creditelor bugetare către orice instituție a Uniunii care nu respectă obligațiile în materie de transparență;</w:t>
      </w:r>
    </w:p>
    <w:p w14:paraId="335AF40E"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14.</w:t>
      </w:r>
      <w:r w:rsidRPr="00D1761C">
        <w:rPr>
          <w:kern w:val="2"/>
          <w14:ligatures w14:val="standardContextual"/>
        </w:rPr>
        <w:tab/>
        <w:t>reamintește că jurisprudența Curții de Justiție a Uniunii Europene sprijină dreptul contribuabililor și al publicului de a fi informați cu privire la utilizarea veniturilor publice; cere, prin urmare, să se respecte pe deplin prerogativa și rolul Parlamentului ca garant al principiului răspunderii democratice; invită Consiliul să respecte așa cum se cuvine recomandările adoptate de Parlament în contextul procedurii de descărcare de gestiune și insistă să se aplice pe deplin dispozițiile articolului 14 alineatul (1) din TUE;</w:t>
      </w:r>
    </w:p>
    <w:p w14:paraId="4351828B"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15.</w:t>
      </w:r>
      <w:r w:rsidRPr="00D1761C">
        <w:rPr>
          <w:kern w:val="2"/>
          <w14:ligatures w14:val="standardContextual"/>
        </w:rPr>
        <w:tab/>
        <w:t>invită Consiliul să reia fără întârzieri nejustificate negocierile cu Parlamentul și să înceapă cât mai curând posibil să coopereze în mod activ cu Parlamentul la cel mai înalt nivel, implicând secretarii generali și președinții ambelor instituții, pentru a depăși impasul și a soluționa blocajul care afectează de mult timp procedura de descărcare de gestiune, respectând în același timp rolul Parlamentului și al Consiliului în procedura de descărcare de gestiune și garantând transparența, credibilitatea și un control democratic adecvat al execuției bugetare; solicită serviciilor juridice ale Comisiei și ale Consiliului să furnizeze un aviz juridic cu privire la posibilele soluții bazate pe tratate pentru a asigura responsabilitatea Consiliului în cadrul procedurii de descărcare de gestiune;</w:t>
      </w:r>
    </w:p>
    <w:p w14:paraId="2909F6F3" w14:textId="409482FB" w:rsidR="00D1761C" w:rsidRPr="00D1761C" w:rsidRDefault="00D1761C" w:rsidP="00D1761C">
      <w:pPr>
        <w:spacing w:after="240"/>
        <w:ind w:left="567" w:hanging="567"/>
        <w:rPr>
          <w:kern w:val="2"/>
          <w14:ligatures w14:val="standardContextual"/>
        </w:rPr>
      </w:pPr>
      <w:r w:rsidRPr="00D1761C">
        <w:rPr>
          <w:kern w:val="2"/>
          <w14:ligatures w14:val="standardContextual"/>
        </w:rPr>
        <w:t>16.</w:t>
      </w:r>
      <w:r w:rsidRPr="00D1761C">
        <w:rPr>
          <w:kern w:val="2"/>
          <w14:ligatures w14:val="standardContextual"/>
        </w:rPr>
        <w:tab/>
        <w:t xml:space="preserve">subliniază că, deși situația actuală trebuie îmbunătățită </w:t>
      </w:r>
      <w:proofErr w:type="spellStart"/>
      <w:r w:rsidRPr="00D1761C">
        <w:rPr>
          <w:kern w:val="2"/>
          <w14:ligatures w14:val="standardContextual"/>
        </w:rPr>
        <w:t>printr</w:t>
      </w:r>
      <w:proofErr w:type="spellEnd"/>
      <w:r w:rsidR="00E71C25">
        <w:rPr>
          <w:kern w:val="2"/>
          <w14:ligatures w14:val="standardContextual"/>
        </w:rPr>
        <w:t>–</w:t>
      </w:r>
      <w:r w:rsidRPr="00D1761C">
        <w:rPr>
          <w:kern w:val="2"/>
          <w14:ligatures w14:val="standardContextual"/>
        </w:rPr>
        <w:t xml:space="preserve">o mai bună cooperare interinstituțională în limitele dispozițiilor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 subliniază, cu toate acestea, că, în așteptarea unei astfel de revizuiri, situația actuală trebuie îmbunătățită </w:t>
      </w:r>
      <w:proofErr w:type="spellStart"/>
      <w:r w:rsidRPr="00D1761C">
        <w:rPr>
          <w:kern w:val="2"/>
          <w14:ligatures w14:val="standardContextual"/>
        </w:rPr>
        <w:t>printr</w:t>
      </w:r>
      <w:proofErr w:type="spellEnd"/>
      <w:r w:rsidR="00E71C25">
        <w:rPr>
          <w:kern w:val="2"/>
          <w14:ligatures w14:val="standardContextual"/>
        </w:rPr>
        <w:t>–</w:t>
      </w:r>
      <w:r w:rsidRPr="00D1761C">
        <w:rPr>
          <w:kern w:val="2"/>
          <w14:ligatures w14:val="standardContextual"/>
        </w:rPr>
        <w:t>o cooperare interinstituțională consolidată; îndeamnă, în acest sens, Consiliul să colaboreze activ cu Parlamentul;</w:t>
      </w:r>
    </w:p>
    <w:p w14:paraId="7E5383B1" w14:textId="77777777" w:rsidR="00D1761C" w:rsidRPr="00D1761C" w:rsidRDefault="00D1761C" w:rsidP="00D1761C">
      <w:pPr>
        <w:spacing w:after="240"/>
        <w:ind w:left="567" w:hanging="567"/>
        <w:rPr>
          <w:color w:val="000000"/>
          <w:kern w:val="2"/>
          <w14:ligatures w14:val="standardContextual"/>
        </w:rPr>
      </w:pPr>
      <w:r w:rsidRPr="00D1761C">
        <w:rPr>
          <w:kern w:val="2"/>
          <w14:ligatures w14:val="standardContextual"/>
        </w:rPr>
        <w:t>17.</w:t>
      </w:r>
      <w:r w:rsidRPr="00D1761C">
        <w:rPr>
          <w:kern w:val="2"/>
          <w14:ligatures w14:val="standardContextual"/>
        </w:rPr>
        <w:tab/>
        <w:t xml:space="preserve">observă că, deși Consiliul nu este dispus să coopereze în cadrul procedurii de descărcare de gestiune, Parlamentul subliniază totuși unele priorități politice și prezintă în acest raport unele observații privind gestiunea bugetară și financiară a Consiliului și </w:t>
      </w:r>
      <w:r w:rsidRPr="00D1761C">
        <w:rPr>
          <w:color w:val="000000"/>
          <w:kern w:val="2"/>
          <w14:ligatures w14:val="standardContextual"/>
        </w:rPr>
        <w:t>alte observații relevante pentru procedura de descărcare de gestiune;</w:t>
      </w:r>
    </w:p>
    <w:p w14:paraId="64F01F13" w14:textId="77777777" w:rsidR="00D1761C" w:rsidRPr="00D1761C" w:rsidRDefault="00D1761C" w:rsidP="00D1761C">
      <w:pPr>
        <w:spacing w:after="240"/>
        <w:ind w:left="567" w:hanging="567"/>
        <w:rPr>
          <w:color w:val="000000"/>
          <w:kern w:val="2"/>
          <w14:ligatures w14:val="standardContextual"/>
        </w:rPr>
      </w:pPr>
      <w:r w:rsidRPr="00D1761C">
        <w:rPr>
          <w:color w:val="000000"/>
          <w:kern w:val="2"/>
          <w14:ligatures w14:val="standardContextual"/>
        </w:rPr>
        <w:t>18.</w:t>
      </w:r>
      <w:r w:rsidRPr="00D1761C">
        <w:rPr>
          <w:color w:val="000000"/>
          <w:kern w:val="2"/>
          <w14:ligatures w14:val="standardContextual"/>
        </w:rPr>
        <w:tab/>
        <w:t>constată că, având în vedere lipsa de cooperare a Consiliului cu Parlamentul, observațiile din secțiunile următoare se bazează în principal pe informații agregate disponibile public și care oferă detalii limitate;</w:t>
      </w:r>
    </w:p>
    <w:p w14:paraId="6AE50CD1" w14:textId="77777777" w:rsidR="00D1761C" w:rsidRPr="00D1761C" w:rsidRDefault="00D1761C" w:rsidP="00D1761C">
      <w:pPr>
        <w:spacing w:after="240"/>
        <w:rPr>
          <w:b/>
          <w:i/>
          <w:kern w:val="2"/>
          <w14:ligatures w14:val="standardContextual"/>
        </w:rPr>
      </w:pPr>
      <w:r w:rsidRPr="00D1761C">
        <w:rPr>
          <w:b/>
          <w:i/>
          <w:kern w:val="2"/>
          <w14:ligatures w14:val="standardContextual"/>
        </w:rPr>
        <w:t>Priorități politice</w:t>
      </w:r>
    </w:p>
    <w:p w14:paraId="7029A3DC"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lastRenderedPageBreak/>
        <w:t>19.</w:t>
      </w:r>
      <w:r w:rsidRPr="00D1761C">
        <w:rPr>
          <w:kern w:val="2"/>
          <w14:ligatures w14:val="standardContextual"/>
        </w:rPr>
        <w:tab/>
        <w:t>regretă că Consiliul își exercită prerogativele în procedurile de nominalizare și numire în cadrul a numeroase instituții, organe, oficii și agenții ale Uniunii, fără a ține seama de opiniile părților interesate sau de recomandările Oficiului European de Luptă Antifraudă (OLAF);</w:t>
      </w:r>
    </w:p>
    <w:p w14:paraId="08802B88"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20.</w:t>
      </w:r>
      <w:r w:rsidRPr="00D1761C">
        <w:rPr>
          <w:kern w:val="2"/>
          <w14:ligatures w14:val="standardContextual"/>
        </w:rPr>
        <w:tab/>
        <w:t>ia act de tradiția Consiliului de a nu pune sub semnul întrebării numirile pe care fiecare stat membru le face în majoritatea posturilor;</w:t>
      </w:r>
    </w:p>
    <w:p w14:paraId="3812B695" w14:textId="51647C0E" w:rsidR="00D1761C" w:rsidRPr="00D1761C" w:rsidRDefault="00D1761C" w:rsidP="00D1761C">
      <w:pPr>
        <w:spacing w:after="240"/>
        <w:ind w:left="567" w:hanging="567"/>
        <w:rPr>
          <w:b/>
          <w:i/>
          <w:kern w:val="2"/>
          <w14:ligatures w14:val="standardContextual"/>
        </w:rPr>
      </w:pPr>
      <w:r w:rsidRPr="00D1761C">
        <w:rPr>
          <w:kern w:val="2"/>
          <w14:ligatures w14:val="standardContextual"/>
        </w:rPr>
        <w:t>21.</w:t>
      </w:r>
      <w:r w:rsidRPr="00D1761C">
        <w:rPr>
          <w:kern w:val="2"/>
          <w14:ligatures w14:val="standardContextual"/>
        </w:rPr>
        <w:tab/>
        <w:t>reamintește că, în conformitate cu articolul 286 alineatul (2) din TFUE, Consiliul numește membrii Curții de Conturi, în conformitate cu propunerile făcute de fiecare stat membru, după consultarea Parlamentului; reamintește că, pe baza acestei condiții prealabile, Parlamentul European emite un aviz cu privire la candidați; regretă că, în repetate rânduri, Consiliul a ignorat recomandările Parlamentului în rolul său consultativ privind numirea membrilor Curții de Conturi; reamintește că, deși avizul Parlamentului nu este obligatoriu pentru Consiliu, candidații care au primit un aviz nefavorabil și</w:t>
      </w:r>
      <w:r w:rsidR="00E71C25">
        <w:rPr>
          <w:kern w:val="2"/>
          <w14:ligatures w14:val="standardContextual"/>
        </w:rPr>
        <w:t>–</w:t>
      </w:r>
      <w:r w:rsidRPr="00D1761C">
        <w:rPr>
          <w:kern w:val="2"/>
          <w14:ligatures w14:val="standardContextual"/>
        </w:rPr>
        <w:t>au retras candidatura, acceptând decizia Parlamentului și recunoscând astfel rolul Parlamentului ca autoritate democratică de supraveghere legată de protejarea bugetului Uniunii; invită Consiliul să recunoască rolul Parlamentului cooperând în cadrul procedurii de descărcare de gestiune;</w:t>
      </w:r>
    </w:p>
    <w:p w14:paraId="40F3321E"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22.</w:t>
      </w:r>
      <w:r w:rsidRPr="00D1761C">
        <w:rPr>
          <w:kern w:val="2"/>
          <w14:ligatures w14:val="standardContextual"/>
        </w:rPr>
        <w:tab/>
        <w:t>reamintește că judecătorii și avocații generali ai Curții de Justiție a Uniunii Europene sunt numiți de comun acord de către guvernele statelor membre, după consultarea unui comitet însărcinat cu emiterea unui aviz cu privire la capacitatea potențialilor candidați de a exercita sarcinile respective;</w:t>
      </w:r>
    </w:p>
    <w:p w14:paraId="4CD68762"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23.</w:t>
      </w:r>
      <w:r w:rsidRPr="00D1761C">
        <w:rPr>
          <w:kern w:val="2"/>
          <w14:ligatures w14:val="standardContextual"/>
        </w:rPr>
        <w:tab/>
        <w:t>invită Președințiile prin rotație ale Consiliului să nu mai utilizeze sponsorizarea corporațiilor pentru a contribui la acoperirea cheltuielilor lor, deoarece acest lucru riscă să creeze conflicte de interese, astfel cum au evidențiat concluziile atelierului organizat de Comisia pentru control bugetar a Parlamentului la 27 iunie 2023; ia act de faptul că, în decizia sa din 9 septembrie 2024 referitoare la inițiativa strategică privind sponsorizarea Președinției Consiliului Uniunii Europene, Ombudsmanul European a încurajat Consiliul să evalueze modul în care au fost puse în aplicare normele fără caracter obligatoriu adoptate de Consiliu privind utilizarea sponsorizării de către Președinția sa (denumite în continuare „orientările”) și să exploreze alte posibile măsuri care ar putea contribui la atenuarea riscurilor asociate utilizării sponsorizării; își reiterează apelul adresat Consiliului de a prevedea pentru Președințiile Consiliului un buget care să asigure standarde adecvate și uniforme de eficiență și eficacitate a activității în Consiliu în general;</w:t>
      </w:r>
    </w:p>
    <w:p w14:paraId="5D149650" w14:textId="46E9AE81" w:rsidR="00D1761C" w:rsidRPr="00D1761C" w:rsidRDefault="00D1761C" w:rsidP="00D1761C">
      <w:pPr>
        <w:spacing w:after="240"/>
        <w:ind w:left="567" w:hanging="567"/>
        <w:rPr>
          <w:b/>
          <w:i/>
          <w:kern w:val="2"/>
          <w14:ligatures w14:val="standardContextual"/>
        </w:rPr>
      </w:pPr>
      <w:r w:rsidRPr="00D1761C">
        <w:rPr>
          <w:kern w:val="2"/>
          <w14:ligatures w14:val="standardContextual"/>
        </w:rPr>
        <w:t>24</w:t>
      </w:r>
      <w:r w:rsidRPr="00D1761C">
        <w:rPr>
          <w:b/>
          <w:i/>
          <w:kern w:val="2"/>
          <w14:ligatures w14:val="standardContextual"/>
        </w:rPr>
        <w:t>.</w:t>
      </w:r>
      <w:r w:rsidRPr="00D1761C">
        <w:rPr>
          <w:b/>
          <w:i/>
          <w:kern w:val="2"/>
          <w14:ligatures w14:val="standardContextual"/>
        </w:rPr>
        <w:tab/>
      </w:r>
      <w:r w:rsidRPr="00D1761C">
        <w:rPr>
          <w:kern w:val="2"/>
          <w14:ligatures w14:val="standardContextual"/>
        </w:rPr>
        <w:t>își exprimă profunda îngrijorare cu privire la utilizarea abuzivă de către guvernul ungar a rolului său în Președinția UE pentru a continua angajamentele bilaterale care contravin valorilor fundamentale ale Uniunii, cum ar fi reuniunile prim</w:t>
      </w:r>
      <w:r w:rsidR="00E71C25">
        <w:rPr>
          <w:kern w:val="2"/>
          <w14:ligatures w14:val="standardContextual"/>
        </w:rPr>
        <w:t>–</w:t>
      </w:r>
      <w:r w:rsidRPr="00D1761C">
        <w:rPr>
          <w:kern w:val="2"/>
          <w14:ligatures w14:val="standardContextual"/>
        </w:rPr>
        <w:t>ministrului Viktor Orbán cu președintele rus Vladimir Putin, în pofida sancțiunilor Uniunii și a mandatului de arestare al Curții Penale Internaționale împotriva acestuia din urmă pentru crime de război; ia act cu îngrijorare de angajamente similare cu alți lideri autoritari, fapt care subminează credibilitatea UE; invită Consiliul să condamne cu fermitate astfel de acțiuni și să ia toate măsurile necesare pentru a se asigura că statele membre care dețin Președinția acționează în conformitate cu principiile UE, protejând integritatea și valorile Uniunii;</w:t>
      </w:r>
    </w:p>
    <w:p w14:paraId="79D7617C"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Gestiunea bugetară și financiară</w:t>
      </w:r>
    </w:p>
    <w:p w14:paraId="56C3DDDD"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lastRenderedPageBreak/>
        <w:t>25.</w:t>
      </w:r>
      <w:r w:rsidRPr="00D1761C">
        <w:rPr>
          <w:kern w:val="2"/>
          <w14:ligatures w14:val="standardContextual"/>
        </w:rPr>
        <w:tab/>
        <w:t>regretă faptul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sigure despre costurile acestuia; subliniază importanța unor date fiabile pentru un control obiectiv; solicită respectarea recomandării autorității care acordă descărcarea de gestiune;</w:t>
      </w:r>
    </w:p>
    <w:p w14:paraId="33233F0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26.</w:t>
      </w:r>
      <w:r w:rsidRPr="00D1761C">
        <w:rPr>
          <w:kern w:val="2"/>
          <w14:ligatures w14:val="standardContextual"/>
        </w:rPr>
        <w:tab/>
        <w:t>constată că bugetul Consiliului a fost de 647 908 757 EUR pentru 2023, ceea ce reprezintă o creștere de 6 % față de 2022, care este mai mare decât creșterea de 2,3 % înregistrată în 2022 față de 2021; constată că această creștere este legată în principal de revizuirea parametrilor de actualizare a salariilor în raport cu inflația;</w:t>
      </w:r>
    </w:p>
    <w:p w14:paraId="6A35BDEA"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27.</w:t>
      </w:r>
      <w:r w:rsidRPr="00D1761C">
        <w:rPr>
          <w:kern w:val="2"/>
          <w14:ligatures w14:val="standardContextual"/>
        </w:rPr>
        <w:tab/>
        <w:t>constată că, în 2023, rata totală de execuție a bugetului Consiliului era de 97,0 %; constată că, la sfârșitul anului 2023, au fost anulate credite în valoare de aproape 20 de milioane EUR, din care jumătate proveneau de la linia bugetară pentru cheltuieli cu personalul;</w:t>
      </w:r>
    </w:p>
    <w:p w14:paraId="2AC3BA10"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28.</w:t>
      </w:r>
      <w:r w:rsidRPr="00D1761C">
        <w:rPr>
          <w:kern w:val="2"/>
          <w14:ligatures w14:val="standardContextual"/>
        </w:rPr>
        <w:tab/>
        <w:t>ia act de faptul că, în conformitate cu articolul 29 din Regulamentul financiar, Consiliul a efectuat 41 de transferuri bugetare în 2023, în valoare cumulată de 6,5 milioane EUR; constată, de asemenea, că trei dintre aceste transferuri au necesitat ca autoritatea bugetară să fie informată în conformitate cu articolul 29 alineatul (2), în scopul consolidării mai multor linii bugetare, inclusiv „Lucrări de amenajare și instalare”, „Apă, gaz, electricitate și încălzire”, „Achiziționarea de echipamente și software” și „Cheltuieli de închiriere, întreținere și reparare a mașinilor de serviciu”;</w:t>
      </w:r>
    </w:p>
    <w:p w14:paraId="31C5BB8D" w14:textId="43DB0533" w:rsidR="00D1761C" w:rsidRPr="00D1761C" w:rsidRDefault="00D1761C" w:rsidP="00D1761C">
      <w:pPr>
        <w:spacing w:after="240"/>
        <w:ind w:left="567" w:hanging="567"/>
        <w:rPr>
          <w:b/>
          <w:i/>
          <w:kern w:val="2"/>
          <w14:ligatures w14:val="standardContextual"/>
        </w:rPr>
      </w:pPr>
      <w:r w:rsidRPr="00D1761C">
        <w:rPr>
          <w:kern w:val="2"/>
          <w14:ligatures w14:val="standardContextual"/>
        </w:rPr>
        <w:t>29.</w:t>
      </w:r>
      <w:r w:rsidRPr="00D1761C">
        <w:rPr>
          <w:b/>
          <w:i/>
          <w:kern w:val="2"/>
          <w14:ligatures w14:val="standardContextual"/>
        </w:rPr>
        <w:tab/>
      </w:r>
      <w:r w:rsidRPr="00D1761C">
        <w:rPr>
          <w:kern w:val="2"/>
          <w14:ligatures w14:val="standardContextual"/>
        </w:rPr>
        <w:t xml:space="preserve">invită Consiliul să publice o defalcare anuală a cheltuielilor de călătorie și de reprezentare ale înalților funcționari, inclusiv ale președintelui Consiliului European, ale Înaltului Reprezentant al Uniunii pentru afaceri externe și politica de securitate și ale Secretariatului, </w:t>
      </w:r>
      <w:proofErr w:type="spellStart"/>
      <w:r w:rsidRPr="00D1761C">
        <w:rPr>
          <w:kern w:val="2"/>
          <w14:ligatures w14:val="standardContextual"/>
        </w:rPr>
        <w:t>într</w:t>
      </w:r>
      <w:proofErr w:type="spellEnd"/>
      <w:r w:rsidR="00E71C25">
        <w:rPr>
          <w:kern w:val="2"/>
          <w14:ligatures w14:val="standardContextual"/>
        </w:rPr>
        <w:t>–</w:t>
      </w:r>
      <w:r w:rsidRPr="00D1761C">
        <w:rPr>
          <w:kern w:val="2"/>
          <w14:ligatures w14:val="standardContextual"/>
        </w:rPr>
        <w:t>un format ușor de utilizat și accesibil publicului;</w:t>
      </w:r>
    </w:p>
    <w:p w14:paraId="09B8CB7F" w14:textId="2E0E7BAC" w:rsidR="00D1761C" w:rsidRPr="00D1761C" w:rsidRDefault="00D1761C" w:rsidP="00D1761C">
      <w:pPr>
        <w:spacing w:after="240"/>
        <w:ind w:left="567" w:hanging="567"/>
        <w:rPr>
          <w:kern w:val="2"/>
          <w14:ligatures w14:val="standardContextual"/>
        </w:rPr>
      </w:pPr>
      <w:r w:rsidRPr="00D1761C">
        <w:rPr>
          <w:kern w:val="2"/>
          <w14:ligatures w14:val="standardContextual"/>
        </w:rPr>
        <w:t>30.</w:t>
      </w:r>
      <w:r w:rsidRPr="00D1761C">
        <w:rPr>
          <w:kern w:val="2"/>
          <w14:ligatures w14:val="standardContextual"/>
        </w:rPr>
        <w:tab/>
        <w:t>ia act de faptul că creditele reportate din 2023 în 2024 s</w:t>
      </w:r>
      <w:r w:rsidR="00E71C25">
        <w:rPr>
          <w:kern w:val="2"/>
          <w14:ligatures w14:val="standardContextual"/>
        </w:rPr>
        <w:t>–</w:t>
      </w:r>
      <w:r w:rsidRPr="00D1761C">
        <w:rPr>
          <w:kern w:val="2"/>
          <w14:ligatures w14:val="standardContextual"/>
        </w:rPr>
        <w:t>au ridicat la 85,5 milioane EUR în total, acoperind în principal sistemele informatice, costul serviciilor de interpretare furnizate în 2023, pentru care facturile nu au fost încă convenite cu serviciile Comisiei Europene la momentul închiderii conturilor, clădirile, informarea și comunicarea, echipamentele audiovizuale și de conferință, precum și alte cheltuieli cu personalul și transportul;</w:t>
      </w:r>
    </w:p>
    <w:p w14:paraId="11636E41"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31.</w:t>
      </w:r>
      <w:r w:rsidRPr="00D1761C">
        <w:rPr>
          <w:b/>
          <w:i/>
          <w:kern w:val="2"/>
          <w14:ligatures w14:val="standardContextual"/>
        </w:rPr>
        <w:tab/>
      </w:r>
      <w:r w:rsidRPr="00D1761C">
        <w:rPr>
          <w:kern w:val="2"/>
          <w14:ligatures w14:val="standardContextual"/>
        </w:rPr>
        <w:t>își exprimă îngrijorarea cu privire la insuficiența mecanismelor de control în ceea ce privește utilizarea de către Consiliu a serviciilor de consultanță și a contractanților externi; solicită publicarea integrală a tuturor contractelor care depășesc 50 000 EUR, detaliind domeniul de aplicare, rezultatele și entitățile atribuite, pentru a preveni posibila utilizare abuzivă a fondurilor publice;</w:t>
      </w:r>
    </w:p>
    <w:p w14:paraId="2E89600C" w14:textId="1608D489" w:rsidR="00D1761C" w:rsidRPr="00D1761C" w:rsidRDefault="00D1761C" w:rsidP="00D1761C">
      <w:pPr>
        <w:spacing w:after="240"/>
        <w:ind w:left="567" w:hanging="567"/>
        <w:rPr>
          <w:kern w:val="2"/>
          <w14:ligatures w14:val="standardContextual"/>
        </w:rPr>
      </w:pPr>
      <w:r w:rsidRPr="00D1761C">
        <w:rPr>
          <w:kern w:val="2"/>
          <w14:ligatures w14:val="standardContextual"/>
        </w:rPr>
        <w:t>32.</w:t>
      </w:r>
      <w:r w:rsidRPr="00D1761C">
        <w:rPr>
          <w:kern w:val="2"/>
          <w14:ligatures w14:val="standardContextual"/>
        </w:rPr>
        <w:tab/>
        <w:t>constată că durata medie a intervalului de timp necesar pentru plata facturilor a scăzut de la 18 la 13 zile în perioada 2022</w:t>
      </w:r>
      <w:r w:rsidR="00E71C25">
        <w:rPr>
          <w:kern w:val="2"/>
          <w14:ligatures w14:val="standardContextual"/>
        </w:rPr>
        <w:t>–</w:t>
      </w:r>
      <w:r w:rsidRPr="00D1761C">
        <w:rPr>
          <w:kern w:val="2"/>
          <w14:ligatures w14:val="standardContextual"/>
        </w:rPr>
        <w:t xml:space="preserve">2023, cu mult sub termenul maxim de 30 de zile, </w:t>
      </w:r>
      <w:proofErr w:type="spellStart"/>
      <w:r w:rsidRPr="00D1761C">
        <w:rPr>
          <w:kern w:val="2"/>
          <w14:ligatures w14:val="standardContextual"/>
        </w:rPr>
        <w:t>evitându</w:t>
      </w:r>
      <w:proofErr w:type="spellEnd"/>
      <w:r w:rsidR="00E71C25">
        <w:rPr>
          <w:kern w:val="2"/>
          <w14:ligatures w14:val="standardContextual"/>
        </w:rPr>
        <w:t>–</w:t>
      </w:r>
      <w:r w:rsidRPr="00D1761C">
        <w:rPr>
          <w:kern w:val="2"/>
          <w14:ligatures w14:val="standardContextual"/>
        </w:rPr>
        <w:t>se astfel dobânzile de întârziere;</w:t>
      </w:r>
    </w:p>
    <w:p w14:paraId="67367B2F"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33.</w:t>
      </w:r>
      <w:r w:rsidRPr="00D1761C">
        <w:rPr>
          <w:kern w:val="2"/>
          <w14:ligatures w14:val="standardContextual"/>
        </w:rPr>
        <w:tab/>
        <w:t xml:space="preserve">ia act de faptul că cheltuielile de misiune, care cuprind atât cheltuielile de misiune ale Secretariatului, cât și cheltuielile de misiune ale personalului Consiliului European, au crescut cu 25 % între 2022 și 2023 și că cheltuielile de deplasare ale delegațiilor </w:t>
      </w:r>
      <w:r w:rsidRPr="00D1761C">
        <w:rPr>
          <w:kern w:val="2"/>
          <w14:ligatures w14:val="standardContextual"/>
        </w:rPr>
        <w:lastRenderedPageBreak/>
        <w:t>suportate de Președinții și de delegațiile naționale au crescut cu 36,6 % în aceeași perioadă; invită Consiliul să evalueze această creștere semnificativă a cheltuielilor de misiune; în absența accesului la informații detaliate, încurajează Consiliul să utilizeze aceste resurse în spiritul bunei gestiuni financiare;</w:t>
      </w:r>
    </w:p>
    <w:p w14:paraId="30209736"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Gestiunea internă, performanța și controlul intern</w:t>
      </w:r>
    </w:p>
    <w:p w14:paraId="6D55C3FD"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34.</w:t>
      </w:r>
      <w:r w:rsidRPr="00D1761C">
        <w:rPr>
          <w:kern w:val="2"/>
          <w14:ligatures w14:val="standardContextual"/>
        </w:rPr>
        <w:tab/>
        <w:t>ia act de faptul că Consiliul a stabilit obiective referitoare la performanța bugetului său în 2023, și anume: asigurarea continuității procesului decizional în cadrul Consiliului European și al Consiliului; asigurarea unui sprijin continuu pentru Consiliul European și Consiliu prin utilizarea eficace și eficientă a resurselor financiare, în special având în vedere presiunea persistentă a inflației și creșterile de prețuri rezultate ca urmare a indexării contractelor; precum și continuarea procesului de modernizare administrativă digitală, cu scopul de a îmbunătăți calitatea organizării Secretariatului și a garanta utilizarea adecvată a resurselor;</w:t>
      </w:r>
    </w:p>
    <w:p w14:paraId="0E4CA4CB"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35.</w:t>
      </w:r>
      <w:r w:rsidRPr="00D1761C">
        <w:rPr>
          <w:kern w:val="2"/>
          <w14:ligatures w14:val="standardContextual"/>
        </w:rPr>
        <w:tab/>
        <w:t>ia act de faptul că, pentru a asigura utilizarea eficientă a bugetului său în 2023, Secretariatul a continuat să își îmbunătățească procesele de gestiune financiară, în special pe baza recomandărilor mai multor grupuri de lucru interne; salută, în special, noile instrumente de performanță, cum ar fi includerea resurselor umane și a elementelor legate de competențe în exercițiul de planificare integrată a gestionării, digitalizarea completă a fluxurilor de lucru financiare și introducerea semnăturii electronice;</w:t>
      </w:r>
    </w:p>
    <w:p w14:paraId="2D5AB82B" w14:textId="659EC00D" w:rsidR="00D1761C" w:rsidRPr="00D1761C" w:rsidRDefault="00D1761C" w:rsidP="00D1761C">
      <w:pPr>
        <w:spacing w:after="240"/>
        <w:ind w:left="567" w:hanging="567"/>
        <w:rPr>
          <w:kern w:val="2"/>
          <w14:ligatures w14:val="standardContextual"/>
        </w:rPr>
      </w:pPr>
      <w:r w:rsidRPr="00D1761C">
        <w:rPr>
          <w:kern w:val="2"/>
          <w14:ligatures w14:val="standardContextual"/>
        </w:rPr>
        <w:t>36.</w:t>
      </w:r>
      <w:r w:rsidRPr="00D1761C">
        <w:rPr>
          <w:kern w:val="2"/>
          <w14:ligatures w14:val="standardContextual"/>
        </w:rPr>
        <w:tab/>
        <w:t>salută utilizarea sporită a datelor în procesul decizional, în special pe baza tabloului de bord financiar lunar, care prezintă indicatori</w:t>
      </w:r>
      <w:r w:rsidR="00E71C25">
        <w:rPr>
          <w:kern w:val="2"/>
          <w14:ligatures w14:val="standardContextual"/>
        </w:rPr>
        <w:t>–</w:t>
      </w:r>
      <w:r w:rsidRPr="00D1761C">
        <w:rPr>
          <w:kern w:val="2"/>
          <w14:ligatures w14:val="standardContextual"/>
        </w:rPr>
        <w:t>cheie de performanță la nivelul serviciilor Secretariatului, și pe baza tabloului de bord al personalului de conducere, care conține informații esențiale obținute prin analizarea datelor privind resursele umane, având drept scop facilitarea gestionării zilnice și a deciziilor în domeniul resurselor umane;</w:t>
      </w:r>
    </w:p>
    <w:p w14:paraId="0C581AD9"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37.</w:t>
      </w:r>
      <w:r w:rsidRPr="00D1761C">
        <w:rPr>
          <w:kern w:val="2"/>
          <w14:ligatures w14:val="standardContextual"/>
        </w:rPr>
        <w:tab/>
        <w:t>ia act de faptul că Secretariatul a organizat 4 429 de reuniuni în 2023, acest număr reflectând o relativă stabilitate în comparație cu 2022; constată, de asemenea, că numărul reuniunilor cu prezență fizică a crescut cu 11 % față de 2022, în timp ce numărul reuniunilor organizate prin videoconferință sau în format hibrid a scăzut substanțial, cu peste 60 %;</w:t>
      </w:r>
    </w:p>
    <w:p w14:paraId="2B0AA66A" w14:textId="15A1B247" w:rsidR="00D1761C" w:rsidRPr="00D1761C" w:rsidRDefault="00D1761C" w:rsidP="00D1761C">
      <w:pPr>
        <w:spacing w:after="240"/>
        <w:ind w:left="567" w:hanging="567"/>
        <w:rPr>
          <w:kern w:val="2"/>
          <w14:ligatures w14:val="standardContextual"/>
        </w:rPr>
      </w:pPr>
      <w:r w:rsidRPr="00D1761C">
        <w:rPr>
          <w:kern w:val="2"/>
          <w14:ligatures w14:val="standardContextual"/>
        </w:rPr>
        <w:t>38.</w:t>
      </w:r>
      <w:r w:rsidRPr="00D1761C">
        <w:rPr>
          <w:kern w:val="2"/>
          <w14:ligatures w14:val="standardContextual"/>
        </w:rPr>
        <w:tab/>
        <w:t>ia act de faptul că Secretariatul a lansat 17 proceduri deschise de achiziții publice, 12 noi proceduri negociate, precum și 21 de proceduri interinstituționale (orice valoare) la conducerea cărora nu se afla Consiliul; ia act de faptul că, până la sfârșitul anului 2023, au fost semnate 41 de contracte, în timp ce în 2022 numărul contractelor semnate a fost de 42, și s</w:t>
      </w:r>
      <w:r w:rsidR="00E71C25">
        <w:rPr>
          <w:kern w:val="2"/>
          <w14:ligatures w14:val="standardContextual"/>
        </w:rPr>
        <w:t>–</w:t>
      </w:r>
      <w:r w:rsidRPr="00D1761C">
        <w:rPr>
          <w:kern w:val="2"/>
          <w14:ligatures w14:val="standardContextual"/>
        </w:rPr>
        <w:t>a lucrat la 47 de loturi (orice categorie); ia act de faptul că au fost atribuite contracte în valoare totală de 124,1 milioane EUR în 2023, ceea ce corespunde unui procent de 19,15 % din bugetul anual al Consiliului; constată că, din suma totală contractată, un procent de 0,5 % a fost angajat în contracte cu valoare scăzută și medie, un procent de 58 % a fost angajat în contracte specifice aferente contractelor</w:t>
      </w:r>
      <w:r w:rsidR="00E71C25">
        <w:rPr>
          <w:kern w:val="2"/>
          <w14:ligatures w14:val="standardContextual"/>
        </w:rPr>
        <w:t>–</w:t>
      </w:r>
      <w:r w:rsidRPr="00D1761C">
        <w:rPr>
          <w:kern w:val="2"/>
          <w14:ligatures w14:val="standardContextual"/>
        </w:rPr>
        <w:t>cadru în privința cărora Consiliul este singura autoritate contractantă și un procent de 69,5 % a fost angajat în contracte specifice atribuite în baza unor contracte</w:t>
      </w:r>
      <w:r w:rsidR="00E71C25">
        <w:rPr>
          <w:kern w:val="2"/>
          <w14:ligatures w14:val="standardContextual"/>
        </w:rPr>
        <w:t>–</w:t>
      </w:r>
      <w:r w:rsidRPr="00D1761C">
        <w:rPr>
          <w:kern w:val="2"/>
          <w14:ligatures w14:val="standardContextual"/>
        </w:rPr>
        <w:t>cadru interinstituționale;</w:t>
      </w:r>
    </w:p>
    <w:p w14:paraId="529EF118" w14:textId="1453404F" w:rsidR="00D1761C" w:rsidRPr="00D1761C" w:rsidRDefault="00D1761C" w:rsidP="00D1761C">
      <w:pPr>
        <w:spacing w:after="240"/>
        <w:ind w:left="567" w:hanging="567"/>
        <w:rPr>
          <w:color w:val="000000"/>
          <w:kern w:val="2"/>
          <w14:ligatures w14:val="standardContextual"/>
        </w:rPr>
      </w:pPr>
      <w:r w:rsidRPr="00D1761C">
        <w:rPr>
          <w:color w:val="000000"/>
          <w:kern w:val="2"/>
          <w14:ligatures w14:val="standardContextual"/>
        </w:rPr>
        <w:t>39.</w:t>
      </w:r>
      <w:r w:rsidRPr="00D1761C">
        <w:rPr>
          <w:color w:val="000000"/>
          <w:kern w:val="2"/>
          <w14:ligatures w14:val="standardContextual"/>
        </w:rPr>
        <w:tab/>
        <w:t xml:space="preserve">ia act de faptul că Consiliul a transmis autorității care acordă descărcarea de gestiune raportul său anual privind auditurile interne efectuate în 2023, în conformitate cu </w:t>
      </w:r>
      <w:r w:rsidRPr="00D1761C">
        <w:rPr>
          <w:color w:val="000000"/>
          <w:kern w:val="2"/>
          <w14:ligatures w14:val="standardContextual"/>
        </w:rPr>
        <w:lastRenderedPageBreak/>
        <w:t>articolul 118 din Regulamentul financiar; ia act de faptul că, la sfârșitul anului 2023, 81 % dintre recomandările emise în perioada 2020</w:t>
      </w:r>
      <w:r w:rsidR="00E71C25">
        <w:rPr>
          <w:color w:val="000000"/>
          <w:kern w:val="2"/>
          <w14:ligatures w14:val="standardContextual"/>
        </w:rPr>
        <w:t>–</w:t>
      </w:r>
      <w:r w:rsidRPr="00D1761C">
        <w:rPr>
          <w:color w:val="000000"/>
          <w:kern w:val="2"/>
          <w14:ligatures w14:val="standardContextual"/>
        </w:rPr>
        <w:t>2022 fuseseră puse în aplicare, 18 % dintre aceste recomandări erau încă deschise, iar pentru 1 % dintre ele riscul fusese acceptat de către conducere sau recomandările nu mai erau aplicabile; ia act de faptul că patru audituri interne planificate să aibă loc pe durata programului de lucru pentru 2023 au fost încheiate în cursul anului, iar două dintre acestea erau încă în desfășurare la sfârșitul anului 2023; ia act de faptul că auditorul intern a emis recomandări cu un nivel ridicat de prioritate în cadrul a trei audituri ale programului de lucru pentru 2023 cu privire la serviciile de transport, la serverele și serviciile de bază ale IOLAN și la sistemele de punct final ale IOLAN;</w:t>
      </w:r>
    </w:p>
    <w:p w14:paraId="36941596"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Resursele umane, egalitatea și starea de bine a personalului</w:t>
      </w:r>
    </w:p>
    <w:p w14:paraId="6A0CFC99" w14:textId="4425C7F4" w:rsidR="00D1761C" w:rsidRPr="00D1761C" w:rsidRDefault="00D1761C" w:rsidP="00D1761C">
      <w:pPr>
        <w:spacing w:after="240"/>
        <w:ind w:left="567" w:hanging="567"/>
        <w:rPr>
          <w:color w:val="000000"/>
          <w:kern w:val="2"/>
          <w14:ligatures w14:val="standardContextual"/>
        </w:rPr>
      </w:pPr>
      <w:r w:rsidRPr="00D1761C">
        <w:rPr>
          <w:color w:val="000000"/>
          <w:kern w:val="2"/>
          <w14:ligatures w14:val="standardContextual"/>
        </w:rPr>
        <w:t>40.</w:t>
      </w:r>
      <w:r w:rsidRPr="00D1761C">
        <w:rPr>
          <w:color w:val="000000"/>
          <w:kern w:val="2"/>
          <w14:ligatures w14:val="standardContextual"/>
        </w:rPr>
        <w:tab/>
      </w:r>
      <w:r w:rsidRPr="00D1761C">
        <w:rPr>
          <w:kern w:val="2"/>
          <w14:ligatures w14:val="standardContextual"/>
        </w:rPr>
        <w:t>constată că, din totalul de 3 116 membri ai personalului înregistrat la sfârșitul lui 2023, 79 % erau angajați permanenți, 12,8 % erau agenți temporari, 7,2 % erau agenți contractuali, iar 1 % erau experți naționali detașați;</w:t>
      </w:r>
      <w:r w:rsidRPr="00D1761C">
        <w:rPr>
          <w:color w:val="000000"/>
          <w:kern w:val="2"/>
          <w14:ligatures w14:val="standardContextual"/>
        </w:rPr>
        <w:t xml:space="preserve"> constată că repartizarea personalului permanent și temporar între categoriile de posturi a rămas stabilă, cu 1 474,25 administratori (AD), 1 159 de asistenți (AST) și 230 de secretari (AST</w:t>
      </w:r>
      <w:r w:rsidR="00E71C25">
        <w:rPr>
          <w:color w:val="000000"/>
          <w:kern w:val="2"/>
          <w14:ligatures w14:val="standardContextual"/>
        </w:rPr>
        <w:t>–</w:t>
      </w:r>
      <w:r w:rsidRPr="00D1761C">
        <w:rPr>
          <w:color w:val="000000"/>
          <w:kern w:val="2"/>
          <w14:ligatures w14:val="standardContextual"/>
        </w:rPr>
        <w:t>SC) în 2023, comparativ cu 1 519 AD, 1 284 de AST și, respectiv, 190 de AST</w:t>
      </w:r>
      <w:r w:rsidR="00E71C25">
        <w:rPr>
          <w:color w:val="000000"/>
          <w:kern w:val="2"/>
          <w14:ligatures w14:val="standardContextual"/>
        </w:rPr>
        <w:t>–</w:t>
      </w:r>
      <w:r w:rsidRPr="00D1761C">
        <w:rPr>
          <w:color w:val="000000"/>
          <w:kern w:val="2"/>
          <w14:ligatures w14:val="standardContextual"/>
        </w:rPr>
        <w:t>SC în 2022; constată că la sfârșitul anului 2023 rata de ocupare a schemei de personal a fost de 97,4 %;</w:t>
      </w:r>
    </w:p>
    <w:p w14:paraId="0F436302" w14:textId="31BBF1D6" w:rsidR="00D1761C" w:rsidRPr="00D1761C" w:rsidRDefault="00D1761C" w:rsidP="00D1761C">
      <w:pPr>
        <w:spacing w:after="240"/>
        <w:ind w:left="567" w:hanging="567"/>
        <w:rPr>
          <w:b/>
          <w:i/>
          <w:kern w:val="2"/>
          <w14:ligatures w14:val="standardContextual"/>
        </w:rPr>
      </w:pPr>
      <w:r w:rsidRPr="00D1761C">
        <w:rPr>
          <w:kern w:val="2"/>
          <w14:ligatures w14:val="standardContextual"/>
        </w:rPr>
        <w:t>41.</w:t>
      </w:r>
      <w:r w:rsidRPr="00D1761C">
        <w:rPr>
          <w:b/>
          <w:i/>
          <w:kern w:val="2"/>
          <w14:ligatures w14:val="standardContextual"/>
        </w:rPr>
        <w:tab/>
      </w:r>
      <w:r w:rsidRPr="00D1761C">
        <w:rPr>
          <w:kern w:val="2"/>
          <w14:ligatures w14:val="standardContextual"/>
        </w:rPr>
        <w:t>constată că, având în vedere lipsa de cooperare a Consiliului cu Parlamentul, observațiile din această secțiune se bazează în principal pe informații agregate publicate pe site</w:t>
      </w:r>
      <w:r w:rsidR="00E71C25">
        <w:rPr>
          <w:kern w:val="2"/>
          <w14:ligatures w14:val="standardContextual"/>
        </w:rPr>
        <w:t>–</w:t>
      </w:r>
      <w:proofErr w:type="spellStart"/>
      <w:r w:rsidRPr="00D1761C">
        <w:rPr>
          <w:kern w:val="2"/>
          <w14:ligatures w14:val="standardContextual"/>
        </w:rPr>
        <w:t>ul</w:t>
      </w:r>
      <w:proofErr w:type="spellEnd"/>
      <w:r w:rsidRPr="00D1761C">
        <w:rPr>
          <w:kern w:val="2"/>
          <w14:ligatures w14:val="standardContextual"/>
        </w:rPr>
        <w:t xml:space="preserve"> Consiliului, care oferă detalii limitate;</w:t>
      </w:r>
    </w:p>
    <w:p w14:paraId="273A0D02"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42.</w:t>
      </w:r>
      <w:r w:rsidRPr="00D1761C">
        <w:rPr>
          <w:kern w:val="2"/>
          <w14:ligatures w14:val="standardContextual"/>
        </w:rPr>
        <w:tab/>
        <w:t>ia act de celelalte inițiative luate de Secretariat pentru a deveni un loc de muncă mai divers și mai incluziv; salută faptul că Consiliul a primit în 2023 Premiul Ombudsmanului pentru bună administrare la categoria „Excelență în diversitate și incluziune” pentru Programul său de acțiune pozitivă pentru stagiarii cu dizabilități, în cadrul căruia 6 stagiari cu dizabilități au fost angajați în cadrul Secretariatului în 2023;</w:t>
      </w:r>
    </w:p>
    <w:p w14:paraId="7911D1ED"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43.</w:t>
      </w:r>
      <w:r w:rsidRPr="00D1761C">
        <w:rPr>
          <w:kern w:val="2"/>
          <w14:ligatures w14:val="standardContextual"/>
        </w:rPr>
        <w:tab/>
        <w:t>regretă lipsa de informații accesibile publicului cu privire la distribuția geografică și pe criterii de gen a personalului din cadrul Secretariatului; invită Consiliul să comunice Parlamentului informații privind echilibrul de gen, distribuția geografică și dizabilitățile membrilor personalului său și privind politicile interne aferente; încurajează Consiliul să promoveze echilibrul geografic al personalului său, oferind o rezervă mai largă de candidați din statele membre subreprezentate;</w:t>
      </w:r>
    </w:p>
    <w:p w14:paraId="3BAF66E3"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44.</w:t>
      </w:r>
      <w:r w:rsidRPr="00D1761C">
        <w:rPr>
          <w:kern w:val="2"/>
          <w14:ligatures w14:val="standardContextual"/>
        </w:rPr>
        <w:tab/>
        <w:t xml:space="preserve">salută eforturile Secretariatului din 2023 de a atrage și a păstra o forță de muncă calificată și mai tânără prin diverse inițiative, cum ar fi recrutarea a opt administratori de politici debutanți în cadrul noului program intitulat „Junior </w:t>
      </w:r>
      <w:proofErr w:type="spellStart"/>
      <w:r w:rsidRPr="00D1761C">
        <w:rPr>
          <w:kern w:val="2"/>
          <w14:ligatures w14:val="standardContextual"/>
        </w:rPr>
        <w:t>Policy</w:t>
      </w:r>
      <w:proofErr w:type="spellEnd"/>
      <w:r w:rsidRPr="00D1761C">
        <w:rPr>
          <w:kern w:val="2"/>
          <w14:ligatures w14:val="standardContextual"/>
        </w:rPr>
        <w:t xml:space="preserve"> Team”, revizuirea normelor privind mobilitatea internă și participarea a 41 de membri ai personalului Secretariatului la un exercițiu interinstituțional de observare directă la locul de muncă; subliniază că stagiul ar trebui să fie remunerat, în concordanță cu Rezoluția Parlamentului European din 14 iunie 2023 referitoare la stagii de calitate în Uniune (2020/2005(INL)], în care se solicită ca toate stagiile din Europa să fie plătite; regretă lipsa de informații cu privire la punerea în aplicare a Planului de acțiune al Consiliului privind crearea unei identități corporative, elaborat în 2023;</w:t>
      </w:r>
    </w:p>
    <w:p w14:paraId="530ADA9F" w14:textId="21D0490E" w:rsidR="00D1761C" w:rsidRPr="00D1761C" w:rsidRDefault="00D1761C" w:rsidP="00D1761C">
      <w:pPr>
        <w:spacing w:after="240"/>
        <w:ind w:left="567" w:hanging="567"/>
        <w:rPr>
          <w:kern w:val="2"/>
          <w14:ligatures w14:val="standardContextual"/>
        </w:rPr>
      </w:pPr>
      <w:r w:rsidRPr="00D1761C">
        <w:rPr>
          <w:kern w:val="2"/>
          <w14:ligatures w14:val="standardContextual"/>
        </w:rPr>
        <w:t>45.</w:t>
      </w:r>
      <w:r w:rsidRPr="00D1761C">
        <w:rPr>
          <w:kern w:val="2"/>
          <w14:ligatures w14:val="standardContextual"/>
        </w:rPr>
        <w:tab/>
        <w:t>ia act de faptul că, în 2023, Planul de prevenire a riscurilor psihosociale 2020</w:t>
      </w:r>
      <w:r w:rsidR="00E71C25">
        <w:rPr>
          <w:kern w:val="2"/>
          <w14:ligatures w14:val="standardContextual"/>
        </w:rPr>
        <w:t>–</w:t>
      </w:r>
      <w:r w:rsidRPr="00D1761C">
        <w:rPr>
          <w:kern w:val="2"/>
          <w14:ligatures w14:val="standardContextual"/>
        </w:rPr>
        <w:t xml:space="preserve">2023 a făcut obiectul unei revizuiri, ale cărei rezultate au fost luate în considerare la elaborarea </w:t>
      </w:r>
      <w:r w:rsidRPr="00D1761C">
        <w:rPr>
          <w:kern w:val="2"/>
          <w14:ligatures w14:val="standardContextual"/>
        </w:rPr>
        <w:lastRenderedPageBreak/>
        <w:t>unui nou Plan de prevenire a riscurilor și la actualizarea Planului de intervenție psihosocială, ca parte a inițiativelor Consiliului de promovare a stării de bine a personalului, atât la nivel individual, cât și la nivelul echipelor sau unităților; ia act de faptul că membrilor personalului și personalului de conducere din cadrul Secretariatului li s</w:t>
      </w:r>
      <w:r w:rsidR="00E71C25">
        <w:rPr>
          <w:kern w:val="2"/>
          <w14:ligatures w14:val="standardContextual"/>
        </w:rPr>
        <w:t>–</w:t>
      </w:r>
      <w:r w:rsidRPr="00D1761C">
        <w:rPr>
          <w:kern w:val="2"/>
          <w14:ligatures w14:val="standardContextual"/>
        </w:rPr>
        <w:t>au oferit mai multe forme de sprijin și cursuri, cum ar fi o sesiune specifică de formare dedicată personalului de conducere privind siguranța psihologică, orientări pentru manageri privind sănătatea mintală, ateliere specifice privind prevenirea riscurilor psihosociale organizate la cerere și ateliere de gestionare a stresului pentru Președințiile spaniolă și belgiană ale Consiliului;</w:t>
      </w:r>
    </w:p>
    <w:p w14:paraId="6271DC87" w14:textId="7B8C2CB4" w:rsidR="00D1761C" w:rsidRPr="00D1761C" w:rsidRDefault="00D1761C" w:rsidP="00D1761C">
      <w:pPr>
        <w:spacing w:after="240"/>
        <w:ind w:left="567" w:hanging="567"/>
        <w:rPr>
          <w:kern w:val="2"/>
          <w14:ligatures w14:val="standardContextual"/>
        </w:rPr>
      </w:pPr>
      <w:r w:rsidRPr="00D1761C">
        <w:rPr>
          <w:color w:val="000000"/>
          <w:kern w:val="2"/>
          <w14:ligatures w14:val="standardContextual"/>
        </w:rPr>
        <w:t>46.</w:t>
      </w:r>
      <w:r w:rsidRPr="00D1761C">
        <w:rPr>
          <w:color w:val="000000"/>
          <w:kern w:val="2"/>
          <w14:ligatures w14:val="standardContextual"/>
        </w:rPr>
        <w:tab/>
      </w:r>
      <w:r w:rsidRPr="00D1761C">
        <w:rPr>
          <w:kern w:val="2"/>
          <w14:ligatures w14:val="standardContextual"/>
        </w:rPr>
        <w:t>ia act de faptul că Secretariatul a finalizat proiectul</w:t>
      </w:r>
      <w:r w:rsidR="00E71C25">
        <w:rPr>
          <w:kern w:val="2"/>
          <w14:ligatures w14:val="standardContextual"/>
        </w:rPr>
        <w:t>–</w:t>
      </w:r>
      <w:r w:rsidRPr="00D1761C">
        <w:rPr>
          <w:kern w:val="2"/>
          <w14:ligatures w14:val="standardContextual"/>
        </w:rPr>
        <w:t>pilot intitulat „Noi forme de organizare a muncii (NWOW)”, care a fost lansat în 2018, și a efectuat o evaluare ce oferă informații valoroase, în special în ceea ce privește comunicarea cu privire la schimbări, implicarea utilizatorilor și implicarea personalului în procesele de schimbare; ia act de faptul că Consiliul a comunicat rezultatele proiectului</w:t>
      </w:r>
      <w:r w:rsidR="00E71C25">
        <w:rPr>
          <w:kern w:val="2"/>
          <w14:ligatures w14:val="standardContextual"/>
        </w:rPr>
        <w:t>–</w:t>
      </w:r>
      <w:r w:rsidRPr="00D1761C">
        <w:rPr>
          <w:kern w:val="2"/>
          <w14:ligatures w14:val="standardContextual"/>
        </w:rPr>
        <w:t>pilot altor organizații care desfășoară programe similare; invită Consiliul să împărtășească, de asemenea, lecțiile învățate cu autoritatea care acordă descărcarea de gestiune;</w:t>
      </w:r>
    </w:p>
    <w:p w14:paraId="45260DEB"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Cadrul etic și transparența</w:t>
      </w:r>
    </w:p>
    <w:p w14:paraId="5FF0D945" w14:textId="676F5BC0" w:rsidR="00D1761C" w:rsidRPr="00D1761C" w:rsidRDefault="00D1761C" w:rsidP="00D1761C">
      <w:pPr>
        <w:spacing w:after="240"/>
        <w:ind w:left="567" w:hanging="567"/>
        <w:rPr>
          <w:kern w:val="2"/>
          <w14:ligatures w14:val="standardContextual"/>
        </w:rPr>
      </w:pPr>
      <w:r w:rsidRPr="00D1761C">
        <w:rPr>
          <w:kern w:val="2"/>
          <w14:ligatures w14:val="standardContextual"/>
        </w:rPr>
        <w:t>47.</w:t>
      </w:r>
      <w:r w:rsidRPr="00D1761C">
        <w:rPr>
          <w:kern w:val="2"/>
          <w14:ligatures w14:val="standardContextual"/>
        </w:rPr>
        <w:tab/>
        <w:t>regretă că două componente</w:t>
      </w:r>
      <w:r w:rsidR="00E71C25">
        <w:rPr>
          <w:kern w:val="2"/>
          <w14:ligatures w14:val="standardContextual"/>
        </w:rPr>
        <w:t>–</w:t>
      </w:r>
      <w:r w:rsidRPr="00D1761C">
        <w:rPr>
          <w:kern w:val="2"/>
          <w14:ligatures w14:val="standardContextual"/>
        </w:rPr>
        <w:t>cheie ale cadrului etic al Consiliului – „Ghidul privind etica și conduita” pentru personalul Secretariatului și „Codul de conduită al Președintelui Consiliului European” – sunt disponibile pe site</w:t>
      </w:r>
      <w:r w:rsidR="00E71C25">
        <w:rPr>
          <w:kern w:val="2"/>
          <w14:ligatures w14:val="standardContextual"/>
        </w:rPr>
        <w:t>–</w:t>
      </w:r>
      <w:proofErr w:type="spellStart"/>
      <w:r w:rsidRPr="00D1761C">
        <w:rPr>
          <w:kern w:val="2"/>
          <w14:ligatures w14:val="standardContextual"/>
        </w:rPr>
        <w:t>ul</w:t>
      </w:r>
      <w:proofErr w:type="spellEnd"/>
      <w:r w:rsidRPr="00D1761C">
        <w:rPr>
          <w:kern w:val="2"/>
          <w14:ligatures w14:val="standardContextual"/>
        </w:rPr>
        <w:t xml:space="preserve"> Consiliului fără a fi însoțite de orientări suplimentare și fără a se menționa data publicării; critică faptul că, în ciuda mai multor solicitări ale Parlamentului, Codul de conduită al Președintelui Consiliului European nu a fost aliniat cu cel aplicabil în cadrul Parlamentului și al Comisiei, în special în ceea ce privește activitățile care pot fi întreprinse după încheierea mandatului; solicită remedierea cât mai rapidă a deficiențelor de mai sus;</w:t>
      </w:r>
    </w:p>
    <w:p w14:paraId="35CC114C"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48.</w:t>
      </w:r>
      <w:r w:rsidRPr="00D1761C">
        <w:rPr>
          <w:b/>
          <w:i/>
          <w:kern w:val="2"/>
          <w14:ligatures w14:val="standardContextual"/>
        </w:rPr>
        <w:tab/>
      </w:r>
      <w:r w:rsidRPr="00D1761C">
        <w:rPr>
          <w:kern w:val="2"/>
          <w14:ligatures w14:val="standardContextual"/>
        </w:rPr>
        <w:t>reiterează faptul că conduita etică contribuie la buna gestiune financiară și sporește încrederea publicului și că, astfel cum a subliniat Curtea în Raportul său special 13/2019, cadrele etice ale instituțiilor Uniunii pot fi îmbunătățite; reamintește, în special, recomandarea emisă de Curte cu privire la îmbunătățirea cadrului etic al Consiliului; își exprimă îngrijorarea în legătură cu lipsa unui cadru etic comun al Uniunii care să reglementeze activitatea reprezentanților statelor membre în cadrul Consiliului identificată de Curte;</w:t>
      </w:r>
    </w:p>
    <w:p w14:paraId="70C0534B" w14:textId="7C95B931" w:rsidR="00D1761C" w:rsidRPr="00D1761C" w:rsidRDefault="00D1761C" w:rsidP="00D1761C">
      <w:pPr>
        <w:spacing w:after="240"/>
        <w:ind w:left="567" w:hanging="567"/>
        <w:rPr>
          <w:kern w:val="2"/>
          <w14:ligatures w14:val="standardContextual"/>
        </w:rPr>
      </w:pPr>
      <w:r w:rsidRPr="00D1761C">
        <w:rPr>
          <w:kern w:val="2"/>
          <w14:ligatures w14:val="standardContextual"/>
        </w:rPr>
        <w:t>49.</w:t>
      </w:r>
      <w:r w:rsidRPr="00D1761C">
        <w:rPr>
          <w:kern w:val="2"/>
          <w14:ligatures w14:val="standardContextual"/>
        </w:rPr>
        <w:tab/>
        <w:t>ia act de faptul că, în contextul punerii în aplicare a Deciziei 23/2021 a secretarului general privind hărțuirea psihologică și sexuală la locul de muncă, în 2023 au fost întreprinse mai multe acțiuni, cum ar fi publicarea pe intranetul Secretariatului a Ghidului pentru prevenirea hărțuirii la locul de muncă, lansarea unor activități de sensibilizare a nou</w:t>
      </w:r>
      <w:r w:rsidR="00E71C25">
        <w:rPr>
          <w:kern w:val="2"/>
          <w14:ligatures w14:val="standardContextual"/>
        </w:rPr>
        <w:t>–</w:t>
      </w:r>
      <w:r w:rsidRPr="00D1761C">
        <w:rPr>
          <w:kern w:val="2"/>
          <w14:ligatures w14:val="standardContextual"/>
        </w:rPr>
        <w:t>veniților cu privire la abordarea bazată pe toleranță zero a Consiliului și organizarea de cursuri de formare obligatorii privind combaterea hărțuirii și a comportamentului necorespunzător pentru noile cadre de conducere și pentru personalul cu responsabilități de conducere;</w:t>
      </w:r>
    </w:p>
    <w:p w14:paraId="1D48576A" w14:textId="56C146D6" w:rsidR="00D1761C" w:rsidRPr="00D1761C" w:rsidRDefault="00D1761C" w:rsidP="00D1761C">
      <w:pPr>
        <w:spacing w:after="240"/>
        <w:ind w:left="567" w:hanging="567"/>
        <w:rPr>
          <w:kern w:val="2"/>
          <w14:ligatures w14:val="standardContextual"/>
        </w:rPr>
      </w:pPr>
      <w:r w:rsidRPr="00D1761C">
        <w:rPr>
          <w:kern w:val="2"/>
          <w14:ligatures w14:val="standardContextual"/>
        </w:rPr>
        <w:t>50.</w:t>
      </w:r>
      <w:r w:rsidRPr="00D1761C">
        <w:rPr>
          <w:kern w:val="2"/>
          <w14:ligatures w14:val="standardContextual"/>
        </w:rPr>
        <w:tab/>
        <w:t>constată că Secretariatul publică un raport anual conținând informații privind activitățile profesionale ale foștilor înalți funcționari ai Secretariatului după încetarea raporturilor de muncă, în conformitate cu articolul 16 al treilea și al patrulea paragraf din Statutul funcționarilor Uniunii Europene; ia act de faptul că, potrivit raportului referitor la 2023, un fost înalt funcționar și</w:t>
      </w:r>
      <w:r w:rsidR="00E71C25">
        <w:rPr>
          <w:kern w:val="2"/>
          <w14:ligatures w14:val="standardContextual"/>
        </w:rPr>
        <w:t>–</w:t>
      </w:r>
      <w:r w:rsidRPr="00D1761C">
        <w:rPr>
          <w:kern w:val="2"/>
          <w14:ligatures w14:val="standardContextual"/>
        </w:rPr>
        <w:t xml:space="preserve">a declarat intenția de a se angaja în activități profesionale la </w:t>
      </w:r>
      <w:r w:rsidRPr="00D1761C">
        <w:rPr>
          <w:kern w:val="2"/>
          <w14:ligatures w14:val="standardContextual"/>
        </w:rPr>
        <w:lastRenderedPageBreak/>
        <w:t>mai puțin de 12 luni de la părăsirea funcției și a primit din partea autorității împuternicite să facă numiri permisiunea de a desfășura o activitate profesională sub rezerva unei anumite condiții, menite să asigure respectarea perioadei minime de la părăsirea funcției în care nu pot fi exercitate anumite activități, astfel cum este prevăzută la articolul 16 al doilea paragraf din Statutul funcționarilor;</w:t>
      </w:r>
    </w:p>
    <w:p w14:paraId="7B4E3806"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51.</w:t>
      </w:r>
      <w:r w:rsidRPr="00D1761C">
        <w:rPr>
          <w:b/>
          <w:i/>
          <w:kern w:val="2"/>
          <w14:ligatures w14:val="standardContextual"/>
        </w:rPr>
        <w:tab/>
      </w:r>
      <w:r w:rsidRPr="00D1761C">
        <w:rPr>
          <w:kern w:val="2"/>
          <w14:ligatures w14:val="standardContextual"/>
        </w:rPr>
        <w:t>îndeamnă Consiliul să stabilească norme mai stricte privind încadrarea în muncă după expirarea mandatului pentru înalții funcționari, inclusiv o perioadă prelungită de existență a stării de incompatibilitate și publicarea obligatorie a informațiilor privind afilierile din sectorul privat; invită Consiliul să impună obligativitatea participării reprezentanțelor permanente ale statelor membre la Registrul de transparență al UE;</w:t>
      </w:r>
    </w:p>
    <w:p w14:paraId="02C83911"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52.</w:t>
      </w:r>
      <w:r w:rsidRPr="00D1761C">
        <w:rPr>
          <w:kern w:val="2"/>
          <w14:ligatures w14:val="standardContextual"/>
        </w:rPr>
        <w:tab/>
        <w:t>regretă faptul că participarea reprezentanților permanenți ai statelor membre la registrul de transparență obligatoriu, instituit prin Acordul interinstituțional din 20 mai 2021 dintre Parlament, Consiliu și Comisie, are un caracter complet voluntar, deoarece aplicarea principiului condiționalității este lăsată la latitudinea reprezentanței permanente a fiecărui stat membru; ia act de faptul că numai opt state membre și instituțiile Uniunii respectă cele mai bune practici în materie de aplicare a unei definiții obligatorii extinse a noțiunii de „</w:t>
      </w:r>
      <w:proofErr w:type="spellStart"/>
      <w:r w:rsidRPr="00D1761C">
        <w:rPr>
          <w:kern w:val="2"/>
          <w14:ligatures w14:val="standardContextual"/>
        </w:rPr>
        <w:t>lobbyiști</w:t>
      </w:r>
      <w:proofErr w:type="spellEnd"/>
      <w:r w:rsidRPr="00D1761C">
        <w:rPr>
          <w:kern w:val="2"/>
          <w14:ligatures w14:val="standardContextual"/>
        </w:rPr>
        <w:t xml:space="preserve">” în cadrul lor normativ și insistă asupra faptului că toate reprezentanțele permanente ar trebui să participe activ la registrul obligatoriu de transparență înainte de preluarea de către statul membru de care aparțin a Președinției prin rotație a Consiliului, pe durata acesteia și după încheierea sa; solicită norme etice mai stricte și armonizate privind conflictele de interese, practica „ușilor turnante” și transparența activităților de lobby; reamintește poziția Parlamentului potrivit căreia reprezentanților statelor membre care beneficiază în mod direct de subvenții din partea Uniunii prin intermediul firmelor pe care le dețin nu ar trebui să li se permită să participe la dezbaterile politice sau bugetare și la procedurile de vot legate de subvențiile respective; regretă că Consiliul nu utilizează pe deplin registrul de transparență obligatoriu și nici nu acceptă propuneri de îmbunătățire a acestuia; își reiterează apelul adresat Consiliului de a pune capăt practicii de a organiza întâlniri cu </w:t>
      </w:r>
      <w:proofErr w:type="spellStart"/>
      <w:r w:rsidRPr="00D1761C">
        <w:rPr>
          <w:kern w:val="2"/>
          <w14:ligatures w14:val="standardContextual"/>
        </w:rPr>
        <w:t>lobbyiștii</w:t>
      </w:r>
      <w:proofErr w:type="spellEnd"/>
      <w:r w:rsidRPr="00D1761C">
        <w:rPr>
          <w:kern w:val="2"/>
          <w14:ligatures w14:val="standardContextual"/>
        </w:rPr>
        <w:t xml:space="preserve"> neînregistrați;</w:t>
      </w:r>
    </w:p>
    <w:p w14:paraId="5641F074"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53.</w:t>
      </w:r>
      <w:r w:rsidRPr="00D1761C">
        <w:rPr>
          <w:b/>
          <w:i/>
          <w:kern w:val="2"/>
          <w14:ligatures w14:val="standardContextual"/>
        </w:rPr>
        <w:tab/>
      </w:r>
      <w:r w:rsidRPr="00D1761C">
        <w:rPr>
          <w:kern w:val="2"/>
          <w14:ligatures w14:val="standardContextual"/>
        </w:rPr>
        <w:t xml:space="preserve">regretă că, în plus față de limitările actuale ale registrului de transparență obligatoriu, el nu este utilizat pe deplin de către Consiliu, care respinge orice recomandare de îmbunătățire a acestuia; își reiterează apelul adresat Consiliului de a pune capăt practicii de a organiza întâlniri cu </w:t>
      </w:r>
      <w:proofErr w:type="spellStart"/>
      <w:r w:rsidRPr="00D1761C">
        <w:rPr>
          <w:kern w:val="2"/>
          <w14:ligatures w14:val="standardContextual"/>
        </w:rPr>
        <w:t>lobbyiștii</w:t>
      </w:r>
      <w:proofErr w:type="spellEnd"/>
      <w:r w:rsidRPr="00D1761C">
        <w:rPr>
          <w:kern w:val="2"/>
          <w14:ligatures w14:val="standardContextual"/>
        </w:rPr>
        <w:t xml:space="preserve"> neînregistrați;</w:t>
      </w:r>
    </w:p>
    <w:p w14:paraId="3AB28396" w14:textId="2F038C72" w:rsidR="00D1761C" w:rsidRPr="00D1761C" w:rsidRDefault="00D1761C" w:rsidP="00D1761C">
      <w:pPr>
        <w:spacing w:after="240"/>
        <w:ind w:left="567" w:hanging="567"/>
        <w:rPr>
          <w:kern w:val="2"/>
          <w14:ligatures w14:val="standardContextual"/>
        </w:rPr>
      </w:pPr>
      <w:r w:rsidRPr="00D1761C">
        <w:rPr>
          <w:kern w:val="2"/>
          <w14:ligatures w14:val="standardContextual"/>
        </w:rPr>
        <w:t>54.</w:t>
      </w:r>
      <w:r w:rsidRPr="00D1761C">
        <w:rPr>
          <w:b/>
          <w:i/>
          <w:kern w:val="2"/>
          <w14:ligatures w14:val="standardContextual"/>
        </w:rPr>
        <w:tab/>
      </w:r>
      <w:r w:rsidRPr="00D1761C">
        <w:rPr>
          <w:kern w:val="2"/>
          <w14:ligatures w14:val="standardContextual"/>
        </w:rPr>
        <w:t xml:space="preserve">îndeamnă Consiliul să impună obligația ca toți înalții funcționari, inclusiv reprezentanții permanenți și șefii de delegație, să facă publice reuniunile lor cu grupurile de interese și cu </w:t>
      </w:r>
      <w:proofErr w:type="spellStart"/>
      <w:r w:rsidRPr="00D1761C">
        <w:rPr>
          <w:kern w:val="2"/>
          <w14:ligatures w14:val="standardContextual"/>
        </w:rPr>
        <w:t>lobbyiștii</w:t>
      </w:r>
      <w:proofErr w:type="spellEnd"/>
      <w:r w:rsidRPr="00D1761C">
        <w:rPr>
          <w:kern w:val="2"/>
          <w14:ligatures w14:val="standardContextual"/>
        </w:rPr>
        <w:t xml:space="preserve"> </w:t>
      </w:r>
      <w:proofErr w:type="spellStart"/>
      <w:r w:rsidRPr="00D1761C">
        <w:rPr>
          <w:kern w:val="2"/>
          <w14:ligatures w14:val="standardContextual"/>
        </w:rPr>
        <w:t>într</w:t>
      </w:r>
      <w:proofErr w:type="spellEnd"/>
      <w:r w:rsidR="00E71C25">
        <w:rPr>
          <w:kern w:val="2"/>
          <w14:ligatures w14:val="standardContextual"/>
        </w:rPr>
        <w:t>–</w:t>
      </w:r>
      <w:r w:rsidRPr="00D1761C">
        <w:rPr>
          <w:kern w:val="2"/>
          <w14:ligatures w14:val="standardContextual"/>
        </w:rPr>
        <w:t>un registru de transparență standardizat, după modelul obligațiilor impuse deputaților în Parlamentul European și membrilor Comisiei Europene;</w:t>
      </w:r>
    </w:p>
    <w:p w14:paraId="6D6EDC1E" w14:textId="62F42A04" w:rsidR="00D1761C" w:rsidRPr="00D1761C" w:rsidRDefault="00D1761C" w:rsidP="00D1761C">
      <w:pPr>
        <w:spacing w:after="240"/>
        <w:ind w:left="567" w:hanging="567"/>
        <w:rPr>
          <w:b/>
          <w:i/>
          <w:kern w:val="2"/>
          <w14:ligatures w14:val="standardContextual"/>
        </w:rPr>
      </w:pPr>
      <w:r w:rsidRPr="00D1761C">
        <w:rPr>
          <w:kern w:val="2"/>
          <w14:ligatures w14:val="standardContextual"/>
        </w:rPr>
        <w:t>55.</w:t>
      </w:r>
      <w:r w:rsidRPr="00D1761C">
        <w:rPr>
          <w:kern w:val="2"/>
          <w14:ligatures w14:val="standardContextual"/>
        </w:rPr>
        <w:tab/>
        <w:t>regretă profund că Consiliul continuă să refuze sau să întârzie în mod sistematic accesul la documentele legislative, precum și că procesul decizional din cadrul Consiliului este încă departe de a fi pe deplin transparent, ceea ce afectează în mod negativ încrederea cetățenilor în Uniune ca entitate transparentă și pune astfel în pericol reputația Uniunii în ansamblu; reamintește și sprijină recomandările Ombudsmanului European privind transparența procesului legislativ al Consiliului, formulate în cadrul anchetei strategice OI/2/2017/TE; invită insistent Consiliul să ia toate măsurile necesare pentru a pune în aplicare recomandările Ombudsmanului și hotărârile relevante ale Curții de Justiție a Uniunii Europene, fără întârzieri nejustificate; întrucât, în hotărârea sa în cauza T</w:t>
      </w:r>
      <w:r w:rsidR="00E71C25">
        <w:rPr>
          <w:kern w:val="2"/>
          <w14:ligatures w14:val="standardContextual"/>
        </w:rPr>
        <w:t>–</w:t>
      </w:r>
      <w:r w:rsidRPr="00D1761C">
        <w:rPr>
          <w:kern w:val="2"/>
          <w14:ligatures w14:val="standardContextual"/>
        </w:rPr>
        <w:lastRenderedPageBreak/>
        <w:t xml:space="preserve">163/21 De </w:t>
      </w:r>
      <w:proofErr w:type="spellStart"/>
      <w:r w:rsidRPr="00D1761C">
        <w:rPr>
          <w:kern w:val="2"/>
          <w14:ligatures w14:val="standardContextual"/>
        </w:rPr>
        <w:t>Capitani</w:t>
      </w:r>
      <w:proofErr w:type="spellEnd"/>
      <w:r w:rsidRPr="00D1761C">
        <w:rPr>
          <w:kern w:val="2"/>
          <w14:ligatures w14:val="standardContextual"/>
        </w:rPr>
        <w:t xml:space="preserve">/Consiliul, Curtea de Justiție a Uniunii Europene a subliniat că este necesară o transparență legislativă mai netă din partea Consiliului în asigurarea accesului la documentele legislative, care corespunde obligației Consiliului de a se supune controlului public și de a răspunde în fața </w:t>
      </w:r>
      <w:proofErr w:type="spellStart"/>
      <w:r w:rsidRPr="00D1761C">
        <w:rPr>
          <w:kern w:val="2"/>
          <w14:ligatures w14:val="standardContextual"/>
        </w:rPr>
        <w:t>colegislatorilor</w:t>
      </w:r>
      <w:proofErr w:type="spellEnd"/>
      <w:r w:rsidRPr="00D1761C">
        <w:rPr>
          <w:kern w:val="2"/>
          <w14:ligatures w14:val="standardContextual"/>
        </w:rPr>
        <w:t>, ca bază a oricărei legitimități democratice;</w:t>
      </w:r>
    </w:p>
    <w:p w14:paraId="50FF67CE" w14:textId="3B505290" w:rsidR="00D1761C" w:rsidRPr="00D1761C" w:rsidRDefault="00D1761C" w:rsidP="00D1761C">
      <w:pPr>
        <w:spacing w:after="240"/>
        <w:ind w:left="567" w:hanging="567"/>
        <w:rPr>
          <w:kern w:val="2"/>
          <w14:ligatures w14:val="standardContextual"/>
        </w:rPr>
      </w:pPr>
      <w:r w:rsidRPr="00D1761C">
        <w:rPr>
          <w:kern w:val="2"/>
          <w14:ligatures w14:val="standardContextual"/>
        </w:rPr>
        <w:t>56.</w:t>
      </w:r>
      <w:r w:rsidRPr="00D1761C">
        <w:rPr>
          <w:kern w:val="2"/>
          <w14:ligatures w14:val="standardContextual"/>
        </w:rPr>
        <w:tab/>
        <w:t xml:space="preserve">este preocupat de faptul că, în 2023, Ombudsmanul European a solicitat din nou Consiliului să pună la dispoziție documente legislative </w:t>
      </w:r>
      <w:proofErr w:type="spellStart"/>
      <w:r w:rsidRPr="00D1761C">
        <w:rPr>
          <w:kern w:val="2"/>
          <w14:ligatures w14:val="standardContextual"/>
        </w:rPr>
        <w:t>într</w:t>
      </w:r>
      <w:proofErr w:type="spellEnd"/>
      <w:r w:rsidR="00E71C25">
        <w:rPr>
          <w:kern w:val="2"/>
          <w14:ligatures w14:val="standardContextual"/>
        </w:rPr>
        <w:t>–</w:t>
      </w:r>
      <w:r w:rsidRPr="00D1761C">
        <w:rPr>
          <w:kern w:val="2"/>
          <w14:ligatures w14:val="standardContextual"/>
        </w:rPr>
        <w:t>un moment care să permită publicului să participe efectiv la discuții; ia act de faptul că Ombudsmanul European a solicitat, de asemenea, Consiliului să își continue eforturile de informare adecvată a publicului, în cea mai mare măsură posibilă, în legătură cu măsurile restrictive adoptate împotriva Rusiei; salută ancheta strategică lansată de Ombudsmanul European în 2023 cu privire la modul în care instituțiile tratează cererile de acces public la documente legislative, în special pe baza a șase plângeri recente adresate Ombudsmanului cu privire la accesul public la documentele legislative ale Uniunii gestionate de Consiliu;</w:t>
      </w:r>
    </w:p>
    <w:p w14:paraId="713E1BE1" w14:textId="421A3333" w:rsidR="00D1761C" w:rsidRPr="00D1761C" w:rsidRDefault="00D1761C" w:rsidP="00D1761C">
      <w:pPr>
        <w:spacing w:after="240"/>
        <w:ind w:left="567" w:hanging="567"/>
        <w:rPr>
          <w:kern w:val="2"/>
          <w14:ligatures w14:val="standardContextual"/>
        </w:rPr>
      </w:pPr>
      <w:r w:rsidRPr="00D1761C">
        <w:rPr>
          <w:kern w:val="2"/>
          <w14:ligatures w14:val="standardContextual"/>
        </w:rPr>
        <w:t>57.</w:t>
      </w:r>
      <w:r w:rsidRPr="00D1761C">
        <w:rPr>
          <w:kern w:val="2"/>
          <w14:ligatures w14:val="standardContextual"/>
        </w:rPr>
        <w:tab/>
        <w:t>ia act de faptul că echipa responsabilă pentru accesul la documente a raportat că, în 2023, a primit și a răspuns la un număr neobișnuit de mare de cereri de acces public la documente, existând 3 732 de cereri inițiale de acces la documente, la care se adaugă 40 de cereri de confirmare, ceea ce a făcut necesară analiza a 13 912 documente; ia act de faptul că, dintre cererile inițiale de acces, s</w:t>
      </w:r>
      <w:r w:rsidR="00E71C25">
        <w:rPr>
          <w:kern w:val="2"/>
          <w14:ligatures w14:val="standardContextual"/>
        </w:rPr>
        <w:t>–</w:t>
      </w:r>
      <w:r w:rsidRPr="00D1761C">
        <w:rPr>
          <w:kern w:val="2"/>
          <w14:ligatures w14:val="standardContextual"/>
        </w:rPr>
        <w:t>a acordat acces deplin la 10 908 documente (78,4 %) și acces parțial la 1 600 de documente (11,5 %), în timp ce accesul a fost refuzat în cazul unui număr de 1 404 documente (10,1 %); ia act de faptul că, pentru cererile de confirmare, s</w:t>
      </w:r>
      <w:r w:rsidR="00E71C25">
        <w:rPr>
          <w:kern w:val="2"/>
          <w14:ligatures w14:val="standardContextual"/>
        </w:rPr>
        <w:t>–</w:t>
      </w:r>
      <w:r w:rsidRPr="00D1761C">
        <w:rPr>
          <w:kern w:val="2"/>
          <w14:ligatures w14:val="standardContextual"/>
        </w:rPr>
        <w:t>a acordat acces deplin la 53 de documente și acces parțial la 45 de documente, în timp ce în cazul unui număr de 48 de documente accesul a fost refuzat; ia act de faptul că cererile inițiale au fost prelucrate, în medie, în 16 zile lucrătoare, iar cererile de confirmare în 32 de zile lucrătoare;</w:t>
      </w:r>
    </w:p>
    <w:p w14:paraId="76C082F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58.</w:t>
      </w:r>
      <w:r w:rsidRPr="00D1761C">
        <w:rPr>
          <w:kern w:val="2"/>
          <w14:ligatures w14:val="standardContextual"/>
        </w:rPr>
        <w:tab/>
        <w:t>salută faptul că, potrivit rapoartelor anuale puse la dispoziția publicului, niciun caz care să implice fraude sau nereguli nu a fost adus la cunoștința ordonatorilor de credite delegați responsabili în cursul anului 2023, iar astfel de cazuri nu au fost supuse atenției comitetului (articolul 143 din Regulamentul financiar) sau a OLAF;</w:t>
      </w:r>
    </w:p>
    <w:p w14:paraId="526D443A"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Digitalizarea</w:t>
      </w:r>
    </w:p>
    <w:p w14:paraId="44DF40B5" w14:textId="4903871A" w:rsidR="00D1761C" w:rsidRPr="00D1761C" w:rsidRDefault="00D1761C" w:rsidP="00D1761C">
      <w:pPr>
        <w:spacing w:after="240"/>
        <w:ind w:left="567" w:hanging="567"/>
        <w:rPr>
          <w:kern w:val="2"/>
          <w14:ligatures w14:val="standardContextual"/>
        </w:rPr>
      </w:pPr>
      <w:r w:rsidRPr="00D1761C">
        <w:rPr>
          <w:kern w:val="2"/>
          <w14:ligatures w14:val="standardContextual"/>
        </w:rPr>
        <w:t>59.</w:t>
      </w:r>
      <w:r w:rsidRPr="00D1761C">
        <w:rPr>
          <w:kern w:val="2"/>
          <w14:ligatures w14:val="standardContextual"/>
        </w:rPr>
        <w:tab/>
        <w:t>ia act de faptul că, în 2023, Secretariatul a continuat să își urmărească obiectivul de transformare digitală, în conformitate cu prioritățile Strategiei sale digitale pentru perioada 2022</w:t>
      </w:r>
      <w:r w:rsidR="00E71C25">
        <w:rPr>
          <w:kern w:val="2"/>
          <w14:ligatures w14:val="standardContextual"/>
        </w:rPr>
        <w:t>–</w:t>
      </w:r>
      <w:r w:rsidRPr="00D1761C">
        <w:rPr>
          <w:kern w:val="2"/>
          <w14:ligatures w14:val="standardContextual"/>
        </w:rPr>
        <w:t>2025; ia act de faptul că, dintre cele 113 proiecte de digitalizare din planul anual de lucru, care vizau, în special, domenii precum serviciile partajate, politicile, aspectele juridice și TI, 37 % au fost finalizate la sfârșitul anului, în timp ce 8 % au fost anulate sau fuzionate, iar 38 % sunt încă în curs; ia act de faptul că au fost organizate cursuri de formare mai diversificate, inclusiv cursuri specifice pentru semnarea electronică a contractelor și pentru promovarea sistemului FIORI, noua formă de prezentare a sistemului integrat de gestiune SAP;</w:t>
      </w:r>
    </w:p>
    <w:p w14:paraId="43C23F36"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60.</w:t>
      </w:r>
      <w:r w:rsidRPr="00D1761C">
        <w:rPr>
          <w:b/>
          <w:i/>
          <w:kern w:val="2"/>
          <w14:ligatures w14:val="standardContextual"/>
        </w:rPr>
        <w:tab/>
      </w:r>
      <w:r w:rsidRPr="00D1761C">
        <w:rPr>
          <w:kern w:val="2"/>
          <w14:ligatures w14:val="standardContextual"/>
        </w:rPr>
        <w:t>îndeamnă Consiliul să accelereze punerea în aplicare a unor sisteme digitale sigure de votare și de partajare a documentelor pentru a spori eficiența, responsabilitatea și a reduce procesele inutile pe suport de hârtie;</w:t>
      </w:r>
    </w:p>
    <w:p w14:paraId="0DFFE432" w14:textId="1586C939" w:rsidR="00D1761C" w:rsidRPr="00D1761C" w:rsidRDefault="00D1761C" w:rsidP="00D1761C">
      <w:pPr>
        <w:spacing w:after="240"/>
        <w:ind w:left="567" w:hanging="567"/>
        <w:rPr>
          <w:kern w:val="2"/>
          <w:szCs w:val="24"/>
          <w14:ligatures w14:val="standardContextual"/>
        </w:rPr>
      </w:pPr>
      <w:r w:rsidRPr="00D1761C">
        <w:rPr>
          <w:kern w:val="2"/>
          <w14:ligatures w14:val="standardContextual"/>
        </w:rPr>
        <w:t>61.</w:t>
      </w:r>
      <w:r w:rsidRPr="00D1761C">
        <w:rPr>
          <w:kern w:val="2"/>
          <w14:ligatures w14:val="standardContextual"/>
        </w:rPr>
        <w:tab/>
        <w:t xml:space="preserve">salută faptul că, în 2023, 97 % dintre facturi au fost transmise electronic, la fel ca în 2022; ia act de faptul că, pe parcursul anului 2023, între 30 și 40 % dintre comenzi și </w:t>
      </w:r>
      <w:r w:rsidRPr="00D1761C">
        <w:rPr>
          <w:kern w:val="2"/>
          <w14:ligatures w14:val="standardContextual"/>
        </w:rPr>
        <w:lastRenderedPageBreak/>
        <w:t>contracte au fost semnate electronic în fiecare lună, ceea ce înseamnă că s</w:t>
      </w:r>
      <w:r w:rsidR="00E71C25">
        <w:rPr>
          <w:kern w:val="2"/>
          <w14:ligatures w14:val="standardContextual"/>
        </w:rPr>
        <w:t>–</w:t>
      </w:r>
      <w:r w:rsidRPr="00D1761C">
        <w:rPr>
          <w:kern w:val="2"/>
          <w14:ligatures w14:val="standardContextual"/>
        </w:rPr>
        <w:t>au înregistrat progrese semnificative în direcția digitalizării complete a fluxului de lucru financiar, de la lansarea procedurilor de achiziții până la plata facturilor pe cale electronică;</w:t>
      </w:r>
    </w:p>
    <w:p w14:paraId="2CE20305"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62.</w:t>
      </w:r>
      <w:r w:rsidRPr="00D1761C">
        <w:rPr>
          <w:kern w:val="2"/>
          <w14:ligatures w14:val="standardContextual"/>
        </w:rPr>
        <w:tab/>
        <w:t>ia act de faptul că, în 2023, Consiliul a luat măsuri în favoarea creșterii accesibilității digitale, în special prin publicarea unui Ghid privind accesibilitatea digitală;</w:t>
      </w:r>
    </w:p>
    <w:p w14:paraId="759A9AC6"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Securitatea cibernetică și protecția datelor</w:t>
      </w:r>
    </w:p>
    <w:p w14:paraId="47309477"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63.</w:t>
      </w:r>
      <w:r w:rsidRPr="00D1761C">
        <w:rPr>
          <w:kern w:val="2"/>
          <w14:ligatures w14:val="standardContextual"/>
        </w:rPr>
        <w:tab/>
        <w:t xml:space="preserve">ia act de faptul că, în 2023, Autoritatea Europeană pentru Protecția Datelor (AEPD) a emis un aviz de supraveghere în conformitate cu articolul 57 alineatul (1) litera (g) din Regulamentul (UE) 2018/1725 </w:t>
      </w:r>
      <w:r w:rsidRPr="00D1761C">
        <w:rPr>
          <w:bCs/>
          <w:kern w:val="2"/>
          <w14:ligatures w14:val="standardContextual"/>
        </w:rPr>
        <w:t>al Parlamentului European și al Consiliului </w:t>
      </w:r>
      <w:r w:rsidRPr="00D1761C">
        <w:rPr>
          <w:bCs/>
          <w:kern w:val="2"/>
          <w:vertAlign w:val="superscript"/>
          <w14:ligatures w14:val="standardContextual"/>
        </w:rPr>
        <w:footnoteReference w:id="8"/>
      </w:r>
      <w:r w:rsidRPr="00D1761C">
        <w:rPr>
          <w:kern w:val="2"/>
          <w14:ligatures w14:val="standardContextual"/>
        </w:rPr>
        <w:t xml:space="preserve"> cu privire la necesitatea de a efectua o evaluare a impactului asupra protecției datelor în legătură cu proiectul Secretariatului care viza utilizarea serviciilor centralizate de analiză și raportare a datelor privind resursele umane și cu înființarea unui depozit de date; ia act de faptul că AEPD nu a raportat nicio anchetă sau plângere care să vizeze Consiliu în 2023;</w:t>
      </w:r>
    </w:p>
    <w:p w14:paraId="2DBC80DC" w14:textId="77777777" w:rsidR="00D1761C" w:rsidRPr="00D1761C" w:rsidRDefault="00D1761C" w:rsidP="00D1761C">
      <w:pPr>
        <w:spacing w:after="240"/>
        <w:ind w:left="567" w:hanging="567"/>
        <w:rPr>
          <w:b/>
          <w:i/>
          <w:kern w:val="2"/>
          <w14:ligatures w14:val="standardContextual"/>
        </w:rPr>
      </w:pPr>
      <w:r w:rsidRPr="00D1761C">
        <w:rPr>
          <w:kern w:val="2"/>
          <w14:ligatures w14:val="standardContextual"/>
        </w:rPr>
        <w:t>64.</w:t>
      </w:r>
      <w:r w:rsidRPr="00D1761C">
        <w:rPr>
          <w:b/>
          <w:i/>
          <w:kern w:val="2"/>
          <w14:ligatures w14:val="standardContextual"/>
        </w:rPr>
        <w:tab/>
      </w:r>
      <w:r w:rsidRPr="00D1761C">
        <w:rPr>
          <w:kern w:val="2"/>
          <w14:ligatures w14:val="standardContextual"/>
        </w:rPr>
        <w:t>își exprimă îngrijorarea cu privire la lipsa unor garanții solide împotriva supravegherii și colectării datelor de către părți terțe; solicită măsuri de securitate consolidate, inclusiv criptarea obligatorie a datelor și audituri periodice de securitate ale tuturor sistemelor de comunicații digitale utilizate de Consiliu;</w:t>
      </w:r>
    </w:p>
    <w:p w14:paraId="33A8336B" w14:textId="77777777" w:rsidR="00D1761C" w:rsidRPr="00D1761C" w:rsidRDefault="00D1761C" w:rsidP="00D1761C">
      <w:pPr>
        <w:spacing w:after="240"/>
        <w:ind w:left="567" w:hanging="567"/>
        <w:rPr>
          <w:b/>
          <w:kern w:val="2"/>
          <w14:ligatures w14:val="standardContextual"/>
        </w:rPr>
      </w:pPr>
      <w:r w:rsidRPr="00D1761C">
        <w:rPr>
          <w:kern w:val="2"/>
          <w14:ligatures w14:val="standardContextual"/>
        </w:rPr>
        <w:t>65.</w:t>
      </w:r>
      <w:r w:rsidRPr="00D1761C">
        <w:rPr>
          <w:kern w:val="2"/>
          <w14:ligatures w14:val="standardContextual"/>
        </w:rPr>
        <w:tab/>
        <w:t>ia act de faptul că, pentru a îmbunătăți gradul de sensibilizare și de pregătire în materie de securitate cibernetică al personalului său, Secretariatul a conceput și a lansat, în 2023, mai multe noi cursuri de formare legate de securitatea informațiilor, de contraspionaj și de securitatea cibernetică; constată totodată că, în octombrie 2023, pe durata Lunii Securității Cibernetice, au fost organizate evenimente de sensibilizare cu privire la securitatea cibernetică și la securitatea informațiilor;</w:t>
      </w:r>
    </w:p>
    <w:p w14:paraId="56C94BE3" w14:textId="77777777" w:rsidR="00D1761C" w:rsidRPr="00D1761C" w:rsidRDefault="00D1761C" w:rsidP="00D1761C">
      <w:pPr>
        <w:spacing w:after="240"/>
        <w:ind w:left="567" w:hanging="567"/>
        <w:rPr>
          <w:b/>
          <w:bCs/>
          <w:i/>
          <w:kern w:val="2"/>
          <w14:ligatures w14:val="standardContextual"/>
        </w:rPr>
      </w:pPr>
      <w:r w:rsidRPr="00D1761C">
        <w:rPr>
          <w:b/>
          <w:i/>
          <w:kern w:val="2"/>
          <w14:ligatures w14:val="standardContextual"/>
        </w:rPr>
        <w:t>Clădirile</w:t>
      </w:r>
    </w:p>
    <w:p w14:paraId="03713044" w14:textId="782FBFA4" w:rsidR="00D1761C" w:rsidRPr="00D1761C" w:rsidRDefault="00D1761C" w:rsidP="00D1761C">
      <w:pPr>
        <w:spacing w:after="240"/>
        <w:ind w:left="567" w:hanging="567"/>
        <w:rPr>
          <w:kern w:val="2"/>
          <w14:ligatures w14:val="standardContextual"/>
        </w:rPr>
      </w:pPr>
      <w:r w:rsidRPr="00D1761C">
        <w:rPr>
          <w:kern w:val="2"/>
          <w14:ligatures w14:val="standardContextual"/>
        </w:rPr>
        <w:t>66.</w:t>
      </w:r>
      <w:r w:rsidRPr="00D1761C">
        <w:rPr>
          <w:kern w:val="2"/>
          <w14:ligatures w14:val="standardContextual"/>
        </w:rPr>
        <w:tab/>
        <w:t xml:space="preserve">constată că linia bugetară 2 0 1 1 pentru „Apă, gaz, electricitate și încălzire” a fost majorată cu 33 % </w:t>
      </w:r>
      <w:proofErr w:type="spellStart"/>
      <w:r w:rsidRPr="00D1761C">
        <w:rPr>
          <w:kern w:val="2"/>
          <w14:ligatures w14:val="standardContextual"/>
        </w:rPr>
        <w:t>printr</w:t>
      </w:r>
      <w:proofErr w:type="spellEnd"/>
      <w:r w:rsidR="00E71C25">
        <w:rPr>
          <w:kern w:val="2"/>
          <w14:ligatures w14:val="standardContextual"/>
        </w:rPr>
        <w:t>–</w:t>
      </w:r>
      <w:r w:rsidRPr="00D1761C">
        <w:rPr>
          <w:kern w:val="2"/>
          <w14:ligatures w14:val="standardContextual"/>
        </w:rPr>
        <w:t xml:space="preserve">un transfer bugetar realizat în 2023; ia act de faptul că Secretariatul a continuat să își reducă consumul de energie, prin metode precum reducerea încălzirii din clădiri și înlocuirea centralelor termice din clădirea </w:t>
      </w:r>
      <w:proofErr w:type="spellStart"/>
      <w:r w:rsidRPr="00D1761C">
        <w:rPr>
          <w:kern w:val="2"/>
          <w14:ligatures w14:val="standardContextual"/>
        </w:rPr>
        <w:t>Justus</w:t>
      </w:r>
      <w:proofErr w:type="spellEnd"/>
      <w:r w:rsidRPr="00D1761C">
        <w:rPr>
          <w:kern w:val="2"/>
          <w14:ligatures w14:val="standardContextual"/>
        </w:rPr>
        <w:t xml:space="preserve"> </w:t>
      </w:r>
      <w:proofErr w:type="spellStart"/>
      <w:r w:rsidRPr="00D1761C">
        <w:rPr>
          <w:kern w:val="2"/>
          <w14:ligatures w14:val="standardContextual"/>
        </w:rPr>
        <w:t>Lipsius</w:t>
      </w:r>
      <w:proofErr w:type="spellEnd"/>
      <w:r w:rsidRPr="00D1761C">
        <w:rPr>
          <w:kern w:val="2"/>
          <w14:ligatures w14:val="standardContextual"/>
        </w:rPr>
        <w:t>;</w:t>
      </w:r>
    </w:p>
    <w:p w14:paraId="28554A4A"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67.</w:t>
      </w:r>
      <w:r w:rsidRPr="00D1761C">
        <w:rPr>
          <w:kern w:val="2"/>
          <w14:ligatures w14:val="standardContextual"/>
        </w:rPr>
        <w:tab/>
        <w:t xml:space="preserve">ia act de faptul că în 2023 au fost executate proiecte imobiliare cheie, cum ar fi renovarea unor săli de reuniune din clădirile LEX și </w:t>
      </w:r>
      <w:proofErr w:type="spellStart"/>
      <w:r w:rsidRPr="00D1761C">
        <w:rPr>
          <w:kern w:val="2"/>
          <w14:ligatures w14:val="standardContextual"/>
        </w:rPr>
        <w:t>Justus</w:t>
      </w:r>
      <w:proofErr w:type="spellEnd"/>
      <w:r w:rsidRPr="00D1761C">
        <w:rPr>
          <w:kern w:val="2"/>
          <w14:ligatures w14:val="standardContextual"/>
        </w:rPr>
        <w:t xml:space="preserve"> </w:t>
      </w:r>
      <w:proofErr w:type="spellStart"/>
      <w:r w:rsidRPr="00D1761C">
        <w:rPr>
          <w:kern w:val="2"/>
          <w14:ligatures w14:val="standardContextual"/>
        </w:rPr>
        <w:t>Lipsius</w:t>
      </w:r>
      <w:proofErr w:type="spellEnd"/>
      <w:r w:rsidRPr="00D1761C">
        <w:rPr>
          <w:kern w:val="2"/>
          <w14:ligatures w14:val="standardContextual"/>
        </w:rPr>
        <w:t xml:space="preserve">, renovarea continuă a coridoarelor aferente birourilor din clădirea </w:t>
      </w:r>
      <w:proofErr w:type="spellStart"/>
      <w:r w:rsidRPr="00D1761C">
        <w:rPr>
          <w:kern w:val="2"/>
          <w14:ligatures w14:val="standardContextual"/>
        </w:rPr>
        <w:t>Justus</w:t>
      </w:r>
      <w:proofErr w:type="spellEnd"/>
      <w:r w:rsidRPr="00D1761C">
        <w:rPr>
          <w:kern w:val="2"/>
          <w14:ligatures w14:val="standardContextual"/>
        </w:rPr>
        <w:t xml:space="preserve"> </w:t>
      </w:r>
      <w:proofErr w:type="spellStart"/>
      <w:r w:rsidRPr="00D1761C">
        <w:rPr>
          <w:kern w:val="2"/>
          <w14:ligatures w14:val="standardContextual"/>
        </w:rPr>
        <w:t>Lipsius</w:t>
      </w:r>
      <w:proofErr w:type="spellEnd"/>
      <w:r w:rsidRPr="00D1761C">
        <w:rPr>
          <w:kern w:val="2"/>
          <w14:ligatures w14:val="standardContextual"/>
        </w:rPr>
        <w:t xml:space="preserve">, îmbunătățirea instalațiilor și a infrastructurii pentru biciclete în clădirile Consiliului și modernizarea birourilor de primire din clădirea </w:t>
      </w:r>
      <w:proofErr w:type="spellStart"/>
      <w:r w:rsidRPr="00D1761C">
        <w:rPr>
          <w:kern w:val="2"/>
          <w14:ligatures w14:val="standardContextual"/>
        </w:rPr>
        <w:t>Justus</w:t>
      </w:r>
      <w:proofErr w:type="spellEnd"/>
      <w:r w:rsidRPr="00D1761C">
        <w:rPr>
          <w:kern w:val="2"/>
          <w14:ligatures w14:val="standardContextual"/>
        </w:rPr>
        <w:t xml:space="preserve"> </w:t>
      </w:r>
      <w:proofErr w:type="spellStart"/>
      <w:r w:rsidRPr="00D1761C">
        <w:rPr>
          <w:kern w:val="2"/>
          <w14:ligatures w14:val="standardContextual"/>
        </w:rPr>
        <w:t>Lipsius</w:t>
      </w:r>
      <w:proofErr w:type="spellEnd"/>
      <w:r w:rsidRPr="00D1761C">
        <w:rPr>
          <w:kern w:val="2"/>
          <w14:ligatures w14:val="standardContextual"/>
        </w:rPr>
        <w:t>;</w:t>
      </w:r>
    </w:p>
    <w:p w14:paraId="6B0FCB74"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68.</w:t>
      </w:r>
      <w:r w:rsidRPr="00D1761C">
        <w:rPr>
          <w:kern w:val="2"/>
          <w14:ligatures w14:val="standardContextual"/>
        </w:rPr>
        <w:tab/>
        <w:t xml:space="preserve">regretă că Consiliul nu a pus încă în aplicare o procedură simplificată de acreditare </w:t>
      </w:r>
      <w:r w:rsidRPr="00D1761C">
        <w:rPr>
          <w:kern w:val="2"/>
          <w14:ligatures w14:val="standardContextual"/>
        </w:rPr>
        <w:lastRenderedPageBreak/>
        <w:t>pentru a facilita accesul personalului celorlalte instituții ale Uniunii în clădirile Consiliului; invită Consiliul să pună în aplicare această măsură;</w:t>
      </w:r>
    </w:p>
    <w:p w14:paraId="57FD016C"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Mediul și sustenabilitatea</w:t>
      </w:r>
    </w:p>
    <w:p w14:paraId="202C75D0"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69.</w:t>
      </w:r>
      <w:r w:rsidRPr="00D1761C">
        <w:rPr>
          <w:kern w:val="2"/>
          <w14:ligatures w14:val="standardContextual"/>
        </w:rPr>
        <w:tab/>
        <w:t>constată că, în urma unui audit extern efectuat în 2023, sistemul de management de mediu și audit a fost menținut și că certificatele de performanță energetică a clădirilor au fost reînnoite;</w:t>
      </w:r>
    </w:p>
    <w:p w14:paraId="64B05D6A"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70.</w:t>
      </w:r>
      <w:r w:rsidRPr="00D1761C">
        <w:rPr>
          <w:kern w:val="2"/>
          <w14:ligatures w14:val="standardContextual"/>
        </w:rPr>
        <w:tab/>
        <w:t>ia act de faptul că, în cadrul eforturilor prioritare continue pentru o mobilitate sustenabilă, facilitățile și infrastructurile pentru biciclete din clădirile Secretariatului au fost îmbunătățite și adaptate și au fost renovate sau instituite echipamente de videoconferință sub forma unor „săli care permit conectarea la reuniuni de oriunde” („</w:t>
      </w:r>
      <w:proofErr w:type="spellStart"/>
      <w:r w:rsidRPr="00D1761C">
        <w:rPr>
          <w:kern w:val="2"/>
          <w14:ligatures w14:val="standardContextual"/>
        </w:rPr>
        <w:t>meet</w:t>
      </w:r>
      <w:proofErr w:type="spellEnd"/>
      <w:r w:rsidRPr="00D1761C">
        <w:rPr>
          <w:kern w:val="2"/>
          <w14:ligatures w14:val="standardContextual"/>
        </w:rPr>
        <w:t xml:space="preserve"> </w:t>
      </w:r>
      <w:proofErr w:type="spellStart"/>
      <w:r w:rsidRPr="00D1761C">
        <w:rPr>
          <w:kern w:val="2"/>
          <w14:ligatures w14:val="standardContextual"/>
        </w:rPr>
        <w:t>anywhere</w:t>
      </w:r>
      <w:proofErr w:type="spellEnd"/>
      <w:r w:rsidRPr="00D1761C">
        <w:rPr>
          <w:kern w:val="2"/>
          <w14:ligatures w14:val="standardContextual"/>
        </w:rPr>
        <w:t xml:space="preserve"> </w:t>
      </w:r>
      <w:proofErr w:type="spellStart"/>
      <w:r w:rsidRPr="00D1761C">
        <w:rPr>
          <w:kern w:val="2"/>
          <w14:ligatures w14:val="standardContextual"/>
        </w:rPr>
        <w:t>rooms</w:t>
      </w:r>
      <w:proofErr w:type="spellEnd"/>
      <w:r w:rsidRPr="00D1761C">
        <w:rPr>
          <w:kern w:val="2"/>
          <w14:ligatures w14:val="standardContextual"/>
        </w:rPr>
        <w:t>”); constată, de asemenea, că au fost depuse eforturi pentru a asigura implicarea membrilor personalului și a personalului de conducere în transformarea verde, prin acțiuni de formare și de sensibilizare;</w:t>
      </w:r>
    </w:p>
    <w:p w14:paraId="5CFC95D4" w14:textId="77777777" w:rsidR="00D1761C" w:rsidRPr="00D1761C" w:rsidRDefault="00D1761C" w:rsidP="00D1761C">
      <w:pPr>
        <w:spacing w:after="240"/>
        <w:ind w:left="567" w:hanging="567"/>
        <w:rPr>
          <w:b/>
          <w:i/>
          <w:kern w:val="2"/>
          <w14:ligatures w14:val="standardContextual"/>
        </w:rPr>
      </w:pPr>
      <w:r w:rsidRPr="00D1761C">
        <w:rPr>
          <w:b/>
          <w:i/>
          <w:kern w:val="2"/>
          <w14:ligatures w14:val="standardContextual"/>
        </w:rPr>
        <w:t>Cooperarea interinstituțională</w:t>
      </w:r>
    </w:p>
    <w:p w14:paraId="610CDC8D" w14:textId="77777777" w:rsidR="00D1761C" w:rsidRPr="00D1761C" w:rsidRDefault="00D1761C" w:rsidP="00D1761C">
      <w:pPr>
        <w:spacing w:after="240"/>
        <w:ind w:left="567" w:hanging="567"/>
        <w:rPr>
          <w:kern w:val="2"/>
          <w14:ligatures w14:val="standardContextual"/>
        </w:rPr>
      </w:pPr>
      <w:r w:rsidRPr="00D1761C">
        <w:rPr>
          <w:kern w:val="2"/>
          <w14:ligatures w14:val="standardContextual"/>
        </w:rPr>
        <w:t>71.</w:t>
      </w:r>
      <w:r w:rsidRPr="00D1761C">
        <w:rPr>
          <w:kern w:val="2"/>
          <w14:ligatures w14:val="standardContextual"/>
        </w:rPr>
        <w:tab/>
        <w:t>subliniază necesitatea revizuirii articolului 319 din TFUE, pentru a stipula explicit că Parlamentul, pe lângă acordarea descărcării de gestiune Comisiei, acordă și altor instituții, organe, oficii și agenții ale Uniunii descărcarea de gestiune pentru execuția secțiunilor lor din buget sau a bugetelor lor; invită Consiliul să depășească conflictul interinstituțional și să reia discuțiile cu Parlamentul European pentru a ajunge la un acord comun în vederea unei reluări fără probleme a procedurii de descărcare de gestiune;</w:t>
      </w:r>
    </w:p>
    <w:p w14:paraId="4575F4B3" w14:textId="77777777" w:rsidR="00D1761C" w:rsidRPr="00D1761C" w:rsidRDefault="00D1761C" w:rsidP="00D1761C">
      <w:pPr>
        <w:spacing w:before="240" w:after="240"/>
        <w:ind w:left="567" w:hanging="567"/>
        <w:rPr>
          <w:b/>
          <w:i/>
          <w:kern w:val="2"/>
          <w14:ligatures w14:val="standardContextual"/>
        </w:rPr>
      </w:pPr>
      <w:r w:rsidRPr="00D1761C">
        <w:rPr>
          <w:b/>
          <w:i/>
          <w:kern w:val="2"/>
          <w14:ligatures w14:val="standardContextual"/>
        </w:rPr>
        <w:t>Comunicarea</w:t>
      </w:r>
    </w:p>
    <w:p w14:paraId="59394AF2" w14:textId="77777777" w:rsidR="00D1761C" w:rsidRPr="00D1761C" w:rsidRDefault="00D1761C" w:rsidP="00D1761C">
      <w:pPr>
        <w:spacing w:before="240" w:after="240"/>
        <w:ind w:left="567" w:hanging="567"/>
        <w:rPr>
          <w:kern w:val="2"/>
          <w14:ligatures w14:val="standardContextual"/>
        </w:rPr>
      </w:pPr>
      <w:r w:rsidRPr="00D1761C">
        <w:rPr>
          <w:kern w:val="2"/>
          <w14:ligatures w14:val="standardContextual"/>
        </w:rPr>
        <w:t>72.</w:t>
      </w:r>
      <w:r w:rsidRPr="00D1761C">
        <w:rPr>
          <w:kern w:val="2"/>
          <w14:ligatures w14:val="standardContextual"/>
        </w:rPr>
        <w:tab/>
        <w:t>constată că, în 2023, bugetul total pentru comunicare executat în cursul acestui exercițiu, luând în considerare transferurile, a fost de 11 871 300 EUR, aceasta însemnând cu 3,54 % mai mult decât în cadrul bugetului pentru 2022;</w:t>
      </w:r>
    </w:p>
    <w:p w14:paraId="05FD108A" w14:textId="296B30AE" w:rsidR="00D1761C" w:rsidRPr="00D1761C" w:rsidRDefault="00D1761C" w:rsidP="00D1761C">
      <w:pPr>
        <w:spacing w:before="240" w:after="240"/>
        <w:ind w:left="567" w:hanging="567"/>
        <w:rPr>
          <w:kern w:val="2"/>
          <w14:ligatures w14:val="standardContextual"/>
        </w:rPr>
      </w:pPr>
      <w:r w:rsidRPr="00D1761C">
        <w:rPr>
          <w:kern w:val="2"/>
          <w14:ligatures w14:val="standardContextual"/>
        </w:rPr>
        <w:t>73.</w:t>
      </w:r>
      <w:r w:rsidRPr="00D1761C">
        <w:rPr>
          <w:kern w:val="2"/>
          <w14:ligatures w14:val="standardContextual"/>
        </w:rPr>
        <w:tab/>
        <w:t xml:space="preserve">ia act de faptul că Secretariatul furnizează servicii de comunicare președintelui Consiliului European, a cărui prezență pe internet a fost restructurată în mod fundamental în 2022, președintelui </w:t>
      </w:r>
      <w:proofErr w:type="spellStart"/>
      <w:r w:rsidRPr="00D1761C">
        <w:rPr>
          <w:kern w:val="2"/>
          <w14:ligatures w14:val="standardContextual"/>
        </w:rPr>
        <w:t>Eurogrupului</w:t>
      </w:r>
      <w:proofErr w:type="spellEnd"/>
      <w:r w:rsidRPr="00D1761C">
        <w:rPr>
          <w:kern w:val="2"/>
          <w14:ligatures w14:val="standardContextual"/>
        </w:rPr>
        <w:t>, Președinției prin rotație, vicepreședintelui Comisiei/Înaltului Reprezentant al Uniunii pentru afaceri externe și politica de securitate, statelor membre și Secretariatului; ia act de faptul că în 2023 s</w:t>
      </w:r>
      <w:r w:rsidR="00E71C25">
        <w:rPr>
          <w:kern w:val="2"/>
          <w14:ligatures w14:val="standardContextual"/>
        </w:rPr>
        <w:t>–</w:t>
      </w:r>
      <w:r w:rsidRPr="00D1761C">
        <w:rPr>
          <w:kern w:val="2"/>
          <w14:ligatures w14:val="standardContextual"/>
        </w:rPr>
        <w:t>a înregistrat o creștere semnificativă a colaborării dintre echipa pentru conținut digital a Secretariatului și Președinții și, în special, de faptul că coordonarea strânsă în cadrul activităților editoriale a condus la sinergii sporite în ceea ce privește reutilizarea conținutului și la o mai bună complementaritate, ceea ce a maximizat impactul global al comunicării;</w:t>
      </w:r>
    </w:p>
    <w:p w14:paraId="02472EB5" w14:textId="373BAA6C" w:rsidR="00D1761C" w:rsidRPr="00D1761C" w:rsidRDefault="00D1761C" w:rsidP="00794B05">
      <w:pPr>
        <w:spacing w:before="240" w:after="240"/>
        <w:ind w:left="567" w:hanging="567"/>
        <w:rPr>
          <w:kern w:val="2"/>
          <w14:ligatures w14:val="standardContextual"/>
        </w:rPr>
      </w:pPr>
      <w:r w:rsidRPr="00D1761C">
        <w:rPr>
          <w:kern w:val="2"/>
          <w14:ligatures w14:val="standardContextual"/>
        </w:rPr>
        <w:t>74.</w:t>
      </w:r>
      <w:r w:rsidRPr="00D1761C">
        <w:rPr>
          <w:kern w:val="2"/>
          <w14:ligatures w14:val="standardContextual"/>
        </w:rPr>
        <w:tab/>
        <w:t>constată că, potrivit unui sondaj online realizat în ultimul trimestru al anului 2023, 67 % dintre utilizatori au fost mulțumiți de experiența lor generală cu site</w:t>
      </w:r>
      <w:r w:rsidR="00E71C25">
        <w:rPr>
          <w:kern w:val="2"/>
          <w14:ligatures w14:val="standardContextual"/>
        </w:rPr>
        <w:t>–</w:t>
      </w:r>
      <w:proofErr w:type="spellStart"/>
      <w:r w:rsidRPr="00D1761C">
        <w:rPr>
          <w:kern w:val="2"/>
          <w14:ligatures w14:val="standardContextual"/>
        </w:rPr>
        <w:t>ul</w:t>
      </w:r>
      <w:proofErr w:type="spellEnd"/>
      <w:r w:rsidRPr="00D1761C">
        <w:rPr>
          <w:kern w:val="2"/>
          <w14:ligatures w14:val="standardContextual"/>
        </w:rPr>
        <w:t xml:space="preserve"> Consiliului, care a înregistrat peste 23 de milioane de vizite în 2023, aceasta însemnând o creștere cu 1 % față de 2022, precum și 57 900 de abonați, comparativ cu 51 600 de abonați în 2022.</w:t>
      </w:r>
    </w:p>
    <w:sectPr w:rsidR="00D1761C" w:rsidRPr="00D1761C" w:rsidSect="00B5398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D46A3" w14:textId="77777777" w:rsidR="000C2E86" w:rsidRPr="00FF6855" w:rsidRDefault="000C2E86">
      <w:r w:rsidRPr="00FF6855">
        <w:separator/>
      </w:r>
    </w:p>
  </w:endnote>
  <w:endnote w:type="continuationSeparator" w:id="0">
    <w:p w14:paraId="72548B84" w14:textId="77777777" w:rsidR="000C2E86" w:rsidRPr="00FF6855" w:rsidRDefault="000C2E86">
      <w:r w:rsidRPr="00FF68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3B88" w14:textId="77777777" w:rsidR="00064002" w:rsidRPr="00FF68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DB1D" w14:textId="77777777" w:rsidR="00064002" w:rsidRPr="00FF68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6BD6D" w14:textId="77777777" w:rsidR="00064002" w:rsidRPr="00FF68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22454" w14:textId="77777777" w:rsidR="000C2E86" w:rsidRPr="00FF6855" w:rsidRDefault="000C2E86">
      <w:r w:rsidRPr="00FF6855">
        <w:separator/>
      </w:r>
    </w:p>
  </w:footnote>
  <w:footnote w:type="continuationSeparator" w:id="0">
    <w:p w14:paraId="7DB8E930" w14:textId="77777777" w:rsidR="000C2E86" w:rsidRPr="00FF6855" w:rsidRDefault="000C2E86">
      <w:r w:rsidRPr="00FF6855">
        <w:continuationSeparator/>
      </w:r>
    </w:p>
  </w:footnote>
  <w:footnote w:id="1">
    <w:p w14:paraId="44548784" w14:textId="77777777" w:rsidR="00D1761C" w:rsidRPr="00E74CED" w:rsidRDefault="00D1761C" w:rsidP="00D1761C">
      <w:pPr>
        <w:ind w:left="567" w:hanging="567"/>
        <w:rPr>
          <w:lang w:val="fi-FI"/>
        </w:rPr>
      </w:pPr>
      <w:r w:rsidRPr="00C51DEF">
        <w:rPr>
          <w:rStyle w:val="FootnoteReference"/>
        </w:rPr>
        <w:footnoteRef/>
      </w:r>
      <w:r w:rsidRPr="00E74CED">
        <w:rPr>
          <w:lang w:val="fi-FI"/>
        </w:rPr>
        <w:tab/>
        <w:t xml:space="preserve">JO L 58, 23.2.2023, p. 1, ELI: </w:t>
      </w:r>
      <w:hyperlink r:id="rId1" w:tooltip="Gives access to this document through its ELI URI." w:history="1">
        <w:r w:rsidRPr="00E74CED">
          <w:rPr>
            <w:rStyle w:val="Hyperlink1"/>
            <w:shd w:val="clear" w:color="auto" w:fill="FFFFFF"/>
            <w:lang w:val="fi-FI"/>
          </w:rPr>
          <w:t>http://data.europa.eu/eli/budget/2023/1/oj</w:t>
        </w:r>
      </w:hyperlink>
      <w:r w:rsidRPr="00E74CED">
        <w:rPr>
          <w:shd w:val="clear" w:color="auto" w:fill="FFFFFF"/>
          <w:lang w:val="fi-FI"/>
        </w:rPr>
        <w:t>.</w:t>
      </w:r>
    </w:p>
  </w:footnote>
  <w:footnote w:id="2">
    <w:p w14:paraId="79DFB867" w14:textId="77777777" w:rsidR="00D1761C" w:rsidRPr="00C51DEF" w:rsidRDefault="00D1761C" w:rsidP="00D1761C">
      <w:pPr>
        <w:pStyle w:val="FootnoteText"/>
        <w:ind w:left="567" w:hanging="567"/>
        <w:rPr>
          <w:sz w:val="24"/>
          <w:lang w:val="ro-RO"/>
        </w:rPr>
      </w:pPr>
      <w:r w:rsidRPr="00C51DEF">
        <w:rPr>
          <w:rStyle w:val="FootnoteReference"/>
          <w:sz w:val="24"/>
          <w:lang w:val="ro-RO"/>
        </w:rPr>
        <w:footnoteRef/>
      </w:r>
      <w:r w:rsidRPr="003F73C0">
        <w:rPr>
          <w:sz w:val="24"/>
          <w:lang w:val="ro-RO"/>
        </w:rPr>
        <w:tab/>
        <w:t xml:space="preserve">JO C, C/2024/5462, 10.10.2024, ELI: </w:t>
      </w:r>
      <w:hyperlink r:id="rId2" w:history="1">
        <w:r w:rsidRPr="00D1761C">
          <w:rPr>
            <w:rStyle w:val="Hyperlink1"/>
            <w:lang w:val="fi-FI"/>
          </w:rPr>
          <w:t>http://data.europa.eu/eli/C/2024/5462/oj</w:t>
        </w:r>
      </w:hyperlink>
      <w:r w:rsidRPr="00D1761C">
        <w:rPr>
          <w:rStyle w:val="Hyperlink1"/>
          <w:lang w:val="fi-FI"/>
        </w:rPr>
        <w:t>.</w:t>
      </w:r>
    </w:p>
  </w:footnote>
  <w:footnote w:id="3">
    <w:p w14:paraId="16B24560" w14:textId="77777777" w:rsidR="00D1761C" w:rsidRPr="00C51DEF" w:rsidRDefault="00D1761C" w:rsidP="00D1761C">
      <w:pPr>
        <w:pStyle w:val="FootnoteText"/>
        <w:ind w:left="567" w:hanging="567"/>
        <w:rPr>
          <w:sz w:val="24"/>
          <w:lang w:val="ro-RO"/>
        </w:rPr>
      </w:pPr>
      <w:r w:rsidRPr="00C51DEF">
        <w:rPr>
          <w:rStyle w:val="FootnoteReference"/>
          <w:sz w:val="24"/>
          <w:lang w:val="ro-RO"/>
        </w:rPr>
        <w:footnoteRef/>
      </w:r>
      <w:r w:rsidRPr="003F73C0">
        <w:rPr>
          <w:sz w:val="24"/>
          <w:lang w:val="ro-RO"/>
        </w:rPr>
        <w:tab/>
        <w:t xml:space="preserve">JO C, C/2024/5882, 9.10.2024, ELI: </w:t>
      </w:r>
      <w:hyperlink r:id="rId3" w:history="1">
        <w:r w:rsidRPr="00D1761C">
          <w:rPr>
            <w:rStyle w:val="Hyperlink1"/>
            <w:lang w:val="fi-FI"/>
          </w:rPr>
          <w:t>http://data.europa.eu/eli/C/2024/5882/oj</w:t>
        </w:r>
      </w:hyperlink>
      <w:r w:rsidRPr="003F73C0">
        <w:rPr>
          <w:sz w:val="24"/>
          <w:lang w:val="ro-RO"/>
        </w:rPr>
        <w:t>.</w:t>
      </w:r>
    </w:p>
  </w:footnote>
  <w:footnote w:id="4">
    <w:p w14:paraId="501C3463" w14:textId="77777777" w:rsidR="00D1761C" w:rsidRPr="00C51DEF" w:rsidRDefault="00D1761C" w:rsidP="00D1761C">
      <w:pPr>
        <w:pStyle w:val="FootnoteText"/>
        <w:ind w:left="567" w:hanging="567"/>
        <w:rPr>
          <w:sz w:val="24"/>
          <w:lang w:val="ro-RO"/>
        </w:rPr>
      </w:pPr>
      <w:r w:rsidRPr="00C51DEF">
        <w:rPr>
          <w:rStyle w:val="FootnoteReference"/>
          <w:sz w:val="24"/>
          <w:lang w:val="ro-RO"/>
        </w:rPr>
        <w:footnoteRef/>
      </w:r>
      <w:r w:rsidRPr="003F73C0">
        <w:rPr>
          <w:sz w:val="24"/>
          <w:lang w:val="ro-RO"/>
        </w:rPr>
        <w:tab/>
        <w:t xml:space="preserve">JO C, C/2024/6041, 10.10.2024, ELI: </w:t>
      </w:r>
      <w:hyperlink r:id="rId4" w:history="1">
        <w:r w:rsidRPr="00D1761C">
          <w:rPr>
            <w:rStyle w:val="Hyperlink1"/>
            <w:lang w:val="fi-FI"/>
          </w:rPr>
          <w:t>http://data.europa.eu/eli/C/2024/6041/oj</w:t>
        </w:r>
      </w:hyperlink>
      <w:r w:rsidRPr="003F73C0">
        <w:rPr>
          <w:sz w:val="24"/>
          <w:lang w:val="ro-RO"/>
        </w:rPr>
        <w:t>.</w:t>
      </w:r>
    </w:p>
  </w:footnote>
  <w:footnote w:id="5">
    <w:p w14:paraId="6512A2DD" w14:textId="77777777" w:rsidR="00D1761C" w:rsidRPr="00C51DEF" w:rsidRDefault="00D1761C" w:rsidP="00D1761C">
      <w:pPr>
        <w:pStyle w:val="FootnoteText"/>
        <w:ind w:left="567" w:hanging="567"/>
        <w:rPr>
          <w:sz w:val="24"/>
          <w:lang w:val="ro-RO"/>
        </w:rPr>
      </w:pPr>
      <w:r w:rsidRPr="00C51DEF">
        <w:rPr>
          <w:rStyle w:val="FootnoteReference"/>
          <w:sz w:val="24"/>
          <w:lang w:val="ro-RO"/>
        </w:rPr>
        <w:footnoteRef/>
      </w:r>
      <w:r w:rsidRPr="003F73C0">
        <w:rPr>
          <w:sz w:val="24"/>
          <w:lang w:val="ro-RO"/>
        </w:rPr>
        <w:tab/>
        <w:t xml:space="preserve">JO L 193, 30.7.2018, p. 1, ELI: </w:t>
      </w:r>
      <w:hyperlink r:id="rId5" w:history="1">
        <w:r w:rsidRPr="00D1761C">
          <w:rPr>
            <w:rStyle w:val="Hyperlink1"/>
            <w:lang w:val="fi-FI"/>
          </w:rPr>
          <w:t>http://data.europa.eu/eli/reg/2018/1046/oj</w:t>
        </w:r>
      </w:hyperlink>
      <w:r w:rsidRPr="003F73C0">
        <w:rPr>
          <w:sz w:val="24"/>
          <w:lang w:val="ro-RO"/>
        </w:rPr>
        <w:t>.</w:t>
      </w:r>
    </w:p>
  </w:footnote>
  <w:footnote w:id="6">
    <w:p w14:paraId="16FEDD84" w14:textId="77777777" w:rsidR="00D1761C" w:rsidRPr="00C51DEF" w:rsidRDefault="00D1761C" w:rsidP="00D1761C">
      <w:pPr>
        <w:pStyle w:val="FootnoteText"/>
        <w:ind w:left="567" w:hanging="567"/>
        <w:rPr>
          <w:sz w:val="24"/>
          <w:szCs w:val="24"/>
          <w:lang w:val="ro-RO"/>
        </w:rPr>
      </w:pPr>
      <w:r w:rsidRPr="00C51DEF">
        <w:rPr>
          <w:rStyle w:val="FootnoteReference"/>
          <w:sz w:val="24"/>
          <w:lang w:val="ro-RO"/>
        </w:rPr>
        <w:footnoteRef/>
      </w:r>
      <w:r w:rsidRPr="003F73C0">
        <w:rPr>
          <w:sz w:val="24"/>
          <w:lang w:val="ro-RO"/>
        </w:rPr>
        <w:tab/>
        <w:t xml:space="preserve">JO L, 2024/2509, 26.9.2024, ELI: </w:t>
      </w:r>
      <w:hyperlink r:id="rId6" w:history="1">
        <w:r w:rsidRPr="00D1761C">
          <w:rPr>
            <w:rStyle w:val="Hyperlink1"/>
            <w:lang w:val="fi-FI"/>
          </w:rPr>
          <w:t>http://data.europa.eu/eli/reg/2024/2509/oj</w:t>
        </w:r>
      </w:hyperlink>
      <w:r w:rsidRPr="003F73C0">
        <w:rPr>
          <w:sz w:val="24"/>
          <w:lang w:val="ro-RO"/>
        </w:rPr>
        <w:t>.</w:t>
      </w:r>
    </w:p>
  </w:footnote>
  <w:footnote w:id="7">
    <w:p w14:paraId="4A84D3A4" w14:textId="77777777" w:rsidR="00D1761C" w:rsidRPr="00DD54E4" w:rsidRDefault="00D1761C" w:rsidP="00D1761C">
      <w:pPr>
        <w:pStyle w:val="FootnoteText"/>
        <w:ind w:left="567" w:hanging="567"/>
        <w:rPr>
          <w:sz w:val="24"/>
          <w:lang w:val="ro-RO"/>
        </w:rPr>
      </w:pPr>
      <w:r w:rsidRPr="00DD54E4">
        <w:rPr>
          <w:rStyle w:val="FootnoteReference"/>
          <w:sz w:val="24"/>
          <w:lang w:val="ro-RO"/>
        </w:rPr>
        <w:footnoteRef/>
      </w:r>
      <w:r w:rsidRPr="003F73C0">
        <w:rPr>
          <w:sz w:val="24"/>
          <w:lang w:val="ro-RO"/>
        </w:rPr>
        <w:tab/>
        <w:t xml:space="preserve">Hotărârea Tribunalului din 25 ianuarie 2023, De </w:t>
      </w:r>
      <w:proofErr w:type="spellStart"/>
      <w:r w:rsidRPr="003F73C0">
        <w:rPr>
          <w:sz w:val="24"/>
          <w:lang w:val="ro-RO"/>
        </w:rPr>
        <w:t>Capitani</w:t>
      </w:r>
      <w:proofErr w:type="spellEnd"/>
      <w:r w:rsidRPr="003F73C0">
        <w:rPr>
          <w:sz w:val="24"/>
          <w:lang w:val="ro-RO"/>
        </w:rPr>
        <w:t>/Consiliul, T-163/21, ECLI:EU:T:2023:15.</w:t>
      </w:r>
    </w:p>
  </w:footnote>
  <w:footnote w:id="8">
    <w:p w14:paraId="64B80761" w14:textId="77777777" w:rsidR="00D1761C" w:rsidRPr="00DD54E4" w:rsidRDefault="00D1761C" w:rsidP="00D1761C">
      <w:pPr>
        <w:pStyle w:val="FootnoteText"/>
        <w:ind w:left="567" w:hanging="567"/>
        <w:rPr>
          <w:sz w:val="24"/>
          <w:lang w:val="ro-RO"/>
        </w:rPr>
      </w:pPr>
      <w:r w:rsidRPr="00DD54E4">
        <w:rPr>
          <w:rStyle w:val="FootnoteReference"/>
          <w:sz w:val="24"/>
        </w:rPr>
        <w:footnoteRef/>
      </w:r>
      <w:r w:rsidRPr="003F73C0">
        <w:rPr>
          <w:sz w:val="24"/>
          <w:lang w:val="ro-RO"/>
        </w:rP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w:t>
      </w:r>
      <w:hyperlink r:id="rId7" w:tooltip="Oferă acces la acest document prin intermediul URI-ului pentru ELI aferent." w:history="1">
        <w:r w:rsidRPr="003F73C0">
          <w:rPr>
            <w:rStyle w:val="Hyperlink"/>
            <w:sz w:val="24"/>
            <w:lang w:val="ro-RO"/>
          </w:rPr>
          <w:t>http://data.europa.eu/eli/reg/2018/1725/oj</w:t>
        </w:r>
      </w:hyperlink>
      <w:r w:rsidRPr="003F73C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65AF" w14:textId="77777777" w:rsidR="00064002" w:rsidRPr="00FF68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96AB6" w14:textId="77777777" w:rsidR="00064002" w:rsidRPr="00FF68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A5C7" w14:textId="77777777" w:rsidR="00064002" w:rsidRPr="00FF68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950299">
    <w:abstractNumId w:val="9"/>
  </w:num>
  <w:num w:numId="2" w16cid:durableId="1952319808">
    <w:abstractNumId w:val="9"/>
  </w:num>
  <w:num w:numId="3" w16cid:durableId="1168982959">
    <w:abstractNumId w:val="7"/>
  </w:num>
  <w:num w:numId="4" w16cid:durableId="661741384">
    <w:abstractNumId w:val="7"/>
  </w:num>
  <w:num w:numId="5" w16cid:durableId="1715419593">
    <w:abstractNumId w:val="6"/>
  </w:num>
  <w:num w:numId="6" w16cid:durableId="1536505188">
    <w:abstractNumId w:val="6"/>
  </w:num>
  <w:num w:numId="7" w16cid:durableId="1293437671">
    <w:abstractNumId w:val="5"/>
  </w:num>
  <w:num w:numId="8" w16cid:durableId="2104913572">
    <w:abstractNumId w:val="5"/>
  </w:num>
  <w:num w:numId="9" w16cid:durableId="1217742114">
    <w:abstractNumId w:val="4"/>
  </w:num>
  <w:num w:numId="10" w16cid:durableId="1182092207">
    <w:abstractNumId w:val="4"/>
  </w:num>
  <w:num w:numId="11" w16cid:durableId="950740378">
    <w:abstractNumId w:val="8"/>
  </w:num>
  <w:num w:numId="12" w16cid:durableId="488445033">
    <w:abstractNumId w:val="8"/>
  </w:num>
  <w:num w:numId="13" w16cid:durableId="1310208507">
    <w:abstractNumId w:val="3"/>
  </w:num>
  <w:num w:numId="14" w16cid:durableId="443695911">
    <w:abstractNumId w:val="3"/>
  </w:num>
  <w:num w:numId="15" w16cid:durableId="900333668">
    <w:abstractNumId w:val="2"/>
  </w:num>
  <w:num w:numId="16" w16cid:durableId="958268732">
    <w:abstractNumId w:val="2"/>
  </w:num>
  <w:num w:numId="17" w16cid:durableId="4479647">
    <w:abstractNumId w:val="1"/>
  </w:num>
  <w:num w:numId="18" w16cid:durableId="122965514">
    <w:abstractNumId w:val="1"/>
  </w:num>
  <w:num w:numId="19" w16cid:durableId="1535771106">
    <w:abstractNumId w:val="0"/>
  </w:num>
  <w:num w:numId="20" w16cid:durableId="932392531">
    <w:abstractNumId w:val="0"/>
  </w:num>
  <w:num w:numId="21" w16cid:durableId="139660693">
    <w:abstractNumId w:val="9"/>
  </w:num>
  <w:num w:numId="22" w16cid:durableId="219634107">
    <w:abstractNumId w:val="7"/>
  </w:num>
  <w:num w:numId="23" w16cid:durableId="210850220">
    <w:abstractNumId w:val="6"/>
  </w:num>
  <w:num w:numId="24" w16cid:durableId="291832168">
    <w:abstractNumId w:val="5"/>
  </w:num>
  <w:num w:numId="25" w16cid:durableId="348683135">
    <w:abstractNumId w:val="4"/>
  </w:num>
  <w:num w:numId="26" w16cid:durableId="177425244">
    <w:abstractNumId w:val="8"/>
  </w:num>
  <w:num w:numId="27" w16cid:durableId="865555453">
    <w:abstractNumId w:val="3"/>
  </w:num>
  <w:num w:numId="28" w16cid:durableId="1211695806">
    <w:abstractNumId w:val="2"/>
  </w:num>
  <w:num w:numId="29" w16cid:durableId="581571647">
    <w:abstractNumId w:val="1"/>
  </w:num>
  <w:num w:numId="30" w16cid:durableId="1903833394">
    <w:abstractNumId w:val="0"/>
  </w:num>
  <w:num w:numId="31" w16cid:durableId="2098822731">
    <w:abstractNumId w:val="9"/>
  </w:num>
  <w:num w:numId="32" w16cid:durableId="2113670803">
    <w:abstractNumId w:val="7"/>
  </w:num>
  <w:num w:numId="33" w16cid:durableId="1833176771">
    <w:abstractNumId w:val="6"/>
  </w:num>
  <w:num w:numId="34" w16cid:durableId="1009987441">
    <w:abstractNumId w:val="5"/>
  </w:num>
  <w:num w:numId="35" w16cid:durableId="984897926">
    <w:abstractNumId w:val="4"/>
  </w:num>
  <w:num w:numId="36" w16cid:durableId="1868716953">
    <w:abstractNumId w:val="8"/>
  </w:num>
  <w:num w:numId="37" w16cid:durableId="1076779364">
    <w:abstractNumId w:val="3"/>
  </w:num>
  <w:num w:numId="38" w16cid:durableId="581648044">
    <w:abstractNumId w:val="2"/>
  </w:num>
  <w:num w:numId="39" w16cid:durableId="1147674170">
    <w:abstractNumId w:val="1"/>
  </w:num>
  <w:num w:numId="40" w16cid:durableId="2012828502">
    <w:abstractNumId w:val="0"/>
  </w:num>
  <w:num w:numId="41" w16cid:durableId="1017461899">
    <w:abstractNumId w:val="10"/>
  </w:num>
  <w:num w:numId="42" w16cid:durableId="794562457">
    <w:abstractNumId w:val="10"/>
  </w:num>
  <w:num w:numId="43" w16cid:durableId="1022364962">
    <w:abstractNumId w:val="10"/>
  </w:num>
  <w:num w:numId="44" w16cid:durableId="121115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RO"/>
    <w:docVar w:name="dvnumam" w:val="0"/>
    <w:docVar w:name="dvpe" w:val="764.997"/>
    <w:docVar w:name="dvrapporteur" w:val="Raportor: "/>
    <w:docVar w:name="dvtitre" w:val="Decizia Parlamentului European din 7 mai 2025 privind descărcarea de gestiune pentru execuția bugetului general al Uniunii Europene aferent exercițiului financiar 2023, secțiunea II - Consiliul European și Consiliul(2024/2021(DEC))"/>
  </w:docVars>
  <w:rsids>
    <w:rsidRoot w:val="000C2E86"/>
    <w:rsid w:val="00002272"/>
    <w:rsid w:val="00064002"/>
    <w:rsid w:val="000677B9"/>
    <w:rsid w:val="000831BA"/>
    <w:rsid w:val="000A42CC"/>
    <w:rsid w:val="000C2E86"/>
    <w:rsid w:val="000C6490"/>
    <w:rsid w:val="000E7DD9"/>
    <w:rsid w:val="0010095E"/>
    <w:rsid w:val="00125B37"/>
    <w:rsid w:val="0014384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CE5"/>
    <w:rsid w:val="0050519A"/>
    <w:rsid w:val="005072A1"/>
    <w:rsid w:val="00514517"/>
    <w:rsid w:val="00545827"/>
    <w:rsid w:val="00560270"/>
    <w:rsid w:val="005C2568"/>
    <w:rsid w:val="005F1B17"/>
    <w:rsid w:val="006037C0"/>
    <w:rsid w:val="00644EEB"/>
    <w:rsid w:val="006631B6"/>
    <w:rsid w:val="00680577"/>
    <w:rsid w:val="006F74FA"/>
    <w:rsid w:val="00731ADD"/>
    <w:rsid w:val="00734777"/>
    <w:rsid w:val="00743052"/>
    <w:rsid w:val="00747932"/>
    <w:rsid w:val="00751A4A"/>
    <w:rsid w:val="00756632"/>
    <w:rsid w:val="00762C74"/>
    <w:rsid w:val="00786EC0"/>
    <w:rsid w:val="00794B05"/>
    <w:rsid w:val="007D1690"/>
    <w:rsid w:val="007E22AD"/>
    <w:rsid w:val="00817416"/>
    <w:rsid w:val="00842779"/>
    <w:rsid w:val="00865F67"/>
    <w:rsid w:val="00881A7B"/>
    <w:rsid w:val="008840E5"/>
    <w:rsid w:val="00887B3E"/>
    <w:rsid w:val="008C2AC6"/>
    <w:rsid w:val="008D2B01"/>
    <w:rsid w:val="00930C23"/>
    <w:rsid w:val="0093193B"/>
    <w:rsid w:val="009509D8"/>
    <w:rsid w:val="00950B64"/>
    <w:rsid w:val="00981893"/>
    <w:rsid w:val="00985B87"/>
    <w:rsid w:val="00A1687D"/>
    <w:rsid w:val="00A26F4C"/>
    <w:rsid w:val="00A43E52"/>
    <w:rsid w:val="00A4678D"/>
    <w:rsid w:val="00A778C7"/>
    <w:rsid w:val="00AB441E"/>
    <w:rsid w:val="00AB6293"/>
    <w:rsid w:val="00AC60CA"/>
    <w:rsid w:val="00AD1472"/>
    <w:rsid w:val="00AE0928"/>
    <w:rsid w:val="00AF3B82"/>
    <w:rsid w:val="00B12E95"/>
    <w:rsid w:val="00B22876"/>
    <w:rsid w:val="00B44359"/>
    <w:rsid w:val="00B53984"/>
    <w:rsid w:val="00B558F0"/>
    <w:rsid w:val="00B9221D"/>
    <w:rsid w:val="00BD48FE"/>
    <w:rsid w:val="00BD7BD8"/>
    <w:rsid w:val="00BE6ADC"/>
    <w:rsid w:val="00C05BFE"/>
    <w:rsid w:val="00C23CD4"/>
    <w:rsid w:val="00C61C0C"/>
    <w:rsid w:val="00C774D8"/>
    <w:rsid w:val="00C941CB"/>
    <w:rsid w:val="00CC2357"/>
    <w:rsid w:val="00CC56E5"/>
    <w:rsid w:val="00CF071A"/>
    <w:rsid w:val="00D058B8"/>
    <w:rsid w:val="00D1281D"/>
    <w:rsid w:val="00D1761C"/>
    <w:rsid w:val="00D56C11"/>
    <w:rsid w:val="00D834A0"/>
    <w:rsid w:val="00D872DF"/>
    <w:rsid w:val="00D91E21"/>
    <w:rsid w:val="00DA7FCD"/>
    <w:rsid w:val="00E365E1"/>
    <w:rsid w:val="00E71C25"/>
    <w:rsid w:val="00E820A4"/>
    <w:rsid w:val="00EB006A"/>
    <w:rsid w:val="00EB4772"/>
    <w:rsid w:val="00ED169E"/>
    <w:rsid w:val="00ED4235"/>
    <w:rsid w:val="00F04346"/>
    <w:rsid w:val="00F075DC"/>
    <w:rsid w:val="00F10DDB"/>
    <w:rsid w:val="00F149E9"/>
    <w:rsid w:val="00F5134D"/>
    <w:rsid w:val="00F62A8D"/>
    <w:rsid w:val="00F74202"/>
    <w:rsid w:val="00F87713"/>
    <w:rsid w:val="00FB4360"/>
    <w:rsid w:val="00FD0C70"/>
    <w:rsid w:val="00FF68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47A12E"/>
  <w15:chartTrackingRefBased/>
  <w15:docId w15:val="{D3399C2D-33EA-45A4-8382-ED3AB9A38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0D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0DDB"/>
    <w:pPr>
      <w:spacing w:before="480" w:after="240"/>
    </w:pPr>
  </w:style>
  <w:style w:type="paragraph" w:customStyle="1" w:styleId="PageHeading">
    <w:name w:val="PageHeading"/>
    <w:basedOn w:val="Normal"/>
    <w:rsid w:val="00F10DDB"/>
    <w:pPr>
      <w:keepNext/>
      <w:spacing w:after="480"/>
      <w:jc w:val="center"/>
    </w:pPr>
    <w:rPr>
      <w:rFonts w:ascii="Arial" w:hAnsi="Arial" w:cs="Arial"/>
      <w:b/>
    </w:rPr>
  </w:style>
  <w:style w:type="paragraph" w:customStyle="1" w:styleId="NormalBold">
    <w:name w:val="NormalBold"/>
    <w:basedOn w:val="Normal"/>
    <w:rsid w:val="00F10DDB"/>
    <w:rPr>
      <w:b/>
    </w:rPr>
  </w:style>
  <w:style w:type="paragraph" w:customStyle="1" w:styleId="NormalHanging12a">
    <w:name w:val="NormalHanging12a"/>
    <w:basedOn w:val="Normal"/>
    <w:link w:val="NormalHanging12aChar"/>
    <w:rsid w:val="00F10DDB"/>
    <w:pPr>
      <w:spacing w:after="240"/>
      <w:ind w:left="567" w:hanging="567"/>
    </w:pPr>
  </w:style>
  <w:style w:type="paragraph" w:styleId="Header">
    <w:name w:val="header"/>
    <w:basedOn w:val="Normal"/>
    <w:link w:val="HeaderChar"/>
    <w:rsid w:val="00F10DDB"/>
    <w:pPr>
      <w:tabs>
        <w:tab w:val="center" w:pos="4513"/>
        <w:tab w:val="right" w:pos="9026"/>
      </w:tabs>
    </w:pPr>
  </w:style>
  <w:style w:type="character" w:customStyle="1" w:styleId="HeaderChar">
    <w:name w:val="Header Char"/>
    <w:basedOn w:val="DefaultParagraphFont"/>
    <w:link w:val="Header"/>
    <w:rsid w:val="00F10DDB"/>
    <w:rPr>
      <w:sz w:val="24"/>
      <w:lang w:val="ro-RO"/>
    </w:rPr>
  </w:style>
  <w:style w:type="paragraph" w:customStyle="1" w:styleId="EPFooter">
    <w:name w:val="EPFooter"/>
    <w:basedOn w:val="Normal"/>
    <w:rsid w:val="00F10DDB"/>
    <w:pPr>
      <w:tabs>
        <w:tab w:val="center" w:pos="4535"/>
        <w:tab w:val="right" w:pos="9071"/>
      </w:tabs>
      <w:spacing w:before="240" w:after="240"/>
    </w:pPr>
    <w:rPr>
      <w:color w:val="010000"/>
      <w:sz w:val="22"/>
    </w:rPr>
  </w:style>
  <w:style w:type="character" w:styleId="Hyperlink">
    <w:name w:val="Hyperlink"/>
    <w:basedOn w:val="DefaultParagraphFont"/>
    <w:uiPriority w:val="99"/>
    <w:rsid w:val="00F10DDB"/>
    <w:rPr>
      <w:color w:val="0563C1" w:themeColor="hyperlink"/>
      <w:u w:val="single"/>
    </w:rPr>
  </w:style>
  <w:style w:type="character" w:customStyle="1" w:styleId="NormalHanging12aChar">
    <w:name w:val="NormalHanging12a Char"/>
    <w:basedOn w:val="DefaultParagraphFont"/>
    <w:link w:val="NormalHanging12a"/>
    <w:locked/>
    <w:rsid w:val="00F10DDB"/>
    <w:rPr>
      <w:sz w:val="24"/>
      <w:lang w:val="ro-RO"/>
    </w:rPr>
  </w:style>
  <w:style w:type="paragraph" w:customStyle="1" w:styleId="Normal12a">
    <w:name w:val="Normal12a"/>
    <w:basedOn w:val="Normal"/>
    <w:rsid w:val="00F10DDB"/>
    <w:pPr>
      <w:spacing w:after="240"/>
    </w:pPr>
  </w:style>
  <w:style w:type="paragraph" w:customStyle="1" w:styleId="PageHeadingNotTOC">
    <w:name w:val="PageHeadingNotTOC"/>
    <w:basedOn w:val="Normal"/>
    <w:rsid w:val="00F10DDB"/>
    <w:pPr>
      <w:keepNext/>
      <w:spacing w:after="480"/>
      <w:jc w:val="center"/>
    </w:pPr>
    <w:rPr>
      <w:rFonts w:ascii="Arial" w:hAnsi="Arial" w:cs="Arial"/>
      <w:b/>
    </w:rPr>
  </w:style>
  <w:style w:type="paragraph" w:customStyle="1" w:styleId="Normal24a">
    <w:name w:val="Normal24a"/>
    <w:basedOn w:val="Normal"/>
    <w:rsid w:val="00F10DDB"/>
    <w:pPr>
      <w:spacing w:after="480"/>
    </w:pPr>
    <w:rPr>
      <w:szCs w:val="24"/>
    </w:rPr>
  </w:style>
  <w:style w:type="paragraph" w:customStyle="1" w:styleId="RollCallSymbols14pt">
    <w:name w:val="RollCallSymbols14pt"/>
    <w:basedOn w:val="Normal"/>
    <w:rsid w:val="00F10DD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10DDB"/>
    <w:pPr>
      <w:tabs>
        <w:tab w:val="center" w:pos="284"/>
        <w:tab w:val="left" w:pos="426"/>
      </w:tabs>
    </w:pPr>
    <w:rPr>
      <w:snapToGrid w:val="0"/>
      <w:lang w:eastAsia="en-US"/>
    </w:rPr>
  </w:style>
  <w:style w:type="paragraph" w:customStyle="1" w:styleId="RollCallVotes">
    <w:name w:val="RollCallVotes"/>
    <w:basedOn w:val="Normal"/>
    <w:rsid w:val="00F10DDB"/>
    <w:pPr>
      <w:spacing w:before="120" w:after="120"/>
      <w:jc w:val="center"/>
    </w:pPr>
    <w:rPr>
      <w:b/>
      <w:bCs/>
      <w:snapToGrid w:val="0"/>
      <w:sz w:val="16"/>
      <w:lang w:eastAsia="en-US"/>
    </w:rPr>
  </w:style>
  <w:style w:type="paragraph" w:customStyle="1" w:styleId="RollCallTable">
    <w:name w:val="RollCallTable"/>
    <w:basedOn w:val="Normal"/>
    <w:rsid w:val="00F10DDB"/>
    <w:pPr>
      <w:spacing w:before="120" w:after="120"/>
    </w:pPr>
    <w:rPr>
      <w:snapToGrid w:val="0"/>
      <w:sz w:val="16"/>
      <w:lang w:eastAsia="en-US"/>
    </w:rPr>
  </w:style>
  <w:style w:type="paragraph" w:customStyle="1" w:styleId="Footprint12b">
    <w:name w:val="Footprint12b"/>
    <w:basedOn w:val="Normal"/>
    <w:rsid w:val="00F10DDB"/>
    <w:pPr>
      <w:spacing w:before="240"/>
    </w:pPr>
    <w:rPr>
      <w:szCs w:val="24"/>
    </w:rPr>
  </w:style>
  <w:style w:type="paragraph" w:customStyle="1" w:styleId="Normal12">
    <w:name w:val="Normal12"/>
    <w:basedOn w:val="Normal"/>
    <w:next w:val="Normal"/>
    <w:rsid w:val="00F10DDB"/>
    <w:pPr>
      <w:spacing w:after="240"/>
    </w:pPr>
    <w:rPr>
      <w:snapToGrid w:val="0"/>
      <w:lang w:eastAsia="en-US"/>
    </w:rPr>
  </w:style>
  <w:style w:type="paragraph" w:styleId="Footer">
    <w:name w:val="footer"/>
    <w:basedOn w:val="Normal"/>
    <w:link w:val="FooterChar"/>
    <w:rsid w:val="00AC60CA"/>
    <w:pPr>
      <w:tabs>
        <w:tab w:val="center" w:pos="4513"/>
        <w:tab w:val="right" w:pos="9026"/>
      </w:tabs>
    </w:pPr>
  </w:style>
  <w:style w:type="character" w:customStyle="1" w:styleId="FooterChar">
    <w:name w:val="Footer Char"/>
    <w:basedOn w:val="DefaultParagraphFont"/>
    <w:link w:val="Footer"/>
    <w:rsid w:val="00AC60CA"/>
    <w:rPr>
      <w:sz w:val="24"/>
      <w:lang w:val="ro-RO"/>
    </w:rPr>
  </w:style>
  <w:style w:type="paragraph" w:styleId="BalloonText">
    <w:name w:val="Balloon Text"/>
    <w:basedOn w:val="Normal"/>
    <w:link w:val="BalloonTextChar"/>
    <w:rsid w:val="004E3CE5"/>
    <w:rPr>
      <w:rFonts w:ascii="Segoe UI" w:hAnsi="Segoe UI" w:cs="Segoe UI"/>
      <w:sz w:val="18"/>
      <w:szCs w:val="18"/>
    </w:rPr>
  </w:style>
  <w:style w:type="character" w:customStyle="1" w:styleId="BalloonTextChar">
    <w:name w:val="Balloon Text Char"/>
    <w:basedOn w:val="DefaultParagraphFont"/>
    <w:link w:val="BalloonText"/>
    <w:rsid w:val="004E3CE5"/>
    <w:rPr>
      <w:rFonts w:ascii="Segoe UI" w:hAnsi="Segoe UI" w:cs="Segoe UI"/>
      <w:sz w:val="18"/>
      <w:szCs w:val="18"/>
      <w:lang w:val="ro-RO"/>
    </w:rPr>
  </w:style>
  <w:style w:type="character" w:customStyle="1" w:styleId="Hyperlink1">
    <w:name w:val="Hyperlink1"/>
    <w:basedOn w:val="DefaultParagraphFont"/>
    <w:uiPriority w:val="99"/>
    <w:rsid w:val="00D1761C"/>
    <w:rPr>
      <w:color w:val="0563C1"/>
      <w:u w:val="single"/>
    </w:rPr>
  </w:style>
  <w:style w:type="character" w:styleId="CommentReference">
    <w:name w:val="annotation reference"/>
    <w:basedOn w:val="DefaultParagraphFont"/>
    <w:uiPriority w:val="99"/>
    <w:unhideWhenUsed/>
    <w:rsid w:val="00D1761C"/>
    <w:rPr>
      <w:sz w:val="16"/>
      <w:szCs w:val="16"/>
    </w:rPr>
  </w:style>
  <w:style w:type="paragraph" w:styleId="CommentText">
    <w:name w:val="annotation text"/>
    <w:basedOn w:val="Normal"/>
    <w:link w:val="CommentTextChar"/>
    <w:uiPriority w:val="99"/>
    <w:unhideWhenUsed/>
    <w:rsid w:val="00D1761C"/>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D1761C"/>
    <w:rPr>
      <w:rFonts w:eastAsia="Aptos"/>
      <w:kern w:val="2"/>
      <w:lang w:eastAsia="en-US"/>
      <w14:ligatures w14:val="standardContextual"/>
    </w:rPr>
  </w:style>
  <w:style w:type="paragraph" w:styleId="Revision">
    <w:name w:val="Revision"/>
    <w:hidden/>
    <w:uiPriority w:val="99"/>
    <w:semiHidden/>
    <w:rsid w:val="00B5398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728D2-51E5-4C8C-9105-99288CD77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6871</Words>
  <Characters>40350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2025-12-05T11:27:00Z</dcterms:created>
  <dcterms:modified xsi:type="dcterms:W3CDTF">2025-12-05T11:27:00Z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P10_TA(2025)0079_</vt:lpwstr>
  </property>
  <property fmtid="{D5CDD505-2E9C-101B-9397-08002B2CF9AE}" pid="4" name="&lt;Type&gt;">
    <vt:lpwstr>RR</vt:lpwstr>
  </property>
</Properties>
</file>