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A18" w14:paraId="384E85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EB0F7F" w14:textId="77777777" w:rsidR="00751A4A" w:rsidRPr="00FC3A18" w:rsidRDefault="00AC5D13" w:rsidP="0010095E">
            <w:pPr>
              <w:pStyle w:val="EPName"/>
            </w:pPr>
            <w:r w:rsidRPr="00FC3A18">
              <w:t>Európsky parlament</w:t>
            </w:r>
          </w:p>
          <w:p w14:paraId="05BE79B2" w14:textId="77777777" w:rsidR="00751A4A" w:rsidRPr="00FC3A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A18">
              <w:t>2024</w:t>
            </w:r>
            <w:r w:rsidR="00817416" w:rsidRPr="00FC3A18">
              <w:t>-202</w:t>
            </w:r>
            <w:r w:rsidRPr="00FC3A18">
              <w:t>9</w:t>
            </w:r>
          </w:p>
        </w:tc>
        <w:tc>
          <w:tcPr>
            <w:tcW w:w="2268" w:type="dxa"/>
            <w:shd w:val="clear" w:color="auto" w:fill="auto"/>
          </w:tcPr>
          <w:p w14:paraId="774F4D1F" w14:textId="77777777" w:rsidR="00751A4A" w:rsidRPr="00FC3A18" w:rsidRDefault="00187494" w:rsidP="0010095E">
            <w:pPr>
              <w:pStyle w:val="EPLogo"/>
            </w:pPr>
            <w:r w:rsidRPr="00FC3A18">
              <w:rPr>
                <w:noProof/>
                <w:lang w:val="en-GB"/>
              </w:rPr>
              <w:drawing>
                <wp:inline distT="0" distB="0" distL="0" distR="0" wp14:anchorId="60157E31" wp14:editId="339703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7B7EA" w14:textId="77777777" w:rsidR="00D058B8" w:rsidRPr="00FC3A18" w:rsidRDefault="00D058B8" w:rsidP="004C5D52">
      <w:pPr>
        <w:pStyle w:val="LineTop"/>
      </w:pPr>
    </w:p>
    <w:p w14:paraId="21075F7B" w14:textId="77777777" w:rsidR="00680577" w:rsidRPr="00FC3A18" w:rsidRDefault="00AC5D13" w:rsidP="00680577">
      <w:pPr>
        <w:pStyle w:val="EPBodyTA1"/>
      </w:pPr>
      <w:r w:rsidRPr="00FC3A18">
        <w:t>PRIJATÉ TEXTY</w:t>
      </w:r>
    </w:p>
    <w:p w14:paraId="32E6B27F" w14:textId="77777777" w:rsidR="00D058B8" w:rsidRPr="00FC3A18" w:rsidRDefault="00D058B8" w:rsidP="00D058B8">
      <w:pPr>
        <w:pStyle w:val="LineBottom"/>
      </w:pPr>
    </w:p>
    <w:p w14:paraId="575A908C" w14:textId="77777777" w:rsidR="00AC5D13" w:rsidRPr="00FC3A18" w:rsidRDefault="00AC5D13" w:rsidP="00AC5D13">
      <w:pPr>
        <w:pStyle w:val="ATHeading1"/>
      </w:pPr>
      <w:bookmarkStart w:id="0" w:name="TANumber"/>
      <w:r w:rsidRPr="00FC3A18">
        <w:t>P10_TA(2025)00</w:t>
      </w:r>
      <w:r w:rsidR="00FC3A18" w:rsidRPr="00FC3A18">
        <w:t>79</w:t>
      </w:r>
      <w:bookmarkEnd w:id="0"/>
    </w:p>
    <w:p w14:paraId="48681F9A" w14:textId="77777777" w:rsidR="00AC5D13" w:rsidRPr="00FC3A18" w:rsidRDefault="00AC5D13" w:rsidP="00AC5D13">
      <w:pPr>
        <w:pStyle w:val="ATHeading2"/>
      </w:pPr>
      <w:bookmarkStart w:id="1" w:name="title"/>
      <w:r w:rsidRPr="00FC3A18">
        <w:t>Absolutórium za rok 2023: všeobecný rozpočet EÚ – Európska rada a Rada</w:t>
      </w:r>
      <w:bookmarkEnd w:id="1"/>
    </w:p>
    <w:p w14:paraId="5D91417E" w14:textId="77777777" w:rsidR="00AC5D13" w:rsidRPr="00FC3A18" w:rsidRDefault="00AC5D13" w:rsidP="00AC5D13">
      <w:pPr>
        <w:rPr>
          <w:i/>
          <w:vanish/>
        </w:rPr>
      </w:pPr>
      <w:r w:rsidRPr="00FC3A18">
        <w:rPr>
          <w:i/>
        </w:rPr>
        <w:fldChar w:fldCharType="begin"/>
      </w:r>
      <w:r w:rsidRPr="00FC3A18">
        <w:rPr>
          <w:i/>
        </w:rPr>
        <w:instrText xml:space="preserve"> TC"(</w:instrText>
      </w:r>
      <w:bookmarkStart w:id="2" w:name="DocNumber"/>
      <w:r w:rsidRPr="00FC3A18">
        <w:rPr>
          <w:i/>
        </w:rPr>
        <w:instrText>A10-0052/2025</w:instrText>
      </w:r>
      <w:bookmarkEnd w:id="2"/>
      <w:r w:rsidRPr="00FC3A18">
        <w:rPr>
          <w:i/>
        </w:rPr>
        <w:instrText xml:space="preserve"> - Spravodajca: Joachim Stanisław Brudziński)"\l3 \n&gt; \* MERGEFORMAT </w:instrText>
      </w:r>
      <w:r w:rsidRPr="00FC3A18">
        <w:rPr>
          <w:i/>
        </w:rPr>
        <w:fldChar w:fldCharType="end"/>
      </w:r>
    </w:p>
    <w:p w14:paraId="288A63DA" w14:textId="77777777" w:rsidR="00AC5D13" w:rsidRPr="00FC3A18" w:rsidRDefault="00AC5D13" w:rsidP="00AC5D13">
      <w:pPr>
        <w:rPr>
          <w:vanish/>
        </w:rPr>
      </w:pPr>
      <w:bookmarkStart w:id="3" w:name="Commission"/>
      <w:r w:rsidRPr="00FC3A18">
        <w:rPr>
          <w:vanish/>
        </w:rPr>
        <w:t>Výbor pre kontrolu rozpočtu</w:t>
      </w:r>
      <w:bookmarkEnd w:id="3"/>
    </w:p>
    <w:p w14:paraId="60257D4E" w14:textId="77777777" w:rsidR="00AC5D13" w:rsidRPr="00FC3A18" w:rsidRDefault="00AC5D13" w:rsidP="00AC5D13">
      <w:pPr>
        <w:rPr>
          <w:vanish/>
        </w:rPr>
      </w:pPr>
      <w:bookmarkStart w:id="4" w:name="PE"/>
      <w:r w:rsidRPr="00FC3A18">
        <w:rPr>
          <w:vanish/>
        </w:rPr>
        <w:t>PE764.997</w:t>
      </w:r>
      <w:bookmarkEnd w:id="4"/>
    </w:p>
    <w:p w14:paraId="194514BF" w14:textId="77777777" w:rsidR="00AC5D13" w:rsidRPr="00FC3A18" w:rsidRDefault="004A06AA" w:rsidP="00AC5D13">
      <w:pPr>
        <w:pStyle w:val="ATHeading3"/>
      </w:pPr>
      <w:bookmarkStart w:id="5" w:name="Sujet"/>
      <w:r w:rsidRPr="00FC3A18">
        <w:t xml:space="preserve">1. </w:t>
      </w:r>
      <w:r w:rsidR="00AC5D13" w:rsidRPr="00FC3A18">
        <w:t>Rozhodnutie Európskeho parlamentu z</w:t>
      </w:r>
      <w:r w:rsidR="00C524B1" w:rsidRPr="00FC3A18">
        <w:t>o</w:t>
      </w:r>
      <w:r w:rsidR="00AC5D13" w:rsidRPr="00FC3A18">
        <w:t xml:space="preserve"> </w:t>
      </w:r>
      <w:r w:rsidR="00C524B1" w:rsidRPr="00FC3A18">
        <w:t>7</w:t>
      </w:r>
      <w:r w:rsidR="00AC5D13" w:rsidRPr="00FC3A18">
        <w:t>. mája 2025 o absolutóriu za plnenie všeobecného rozpočtu Európskej únie za rozpočtový rok 2023, oddiel II – Európska rada a Rada</w:t>
      </w:r>
      <w:bookmarkEnd w:id="5"/>
      <w:r w:rsidR="00AC5D13" w:rsidRPr="00FC3A18">
        <w:t xml:space="preserve"> </w:t>
      </w:r>
      <w:bookmarkStart w:id="6" w:name="References"/>
      <w:r w:rsidR="00AC5D13" w:rsidRPr="00FC3A18">
        <w:t>(2024/2021(DEC))</w:t>
      </w:r>
      <w:bookmarkEnd w:id="6"/>
    </w:p>
    <w:p w14:paraId="0A399D16" w14:textId="77777777" w:rsidR="00262993" w:rsidRPr="00FC3A18" w:rsidRDefault="00262993" w:rsidP="00262993">
      <w:pPr>
        <w:pStyle w:val="EPComma"/>
      </w:pPr>
      <w:bookmarkStart w:id="7" w:name="TextBodyBegin"/>
      <w:bookmarkEnd w:id="7"/>
      <w:r w:rsidRPr="00FC3A18">
        <w:rPr>
          <w:i/>
        </w:rPr>
        <w:t>Európsky parlament</w:t>
      </w:r>
      <w:r w:rsidRPr="00FC3A18">
        <w:t>,</w:t>
      </w:r>
    </w:p>
    <w:p w14:paraId="48C4FFC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všeobecný rozpočet Európskej únie na rozpočtový rok 2023</w:t>
      </w:r>
      <w:r w:rsidRPr="000762C5">
        <w:rPr>
          <w:kern w:val="2"/>
          <w:vertAlign w:val="superscript"/>
          <w14:ligatures w14:val="standardContextual"/>
        </w:rPr>
        <w:footnoteReference w:id="1"/>
      </w:r>
      <w:r w:rsidRPr="000762C5">
        <w:rPr>
          <w:kern w:val="2"/>
          <w14:ligatures w14:val="standardContextual"/>
        </w:rPr>
        <w:t>,</w:t>
      </w:r>
    </w:p>
    <w:p w14:paraId="4895D434" w14:textId="48BC2EF9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 xml:space="preserve">so zreteľom na konsolidovanú ročnú účtovnú závierku Európskej únie za rozpočtový rok 2023 </w:t>
      </w:r>
      <w:r>
        <w:rPr>
          <w:kern w:val="2"/>
          <w14:ligatures w14:val="standardContextual"/>
        </w:rPr>
        <w:t>(</w:t>
      </w:r>
      <w:r w:rsidRPr="000762C5">
        <w:rPr>
          <w:kern w:val="2"/>
          <w14:ligatures w14:val="standardContextual"/>
        </w:rPr>
        <w:t>COM(2024)0272 – C10-0069/2024</w:t>
      </w:r>
      <w:r>
        <w:rPr>
          <w:kern w:val="2"/>
          <w14:ligatures w14:val="standardContextual"/>
        </w:rPr>
        <w:t>)</w:t>
      </w:r>
      <w:r w:rsidRPr="000762C5">
        <w:rPr>
          <w:kern w:val="2"/>
          <w:vertAlign w:val="superscript"/>
          <w14:ligatures w14:val="standardContextual"/>
        </w:rPr>
        <w:footnoteReference w:id="2"/>
      </w:r>
      <w:r w:rsidRPr="000762C5">
        <w:rPr>
          <w:kern w:val="2"/>
          <w14:ligatures w14:val="standardContextual"/>
        </w:rPr>
        <w:t>,</w:t>
      </w:r>
    </w:p>
    <w:p w14:paraId="36FAB75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výročné správy Rady z roku 2023,</w:t>
      </w:r>
    </w:p>
    <w:p w14:paraId="4B586663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výročnú správu Dvora audítorov o plnení rozpočtu za rozpočtový rok 2023 spolu s odpoveďami inštitúcií</w:t>
      </w:r>
      <w:r w:rsidRPr="000762C5">
        <w:rPr>
          <w:kern w:val="2"/>
          <w:vertAlign w:val="superscript"/>
          <w14:ligatures w14:val="standardContextual"/>
        </w:rPr>
        <w:footnoteReference w:id="3"/>
      </w:r>
      <w:r w:rsidRPr="000762C5">
        <w:rPr>
          <w:kern w:val="2"/>
          <w14:ligatures w14:val="standardContextual"/>
        </w:rPr>
        <w:t>,</w:t>
      </w:r>
    </w:p>
    <w:p w14:paraId="195CBF6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vyhlásenie o vierohodnosti</w:t>
      </w:r>
      <w:r w:rsidRPr="000762C5">
        <w:rPr>
          <w:kern w:val="2"/>
          <w:vertAlign w:val="superscript"/>
          <w14:ligatures w14:val="standardContextual"/>
        </w:rPr>
        <w:footnoteReference w:id="4"/>
      </w:r>
      <w:r w:rsidRPr="000762C5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1626B6C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článok 314 ods. 10 a články 317, 318 a 319 Zmluvy o fungovaní Európskej únie,</w:t>
      </w:r>
    </w:p>
    <w:p w14:paraId="663F595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0762C5">
        <w:rPr>
          <w:kern w:val="2"/>
          <w14:ligatures w14:val="standardContextual"/>
        </w:rPr>
        <w:t>Euratom</w:t>
      </w:r>
      <w:proofErr w:type="spellEnd"/>
      <w:r w:rsidRPr="000762C5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</w:t>
      </w:r>
      <w:r w:rsidRPr="000762C5">
        <w:rPr>
          <w:kern w:val="2"/>
          <w14:ligatures w14:val="standardContextual"/>
        </w:rPr>
        <w:lastRenderedPageBreak/>
        <w:t xml:space="preserve">č. 283/2014 a rozhodnutia č. 541/2014/EÚ a o zrušení nariadenia (EÚ, </w:t>
      </w:r>
      <w:proofErr w:type="spellStart"/>
      <w:r w:rsidRPr="000762C5">
        <w:rPr>
          <w:kern w:val="2"/>
          <w14:ligatures w14:val="standardContextual"/>
        </w:rPr>
        <w:t>Euratom</w:t>
      </w:r>
      <w:proofErr w:type="spellEnd"/>
      <w:r w:rsidRPr="000762C5">
        <w:rPr>
          <w:kern w:val="2"/>
          <w14:ligatures w14:val="standardContextual"/>
        </w:rPr>
        <w:t>) č. 966/2012</w:t>
      </w:r>
      <w:r w:rsidRPr="000762C5">
        <w:rPr>
          <w:kern w:val="2"/>
          <w:vertAlign w:val="superscript"/>
          <w14:ligatures w14:val="standardContextual"/>
        </w:rPr>
        <w:footnoteReference w:id="5"/>
      </w:r>
      <w:r w:rsidRPr="000762C5">
        <w:rPr>
          <w:kern w:val="2"/>
          <w14:ligatures w14:val="standardContextual"/>
        </w:rPr>
        <w:t>, a najmä na jeho články 59, 118, 260, 261 a 262,</w:t>
      </w:r>
    </w:p>
    <w:p w14:paraId="275274E2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 xml:space="preserve">so zreteľom na </w:t>
      </w:r>
      <w:r w:rsidRPr="000762C5">
        <w:rPr>
          <w:color w:val="333333"/>
          <w:kern w:val="2"/>
          <w:shd w:val="clear" w:color="auto" w:fill="FFFFFF"/>
          <w14:ligatures w14:val="standardContextual"/>
        </w:rPr>
        <w:t xml:space="preserve">nariadenie Európskeho parlamentu a Rady (EÚ, </w:t>
      </w:r>
      <w:proofErr w:type="spellStart"/>
      <w:r w:rsidRPr="000762C5">
        <w:rPr>
          <w:color w:val="333333"/>
          <w:kern w:val="2"/>
          <w:shd w:val="clear" w:color="auto" w:fill="FFFFFF"/>
          <w14:ligatures w14:val="standardContextual"/>
        </w:rPr>
        <w:t>Euratom</w:t>
      </w:r>
      <w:proofErr w:type="spellEnd"/>
      <w:r w:rsidRPr="000762C5">
        <w:rPr>
          <w:color w:val="333333"/>
          <w:kern w:val="2"/>
          <w:shd w:val="clear" w:color="auto" w:fill="FFFFFF"/>
          <w14:ligatures w14:val="standardContextual"/>
        </w:rPr>
        <w:t>) 2024/2509 z 23. septembra 2024 o rozpočtových pravidlách, ktoré sa vzťahujú na všeobecný rozpočet Únie</w:t>
      </w:r>
      <w:r w:rsidRPr="000762C5">
        <w:rPr>
          <w:bCs/>
          <w:color w:val="333333"/>
          <w:kern w:val="2"/>
          <w:szCs w:val="24"/>
          <w:shd w:val="clear" w:color="auto" w:fill="FFFFFF"/>
          <w:vertAlign w:val="superscript"/>
          <w14:ligatures w14:val="standardContextual"/>
        </w:rPr>
        <w:footnoteReference w:id="6"/>
      </w:r>
      <w:r w:rsidRPr="000762C5">
        <w:rPr>
          <w:color w:val="333333"/>
          <w:kern w:val="2"/>
          <w:shd w:val="clear" w:color="auto" w:fill="FFFFFF"/>
          <w14:ligatures w14:val="standardContextual"/>
        </w:rPr>
        <w:t>, a najmä na jeho články 59, 118, 266, 267 a 268</w:t>
      </w:r>
      <w:r w:rsidRPr="000762C5">
        <w:rPr>
          <w:kern w:val="2"/>
          <w14:ligatures w14:val="standardContextual"/>
        </w:rPr>
        <w:t>,</w:t>
      </w:r>
    </w:p>
    <w:p w14:paraId="215AD0A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článok 102 a prílohu V k rokovaciemu poriadku,</w:t>
      </w:r>
    </w:p>
    <w:p w14:paraId="340271C0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stanovisko Výboru pre ústavné veci,</w:t>
      </w:r>
    </w:p>
    <w:p w14:paraId="5CD2B49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správu Výboru pre kontrolu rozpočtu (A10-0052/2025),</w:t>
      </w:r>
    </w:p>
    <w:p w14:paraId="1A6780B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1.</w:t>
      </w:r>
      <w:r w:rsidRPr="000762C5">
        <w:rPr>
          <w:kern w:val="2"/>
          <w14:ligatures w14:val="standardContextual"/>
        </w:rPr>
        <w:tab/>
        <w:t>odkladá svoje rozhodnutie o udelení absolutória generálnej tajomníčke Rady za plnenie rozpočtu Európskej rady a Rady za rozpočtový rok 2023;</w:t>
      </w:r>
    </w:p>
    <w:p w14:paraId="0FC0CCBD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2.</w:t>
      </w:r>
      <w:r w:rsidRPr="000762C5">
        <w:rPr>
          <w:kern w:val="2"/>
          <w14:ligatures w14:val="standardContextual"/>
        </w:rPr>
        <w:tab/>
        <w:t>uvádza svoje poznámky v priloženom uznesení;</w:t>
      </w:r>
    </w:p>
    <w:p w14:paraId="727B183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3.</w:t>
      </w:r>
      <w:r w:rsidRPr="000762C5">
        <w:rPr>
          <w:kern w:val="2"/>
          <w14:ligatures w14:val="standardContextual"/>
        </w:rPr>
        <w:tab/>
        <w:t>poveruje svoju predsedníčku, aby postúpila toto rozhodnutie a uznesenie, ktoré je jeho neoddeliteľnou súčasťou, Európskej rade, Rade, Komisii, európskemu ombudsmanovi, európskemu dozornému úradníkovi pre ochranu údajov a Dvoru audítorov a aby zabezpečila ich uverejnenie v </w:t>
      </w:r>
      <w:r w:rsidRPr="000762C5">
        <w:rPr>
          <w:i/>
          <w:iCs/>
          <w:kern w:val="2"/>
          <w14:ligatures w14:val="standardContextual"/>
        </w:rPr>
        <w:t>Úradnom vestníku Európskej únie</w:t>
      </w:r>
      <w:r w:rsidRPr="000762C5">
        <w:rPr>
          <w:kern w:val="2"/>
          <w14:ligatures w14:val="standardContextual"/>
        </w:rPr>
        <w:t xml:space="preserve"> (v sérii L).</w:t>
      </w:r>
    </w:p>
    <w:p w14:paraId="775DFB74" w14:textId="77777777" w:rsidR="000762C5" w:rsidRPr="000762C5" w:rsidRDefault="000762C5" w:rsidP="000762C5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0762C5" w:rsidRPr="000762C5" w:rsidSect="000762C5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8497EF" w14:textId="77777777" w:rsidR="000762C5" w:rsidRPr="000762C5" w:rsidRDefault="000762C5" w:rsidP="000762C5">
      <w:pPr>
        <w:pStyle w:val="ATHeading3"/>
      </w:pPr>
      <w:r w:rsidRPr="000762C5">
        <w:lastRenderedPageBreak/>
        <w:t>2. Uznesenie Európskeho parlamentu zo 7. mája 2025 s poznámkami, ktoré je neoddeliteľnou súčasťou rozhodnutia o absolutóriu za plnenie všeobecného rozpočtu Európskej únie za rozpočtový rok 2023, oddiel II – Európska rada a Rada (2024/2021(DEC))</w:t>
      </w:r>
    </w:p>
    <w:p w14:paraId="58C5A355" w14:textId="312A5028" w:rsidR="000762C5" w:rsidRPr="000762C5" w:rsidRDefault="000762C5" w:rsidP="000762C5">
      <w:pPr>
        <w:spacing w:before="480" w:after="240"/>
        <w:rPr>
          <w:iCs/>
          <w:kern w:val="2"/>
          <w14:ligatures w14:val="standardContextual"/>
        </w:rPr>
      </w:pPr>
      <w:r w:rsidRPr="00FC3A18">
        <w:rPr>
          <w:i/>
        </w:rPr>
        <w:t>Európsky parlament</w:t>
      </w:r>
      <w:r w:rsidRPr="000762C5">
        <w:rPr>
          <w:iCs/>
          <w:kern w:val="2"/>
          <w14:ligatures w14:val="standardContextual"/>
        </w:rPr>
        <w:t>,</w:t>
      </w:r>
    </w:p>
    <w:p w14:paraId="3117E94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svoje rozhodnutie o absolutóriu za plnenie všeobecného rozpočtu Európskej únie za rozpočtový rok 2023, oddiel II – Európska rada a Rada,</w:t>
      </w:r>
    </w:p>
    <w:p w14:paraId="7D5DADE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článok 102 a prílohu V k rokovaciemu poriadku,</w:t>
      </w:r>
    </w:p>
    <w:p w14:paraId="0DE6221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stanovisko Výboru pre ústavné veci,</w:t>
      </w:r>
    </w:p>
    <w:p w14:paraId="50B74AE3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–</w:t>
      </w:r>
      <w:r w:rsidRPr="000762C5">
        <w:rPr>
          <w:kern w:val="2"/>
          <w14:ligatures w14:val="standardContextual"/>
        </w:rPr>
        <w:tab/>
        <w:t>so zreteľom na správu Výboru pre kontrolu rozpočtu (A10-0052/2025),</w:t>
      </w:r>
    </w:p>
    <w:p w14:paraId="22C0C194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A.</w:t>
      </w:r>
      <w:r w:rsidRPr="000762C5">
        <w:rPr>
          <w:kern w:val="2"/>
          <w14:ligatures w14:val="standardContextual"/>
        </w:rPr>
        <w:tab/>
        <w:t>keďže v súvislosti s postupom udelenia absolutória chce orgán udeľujúci absolutórium podčiarknuť osobitný význam ďalšieho posilňovania demokratickej legitimity inštitúcií Únie zvyšovaním transparentnosti a zodpovednosti a zavedením koncepcie zostavovania rozpočtu na základe výkonnosti a dobrého riadenia ľudských zdrojov;</w:t>
      </w:r>
    </w:p>
    <w:p w14:paraId="57CF1FC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B.</w:t>
      </w:r>
      <w:r w:rsidRPr="000762C5">
        <w:rPr>
          <w:kern w:val="2"/>
          <w14:ligatures w14:val="standardContextual"/>
        </w:rPr>
        <w:tab/>
        <w:t>keďže podľa článku 319 Zmluvy o fungovaní Európskej únie (ďalej len „ZFEÚ“) má Európsky parlament výhradnú zodpovednosť za udelenie absolutória za plnenie všeobecného rozpočtu Únie a keďže rozpočet Európskej rady a Rady je jedným z oddielov rozpočtu Únie;</w:t>
      </w:r>
    </w:p>
    <w:p w14:paraId="40042842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C.</w:t>
      </w:r>
      <w:r w:rsidRPr="000762C5">
        <w:rPr>
          <w:kern w:val="2"/>
          <w14:ligatures w14:val="standardContextual"/>
        </w:rPr>
        <w:tab/>
        <w:t>keďže podľa článku 15 ods. 1 Zmluvy o Európskej únii (ďalej len „Zmluva o EÚ“) Európska rada nevykonáva legislatívnu funkciu;</w:t>
      </w:r>
    </w:p>
    <w:p w14:paraId="7A89409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D.</w:t>
      </w:r>
      <w:r w:rsidRPr="000762C5">
        <w:rPr>
          <w:kern w:val="2"/>
          <w14:ligatures w14:val="standardContextual"/>
        </w:rPr>
        <w:tab/>
        <w:t>keďže podľa článku 317 ZFEÚ Komisia plní rozpočet na vlastnú zodpovednosť, a to podľa zásad správneho finančného riadenia, a keďže podľa platného rámca Komisia deleguje na ostatné inštitúcie Únie právomoci potrebné na implementáciu rozpočtových oddielov, ktoré sa ich týkajú;</w:t>
      </w:r>
    </w:p>
    <w:p w14:paraId="7E7EFDA6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E.</w:t>
      </w:r>
      <w:r w:rsidRPr="000762C5">
        <w:rPr>
          <w:kern w:val="2"/>
          <w14:ligatures w14:val="standardContextual"/>
        </w:rPr>
        <w:tab/>
        <w:t>keďže podľa článku 235 ods. 4 a článku 240 ods. 2 ZFEÚ Európskej rade a Rade (ďalej len „Rada“) pomáha Generálny sekretariát Rady (ďalej len „sekretariát“) a keďže generálny tajomník Rady v plnej miere zodpovedá za správne riadenie rozpočtových prostriedkov v oddiele II rozpočtu Únie;</w:t>
      </w:r>
    </w:p>
    <w:p w14:paraId="68D5B69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F.</w:t>
      </w:r>
      <w:r w:rsidRPr="000762C5">
        <w:rPr>
          <w:kern w:val="2"/>
          <w14:ligatures w14:val="standardContextual"/>
        </w:rPr>
        <w:tab/>
        <w:t>keďže v priebehu viac než 20 rokov Európsky parlament vykonáva osvedčený a rešpektovaný postup udeľovania absolutória všetkým inštitúciám, orgánom, úradom a agentúram Únie a keďže Komisia podporuje to, aby sa tento postup udeľovania absolutória jednotlivým inštitúciám za ich administratívne výdavky uplatňoval aj naďalej;</w:t>
      </w:r>
    </w:p>
    <w:p w14:paraId="69CBF290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G.</w:t>
      </w:r>
      <w:r w:rsidRPr="000762C5">
        <w:rPr>
          <w:kern w:val="2"/>
          <w14:ligatures w14:val="standardContextual"/>
        </w:rPr>
        <w:tab/>
        <w:t>keďže podľa článku 59 ods. 1 nariadenia o rozpočtových pravidlách Komisia deleguje na ostatné inštitúcie Únie právomoci potrebné na implementáciu rozpočtových oddielov, ktoré sa ich týkajú;</w:t>
      </w:r>
    </w:p>
    <w:p w14:paraId="5025615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H.</w:t>
      </w:r>
      <w:r w:rsidRPr="000762C5">
        <w:rPr>
          <w:kern w:val="2"/>
          <w14:ligatures w14:val="standardContextual"/>
        </w:rPr>
        <w:tab/>
        <w:t xml:space="preserve">keďže v dôsledku nedostatočnej spolupráce Rady v rámci postupu udelenia absolutória je Európsky parlament od absolutória za rozpočet za rok 2009 nútený odmietať udelenie </w:t>
      </w:r>
      <w:r w:rsidRPr="000762C5">
        <w:rPr>
          <w:kern w:val="2"/>
          <w14:ligatures w14:val="standardContextual"/>
        </w:rPr>
        <w:lastRenderedPageBreak/>
        <w:t>absolutória generálnemu tajomníkovi Rady;</w:t>
      </w:r>
    </w:p>
    <w:p w14:paraId="451531E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I.</w:t>
      </w:r>
      <w:r w:rsidRPr="000762C5">
        <w:rPr>
          <w:kern w:val="2"/>
          <w14:ligatures w14:val="standardContextual"/>
        </w:rPr>
        <w:tab/>
        <w:t>keďže Európska rada a Rada by ako inštitúcie Únie aj ako príjemcovia finančných prostriedkov zo všeobecného rozpočtu Únie mali byť transparentné a demokraticky sa zodpovedať občanom Únie a mali by podliehať demokratickej kontrole vynakladania verejných finančných prostriedkov;</w:t>
      </w:r>
    </w:p>
    <w:p w14:paraId="59296F0C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J.</w:t>
      </w:r>
      <w:r w:rsidRPr="000762C5">
        <w:rPr>
          <w:kern w:val="2"/>
          <w14:ligatures w14:val="standardContextual"/>
        </w:rPr>
        <w:tab/>
        <w:t>keďže v článku 15 ods. 3 ZFEÚ sa od inštitúcií EÚ vyžaduje, aby vo svojom rokovacom poriadku zabezpečili transparentnosť svojich konaní, zatiaľ čo ombudsmanka vo viacerých svojich vyšetrovaniach a rozhodnutiach kritizovala Radu za nedostatočnú transparentnosť, čo naznačuje, že Rada v plnej miere nepochopila kritické prepojenie medzi demokraciou a transparentnosťou rozhodovania;</w:t>
      </w:r>
    </w:p>
    <w:p w14:paraId="2595F54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K.</w:t>
      </w:r>
      <w:r w:rsidRPr="000762C5">
        <w:rPr>
          <w:kern w:val="2"/>
          <w14:ligatures w14:val="standardContextual"/>
        </w:rPr>
        <w:tab/>
        <w:t>keďže judikatúra Súdneho dvora Európskej únie potvrdzuje právo daňovníkov a verejnosti na priebežné informácie o využívaní verejných príjmov a keďže Všeobecný súd vo svojom rozsudku z 25. januára 2023 vo veci T-163/21 </w:t>
      </w:r>
      <w:r w:rsidRPr="000762C5">
        <w:rPr>
          <w:kern w:val="2"/>
          <w:vertAlign w:val="superscript"/>
          <w14:ligatures w14:val="standardContextual"/>
        </w:rPr>
        <w:footnoteReference w:id="7"/>
      </w:r>
      <w:r w:rsidRPr="000762C5">
        <w:rPr>
          <w:kern w:val="2"/>
          <w14:ligatures w14:val="standardContextual"/>
        </w:rPr>
        <w:t xml:space="preserve">, De </w:t>
      </w:r>
      <w:proofErr w:type="spellStart"/>
      <w:r w:rsidRPr="000762C5">
        <w:rPr>
          <w:kern w:val="2"/>
          <w14:ligatures w14:val="standardContextual"/>
        </w:rPr>
        <w:t>Capitani</w:t>
      </w:r>
      <w:proofErr w:type="spellEnd"/>
      <w:r w:rsidRPr="000762C5">
        <w:rPr>
          <w:kern w:val="2"/>
          <w14:ligatures w14:val="standardContextual"/>
        </w:rPr>
        <w:t>/Rada o transparentnosti v rámci legislatívneho procesu Únie uviedol, že dokumenty vypracované Radou v jej pracovných skupinách nie sú technickej, ale legislatívnej povahy, a preto podliehajú žiadostiam o prístup k dokumentom;</w:t>
      </w:r>
    </w:p>
    <w:p w14:paraId="04F071E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1.</w:t>
      </w:r>
      <w:r w:rsidRPr="000762C5">
        <w:rPr>
          <w:kern w:val="2"/>
          <w14:ligatures w14:val="standardContextual"/>
        </w:rPr>
        <w:tab/>
        <w:t>konštatuje, že rozpočet Rady patrí do okruhu 7 VFR „Európska verejná správa“, ktorý v roku 2023 predstavoval 12,3 miliardy EUR (čo predstavuje 6,4 % celkového rozpočtu Únie); konštatuje, že rozpočet Rady vo výške približne 0,6 miliardy EUR predstavuje zhruba 5,2 % celkových administratívnych výdavkov Únie;</w:t>
      </w:r>
    </w:p>
    <w:p w14:paraId="174F5A9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2.</w:t>
      </w:r>
      <w:r w:rsidRPr="000762C5">
        <w:rPr>
          <w:kern w:val="2"/>
          <w14:ligatures w14:val="standardContextual"/>
        </w:rPr>
        <w:tab/>
        <w:t>víta, že Dvor audítorov vo výročnej správe za rozpočtový rok 2023 preskúmal vzorku 70 operácií v oddiele Administratíva, teda o 10 viac než v roku 2022; ďalej konštatuje, že podľa Dvora audítorov administratívne výdavky zahŕňajú výdavky na ľudské zdroje vrátane výdavkov na dôchodky, ktoré v roku 2023 predstavovali približne 70 % celkových administratívnych výdavkov, a výdavky na budovy, zariadenie, energetiku, komunikáciu a informačné technológie, a že jeho práca počas mnohých rokov naznačuje, že tieto výdavky sú celkovo nízkorizikové;</w:t>
      </w:r>
    </w:p>
    <w:p w14:paraId="5A53A70D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3.</w:t>
      </w:r>
      <w:r w:rsidRPr="000762C5">
        <w:rPr>
          <w:kern w:val="2"/>
          <w14:ligatures w14:val="standardContextual"/>
        </w:rPr>
        <w:tab/>
        <w:t>konštatuje, že 21 (30 %) zo 70 operácií obsahovalo chyby, ale že Dvor audítorov na základe piatich vyčíslených chýb odhaduje, že chybovosť bola pod prahom významnosti;</w:t>
      </w:r>
    </w:p>
    <w:p w14:paraId="563C8725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4.</w:t>
      </w:r>
      <w:r w:rsidRPr="000762C5">
        <w:rPr>
          <w:kern w:val="2"/>
          <w14:ligatures w14:val="standardContextual"/>
        </w:rPr>
        <w:tab/>
        <w:t>konštatuje, že Dvor audítorov vo svojej výročnej správe za rozpočtový rok 2023 uviedol pripomienku k trvaniu rámcovej zmluvy o údržbe budov, ktorú zadala Rada; konštatuje, že Dvor audítorov nezistil žiadne vyčísliteľné chyby v štyroch preskúmaných platbách týkajúcich sa Rady;</w:t>
      </w:r>
    </w:p>
    <w:p w14:paraId="6B198615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Stav postupu udelenia absolutória</w:t>
      </w:r>
    </w:p>
    <w:p w14:paraId="4D39C632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5.</w:t>
      </w:r>
      <w:r w:rsidRPr="000762C5">
        <w:rPr>
          <w:kern w:val="2"/>
          <w14:ligatures w14:val="standardContextual"/>
        </w:rPr>
        <w:tab/>
        <w:t xml:space="preserve">vyjadruje hlboké poľutovanie nad tým, že rovnako ako od roku 2009 musí Európsky parlament aj za rozpočtový rok 2022 odmietnuť udeliť absolutórium Rade, pretože naďalej odmieta spolupracovať s Európskym parlamentom v rámci postupu udelenia absolutória, čím bráni Európskemu parlamentu prijať informované rozhodnutie na </w:t>
      </w:r>
      <w:r w:rsidRPr="000762C5">
        <w:rPr>
          <w:kern w:val="2"/>
          <w14:ligatures w14:val="standardContextual"/>
        </w:rPr>
        <w:lastRenderedPageBreak/>
        <w:t>základe serióznej a dôkladnej kontroly plnenia rozpočtu Rady;</w:t>
      </w:r>
    </w:p>
    <w:p w14:paraId="3C753BA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6.</w:t>
      </w:r>
      <w:r w:rsidRPr="000762C5">
        <w:rPr>
          <w:kern w:val="2"/>
          <w14:ligatures w14:val="standardContextual"/>
        </w:rPr>
        <w:tab/>
        <w:t>konštatuje, že príslušné útvary Európskeho parlamentu zaslali 20. septembra 2024 v mene spravodajcu pre postup udelenia absolutória sekretariátu Rady dotazník s 90 dôležitými otázkami s cieľom umožniť dôkladnú kontrolu plnenia rozpočtu Rady a jej riadenia; ďalej konštatuje, že podobné dotazníky boli zaslané všetkým ostatným inštitúciám, ktoré poskytli Európskemu parlamentu podrobné odpovede na všetky položené otázky;</w:t>
      </w:r>
    </w:p>
    <w:p w14:paraId="787EB7E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7.</w:t>
      </w:r>
      <w:r w:rsidRPr="000762C5">
        <w:rPr>
          <w:kern w:val="2"/>
          <w14:ligatures w14:val="standardContextual"/>
        </w:rPr>
        <w:tab/>
        <w:t>vyjadruje poľutovanie nad tým, že sekretariát 23. septembra 2024 opätovne informoval Európsky parlament, že nebude odpovedať na jeho dotazník a že Rada sa nezúčastní na vypočutí usporiadanom 12. novembra 2024 v rámci postupu udelenia absolutória, na ktorom sa zúčastnili všetky ostatné prizvané inštitúcie;</w:t>
      </w:r>
    </w:p>
    <w:p w14:paraId="30612BC0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8.</w:t>
      </w:r>
      <w:r w:rsidRPr="000762C5">
        <w:rPr>
          <w:kern w:val="2"/>
          <w14:ligatures w14:val="standardContextual"/>
        </w:rPr>
        <w:tab/>
        <w:t>opätovne pripomína výsadu Európskeho parlamentu udeľovať absolutórium podľa článku 319 ZFEÚ, ako aj podľa uplatniteľných ustanovení nariadenia o rozpočtových pravidlách a rokovacieho poriadku Európskeho parlamentu v súlade so súčasným výkladom a praxou, konkrétne právomoc udeľovať absolutórium s cieľom zachovávať transparentnosť a zabezpečiť demokratickú zodpovednosť vo vzťahu k daňovníkom Únie;</w:t>
      </w:r>
    </w:p>
    <w:p w14:paraId="1AD825B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9.</w:t>
      </w:r>
      <w:r w:rsidRPr="000762C5">
        <w:rPr>
          <w:kern w:val="2"/>
          <w14:ligatures w14:val="standardContextual"/>
        </w:rPr>
        <w:tab/>
        <w:t>zdôrazňuje, že v článku 59 ods. 1 nariadenia o rozpočtových pravidlách sa uvádza, že Komisia deleguje na ostatné inštitúcie Únie právomoci potrebné na implementáciu rozpočtových oddielov, ktoré sa ich týkajú, a preto nerozumie tomu, že Rada považuje za vhodné, aby sa absolutórium za plnenie rozpočtu Rady udeľovalo Komisii;</w:t>
      </w:r>
    </w:p>
    <w:p w14:paraId="712BA376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10.</w:t>
      </w:r>
      <w:r w:rsidRPr="000762C5">
        <w:rPr>
          <w:kern w:val="2"/>
          <w14:ligatures w14:val="standardContextual"/>
        </w:rPr>
        <w:tab/>
        <w:t>zdôrazňuje osvedčený a rešpektovaný postup udeľovania absolutória všetkým inštitúciám, orgánom, úradom a agentúram Únie, vrátane Európskej rady a Rady, ktorý Európsky parlament dodržiava už viac než dvadsať rokov; pripomína, že Komisia vyhlásila, že nedokáže dohliadať na plnenie rozpočtov ostatných inštitúcií Únie; zdôrazňuje opakovaný názor Komisie, že postup udeľovania absolutória každej inštitúcii Únie za jej administratívne výdavky a plnenie rozpočtu EÚ by mal naďalej priamo presadzovať Európsky parlament, aby sa zachoval súlad so zásadou správneho finančného riadenia;</w:t>
      </w:r>
    </w:p>
    <w:p w14:paraId="322AD8BC" w14:textId="77777777" w:rsidR="000762C5" w:rsidRPr="000762C5" w:rsidRDefault="000762C5" w:rsidP="000762C5">
      <w:pPr>
        <w:spacing w:after="240"/>
        <w:ind w:left="567" w:hanging="567"/>
        <w:rPr>
          <w:bCs/>
          <w:iCs/>
          <w:kern w:val="2"/>
          <w:szCs w:val="24"/>
          <w14:ligatures w14:val="standardContextual"/>
        </w:rPr>
      </w:pPr>
      <w:r w:rsidRPr="000762C5">
        <w:rPr>
          <w:kern w:val="2"/>
          <w14:ligatures w14:val="standardContextual"/>
        </w:rPr>
        <w:t>11.</w:t>
      </w:r>
      <w:r w:rsidRPr="000762C5">
        <w:rPr>
          <w:kern w:val="2"/>
          <w14:ligatures w14:val="standardContextual"/>
        </w:rPr>
        <w:tab/>
        <w:t>zdôrazňuje, že súčasná situácia znamená, že Európsky parlament môže kontrolovať len správy Dvora audítorov a ombudsmanky a verejne dostupné informácie na webovom sídle Rady z dôvodu pretrvávajúcej nedostatočnej spolupráce Rady s Európskym parlamentom; zdôrazňuje, že tento nedostatok spolupráce oslabuje schopnosť Európskeho parlamentu účinne plniť svoju úlohu dohľadu a prijímať informované rozhodnutia o udelení absolutória;</w:t>
      </w:r>
    </w:p>
    <w:p w14:paraId="30C9694F" w14:textId="77777777" w:rsidR="000762C5" w:rsidRPr="000762C5" w:rsidRDefault="000762C5" w:rsidP="000762C5">
      <w:pPr>
        <w:spacing w:after="240"/>
        <w:ind w:left="567" w:hanging="567"/>
        <w:rPr>
          <w:bCs/>
          <w:iCs/>
          <w:kern w:val="2"/>
          <w:szCs w:val="24"/>
          <w14:ligatures w14:val="standardContextual"/>
        </w:rPr>
      </w:pPr>
      <w:r w:rsidRPr="000762C5">
        <w:rPr>
          <w:kern w:val="2"/>
          <w14:ligatures w14:val="standardContextual"/>
        </w:rPr>
        <w:t>12.</w:t>
      </w:r>
      <w:r w:rsidRPr="000762C5">
        <w:rPr>
          <w:kern w:val="2"/>
          <w14:ligatures w14:val="standardContextual"/>
        </w:rPr>
        <w:tab/>
        <w:t>vyjadruje poľutovanie nad tým, že Rada už viac ako desať rokov preukazuje, že nemá žiadnu politickú vôľu spolupracovať s Európskym parlamentom v kontexte ročného postupu udelenia absolutória; zdôrazňuje, že tento postoj má pretrvávajúci negatívny vplyv na obe inštitúcie, zdiskreditoval riadenie a demokratickú kontrolu rozpočtu Únie a poškodil dôveru občanov v Úniu ako transparentný subjekt;</w:t>
      </w:r>
      <w:r w:rsidRPr="000762C5">
        <w:rPr>
          <w:b/>
          <w:i/>
          <w:color w:val="FF0000"/>
          <w:kern w:val="2"/>
          <w14:ligatures w14:val="standardContextual"/>
        </w:rPr>
        <w:t xml:space="preserve"> </w:t>
      </w:r>
      <w:r w:rsidRPr="000762C5">
        <w:rPr>
          <w:kern w:val="2"/>
          <w14:ligatures w14:val="standardContextual"/>
        </w:rPr>
        <w:t>zdôrazňuje, že Rada musí dodržiavať rovnaké normy zodpovednosti, aké očakáva od iných inštitúcií Únie;</w:t>
      </w:r>
    </w:p>
    <w:p w14:paraId="39D9BA57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13</w:t>
      </w:r>
      <w:r w:rsidRPr="000762C5">
        <w:rPr>
          <w:b/>
          <w:i/>
          <w:kern w:val="2"/>
          <w14:ligatures w14:val="standardContextual"/>
        </w:rPr>
        <w:t>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 xml:space="preserve">opakuje, že pokračujúce odmietanie Rady zapájať sa do postupu udelenia absolutória je neprijateľným porušovaním demokratickej zodpovednosti. Požaduje právne </w:t>
      </w:r>
      <w:r w:rsidRPr="000762C5">
        <w:rPr>
          <w:kern w:val="2"/>
          <w14:ligatures w14:val="standardContextual"/>
        </w:rPr>
        <w:lastRenderedPageBreak/>
        <w:t>a procedurálne zmeny s cieľom zadržať rozpočtové prostriedky každej inštitúcii Únie, ktorá nedodržiava povinnosti týkajúce sa transparentnosti;</w:t>
      </w:r>
    </w:p>
    <w:p w14:paraId="70CE6FB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14.</w:t>
      </w:r>
      <w:r w:rsidRPr="000762C5">
        <w:rPr>
          <w:kern w:val="2"/>
          <w14:ligatures w14:val="standardContextual"/>
        </w:rPr>
        <w:tab/>
        <w:t>pripomína, že judikatúra Súdneho dvora Európskej únie podporuje právo daňovníkov a verejnosti na priebežné informácie o využívaní verejných príjmov; požaduje preto plné rešpektovanie výsady Európskeho parlamentu a jeho úlohy garanta zásady demokratickej zodpovednosti; vyzýva Radu, aby náležite nadviazala na odporúčania prijaté Európskym parlamentom v kontexte postupu udelenia absolutória za plnenie rozpočtu a trvá na úplnom uplatňovaní článku 14 ods. 1 Zmluvy o EÚ;</w:t>
      </w:r>
    </w:p>
    <w:p w14:paraId="3AA1F1E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15.</w:t>
      </w:r>
      <w:r w:rsidRPr="000762C5">
        <w:rPr>
          <w:kern w:val="2"/>
          <w14:ligatures w14:val="standardContextual"/>
        </w:rPr>
        <w:tab/>
        <w:t>vyzýva Radu, aby bez zbytočného odkladu obnovila rokovania s Európskym parlamentom a aby čo najskôr aktívne spolupracovala s Európskym parlamentom na najvyššej úrovni za účasti generálneho tajomníka a predsedov oboch inštitúcií, s cieľom prekonať a vyriešiť dlhodobú patovú situáciu v oblasti udeľovania absolutória, pri rešpektovaní príslušných úloh Európskeho parlamentu a Rady v rámci postupu udelenia absolutória a zabezpečení transparentnosti, dôveryhodnosti a riadnej demokratickej kontroly plnenia rozpočtu; žiada Komisiu a právny servis Rady, aby poskytli stanovisko k možným riešeniam vyplývajúcim zo zmluvy s cieľom posilniť zodpovednosť Rady v rámci postupu udeľovania absolutória;</w:t>
      </w:r>
    </w:p>
    <w:p w14:paraId="71CA7DD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16.</w:t>
      </w:r>
      <w:r w:rsidRPr="000762C5">
        <w:rPr>
          <w:kern w:val="2"/>
          <w14:ligatures w14:val="standardContextual"/>
        </w:rPr>
        <w:tab/>
        <w:t xml:space="preserve">zdôrazňuje, že hoci súčasný stav je potrebné zlepšiť užšou </w:t>
      </w:r>
      <w:proofErr w:type="spellStart"/>
      <w:r w:rsidRPr="000762C5">
        <w:rPr>
          <w:kern w:val="2"/>
          <w14:ligatures w14:val="standardContextual"/>
        </w:rPr>
        <w:t>medziinštitucionálnou</w:t>
      </w:r>
      <w:proofErr w:type="spellEnd"/>
      <w:r w:rsidRPr="000762C5">
        <w:rPr>
          <w:kern w:val="2"/>
          <w14:ligatures w14:val="standardContextual"/>
        </w:rPr>
        <w:t xml:space="preserve"> spoluprácou v rámci zmlúv, revízia zmlúv by mohla zaistiť väčšiu jasnosť a väčšiu transparentnosť postupu udeľovania absolutória tým, že by sa Európskemu parlamentu udelila výslovná právomoc udeľovať všetkým inštitúciám, orgánom, úradom a agentúram Únie absolutórium samostatne; zdôrazňuje však, že kým sa takáto revízia uskutoční, musí sa súčasný stav zlepšiť prostredníctvom posilnenej </w:t>
      </w:r>
      <w:proofErr w:type="spellStart"/>
      <w:r w:rsidRPr="000762C5">
        <w:rPr>
          <w:kern w:val="2"/>
          <w14:ligatures w14:val="standardContextual"/>
        </w:rPr>
        <w:t>medziinštitucionálnej</w:t>
      </w:r>
      <w:proofErr w:type="spellEnd"/>
      <w:r w:rsidRPr="000762C5">
        <w:rPr>
          <w:kern w:val="2"/>
          <w14:ligatures w14:val="standardContextual"/>
        </w:rPr>
        <w:t xml:space="preserve"> spolupráce; v tomto zmysle vyzýva Radu, aby aktívne spolupracovala s Európskym parlamentom;</w:t>
      </w:r>
    </w:p>
    <w:p w14:paraId="004A8729" w14:textId="77777777" w:rsidR="000762C5" w:rsidRPr="000762C5" w:rsidRDefault="000762C5" w:rsidP="000762C5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17.</w:t>
      </w:r>
      <w:r w:rsidRPr="000762C5">
        <w:rPr>
          <w:kern w:val="2"/>
          <w14:ligatures w14:val="standardContextual"/>
        </w:rPr>
        <w:tab/>
        <w:t>konštatuje, že napriek chýbajúcej ochote Rady spolupracovať na postupe udelenia absolutória Európsky parlament zdôrazňuje niektoré politické priority a v tejto správe uvádza niekoľko pripomienok týkajúcich sa rozpočtového a finančného riadenia Rady a ďalšie pripomienky týkajúce sa postupu udelenia absolutória;</w:t>
      </w:r>
    </w:p>
    <w:p w14:paraId="462FF2A8" w14:textId="77777777" w:rsidR="000762C5" w:rsidRPr="000762C5" w:rsidRDefault="000762C5" w:rsidP="000762C5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0762C5">
        <w:rPr>
          <w:color w:val="000000"/>
          <w:kern w:val="2"/>
          <w14:ligatures w14:val="standardContextual"/>
        </w:rPr>
        <w:t>18.</w:t>
      </w:r>
      <w:r w:rsidRPr="000762C5">
        <w:rPr>
          <w:color w:val="000000"/>
          <w:kern w:val="2"/>
          <w14:ligatures w14:val="standardContextual"/>
        </w:rPr>
        <w:tab/>
        <w:t>konštatuje, že vzhľadom na nedostatočnú spoluprácu Rady s </w:t>
      </w:r>
      <w:r w:rsidRPr="000762C5">
        <w:rPr>
          <w:kern w:val="2"/>
          <w14:ligatures w14:val="standardContextual"/>
        </w:rPr>
        <w:t xml:space="preserve">Európskym </w:t>
      </w:r>
      <w:r w:rsidRPr="000762C5">
        <w:rPr>
          <w:color w:val="000000"/>
          <w:kern w:val="2"/>
          <w14:ligatures w14:val="standardContextual"/>
        </w:rPr>
        <w:t>parlamentom sa pripomienky v nasledujúcich častiach opierajú predovšetkým o súhrnné informácie, ktoré sú verejne dostupné a ktoré poskytujú len obmedzené podrobné údaje;</w:t>
      </w:r>
    </w:p>
    <w:p w14:paraId="387CEACE" w14:textId="77777777" w:rsidR="000762C5" w:rsidRPr="000762C5" w:rsidRDefault="000762C5" w:rsidP="000762C5">
      <w:pPr>
        <w:spacing w:after="240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Politické priority</w:t>
      </w:r>
    </w:p>
    <w:p w14:paraId="2B48A58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19.</w:t>
      </w:r>
      <w:r w:rsidRPr="000762C5">
        <w:rPr>
          <w:kern w:val="2"/>
          <w14:ligatures w14:val="standardContextual"/>
        </w:rPr>
        <w:tab/>
        <w:t>vyjadruje poľutovanie nad tým, že Rada uplatňuje svoje právomoci v postupoch nominácie a vymenovania členov mnohých inštitúcií, orgánov, úradov a agentúr Únie bez toho, aby zohľadňovala názory zainteresovaných strán alebo odporúčania Európskeho úradu pre boj proti podvodom (ďalej len „OLAF“);</w:t>
      </w:r>
    </w:p>
    <w:p w14:paraId="1D03B4F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20.</w:t>
      </w:r>
      <w:r w:rsidRPr="000762C5">
        <w:rPr>
          <w:kern w:val="2"/>
          <w14:ligatures w14:val="standardContextual"/>
        </w:rPr>
        <w:tab/>
        <w:t>berie na vedomie tradíciu Rady nespochybňovať vymenúvania jednotlivých členských štátov na väčšinu pozícií;</w:t>
      </w:r>
    </w:p>
    <w:p w14:paraId="3243328A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21.</w:t>
      </w:r>
      <w:r w:rsidRPr="000762C5">
        <w:rPr>
          <w:kern w:val="2"/>
          <w14:ligatures w14:val="standardContextual"/>
        </w:rPr>
        <w:tab/>
        <w:t xml:space="preserve">pripomína, že podľa článku 286 ods. 2 ZFEÚ Rada vymenúva členov Dvora audítorov v súlade s návrhmi predloženými jednotlivými členskými štátmi a po konzultácii s Európskym parlamentom; pripomína, že na základe tohto predpokladu Európsky </w:t>
      </w:r>
      <w:r w:rsidRPr="000762C5">
        <w:rPr>
          <w:kern w:val="2"/>
          <w14:ligatures w14:val="standardContextual"/>
        </w:rPr>
        <w:lastRenderedPageBreak/>
        <w:t>parlament vydáva stanovisko ku kandidátom; vyjadruje poľutovanie nad tým, že Rada opakovane ignorovala odporúčania Európskeho parlamentu v jeho poradnej úlohe, pokiaľ ide o vymenovanie členov Dvora audítorov; pripomína, že hoci stanovisko Európskeho parlamentu nie je pre Radu záväzné, kandidáti, ktorí dostali záporné stanovisko, akceptovali rozhodnutie Európskeho parlamentu a stiahli svoju kandidatúru, čím uznali jeho úlohu ako orgánu demokratického dohľadu v súvislosti s ochranou rozpočtu Únie; vyzýva Radu, aby uznala úlohu Európskeho parlamentu spoluprácou v postupe udeľovania absolutória;</w:t>
      </w:r>
    </w:p>
    <w:p w14:paraId="56F6AFC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22.</w:t>
      </w:r>
      <w:r w:rsidRPr="000762C5">
        <w:rPr>
          <w:kern w:val="2"/>
          <w14:ligatures w14:val="standardContextual"/>
        </w:rPr>
        <w:tab/>
        <w:t>pripomína, že sudcovia a generálni advokáti Súdneho dvora Európskej únie sú menovaní na základe vzájomnej dohody vlád členských štátov po porade s výborom zodpovedným za poskytnutie stanoviska k vhodnosti potenciálnych kandidátov vykonávať príslušné úlohy;</w:t>
      </w:r>
    </w:p>
    <w:p w14:paraId="50C312E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23.</w:t>
      </w:r>
      <w:r w:rsidRPr="000762C5">
        <w:rPr>
          <w:kern w:val="2"/>
          <w14:ligatures w14:val="standardContextual"/>
        </w:rPr>
        <w:tab/>
        <w:t>vyzýva rotujúce predsedníctva Rady, aby v súlade so závermi seminára, ktorý 27. júna 2023 usporiadal Výbor Európskeho parlamentu pre kontrolu rozpočtu, prestali využívať podnikové sponzorstvo na prispievanie k pokrytiu svojich výdavkov, keďže to predstavuje riziko vzniku konfliktu záujmov; konštatuje, že európska ombudsmanka vo svojom rozhodnutí z 9. septembra 2024 o strategickej iniciatíve týkajúcej sa sponzorstva predsedníctva Rady Európskej únie vyzvala Radu, aby zhodnotila, ako sa vykonávajú nezáväzné pravidlá, ktoré Rada prijala na využívanie sponzorstva jej predsedníctvom (ďalej len „usmernenie“), a aby preskúmala ďalšie možné opatrenia, ktoré by mohli pomôcť zmierniť riziká spojené s využívaním sponzorstva; opakuje svoju výzvu Rade, aby poskytla rozpočet na predsedníctva Rady s cieľom zabezpečiť primerané a jednotné normy efektívnosti a účinnosti práce Rady vo všeobecnosti;</w:t>
      </w:r>
    </w:p>
    <w:p w14:paraId="66B81F8C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24.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 xml:space="preserve">vyjadruje hlboké znepokojenie nad tým, že maďarská vláda zneužíva svoju úlohu v rámci predsedníctva EÚ na uskutočňovanie dvojstranných iniciatív, ktoré sú v rozpore so základnými hodnotami Únie, ako sú stretnutia predsedu vlády Viktora </w:t>
      </w:r>
      <w:proofErr w:type="spellStart"/>
      <w:r w:rsidRPr="000762C5">
        <w:rPr>
          <w:kern w:val="2"/>
          <w14:ligatures w14:val="standardContextual"/>
        </w:rPr>
        <w:t>Orbána</w:t>
      </w:r>
      <w:proofErr w:type="spellEnd"/>
      <w:r w:rsidRPr="000762C5">
        <w:rPr>
          <w:kern w:val="2"/>
          <w14:ligatures w14:val="standardContextual"/>
        </w:rPr>
        <w:t xml:space="preserve"> s ruským prezidentom </w:t>
      </w:r>
      <w:proofErr w:type="spellStart"/>
      <w:r w:rsidRPr="000762C5">
        <w:rPr>
          <w:kern w:val="2"/>
          <w14:ligatures w14:val="standardContextual"/>
        </w:rPr>
        <w:t>Vladimirom</w:t>
      </w:r>
      <w:proofErr w:type="spellEnd"/>
      <w:r w:rsidRPr="000762C5">
        <w:rPr>
          <w:kern w:val="2"/>
          <w14:ligatures w14:val="standardContextual"/>
        </w:rPr>
        <w:t xml:space="preserve"> Putinom, a to napriek sankciám Únie a zatykaču, ktorý naňho vydal Medzinárodný trestný súd za vojnové zločiny; so znepokojením berie na vedomie podobné kontakty s ďalšími autoritárskymi vodcami, čo oslabuje dôveryhodnosť; vyzýva Radu, aby takéto kroky dôrazne odsúdila a prijala všetky potrebné opatrenia na zabezpečenie toho, aby členské štáty vykonávajúce predsedníctvo konali v súlade so zásadami EÚ a chránili integritu a hodnoty Únie;</w:t>
      </w:r>
    </w:p>
    <w:p w14:paraId="409F2795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Rozpočtové a finančné riadenie</w:t>
      </w:r>
    </w:p>
    <w:p w14:paraId="34BE6448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25.</w:t>
      </w:r>
      <w:r w:rsidRPr="000762C5">
        <w:rPr>
          <w:kern w:val="2"/>
          <w14:ligatures w14:val="standardContextual"/>
        </w:rPr>
        <w:tab/>
        <w:t>vyjadruje poľutovanie nad tým, že rozpočet Európskej rady a Rady nebol rozdelený na dva jasne oddelené rozpočty, ako to odporučil Európsky parlament v predchádzajúcich uzneseniach o absolutóriu, a to s cieľom zvýšiť transparentnosť a zodpovednosť, najmä čo sa týka Európskej rady, vzhľadom na to, že v súčasnosti nemožno získať spoľahlivé informácie o jej nákladoch; zdôrazňuje význam spoľahlivých údajov pre objektívnu kontrolu; vyzýva na dodržiavanie odporúčania orgánu udeľujúceho absolutórium;</w:t>
      </w:r>
    </w:p>
    <w:p w14:paraId="071A003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26.</w:t>
      </w:r>
      <w:r w:rsidRPr="000762C5">
        <w:rPr>
          <w:kern w:val="2"/>
          <w14:ligatures w14:val="standardContextual"/>
        </w:rPr>
        <w:tab/>
        <w:t>konštatuje, že rozpočet Rady na rok 2023 bol 647 908 757 EUR, čo v porovnaní s rokom 2022 predstavuje zvýšenie o 6 %, čo je viac ako zvýšenie o 2,3 % medzi rokmi 2021 a 2022; konštatuje, že toto zvýšenie súvisí najmä s revíziou parametrov aktualizácie platov v dôsledku inflácie;</w:t>
      </w:r>
    </w:p>
    <w:p w14:paraId="0B87F516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27.</w:t>
      </w:r>
      <w:r w:rsidRPr="000762C5">
        <w:rPr>
          <w:kern w:val="2"/>
          <w14:ligatures w14:val="standardContextual"/>
        </w:rPr>
        <w:tab/>
        <w:t xml:space="preserve">konštatuje, že celková miera plnenia rozpočtu Rady v roku 2023 bola 97,0 %; </w:t>
      </w:r>
      <w:r w:rsidRPr="000762C5">
        <w:rPr>
          <w:kern w:val="2"/>
          <w14:ligatures w14:val="standardContextual"/>
        </w:rPr>
        <w:lastRenderedPageBreak/>
        <w:t>konštatuje, že na konci roka 2023 boli zrušené rozpočtové prostriedky vo výške takmer 20 miliónov EUR, z ktorých polovica pochádzala z rozpočtového riadku výdavkov na zamestnancov;</w:t>
      </w:r>
    </w:p>
    <w:p w14:paraId="79D2070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28.</w:t>
      </w:r>
      <w:r w:rsidRPr="000762C5">
        <w:rPr>
          <w:kern w:val="2"/>
          <w14:ligatures w14:val="standardContextual"/>
        </w:rPr>
        <w:tab/>
        <w:t>konštatuje, že v súlade s článkom 29 nariadenia o rozpočtových pravidlách Rada v roku 2023 vykonala 41 rozpočtových presunov v celkovej výške 6,5 milióna EUR; ďalej konštatuje, že tri z týchto presunov si vyžadovali, aby bol rozpočtový orgán informovaný v súlade s článkom 29 ods. 2 na účely posilnenia rôznych rozpočtových riadkov vrátane riadkov „Zariadenie priestorov a inštalácia“, „Voda, plyn, elektrická energia a vykurovanie“, „Nadobudnutie vybavenia a softvéru“ a „Náklady na prenájom, údržbu a opravu služobných vozidiel“;</w:t>
      </w:r>
    </w:p>
    <w:p w14:paraId="0965C1E3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29.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vyzýva Radu, aby každoročne zverejňovala prehľad cestovných výdavkov a výdavkov na reprezentáciu vyšších úradníkov vrátane predsedu Európskej rady, vysokého predstaviteľa Únie pre zahraničné veci a bezpečnostnú politiku a sekretariátu v používateľsky ústretovom formáte prístupnom verejnosti;</w:t>
      </w:r>
    </w:p>
    <w:p w14:paraId="1FCBE9A0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30.</w:t>
      </w:r>
      <w:r w:rsidRPr="000762C5">
        <w:rPr>
          <w:kern w:val="2"/>
          <w14:ligatures w14:val="standardContextual"/>
        </w:rPr>
        <w:tab/>
        <w:t>konštatuje, že rozpočtové prostriedky prenesené z roku 2023 do roku 2024 predstavovali 85,5 milióna EUR najmä na počítačové systémy, náklady na tlmočenie poskytnuté v roku 2023, za ktoré ešte neboli dohodnuté faktúry s útvarmi Európskej komisie v čase uzávierky, budovy, informačné a komunikačné vybavenie, audiovizuálne a konferenčné vybavenie, ostatné výdavky na zamestnancov a doprava;</w:t>
      </w:r>
    </w:p>
    <w:p w14:paraId="6CCE4F87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31.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vyjadruje znepokojenie nad nedostatočnými kontrolnými mechanizmami, pokiaľ ide o využívanie konzultačných služieb a externých dodávateľov Radou; vyzýva na úplné zverejnenie všetkých zákaziek presahujúcich 50 000 EUR s podrobným uvedením rozsahu, výsledkov a zadaných subjektov s cieľom zabrániť možnému zneužitiu verejných finančných prostriedkov;</w:t>
      </w:r>
    </w:p>
    <w:p w14:paraId="41CDD4E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32.</w:t>
      </w:r>
      <w:r w:rsidRPr="000762C5">
        <w:rPr>
          <w:kern w:val="2"/>
          <w14:ligatures w14:val="standardContextual"/>
        </w:rPr>
        <w:tab/>
        <w:t>konštatuje, že priemerná lehota splatnosti faktúr sa od roku 2022 do roku 2023 skrátila z 18 na 13 dní, čo je výrazne pod maximálnou lehotou 30 dní, čím sa predchádza úrokom z omeškania;</w:t>
      </w:r>
    </w:p>
    <w:p w14:paraId="106E2459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33.</w:t>
      </w:r>
      <w:r w:rsidRPr="000762C5">
        <w:rPr>
          <w:kern w:val="2"/>
          <w14:ligatures w14:val="standardContextual"/>
        </w:rPr>
        <w:tab/>
        <w:t>konštatuje, že výdavky na služobné cesty, ktoré zahŕňajú výdavky na služobné cesty sekretariátu a výdavky na služobné cesty zamestnancov súvisiace s Európskou radou, sa v rokoch 2022 až 2023 zvýšili o 25 % a že cestovné výdavky delegácií, ktoré vynaložili predsedníctva a národné delegácie, sa v rovnakom období zvýšili o 36,6 %; vyzýva Radu, aby posúdila toto výrazné zvýšenie výdavkov na misie; v prípade chýbajúceho prístupu k podrobným informáciám nabáda Radu, aby tieto zdroje využívala v duchu riadneho finančného hospodárenia;</w:t>
      </w:r>
    </w:p>
    <w:p w14:paraId="6C75302A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Vnútorné riadenie, výkonnosť a vnútorná kontrola</w:t>
      </w:r>
    </w:p>
    <w:p w14:paraId="66C5A02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34.</w:t>
      </w:r>
      <w:r w:rsidRPr="000762C5">
        <w:rPr>
          <w:kern w:val="2"/>
          <w14:ligatures w14:val="standardContextual"/>
        </w:rPr>
        <w:tab/>
        <w:t>konštatuje, že Rada stanovila ciele pre plnenie svojho rozpočtu v roku 2023, konkrétne zabezpečiť prebiehajúce rozhodovanie v Európskej rade a Rade; zabezpečiť nepretržitú podporu Európskej rady a Rady prostredníctvom účinného a efektívneho využívania finančných zdrojov, najmä vzhľadom na pretrvávajúci tlak inflácie a z toho vyplývajúci nárast cien v dôsledku indexácie zmlúv, a pokračovať v procese administratívnej digitálnej modernizácie s cieľom zvýšiť kvalitu organizácie sekretariátu a náležité využívanie zdrojov;</w:t>
      </w:r>
    </w:p>
    <w:p w14:paraId="469F1EB0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lastRenderedPageBreak/>
        <w:t>35.</w:t>
      </w:r>
      <w:r w:rsidRPr="000762C5">
        <w:rPr>
          <w:kern w:val="2"/>
          <w14:ligatures w14:val="standardContextual"/>
        </w:rPr>
        <w:tab/>
        <w:t>konštatuje, že sekretariát s cieľom zabezpečiť efektívne využívanie svojho rozpočtu v roku 2023 pokračoval v zlepšovaní svojich procesov finančného riadenia, najmä na základe odporúčaní viacerých vnútorných pracovných skupín; víta najmä nové nástroje výkonnosti, ako je začlenenie ľudských zdrojov a prvkov zručností do integrovaného plánovania riadenia, úplná digitalizácia finančných pracovných postupov a zavedenie elektronického podpisu;</w:t>
      </w:r>
    </w:p>
    <w:p w14:paraId="61692A3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36.</w:t>
      </w:r>
      <w:r w:rsidRPr="000762C5">
        <w:rPr>
          <w:kern w:val="2"/>
          <w14:ligatures w14:val="standardContextual"/>
        </w:rPr>
        <w:tab/>
        <w:t>víta väčšie využívanie údajov pri rozhodovaní, najmä na základe mesačného finančného prehľadu, ktorý zobrazuje kľúčové ukazovatele výkonnosti v rámci útvarov sekretariátu, a prehľad manažérov s kľúčovými poznatkami z údajov v oblasti ľudských zdrojov s cieľom uľahčiť každodenné riadenie a rozhodovanie v oblasti ľudských zdrojov;</w:t>
      </w:r>
    </w:p>
    <w:p w14:paraId="1A8474F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37.</w:t>
      </w:r>
      <w:r w:rsidRPr="000762C5">
        <w:rPr>
          <w:kern w:val="2"/>
          <w14:ligatures w14:val="standardContextual"/>
        </w:rPr>
        <w:tab/>
        <w:t>konštatuje, že sekretariát v roku 2023 zorganizoval 4 429 schôdzí, čo bolo v porovnaní s rokom 2022 relatívne stabilné; ďalej konštatuje, že počet schôdzí s osobnou účasťou sa v porovnaní s rokom 2022 zvýšil o 11 %, zatiaľ čo počet schôdzí organizovaných prostredníctvom videokonferencie alebo hybridného režimu sa výrazne znížil, a to o viac ako 60 %;</w:t>
      </w:r>
    </w:p>
    <w:p w14:paraId="6688E9E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38.</w:t>
      </w:r>
      <w:r w:rsidRPr="000762C5">
        <w:rPr>
          <w:kern w:val="2"/>
          <w14:ligatures w14:val="standardContextual"/>
        </w:rPr>
        <w:tab/>
        <w:t xml:space="preserve">berie na vedomie, že sekretariát začal 17 otvorených postupov verejného obstarávania, 12 nových rokovacích konaní, ako aj 21 </w:t>
      </w:r>
      <w:proofErr w:type="spellStart"/>
      <w:r w:rsidRPr="000762C5">
        <w:rPr>
          <w:kern w:val="2"/>
          <w14:ligatures w14:val="standardContextual"/>
        </w:rPr>
        <w:t>medziinštitucionálnych</w:t>
      </w:r>
      <w:proofErr w:type="spellEnd"/>
      <w:r w:rsidRPr="000762C5">
        <w:rPr>
          <w:kern w:val="2"/>
          <w14:ligatures w14:val="standardContextual"/>
        </w:rPr>
        <w:t xml:space="preserve"> postupov (v akejkoľvek hodnote), v prípade ktorých Rada nebola hlavným zadávateľom; konštatuje, že do konca roka 2023 bolo podpísaných 41 zmlúv v porovnaní so 42 zmluvami v roku 2022 a bolo rozpracovaných 47 položiek (v akejkoľvek kategórii); konštatuje, že v roku 2023 boli zadané zákazky v celkovej výške 124,1 milióna EUR, čo zodpovedá 19,15 % ročného rozpočtu Rady; konštatuje, že z celkovej </w:t>
      </w:r>
      <w:proofErr w:type="spellStart"/>
      <w:r w:rsidRPr="000762C5">
        <w:rPr>
          <w:kern w:val="2"/>
          <w14:ligatures w14:val="standardContextual"/>
        </w:rPr>
        <w:t>zazmluvnenej</w:t>
      </w:r>
      <w:proofErr w:type="spellEnd"/>
      <w:r w:rsidRPr="000762C5">
        <w:rPr>
          <w:kern w:val="2"/>
          <w14:ligatures w14:val="standardContextual"/>
        </w:rPr>
        <w:t xml:space="preserve"> sumy bolo 0,5 % viazaných na zákazky s nízkou a strednou hodnotou, 58 % na osobitné zákazky na základe rámcových zmlúv, v ktorých je Rada jediným verejným obstarávateľom, a 69,5 % na osobitné zákazky zadané na základe </w:t>
      </w:r>
      <w:proofErr w:type="spellStart"/>
      <w:r w:rsidRPr="000762C5">
        <w:rPr>
          <w:kern w:val="2"/>
          <w14:ligatures w14:val="standardContextual"/>
        </w:rPr>
        <w:t>medziinštitucionálnych</w:t>
      </w:r>
      <w:proofErr w:type="spellEnd"/>
      <w:r w:rsidRPr="000762C5">
        <w:rPr>
          <w:kern w:val="2"/>
          <w14:ligatures w14:val="standardContextual"/>
        </w:rPr>
        <w:t xml:space="preserve"> rámcových zmlúv;</w:t>
      </w:r>
    </w:p>
    <w:p w14:paraId="2D82DEAC" w14:textId="77777777" w:rsidR="000762C5" w:rsidRPr="000762C5" w:rsidRDefault="000762C5" w:rsidP="000762C5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0762C5">
        <w:rPr>
          <w:color w:val="000000"/>
          <w:kern w:val="2"/>
          <w14:ligatures w14:val="standardContextual"/>
        </w:rPr>
        <w:t>39.</w:t>
      </w:r>
      <w:r w:rsidRPr="000762C5">
        <w:rPr>
          <w:color w:val="000000"/>
          <w:kern w:val="2"/>
          <w14:ligatures w14:val="standardContextual"/>
        </w:rPr>
        <w:tab/>
        <w:t>konštatuje, že Rada postúpila svoju výročnú správu o vnútorných auditoch vykonaných v roku 2023 orgánu udeľujúcemu absolutórium v súlade s článkom 118 nariadenia o rozpočtových pravidlách; konštatuje, že na konci roka 2023 bolo vykonaných 81 % odporúčaní vydaných v rokoch 2020 – 2022, 18 % bolo stále otvorených a v prípade 1 % vedenie prijalo riziko alebo odporúčania už neboli uplatniteľné; konštatuje, že štyri vnútorné audity plánované v pracovnom programe na rok 2023 boli ukončené počas roka a dva na konci roka 2023 stále prebiehali; konštatuje, že vnútorný audítor vydal odporúčania s vysokou prioritou v troch auditoch pracovného programu na rok 2023 týkajúcich sa dopravných služieb, serverov a základných služieb IOLAN a systémov koncového bodu IOLAN;</w:t>
      </w:r>
    </w:p>
    <w:p w14:paraId="10A54175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Ľudské zdroje, rovnosť a dobré pracovné podmienky zamestnancov</w:t>
      </w:r>
    </w:p>
    <w:p w14:paraId="2ECCD83B" w14:textId="77777777" w:rsidR="000762C5" w:rsidRPr="000762C5" w:rsidRDefault="000762C5" w:rsidP="000762C5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0762C5">
        <w:rPr>
          <w:color w:val="000000"/>
          <w:kern w:val="2"/>
          <w14:ligatures w14:val="standardContextual"/>
        </w:rPr>
        <w:t>40.</w:t>
      </w:r>
      <w:r w:rsidRPr="000762C5">
        <w:rPr>
          <w:color w:val="000000"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konštatuje, že z 3 116 zamestnancov na konci roka 2023 bolo 79 % stálych zamestnancov, 12,8 % dočasných zamestnancov, 7,2 % zmluvných zamestnancov a 1 % vyslaných národných expertov;</w:t>
      </w:r>
      <w:r w:rsidRPr="000762C5">
        <w:rPr>
          <w:color w:val="000000"/>
          <w:kern w:val="2"/>
          <w14:ligatures w14:val="standardContextual"/>
        </w:rPr>
        <w:t xml:space="preserve"> konštatuje, že rozdelenie stálych a dočasných zamestnancov medzi pracovné kategórie zostalo v roku 2023 stabilné s 1 474,25 administrátormi (AD), 1 159 asistentmi (AST) a 230 tajomníkmi (AST-SC) v porovnaní s 1 519, 1 284 a 190 v roku 2022; konštatuje, že miera obsadenosti plánu pracovných miest dosahovala ku koncu roka 2023 97,4 %;</w:t>
      </w:r>
    </w:p>
    <w:p w14:paraId="03902827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41.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 xml:space="preserve">konštatuje, že vzhľadom na nedostatočnú spoluprácu Rady s Európskym parlamentom </w:t>
      </w:r>
      <w:r w:rsidRPr="000762C5">
        <w:rPr>
          <w:kern w:val="2"/>
          <w14:ligatures w14:val="standardContextual"/>
        </w:rPr>
        <w:lastRenderedPageBreak/>
        <w:t>sa pripomienky v tejto časti opierajú predovšetkým o súhrnné informácie uverejnené na webovom sídle Rady, ktoré poskytujú len obmedzené podrobnosti;</w:t>
      </w:r>
    </w:p>
    <w:p w14:paraId="4C61160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42.</w:t>
      </w:r>
      <w:r w:rsidRPr="000762C5">
        <w:rPr>
          <w:kern w:val="2"/>
          <w14:ligatures w14:val="standardContextual"/>
        </w:rPr>
        <w:tab/>
        <w:t>berie na vedomie ďalšie iniciatívy, ktoré prijal sekretariát s cieľom stať sa rozmanitejším a </w:t>
      </w:r>
      <w:proofErr w:type="spellStart"/>
      <w:r w:rsidRPr="000762C5">
        <w:rPr>
          <w:kern w:val="2"/>
          <w14:ligatures w14:val="standardContextual"/>
        </w:rPr>
        <w:t>inkluzívnejším</w:t>
      </w:r>
      <w:proofErr w:type="spellEnd"/>
      <w:r w:rsidRPr="000762C5">
        <w:rPr>
          <w:kern w:val="2"/>
          <w14:ligatures w14:val="standardContextual"/>
        </w:rPr>
        <w:t xml:space="preserve"> pracoviskom; víta skutočnosť, že Rada získala ocenenie ombudsmanky za dobrú správu vecí verejných za rok 2023 v kategórii Excelencia v rozmanitosti a začleňovaní za svoj program pozitívnych opatrení pre stážistov so zdravotným postihnutím, čo znamenalo, že v roku 2023 bolo na sekretariáte umiestnených 6 stážistov so zdravotným postihnutím;</w:t>
      </w:r>
    </w:p>
    <w:p w14:paraId="43976E7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43.</w:t>
      </w:r>
      <w:r w:rsidRPr="000762C5">
        <w:rPr>
          <w:kern w:val="2"/>
          <w14:ligatures w14:val="standardContextual"/>
        </w:rPr>
        <w:tab/>
        <w:t>vyjadruje poľutovanie nad nedostatkom verejne dostupných informácií o rodovom a geografickom rozdelení zamestnancov sekretariátu; vyzýva Radu, aby Parlamentu poskytla informácie o rodovej rovnováhe, geografickom rozdelení a zdravotnom postihnutí svojich zamestnancov, ako aj o súvisiacich vnútorných politikách; nabáda Radu, aby podporovala geografickú rovnováhu svojich zamestnancov tým, že ponúkne širšiu skupinu kandidátov z nedostatočne zastúpených členských štátov;</w:t>
      </w:r>
    </w:p>
    <w:p w14:paraId="237606EE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44.</w:t>
      </w:r>
      <w:r w:rsidRPr="000762C5">
        <w:rPr>
          <w:kern w:val="2"/>
          <w14:ligatures w14:val="standardContextual"/>
        </w:rPr>
        <w:tab/>
        <w:t xml:space="preserve">víta úsilie sekretariátu v roku 2023 pritiahnuť a udržať si kvalifikovanú a mladšiu pracovnú silu prostredníctvom rôznych iniciatív, ako je nábor ôsmich mladších politických administrátorov v rámci nového programu mládežníckych politických tímov, revízia vnútorných pravidiel mobility a účasť 41 zamestnancov sekretariátu na </w:t>
      </w:r>
      <w:proofErr w:type="spellStart"/>
      <w:r w:rsidRPr="000762C5">
        <w:rPr>
          <w:kern w:val="2"/>
          <w14:ligatures w14:val="standardContextual"/>
        </w:rPr>
        <w:t>medziinštitucionálnej</w:t>
      </w:r>
      <w:proofErr w:type="spellEnd"/>
      <w:r w:rsidRPr="000762C5">
        <w:rPr>
          <w:kern w:val="2"/>
          <w14:ligatures w14:val="standardContextual"/>
        </w:rPr>
        <w:t xml:space="preserve"> akcii pozorovania pri práci; zdôrazňuje, že stáže by mali byť platené v súlade s uznesením Európskeho parlamentu zo 14. júna 2023 o kvalitných stážach v Únii (2020/2005(INL)), v ktorom sa požaduje, aby všetky stáže v Európe boli platené; vyjadruje poľutovanie nad nedostatkom informácií o vykonávaní akčného plánu Rady na budovanie značky zamestnávateľa vypracovaného v roku 2023;</w:t>
      </w:r>
    </w:p>
    <w:p w14:paraId="01F48C5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45.</w:t>
      </w:r>
      <w:r w:rsidRPr="000762C5">
        <w:rPr>
          <w:kern w:val="2"/>
          <w14:ligatures w14:val="standardContextual"/>
        </w:rPr>
        <w:tab/>
        <w:t>konštatuje, že v roku 2023 bol plán prevencie psychosociálnych rizík na roky 2020 – 2023 predmetom preskúmania, ktorého výsledky sa zohľadnili pri príprave nového plánu prevencie rizík a aktualizácii plánu psychosociálnej intervencie v rámci iniciatív Rady na podporu pohody zamestnancov, a to individuálne, ako aj pre tímy alebo oddelenia; konštatuje, že zamestnancom a vedúcim pracovníkom sekretariátu bolo ponúknutých niekoľko foriem podpory a kurzov, ako napríklad špecializované školenie manažmentu o psychologickej bezpečnosti, usmernenie pre manažérov v oblasti duševného zdravia, osobitné semináre o prevencii psychosociálnych rizík organizované na základe dopytu a semináre o riadení stresu pre španielske a belgické predsedníctvo Rady;</w:t>
      </w:r>
    </w:p>
    <w:p w14:paraId="1DB7A73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color w:val="000000"/>
          <w:kern w:val="2"/>
          <w14:ligatures w14:val="standardContextual"/>
        </w:rPr>
        <w:t>46.</w:t>
      </w:r>
      <w:r w:rsidRPr="000762C5">
        <w:rPr>
          <w:color w:val="000000"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konštatuje, že sekretariát dokončil pilotný projekt Nové spôsoby práce (NWOW), ktorý sa začal v roku 2018, a vykonal hodnotenie, ktoré poskytlo cenné poznatky, najmä pokiaľ ide o komunikáciu o zmenách, zapojenie používateľov a zapojenie zamestnancov do procesov zmien; konštatuje, že Rada poskytla výsledky tohto pilotného projektu iným organizáciám, ktoré realizujú podobné programy; vyzýva Radu, aby sa o získané poznatky podelila aj s orgánom udeľujúcim absolutórium;</w:t>
      </w:r>
    </w:p>
    <w:p w14:paraId="2996ADC5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Etický rámec a transparentnosť</w:t>
      </w:r>
    </w:p>
    <w:p w14:paraId="14951F4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47.</w:t>
      </w:r>
      <w:r w:rsidRPr="000762C5">
        <w:rPr>
          <w:kern w:val="2"/>
          <w14:ligatures w14:val="standardContextual"/>
        </w:rPr>
        <w:tab/>
        <w:t xml:space="preserve">vyjadruje poľutovanie nad tým, že dve kľúčové zložky etického rámca Rady, „Zásady etického správania“ pre zamestnancov sekretariátu a „Kódex správania predsedu Európskej rady“, sú k dispozícii na webovom sídle Rady bez ďalšieho usmernenia alebo dátumu uverejnenia; kritizuje, že kódex správania predsedu Európskej rady nebol </w:t>
      </w:r>
      <w:r w:rsidRPr="000762C5">
        <w:rPr>
          <w:kern w:val="2"/>
          <w14:ligatures w14:val="standardContextual"/>
        </w:rPr>
        <w:lastRenderedPageBreak/>
        <w:t>napriek viacerým žiadostiam Európskeho parlamentu zosúladený s kódexmi správania Európskeho parlamentu a Komisie, najmä pokiaľ ide o činnosti po skončení funkčného obdobia; vyzýva na okamžité odstránenie uvedených nedostatkov;</w:t>
      </w:r>
    </w:p>
    <w:p w14:paraId="37DECAC7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48.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opakuje, že etické správanie prispieva k správnemu finančnému riadeniu a zvyšuje dôveru verejnosti a že, ako zdôraznil Dvor audítorov vo svojej osobitnej správe 13/2019, existuje priestor na zlepšenie etických rámcov inštitúcií Únie; pripomína najmä odporúčanie Dvora audítorov týkajúce sa zlepšenia etického rámca Rady; vyjadruje znepokojenie nad tým, že podľa zistenia Dvora audítorov neexistuje spoločný etický rámec Únie upravujúci prácu zástupcov členských štátov v Rade;</w:t>
      </w:r>
    </w:p>
    <w:p w14:paraId="79160D28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49.</w:t>
      </w:r>
      <w:r w:rsidRPr="000762C5">
        <w:rPr>
          <w:kern w:val="2"/>
          <w14:ligatures w14:val="standardContextual"/>
        </w:rPr>
        <w:tab/>
        <w:t>konštatuje, že v rámci vykonávania rozhodnutia generálneho tajomníka č. 23/2021 o psychologickom a sexuálnom obťažovaní na pracovisku sa v roku 2023 prijalo niekoľko opatrení, ako sú uverejnenie príručky na predchádzanie obťažovaniu na pracovisku na intranete sekretariátu, činnosti na zvyšovanie informovanosti pre nových zamestnancov o prístupe Rady založenom na nulovej tolerancii a organizácia povinnej odbornej prípravy v oblasti boja proti obťažovaniu a nevhodnému správaniu pre nových riadiacich pracovníkov a zamestnancov s riadiacimi povinnosťami;</w:t>
      </w:r>
    </w:p>
    <w:p w14:paraId="5E03A1B4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50.</w:t>
      </w:r>
      <w:r w:rsidRPr="000762C5">
        <w:rPr>
          <w:kern w:val="2"/>
          <w14:ligatures w14:val="standardContextual"/>
        </w:rPr>
        <w:tab/>
        <w:t>konštatuje, že sekretariát uverejňuje výročnú správu obsahujúcu informácie o pracovných činnostiach bývalých vyšších úradníkov sekretariátu po odchode zo služby v súlade s článkom 16 tretím a štvrtým odsekom Služobného poriadku úradníkov Európskej únie; konštatuje, že podľa správy týkajúcej sa roku 2023 jeden bývalý vyšší úradník oznámil svoj zámer vykonávať pracovné činnosti menej ako 12 mesiacov po odchode z funkcie a menovací orgán mu udelil povolenie na vykonávanie jednej činnosti za určitých podmienok, ktoré boli zamerané na dodržanie zmierňovacieho obdobia podľa článku 16 druhého odseku služobného poriadku;</w:t>
      </w:r>
    </w:p>
    <w:p w14:paraId="4C5F5F1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51.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naliehavo vyzýva Radu, aby v prípade vyšších úradníkov zaviedla prísnejšie pravidlá po skončení pracovného pomeru vrátane predĺženého obdobia, počas ktorého sa osoba musí vyhýbať akýmkoľvek konfliktom záujmov, a povinného zverejňovania členstva v súkromnom sektore; vyzýva Radu, aby zaviedla povinnú účasť stálych zastúpení členských štátov v registri transparentnosti EÚ;</w:t>
      </w:r>
    </w:p>
    <w:p w14:paraId="01CEDF8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52.</w:t>
      </w:r>
      <w:r w:rsidRPr="000762C5">
        <w:rPr>
          <w:kern w:val="2"/>
          <w14:ligatures w14:val="standardContextual"/>
        </w:rPr>
        <w:tab/>
        <w:t xml:space="preserve">vyjadruje poľutovanie nad tým, že účasť stálych predstaviteľov členských štátov na povinnom registri transparentnosti zriadenom </w:t>
      </w:r>
      <w:proofErr w:type="spellStart"/>
      <w:r w:rsidRPr="000762C5">
        <w:rPr>
          <w:kern w:val="2"/>
          <w14:ligatures w14:val="standardContextual"/>
        </w:rPr>
        <w:t>medziinštitucionálnou</w:t>
      </w:r>
      <w:proofErr w:type="spellEnd"/>
      <w:r w:rsidRPr="000762C5">
        <w:rPr>
          <w:kern w:val="2"/>
          <w14:ligatures w14:val="standardContextual"/>
        </w:rPr>
        <w:t xml:space="preserve"> dohodou z 20. mája 2021 medzi Európskym parlamentom, Radou a Komisiou je úplne dobrovoľná, keďže uplatňovanie zásady podmienenosti je ponechané na uváženie stáleho zastúpenia každého členského štátu; konštatuje, že len osem členských štátov a inštitúcií Únie dodržiava vo svojom regulačnom rámci osvedčené postupy uplatňovania povinného vymedzenia lobistov v širokom rozsahu, a trvá na tom, že všetky stále zastúpenia by sa mali aktívne zúčastňovať na povinnom registri transparentnosti pred predsedníctvom Rady svojho členského štátu, počas neho a po ňom; požaduje prísnejšie a harmonizované etické pravidlá týkajúce sa konfliktov záujmov, javu otáčavých dverí a transparentnosti lobizmu; pripomína pozíciu Európskeho parlamentu, že zástupcom členských štátov majúcim priame výhody z dotácií Únie prostredníctvom podnikov, ktoré vlastnia, by sa nemalo umožniť zúčastňovať na politických alebo rozpočtových diskusiách a na hlasovaniach o týchto dotáciách; vyjadruje poľutovanie nad tým, že Rada v plnej miere nevyužíva povinný register transparentnosti ani neprijíma návrhy na jeho zlepšenie; opakuje svoju výzvu Rade, aby sa zdržala rokovaní s neregistrovanými lobistami;</w:t>
      </w:r>
    </w:p>
    <w:p w14:paraId="7861008C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lastRenderedPageBreak/>
        <w:t>53.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vyjadruje poľutovanie nad tým, že Rada v plnej miere nevyužíva povinný register transparentnosti nad rámec jeho súčasných obmedzení a odmieta akékoľvek odporúčanie na jeho zlepšenie; opakuje svoju výzvu Rade, aby odmietala stretnutia s neregistrovanými lobistami;</w:t>
      </w:r>
    </w:p>
    <w:p w14:paraId="3C5EECE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54.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naliehavo vyzýva Radu, aby všetkým vysokopostaveným úradníkom vrátane stálych predstaviteľov a vedúcich delegácií uložila povinnosť zverejňovať v štandardizovanom registri transparentnosti svoje stretnutia so záujmovými skupinami a lobistami, podobne ako sa tieto povinnosti ukladajú poslancom Európskeho parlamentu a členom Európskej komisie;</w:t>
      </w:r>
    </w:p>
    <w:p w14:paraId="20B33602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55.</w:t>
      </w:r>
      <w:r w:rsidRPr="000762C5">
        <w:rPr>
          <w:kern w:val="2"/>
          <w14:ligatures w14:val="standardContextual"/>
        </w:rPr>
        <w:tab/>
        <w:t xml:space="preserve">vyjadruje poľutovanie nad tým, že Rada naďalej systematicky zamedzuje alebo odďaľuje prístup k legislatívnym dokumentom a že rozhodovací proces v Rade stále nie je úplne transparentný, čo bráni verejnej kontrole jej rozhodovania, negatívne ovplyvňuje dôveru občanov v Úniu ako transparentný subjekt a ohrozuje dobré meno Únie ako celku; pripomína a podporuje odporúčania európskej ombudsmanky týkajúce sa transparentnosti legislatívneho procesu Rady v súvislosti so strategickým vyšetrovaním OI/2/2017/TE; naliehavo vyzýva Radu, aby bez zbytočného odkladu prijala všetky opatrenia potrebné na vykonanie odporúčaní ombudsmanky a príslušných rozsudkov Súdneho dvora Európskej únie; pripomína, že Súdny dvor Európskej únie vo svojom rozsudku vo veci T-163/21 De </w:t>
      </w:r>
      <w:proofErr w:type="spellStart"/>
      <w:r w:rsidRPr="000762C5">
        <w:rPr>
          <w:kern w:val="2"/>
          <w14:ligatures w14:val="standardContextual"/>
        </w:rPr>
        <w:t>Capitani</w:t>
      </w:r>
      <w:proofErr w:type="spellEnd"/>
      <w:r w:rsidRPr="000762C5">
        <w:rPr>
          <w:kern w:val="2"/>
          <w14:ligatures w14:val="standardContextual"/>
        </w:rPr>
        <w:t xml:space="preserve">/Rada zdôraznil, že je potrebná jasnejšia legislatívna transparentnosť zo strany Rady s cieľom zabezpečiť prístup k legislatívnym dokumentom, čo zodpovedá povinnosti Rady, pokiaľ ide o verejnú kontrolu a zodpovednosť </w:t>
      </w:r>
      <w:proofErr w:type="spellStart"/>
      <w:r w:rsidRPr="000762C5">
        <w:rPr>
          <w:kern w:val="2"/>
          <w14:ligatures w14:val="standardContextual"/>
        </w:rPr>
        <w:t>spoluzákonodarcov</w:t>
      </w:r>
      <w:proofErr w:type="spellEnd"/>
      <w:r w:rsidRPr="000762C5">
        <w:rPr>
          <w:kern w:val="2"/>
          <w14:ligatures w14:val="standardContextual"/>
        </w:rPr>
        <w:t xml:space="preserve"> ako základu akejkoľvek demokratickej legitimity;</w:t>
      </w:r>
    </w:p>
    <w:p w14:paraId="162BA746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56.</w:t>
      </w:r>
      <w:r w:rsidRPr="000762C5">
        <w:rPr>
          <w:kern w:val="2"/>
          <w14:ligatures w14:val="standardContextual"/>
        </w:rPr>
        <w:tab/>
        <w:t>vyjadruje znepokojenie nad tým, že európska ombudsmanka v roku 2023 opätovne vyzvala Radu, aby sprístupnila legislatívne dokumenty v čase, ktorý by umožnil verejnosti účinne sa zúčastňovať na diskusiách; konštatuje, že európska ombudsmanka tiež vyzvala Radu, aby pokračovala vo svojom úsilí o primerané informovanie verejnosti o reštriktívnych opatreniach prijatých voči Rusku, a to v najväčšej možnej miere; víta strategické vyšetrovanie, ktoré začala európska ombudsmanka v roku 2023 a ktoré sa týkalo spôsobu, akým inštitúcie spracúvajú žiadosti o prístup verejnosti k legislatívnym dokumentom, a to najmä na základe šiestich nedávnych sťažností adresovaných ombudsmanke týkajúcich sa prístupu verejnosti k legislatívnym dokumentom Únie, ktorými sa zaoberá Rada;</w:t>
      </w:r>
    </w:p>
    <w:p w14:paraId="23BCD2EB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57.</w:t>
      </w:r>
      <w:r w:rsidRPr="000762C5">
        <w:rPr>
          <w:kern w:val="2"/>
          <w14:ligatures w14:val="standardContextual"/>
        </w:rPr>
        <w:tab/>
        <w:t>konštatuje, že tím pre prístup k dokumentom uviedol, že v roku 2023 mu bol doručený nezvyčajne vysoký počet žiadostí o prístup verejnosti k dokumentom, na ktoré odpovedal, 3 732 prvých žiadostí o prístup k dokumentom a 40 opakovaných žiadostí, čo si vyžadovalo analýzu 13 912 dokumentov; konštatuje, že spomedzi prvých žiadostí o prístup bol udelený úplný prístup k 10 908 dokumentom (78,4 %) a čiastočný prístup k 1 600 dokumentom (11,5 %), zatiaľ čo prístup bol zamietnutý k 1 404 dokumentom (10,1 %); konštatuje, že v prípade opakovaných žiadostí bol udelený úplný prístup k 53 dokumentom a čiastočný prístup k 45 dokumentom, zatiaľ čo prístup k 48 dokumentom bol zamietnutý; konštatuje, že prvé žiadosti boli spracované v priemere za 16 pracovných dní a opakované žiadosti za 32 pracovných dní;</w:t>
      </w:r>
    </w:p>
    <w:p w14:paraId="1DF43479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58.</w:t>
      </w:r>
      <w:r w:rsidRPr="000762C5">
        <w:rPr>
          <w:kern w:val="2"/>
          <w14:ligatures w14:val="standardContextual"/>
        </w:rPr>
        <w:tab/>
        <w:t>víta skutočnosť, že podľa verejne dostupných výročných správ neboli zodpovední povoľujúci úradníci vymenovaní delegovaním v roku 2023 upozornení na žiadne prípady podvodu alebo nezrovnalosti, ani sa na takéto prípady nevzťahovala právomoc výboru (článok 143 nariadenia o rozpočtových pravidlách) alebo úradu OLAF;</w:t>
      </w:r>
    </w:p>
    <w:p w14:paraId="3C8DDB27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lastRenderedPageBreak/>
        <w:t>Digitalizácia</w:t>
      </w:r>
    </w:p>
    <w:p w14:paraId="291D2ECD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59.</w:t>
      </w:r>
      <w:r w:rsidRPr="000762C5">
        <w:rPr>
          <w:kern w:val="2"/>
          <w14:ligatures w14:val="standardContextual"/>
        </w:rPr>
        <w:tab/>
        <w:t xml:space="preserve">konštatuje, že v roku 2023 sekretariát pokračoval v plnení svojho cieľa digitálnej transformácie v súlade so svojimi prioritami digitálnej stratégie na roky 2022 – 2025; konštatuje, že zo 113 projektov digitalizácie v ročnom pracovnom pláne, ktoré sa týkali najmä oblastí spoločných služieb, politiky, práva a IT, bolo na konci roka dokončených 37 %, pričom 8 % bolo zrušených alebo zlúčených a 38 % stále prebiehalo; konštatuje, že boli organizované </w:t>
      </w:r>
      <w:proofErr w:type="spellStart"/>
      <w:r w:rsidRPr="000762C5">
        <w:rPr>
          <w:kern w:val="2"/>
          <w14:ligatures w14:val="standardContextual"/>
        </w:rPr>
        <w:t>diverzifikovanejšie</w:t>
      </w:r>
      <w:proofErr w:type="spellEnd"/>
      <w:r w:rsidRPr="000762C5">
        <w:rPr>
          <w:kern w:val="2"/>
          <w14:ligatures w14:val="standardContextual"/>
        </w:rPr>
        <w:t xml:space="preserve"> kurzy odbornej prípravy vrátane osobitných kurzov na elektronický podpis zmlúv a na podporu systému FIORI týkajúceho sa nových skúseností používateľov systému SAP;</w:t>
      </w:r>
    </w:p>
    <w:p w14:paraId="5F993AD3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60.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naliehavo vyzýva Radu, aby urýchlila zavádzanie bezpečných digitálnych systémov hlasovania a zdieľania dokumentov s cieľom zvýšiť efektívnosť, zodpovednosť a obmedziť zbytočné papierové procesy;</w:t>
      </w:r>
    </w:p>
    <w:p w14:paraId="14728E04" w14:textId="77777777" w:rsidR="000762C5" w:rsidRPr="000762C5" w:rsidRDefault="000762C5" w:rsidP="000762C5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0762C5">
        <w:rPr>
          <w:kern w:val="2"/>
          <w14:ligatures w14:val="standardContextual"/>
        </w:rPr>
        <w:t>61.</w:t>
      </w:r>
      <w:r w:rsidRPr="000762C5">
        <w:rPr>
          <w:kern w:val="2"/>
          <w14:ligatures w14:val="standardContextual"/>
        </w:rPr>
        <w:tab/>
        <w:t>víta, že v roku 2023 bolo 97 % faktúr predložených elektronicky, rovnako ako v roku 2022; uznáva, že vzhľadom na to, že v roku 2023 sa každý mesiac elektronicky podpisovalo 30 až 40 % nákupných objednávok a zmlúv, sa dosiahol významný pokrok smerom k úplnej digitalizácii finančného pracovného postupu, od začatia postupov verejného obstarávania až po elektronické platby faktúr;</w:t>
      </w:r>
    </w:p>
    <w:p w14:paraId="09BEEF5F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62.</w:t>
      </w:r>
      <w:r w:rsidRPr="000762C5">
        <w:rPr>
          <w:kern w:val="2"/>
          <w14:ligatures w14:val="standardContextual"/>
        </w:rPr>
        <w:tab/>
        <w:t>konštatuje, že v roku 2023 Rada podnikla kroky v prospech väčšej digitálnej prístupnosti, najmä prostredníctvom uverejnenia príručky digitálnej prístupnosti;</w:t>
      </w:r>
    </w:p>
    <w:p w14:paraId="7CF1C0A9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Kybernetická bezpečnosť a ochrana údajov</w:t>
      </w:r>
    </w:p>
    <w:p w14:paraId="61791997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63.</w:t>
      </w:r>
      <w:r w:rsidRPr="000762C5">
        <w:rPr>
          <w:kern w:val="2"/>
          <w14:ligatures w14:val="standardContextual"/>
        </w:rPr>
        <w:tab/>
        <w:t>konštatuje, že v roku 2023 európsky dozorný úradník pre ochranu údajov (ďalej len „EDPS“) vydal stanovisko dozorného orgánu v súlade s článkom 57 ods. 1 písm. g) nariadenia Európskeho parlamentu a Rady (EÚ) 2018/1725 </w:t>
      </w:r>
      <w:r w:rsidRPr="000762C5">
        <w:rPr>
          <w:kern w:val="2"/>
          <w:vertAlign w:val="superscript"/>
          <w14:ligatures w14:val="standardContextual"/>
        </w:rPr>
        <w:footnoteReference w:id="8"/>
      </w:r>
      <w:r w:rsidRPr="000762C5">
        <w:rPr>
          <w:kern w:val="2"/>
          <w14:ligatures w14:val="standardContextual"/>
        </w:rPr>
        <w:t xml:space="preserve"> týkajúce sa potreby vykonať posúdenie vplyvu na ochranu údajov v súvislosti s projektom sekretariátu, pokiaľ ide o využívanie centralizovaných služieb analýzy a podávania správ o ľudských zdrojoch a zriadenie dátového skladu; konštatuje, že EDPS v roku 2023 neoznámil žiadne vyšetrovanie ani sťažnosť týkajúcu sa Rady;</w:t>
      </w:r>
    </w:p>
    <w:p w14:paraId="7DD79BFB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64.</w:t>
      </w:r>
      <w:r w:rsidRPr="000762C5">
        <w:rPr>
          <w:b/>
          <w:i/>
          <w:kern w:val="2"/>
          <w14:ligatures w14:val="standardContextual"/>
        </w:rPr>
        <w:tab/>
      </w:r>
      <w:r w:rsidRPr="000762C5">
        <w:rPr>
          <w:kern w:val="2"/>
          <w14:ligatures w14:val="standardContextual"/>
        </w:rPr>
        <w:t>vyjadruje znepokojenie nad nedostatkom spoľahlivých záruk proti sledovaniu a zberu údajov tretími stranami; požaduje posilnené bezpečnostné opatrenia vrátane povinného šifrovania údajov a pravidelných bezpečnostných auditov všetkých digitálnych komunikačných systémov používaných Radou;</w:t>
      </w:r>
    </w:p>
    <w:p w14:paraId="5387DC20" w14:textId="77777777" w:rsidR="000762C5" w:rsidRPr="000762C5" w:rsidRDefault="000762C5" w:rsidP="000762C5">
      <w:pPr>
        <w:spacing w:after="240"/>
        <w:ind w:left="567" w:hanging="567"/>
        <w:rPr>
          <w:b/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65.</w:t>
      </w:r>
      <w:r w:rsidRPr="000762C5">
        <w:rPr>
          <w:kern w:val="2"/>
          <w14:ligatures w14:val="standardContextual"/>
        </w:rPr>
        <w:tab/>
        <w:t>konštatuje, že s cieľom zlepšiť informovanosť a pripravenosť svojich zamestnancov, pokiaľ ide o kybernetickú bezpečnosť, sekretariát v roku 2023 navrhol a zaviedol niekoľko nových kurzov odbornej prípravy týkajúcich sa informačnej bezpečnosti, kontrašpionáže a kybernetickej bezpečnosti; ďalej konštatuje, že počas mesiaca kybernetickej bezpečnosti v októbri 2023 sa zorganizovali podujatia na zvyšovanie informovanosti o kybernetickej a informačnej bezpečnosti;</w:t>
      </w:r>
    </w:p>
    <w:p w14:paraId="1E149FDA" w14:textId="77777777" w:rsidR="000762C5" w:rsidRPr="000762C5" w:rsidRDefault="000762C5" w:rsidP="000762C5">
      <w:pPr>
        <w:spacing w:after="240"/>
        <w:ind w:left="567" w:hanging="567"/>
        <w:rPr>
          <w:b/>
          <w:bCs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lastRenderedPageBreak/>
        <w:t>Budovy</w:t>
      </w:r>
    </w:p>
    <w:p w14:paraId="18453B13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66.</w:t>
      </w:r>
      <w:r w:rsidRPr="000762C5">
        <w:rPr>
          <w:kern w:val="2"/>
          <w14:ligatures w14:val="standardContextual"/>
        </w:rPr>
        <w:tab/>
        <w:t xml:space="preserve">konštatuje, že rozpočtový riadok 2 0 1 1 týkajúci sa vody, plynu, elektrickej energie a vykurovania bol posilnený o 33 % prostredníctvom rozpočtového presunu v roku 2023; konštatuje, že sekretariát pokračoval v znižovaní svojej spotreby energie prostredníctvom metód, ako je znižovanie vykurovania budov a výmena kotlov v budove </w:t>
      </w:r>
      <w:proofErr w:type="spellStart"/>
      <w:r w:rsidRPr="000762C5">
        <w:rPr>
          <w:kern w:val="2"/>
          <w14:ligatures w14:val="standardContextual"/>
        </w:rPr>
        <w:t>Justus</w:t>
      </w:r>
      <w:proofErr w:type="spellEnd"/>
      <w:r w:rsidRPr="000762C5">
        <w:rPr>
          <w:kern w:val="2"/>
          <w14:ligatures w14:val="standardContextual"/>
        </w:rPr>
        <w:t xml:space="preserve"> </w:t>
      </w:r>
      <w:proofErr w:type="spellStart"/>
      <w:r w:rsidRPr="000762C5">
        <w:rPr>
          <w:kern w:val="2"/>
          <w14:ligatures w14:val="standardContextual"/>
        </w:rPr>
        <w:t>Lipsius</w:t>
      </w:r>
      <w:proofErr w:type="spellEnd"/>
      <w:r w:rsidRPr="000762C5">
        <w:rPr>
          <w:kern w:val="2"/>
          <w14:ligatures w14:val="standardContextual"/>
        </w:rPr>
        <w:t>;</w:t>
      </w:r>
    </w:p>
    <w:p w14:paraId="32F80951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67.</w:t>
      </w:r>
      <w:r w:rsidRPr="000762C5">
        <w:rPr>
          <w:kern w:val="2"/>
          <w14:ligatures w14:val="standardContextual"/>
        </w:rPr>
        <w:tab/>
        <w:t>konštatuje, že v roku 2023 sa uskutočnili kľúčové stavebné projekty, ako je renovácia niektorých zasadacích miestností v budovách LEX a </w:t>
      </w:r>
      <w:proofErr w:type="spellStart"/>
      <w:r w:rsidRPr="000762C5">
        <w:rPr>
          <w:kern w:val="2"/>
          <w14:ligatures w14:val="standardContextual"/>
        </w:rPr>
        <w:t>Justus</w:t>
      </w:r>
      <w:proofErr w:type="spellEnd"/>
      <w:r w:rsidRPr="000762C5">
        <w:rPr>
          <w:kern w:val="2"/>
          <w14:ligatures w14:val="standardContextual"/>
        </w:rPr>
        <w:t xml:space="preserve"> </w:t>
      </w:r>
      <w:proofErr w:type="spellStart"/>
      <w:r w:rsidRPr="000762C5">
        <w:rPr>
          <w:kern w:val="2"/>
          <w14:ligatures w14:val="standardContextual"/>
        </w:rPr>
        <w:t>Lipsius</w:t>
      </w:r>
      <w:proofErr w:type="spellEnd"/>
      <w:r w:rsidRPr="000762C5">
        <w:rPr>
          <w:kern w:val="2"/>
          <w14:ligatures w14:val="standardContextual"/>
        </w:rPr>
        <w:t xml:space="preserve">, nepretržitá obnova kancelárskych koridorov v budove </w:t>
      </w:r>
      <w:proofErr w:type="spellStart"/>
      <w:r w:rsidRPr="000762C5">
        <w:rPr>
          <w:kern w:val="2"/>
          <w14:ligatures w14:val="standardContextual"/>
        </w:rPr>
        <w:t>Justus</w:t>
      </w:r>
      <w:proofErr w:type="spellEnd"/>
      <w:r w:rsidRPr="000762C5">
        <w:rPr>
          <w:kern w:val="2"/>
          <w14:ligatures w14:val="standardContextual"/>
        </w:rPr>
        <w:t xml:space="preserve"> </w:t>
      </w:r>
      <w:proofErr w:type="spellStart"/>
      <w:r w:rsidRPr="000762C5">
        <w:rPr>
          <w:kern w:val="2"/>
          <w14:ligatures w14:val="standardContextual"/>
        </w:rPr>
        <w:t>Lipsius</w:t>
      </w:r>
      <w:proofErr w:type="spellEnd"/>
      <w:r w:rsidRPr="000762C5">
        <w:rPr>
          <w:kern w:val="2"/>
          <w14:ligatures w14:val="standardContextual"/>
        </w:rPr>
        <w:t xml:space="preserve">, zlepšenie zariadení a infraštruktúry pre bicykle v priestoroch Rady a modernizácia recepčných pultov v budove </w:t>
      </w:r>
      <w:proofErr w:type="spellStart"/>
      <w:r w:rsidRPr="000762C5">
        <w:rPr>
          <w:kern w:val="2"/>
          <w14:ligatures w14:val="standardContextual"/>
        </w:rPr>
        <w:t>Justus</w:t>
      </w:r>
      <w:proofErr w:type="spellEnd"/>
      <w:r w:rsidRPr="000762C5">
        <w:rPr>
          <w:kern w:val="2"/>
          <w14:ligatures w14:val="standardContextual"/>
        </w:rPr>
        <w:t xml:space="preserve"> </w:t>
      </w:r>
      <w:proofErr w:type="spellStart"/>
      <w:r w:rsidRPr="000762C5">
        <w:rPr>
          <w:kern w:val="2"/>
          <w14:ligatures w14:val="standardContextual"/>
        </w:rPr>
        <w:t>Lipsius</w:t>
      </w:r>
      <w:proofErr w:type="spellEnd"/>
      <w:r w:rsidRPr="000762C5">
        <w:rPr>
          <w:kern w:val="2"/>
          <w14:ligatures w14:val="standardContextual"/>
        </w:rPr>
        <w:t>;</w:t>
      </w:r>
    </w:p>
    <w:p w14:paraId="708A31DA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68.</w:t>
      </w:r>
      <w:r w:rsidRPr="000762C5">
        <w:rPr>
          <w:kern w:val="2"/>
          <w14:ligatures w14:val="standardContextual"/>
        </w:rPr>
        <w:tab/>
        <w:t>vyjadruje poľutovanie nad tým, že Rada ešte stále nevykonala zjednodušený akreditačný postup na uľahčenie prístupu zamestnancov ostatných inštitúcií Únie do priestorov Rady; vyzýva Radu, aby toto opatrenie vykonala;</w:t>
      </w:r>
    </w:p>
    <w:p w14:paraId="00A778B4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Životné prostredie a udržateľnosť</w:t>
      </w:r>
    </w:p>
    <w:p w14:paraId="33CE3249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69.</w:t>
      </w:r>
      <w:r w:rsidRPr="000762C5">
        <w:rPr>
          <w:kern w:val="2"/>
          <w14:ligatures w14:val="standardContextual"/>
        </w:rPr>
        <w:tab/>
        <w:t>konštatuje, že v nadväznosti na externý audit vykonaný v roku 2023 sa zachovala schéma pre environmentálne manažérstvo a audit a obnovili sa osvedčenia o energetickej hospodárnosti budov;</w:t>
      </w:r>
    </w:p>
    <w:p w14:paraId="086BEA66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70.</w:t>
      </w:r>
      <w:r w:rsidRPr="000762C5">
        <w:rPr>
          <w:kern w:val="2"/>
          <w14:ligatures w14:val="standardContextual"/>
        </w:rPr>
        <w:tab/>
        <w:t xml:space="preserve">konštatuje, že v rámci pokračujúceho prioritného úsilia o udržateľnú mobilitu sa zariadenia a infraštruktúra pre bicykle v priestoroch sekretariátu zlepšili a prispôsobili a boli obnovené alebo zavedené </w:t>
      </w:r>
      <w:proofErr w:type="spellStart"/>
      <w:r w:rsidRPr="000762C5">
        <w:rPr>
          <w:kern w:val="2"/>
          <w14:ligatures w14:val="standardContextual"/>
        </w:rPr>
        <w:t>videokonferenčné</w:t>
      </w:r>
      <w:proofErr w:type="spellEnd"/>
      <w:r w:rsidRPr="000762C5">
        <w:rPr>
          <w:kern w:val="2"/>
          <w14:ligatures w14:val="standardContextual"/>
        </w:rPr>
        <w:t xml:space="preserve"> zariadenia vo forme „miestností pre stretnutia kdekoľvek“; ďalej konštatuje, že prostredníctvom odbornej prípravy a opatrení na zvyšovanie informovanosti bolo vynaložené úsilie o získanie zamestnancov a vedúcich pracovníkov v rámci zelenej transformácie;</w:t>
      </w:r>
    </w:p>
    <w:p w14:paraId="2F0BFBCC" w14:textId="77777777" w:rsidR="000762C5" w:rsidRPr="000762C5" w:rsidRDefault="000762C5" w:rsidP="000762C5">
      <w:pPr>
        <w:spacing w:after="240"/>
        <w:ind w:left="567" w:hanging="567"/>
        <w:rPr>
          <w:b/>
          <w:i/>
          <w:kern w:val="2"/>
          <w14:ligatures w14:val="standardContextual"/>
        </w:rPr>
      </w:pPr>
      <w:proofErr w:type="spellStart"/>
      <w:r w:rsidRPr="000762C5">
        <w:rPr>
          <w:b/>
          <w:i/>
          <w:kern w:val="2"/>
          <w14:ligatures w14:val="standardContextual"/>
        </w:rPr>
        <w:t>Medziinštitucionálna</w:t>
      </w:r>
      <w:proofErr w:type="spellEnd"/>
      <w:r w:rsidRPr="000762C5">
        <w:rPr>
          <w:b/>
          <w:i/>
          <w:kern w:val="2"/>
          <w14:ligatures w14:val="standardContextual"/>
        </w:rPr>
        <w:t xml:space="preserve"> spolupráca</w:t>
      </w:r>
    </w:p>
    <w:p w14:paraId="79C78DCC" w14:textId="77777777" w:rsidR="000762C5" w:rsidRPr="000762C5" w:rsidRDefault="000762C5" w:rsidP="000762C5">
      <w:pPr>
        <w:spacing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71.</w:t>
      </w:r>
      <w:r w:rsidRPr="000762C5">
        <w:rPr>
          <w:kern w:val="2"/>
          <w14:ligatures w14:val="standardContextual"/>
        </w:rPr>
        <w:tab/>
        <w:t xml:space="preserve">zdôrazňuje, že je potrebné revidovať jej článok 319 s cieľom výslovne stanoviť, že Európsky parlament okrem udelenia absolutória Komisii udeľuje absolutórium aj ostatným inštitúciám, orgánom, úradom a agentúram Únie za plnenie ich rozpočtových oddielov alebo ich rozpočtov; vyzýva Radu, aby prekonala </w:t>
      </w:r>
      <w:proofErr w:type="spellStart"/>
      <w:r w:rsidRPr="000762C5">
        <w:rPr>
          <w:kern w:val="2"/>
          <w14:ligatures w14:val="standardContextual"/>
        </w:rPr>
        <w:t>medziinštitucionálny</w:t>
      </w:r>
      <w:proofErr w:type="spellEnd"/>
      <w:r w:rsidRPr="000762C5">
        <w:rPr>
          <w:kern w:val="2"/>
          <w14:ligatures w14:val="standardContextual"/>
        </w:rPr>
        <w:t xml:space="preserve"> konflikt a obnovila rozhovory s Európskym parlamentom s cieľom dosiahnuť spoločnú dohodu o bezproblémovom obnovení postupu udeľovania absolutória;</w:t>
      </w:r>
    </w:p>
    <w:p w14:paraId="7797B4A5" w14:textId="77777777" w:rsidR="000762C5" w:rsidRPr="000762C5" w:rsidRDefault="000762C5" w:rsidP="000762C5">
      <w:pPr>
        <w:spacing w:before="240" w:after="240"/>
        <w:ind w:left="567" w:hanging="567"/>
        <w:rPr>
          <w:b/>
          <w:i/>
          <w:kern w:val="2"/>
          <w14:ligatures w14:val="standardContextual"/>
        </w:rPr>
      </w:pPr>
      <w:r w:rsidRPr="000762C5">
        <w:rPr>
          <w:b/>
          <w:i/>
          <w:kern w:val="2"/>
          <w14:ligatures w14:val="standardContextual"/>
        </w:rPr>
        <w:t>Komunikácia</w:t>
      </w:r>
    </w:p>
    <w:p w14:paraId="11FA04F9" w14:textId="77777777" w:rsidR="000762C5" w:rsidRPr="000762C5" w:rsidRDefault="000762C5" w:rsidP="000762C5">
      <w:pPr>
        <w:spacing w:before="240"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72.</w:t>
      </w:r>
      <w:r w:rsidRPr="000762C5">
        <w:rPr>
          <w:kern w:val="2"/>
          <w14:ligatures w14:val="standardContextual"/>
        </w:rPr>
        <w:tab/>
        <w:t>konštatuje, že v roku 2023 bol celkový rozpočet na komunikáciu vykonaný v priebehu roka po zohľadnení presunov 11 871 300 EUR, t. j. o 3,54 % vyšší ako rozpočet na rok 2022;</w:t>
      </w:r>
    </w:p>
    <w:p w14:paraId="3F9D6EA4" w14:textId="77777777" w:rsidR="000762C5" w:rsidRPr="000762C5" w:rsidRDefault="000762C5" w:rsidP="000762C5">
      <w:pPr>
        <w:spacing w:before="240"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73.</w:t>
      </w:r>
      <w:r w:rsidRPr="000762C5">
        <w:rPr>
          <w:kern w:val="2"/>
          <w14:ligatures w14:val="standardContextual"/>
        </w:rPr>
        <w:tab/>
        <w:t xml:space="preserve">konštatuje, že sekretariát poskytuje komunikačné služby predsedovi Európskej rady, ktorého prítomnosť na internete bola v roku 2022 zásadne prepracovaná, predsedovi </w:t>
      </w:r>
      <w:proofErr w:type="spellStart"/>
      <w:r w:rsidRPr="000762C5">
        <w:rPr>
          <w:kern w:val="2"/>
          <w14:ligatures w14:val="standardContextual"/>
        </w:rPr>
        <w:t>Euroskupiny</w:t>
      </w:r>
      <w:proofErr w:type="spellEnd"/>
      <w:r w:rsidRPr="000762C5">
        <w:rPr>
          <w:kern w:val="2"/>
          <w14:ligatures w14:val="standardContextual"/>
        </w:rPr>
        <w:t xml:space="preserve">, rotujúcemu predsedníctvu, podpredsedníčke Komisie/vysokej predstaviteľke Únie pre zahraničné veci a bezpečnostnú politiku, členským štátom a sekretariátu; konštatuje, že v roku 2023 došlo k výraznému nárastu spolupráce medzi digitálnym tímom sekretariátu a predsedníctvami, najmä úzka redakčná koordinácia </w:t>
      </w:r>
      <w:r w:rsidRPr="000762C5">
        <w:rPr>
          <w:kern w:val="2"/>
          <w14:ligatures w14:val="standardContextual"/>
        </w:rPr>
        <w:lastRenderedPageBreak/>
        <w:t>viedla k zvýšeniu synergií z hľadiska opätovného používania obsahu a lepšej komplementárnosti, čo maximalizovalo celkový vplyv komunikácie;</w:t>
      </w:r>
    </w:p>
    <w:p w14:paraId="4638E015" w14:textId="102740E9" w:rsidR="000762C5" w:rsidRPr="000762C5" w:rsidRDefault="000762C5" w:rsidP="000762C5">
      <w:pPr>
        <w:spacing w:before="240" w:after="240"/>
        <w:ind w:left="567" w:hanging="567"/>
        <w:rPr>
          <w:kern w:val="2"/>
          <w14:ligatures w14:val="standardContextual"/>
        </w:rPr>
      </w:pPr>
      <w:r w:rsidRPr="000762C5">
        <w:rPr>
          <w:kern w:val="2"/>
          <w14:ligatures w14:val="standardContextual"/>
        </w:rPr>
        <w:t>74.</w:t>
      </w:r>
      <w:r w:rsidRPr="000762C5">
        <w:rPr>
          <w:kern w:val="2"/>
          <w14:ligatures w14:val="standardContextual"/>
        </w:rPr>
        <w:tab/>
        <w:t>konštatuje, že podľa online prieskumu vykonaného v poslednom štvrťroku 2023 bolo 67 % používateľov spokojných so svojimi celkovými skúsenosťami s webovým sídlom Rady, ktoré malo v roku 2023 viac ako 23 miliónov návštev, čo je nárast o 1 % v porovnaní s rokom 2022, a 57 900 predplatiteľov v porovnaní s 51 600 v roku 2022.</w:t>
      </w:r>
    </w:p>
    <w:sectPr w:rsidR="000762C5" w:rsidRPr="000762C5" w:rsidSect="000762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14EE5" w14:textId="77777777" w:rsidR="00AC5D13" w:rsidRPr="005A60F1" w:rsidRDefault="00AC5D13">
      <w:r w:rsidRPr="005A60F1">
        <w:separator/>
      </w:r>
    </w:p>
  </w:endnote>
  <w:endnote w:type="continuationSeparator" w:id="0">
    <w:p w14:paraId="447839A2" w14:textId="77777777" w:rsidR="00AC5D13" w:rsidRPr="005A60F1" w:rsidRDefault="00AC5D13">
      <w:r w:rsidRPr="005A60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B3DC" w14:textId="77777777" w:rsidR="00064002" w:rsidRPr="005A60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334B0" w14:textId="77777777" w:rsidR="00064002" w:rsidRPr="005A60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66DE8" w14:textId="77777777" w:rsidR="00064002" w:rsidRPr="005A60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59EA" w14:textId="77777777" w:rsidR="00AC5D13" w:rsidRPr="005A60F1" w:rsidRDefault="00AC5D13">
      <w:r w:rsidRPr="005A60F1">
        <w:separator/>
      </w:r>
    </w:p>
  </w:footnote>
  <w:footnote w:type="continuationSeparator" w:id="0">
    <w:p w14:paraId="18D82F0C" w14:textId="77777777" w:rsidR="00AC5D13" w:rsidRPr="005A60F1" w:rsidRDefault="00AC5D13">
      <w:r w:rsidRPr="005A60F1">
        <w:continuationSeparator/>
      </w:r>
    </w:p>
  </w:footnote>
  <w:footnote w:id="1">
    <w:p w14:paraId="082118DF" w14:textId="77777777" w:rsidR="000762C5" w:rsidRPr="000762C5" w:rsidRDefault="000762C5" w:rsidP="000762C5">
      <w:pPr>
        <w:ind w:left="567" w:hanging="567"/>
        <w:rPr>
          <w:szCs w:val="24"/>
          <w:lang w:val="fi-FI"/>
        </w:rPr>
      </w:pPr>
      <w:r w:rsidRPr="000762C5">
        <w:rPr>
          <w:rStyle w:val="FootnoteReference"/>
          <w:szCs w:val="24"/>
        </w:rPr>
        <w:footnoteRef/>
      </w:r>
      <w:r w:rsidRPr="000762C5">
        <w:rPr>
          <w:szCs w:val="24"/>
          <w:lang w:val="fi-FI"/>
        </w:rPr>
        <w:t xml:space="preserve"> </w:t>
      </w:r>
      <w:r w:rsidRPr="000762C5">
        <w:rPr>
          <w:szCs w:val="24"/>
          <w:lang w:val="fi-FI"/>
        </w:rPr>
        <w:tab/>
        <w:t xml:space="preserve">Ú. v. EÚ L 58, 23.2.2023, s. 1, ELI: </w:t>
      </w:r>
      <w:hyperlink r:id="rId1" w:tooltip="Umožňuje prístup k tomuto dokumentu prostredníctvom identifikátorov ELI a URI." w:history="1">
        <w:r w:rsidRPr="000762C5">
          <w:rPr>
            <w:rStyle w:val="Hyperlink"/>
            <w:color w:val="0563C1"/>
            <w:szCs w:val="24"/>
            <w:shd w:val="clear" w:color="auto" w:fill="FFFFFF"/>
            <w:lang w:val="fi-FI"/>
          </w:rPr>
          <w:t>http://data.europa.eu/eli/budget/2023/1/oj</w:t>
        </w:r>
      </w:hyperlink>
      <w:r w:rsidRPr="000762C5">
        <w:rPr>
          <w:szCs w:val="24"/>
          <w:shd w:val="clear" w:color="auto" w:fill="FFFFFF"/>
          <w:lang w:val="fi-FI"/>
        </w:rPr>
        <w:t>.</w:t>
      </w:r>
    </w:p>
  </w:footnote>
  <w:footnote w:id="2">
    <w:p w14:paraId="78C3DB6E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 xml:space="preserve"> </w:t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Ú. v. EÚ C, C/2024/5462, 10.10.2024, ELI: </w:t>
      </w:r>
      <w:hyperlink r:id="rId2" w:history="1">
        <w:r w:rsidRPr="000762C5">
          <w:rPr>
            <w:rStyle w:val="Hyperlink"/>
            <w:sz w:val="24"/>
            <w:szCs w:val="24"/>
            <w:lang w:val="fi-FI"/>
          </w:rPr>
          <w:t>http://data.europa.eu/eli/C/2024/5462/oj</w:t>
        </w:r>
      </w:hyperlink>
      <w:r w:rsidRPr="000762C5">
        <w:rPr>
          <w:sz w:val="24"/>
          <w:szCs w:val="24"/>
          <w:lang w:val="fi-FI"/>
        </w:rPr>
        <w:t>.</w:t>
      </w:r>
    </w:p>
  </w:footnote>
  <w:footnote w:id="3">
    <w:p w14:paraId="0CC6028D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 xml:space="preserve"> </w:t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Ú. v. EÚ C, C/2024/5882, 9.10.2024, ELI: </w:t>
      </w:r>
      <w:hyperlink r:id="rId3" w:history="1">
        <w:r w:rsidRPr="000762C5">
          <w:rPr>
            <w:rStyle w:val="Hyperlink"/>
            <w:sz w:val="24"/>
            <w:szCs w:val="24"/>
            <w:lang w:val="fi-FI"/>
          </w:rPr>
          <w:t>http://data.europa.eu/eli/C/2024/5882/oj</w:t>
        </w:r>
      </w:hyperlink>
      <w:r w:rsidRPr="000762C5">
        <w:rPr>
          <w:sz w:val="24"/>
          <w:szCs w:val="24"/>
          <w:lang w:val="sk-SK"/>
        </w:rPr>
        <w:t>.</w:t>
      </w:r>
    </w:p>
  </w:footnote>
  <w:footnote w:id="4">
    <w:p w14:paraId="235C8ACE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 xml:space="preserve"> </w:t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Ú. v. EÚ C, C/2024/6041, 10.10.2024, ELI: </w:t>
      </w:r>
      <w:hyperlink r:id="rId4" w:history="1">
        <w:r w:rsidRPr="000762C5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0762C5">
        <w:rPr>
          <w:sz w:val="24"/>
          <w:szCs w:val="24"/>
          <w:lang w:val="sk-SK"/>
        </w:rPr>
        <w:t>.</w:t>
      </w:r>
    </w:p>
  </w:footnote>
  <w:footnote w:id="5">
    <w:p w14:paraId="3045C16D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 xml:space="preserve"> </w:t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Ú. v. EÚ L 193, 30.7.2018, s. 1, ELI: </w:t>
      </w:r>
      <w:hyperlink r:id="rId5" w:history="1">
        <w:r w:rsidRPr="000762C5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0762C5">
        <w:rPr>
          <w:sz w:val="24"/>
          <w:szCs w:val="24"/>
          <w:lang w:val="sk-SK"/>
        </w:rPr>
        <w:t>.</w:t>
      </w:r>
    </w:p>
  </w:footnote>
  <w:footnote w:id="6">
    <w:p w14:paraId="7F1A3C19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 xml:space="preserve"> </w:t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Ú. v. EÚ L, 2024/2509, 26.9.2024, ELI: </w:t>
      </w:r>
      <w:hyperlink r:id="rId6" w:tooltip="Umožňuje prístup k tomuto dokumentu prostredníctvom ELI URI." w:history="1">
        <w:r w:rsidRPr="000762C5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0762C5">
        <w:rPr>
          <w:sz w:val="24"/>
          <w:szCs w:val="24"/>
          <w:lang w:val="sk-SK"/>
        </w:rPr>
        <w:t>.</w:t>
      </w:r>
    </w:p>
  </w:footnote>
  <w:footnote w:id="7">
    <w:p w14:paraId="2C80928E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  <w:lang w:val="sk-SK"/>
        </w:rPr>
        <w:footnoteRef/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Rozsudok Všeobecného súdu z 25. januára 2023, De </w:t>
      </w:r>
      <w:proofErr w:type="spellStart"/>
      <w:r w:rsidRPr="000762C5">
        <w:rPr>
          <w:sz w:val="24"/>
          <w:szCs w:val="24"/>
          <w:lang w:val="sk-SK"/>
        </w:rPr>
        <w:t>Capitani</w:t>
      </w:r>
      <w:proofErr w:type="spellEnd"/>
      <w:r w:rsidRPr="000762C5">
        <w:rPr>
          <w:sz w:val="24"/>
          <w:szCs w:val="24"/>
          <w:lang w:val="sk-SK"/>
        </w:rPr>
        <w:t>/Rada, T-163/21, ECLI:EU:T:2023:15.</w:t>
      </w:r>
    </w:p>
  </w:footnote>
  <w:footnote w:id="8">
    <w:p w14:paraId="5B8314A5" w14:textId="77777777" w:rsidR="000762C5" w:rsidRPr="000762C5" w:rsidRDefault="000762C5" w:rsidP="000762C5">
      <w:pPr>
        <w:pStyle w:val="FootnoteText"/>
        <w:ind w:left="567" w:hanging="567"/>
        <w:rPr>
          <w:sz w:val="24"/>
          <w:szCs w:val="24"/>
          <w:lang w:val="sk-SK"/>
        </w:rPr>
      </w:pPr>
      <w:r w:rsidRPr="000762C5">
        <w:rPr>
          <w:rStyle w:val="FootnoteReference"/>
          <w:sz w:val="24"/>
          <w:szCs w:val="24"/>
        </w:rPr>
        <w:footnoteRef/>
      </w:r>
      <w:r w:rsidRPr="000762C5">
        <w:rPr>
          <w:sz w:val="24"/>
          <w:szCs w:val="24"/>
          <w:lang w:val="sk-SK"/>
        </w:rPr>
        <w:tab/>
      </w:r>
      <w:r w:rsidRPr="000762C5">
        <w:rPr>
          <w:sz w:val="24"/>
          <w:szCs w:val="24"/>
          <w:lang w:val="sk-SK"/>
        </w:rPr>
        <w:t xml:space="preserve">Nariadenie Európskeho parlamentu a Rady (EÚ) 2018/1725 z 23. októbra 2018 o ochrane fyzických osôb pri spracúvaní osobných údajov inštitúciami, orgánmi, úradmi a agentúrami Únie a o voľnom pohybe takýchto údajov, ktorým sa zrušuje nariadenie (ES) č. 45/2001 a rozhodnutie č. 1247/2002/ES (Ú. v. EÚ L 295, 21.11.2018, s. 39, ELI: </w:t>
      </w:r>
      <w:hyperlink r:id="rId7" w:history="1">
        <w:r w:rsidRPr="000762C5">
          <w:rPr>
            <w:rStyle w:val="Hyperlink"/>
            <w:sz w:val="24"/>
            <w:szCs w:val="24"/>
            <w:lang w:val="sk-SK"/>
          </w:rPr>
          <w:t>http://data.europa.eu/eli/reg/2018/1725/oj</w:t>
        </w:r>
      </w:hyperlink>
      <w:r w:rsidRPr="000762C5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8528" w14:textId="77777777" w:rsidR="00064002" w:rsidRPr="005A60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0FC7F" w14:textId="77777777" w:rsidR="00064002" w:rsidRPr="005A60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F40BC" w14:textId="77777777" w:rsidR="00064002" w:rsidRPr="005A60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6277287">
    <w:abstractNumId w:val="9"/>
  </w:num>
  <w:num w:numId="2" w16cid:durableId="717360147">
    <w:abstractNumId w:val="9"/>
  </w:num>
  <w:num w:numId="3" w16cid:durableId="964044306">
    <w:abstractNumId w:val="7"/>
  </w:num>
  <w:num w:numId="4" w16cid:durableId="806777378">
    <w:abstractNumId w:val="7"/>
  </w:num>
  <w:num w:numId="5" w16cid:durableId="1061908306">
    <w:abstractNumId w:val="6"/>
  </w:num>
  <w:num w:numId="6" w16cid:durableId="635186570">
    <w:abstractNumId w:val="6"/>
  </w:num>
  <w:num w:numId="7" w16cid:durableId="2129223">
    <w:abstractNumId w:val="5"/>
  </w:num>
  <w:num w:numId="8" w16cid:durableId="1082532588">
    <w:abstractNumId w:val="5"/>
  </w:num>
  <w:num w:numId="9" w16cid:durableId="1232472838">
    <w:abstractNumId w:val="4"/>
  </w:num>
  <w:num w:numId="10" w16cid:durableId="449976269">
    <w:abstractNumId w:val="4"/>
  </w:num>
  <w:num w:numId="11" w16cid:durableId="272902984">
    <w:abstractNumId w:val="8"/>
  </w:num>
  <w:num w:numId="12" w16cid:durableId="1588923316">
    <w:abstractNumId w:val="8"/>
  </w:num>
  <w:num w:numId="13" w16cid:durableId="1943489033">
    <w:abstractNumId w:val="3"/>
  </w:num>
  <w:num w:numId="14" w16cid:durableId="1391537002">
    <w:abstractNumId w:val="3"/>
  </w:num>
  <w:num w:numId="15" w16cid:durableId="1218904714">
    <w:abstractNumId w:val="2"/>
  </w:num>
  <w:num w:numId="16" w16cid:durableId="1552964011">
    <w:abstractNumId w:val="2"/>
  </w:num>
  <w:num w:numId="17" w16cid:durableId="1917934806">
    <w:abstractNumId w:val="1"/>
  </w:num>
  <w:num w:numId="18" w16cid:durableId="1670058436">
    <w:abstractNumId w:val="1"/>
  </w:num>
  <w:num w:numId="19" w16cid:durableId="2021814680">
    <w:abstractNumId w:val="0"/>
  </w:num>
  <w:num w:numId="20" w16cid:durableId="84155471">
    <w:abstractNumId w:val="0"/>
  </w:num>
  <w:num w:numId="21" w16cid:durableId="1738162006">
    <w:abstractNumId w:val="9"/>
  </w:num>
  <w:num w:numId="22" w16cid:durableId="654073423">
    <w:abstractNumId w:val="7"/>
  </w:num>
  <w:num w:numId="23" w16cid:durableId="496656998">
    <w:abstractNumId w:val="6"/>
  </w:num>
  <w:num w:numId="24" w16cid:durableId="1596287390">
    <w:abstractNumId w:val="5"/>
  </w:num>
  <w:num w:numId="25" w16cid:durableId="798260883">
    <w:abstractNumId w:val="4"/>
  </w:num>
  <w:num w:numId="26" w16cid:durableId="1543326164">
    <w:abstractNumId w:val="8"/>
  </w:num>
  <w:num w:numId="27" w16cid:durableId="351611169">
    <w:abstractNumId w:val="3"/>
  </w:num>
  <w:num w:numId="28" w16cid:durableId="1541740838">
    <w:abstractNumId w:val="2"/>
  </w:num>
  <w:num w:numId="29" w16cid:durableId="31922753">
    <w:abstractNumId w:val="1"/>
  </w:num>
  <w:num w:numId="30" w16cid:durableId="946160372">
    <w:abstractNumId w:val="0"/>
  </w:num>
  <w:num w:numId="31" w16cid:durableId="93022087">
    <w:abstractNumId w:val="9"/>
  </w:num>
  <w:num w:numId="32" w16cid:durableId="1161695366">
    <w:abstractNumId w:val="7"/>
  </w:num>
  <w:num w:numId="33" w16cid:durableId="2062055924">
    <w:abstractNumId w:val="6"/>
  </w:num>
  <w:num w:numId="34" w16cid:durableId="569922740">
    <w:abstractNumId w:val="5"/>
  </w:num>
  <w:num w:numId="35" w16cid:durableId="28187279">
    <w:abstractNumId w:val="4"/>
  </w:num>
  <w:num w:numId="36" w16cid:durableId="1757902888">
    <w:abstractNumId w:val="8"/>
  </w:num>
  <w:num w:numId="37" w16cid:durableId="606160179">
    <w:abstractNumId w:val="3"/>
  </w:num>
  <w:num w:numId="38" w16cid:durableId="1483505255">
    <w:abstractNumId w:val="2"/>
  </w:num>
  <w:num w:numId="39" w16cid:durableId="796722494">
    <w:abstractNumId w:val="1"/>
  </w:num>
  <w:num w:numId="40" w16cid:durableId="2064088838">
    <w:abstractNumId w:val="0"/>
  </w:num>
  <w:num w:numId="41" w16cid:durableId="166404853">
    <w:abstractNumId w:val="10"/>
  </w:num>
  <w:num w:numId="42" w16cid:durableId="842742435">
    <w:abstractNumId w:val="10"/>
  </w:num>
  <w:num w:numId="43" w16cid:durableId="585192191">
    <w:abstractNumId w:val="10"/>
  </w:num>
  <w:num w:numId="44" w16cid:durableId="989866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2/2025"/>
    <w:docVar w:name="dvlangue" w:val="SK"/>
    <w:docVar w:name="dvnumam" w:val="0"/>
    <w:docVar w:name="dvpe" w:val="764.997"/>
    <w:docVar w:name="dvrapporteur" w:val="Spravodajca: "/>
    <w:docVar w:name="dvtitre" w:val="Rozhodnutie Európskeho parlamentu z xx. mája 2025 o absolutóriu za plnenie všeobecného rozpočtu Európskej únie za rozpočtový rok 2023, oddiel II – Európska rada a Rada(2024/2021(DEC))"/>
  </w:docVars>
  <w:rsids>
    <w:rsidRoot w:val="00AC5D13"/>
    <w:rsid w:val="00002272"/>
    <w:rsid w:val="000179C4"/>
    <w:rsid w:val="00064002"/>
    <w:rsid w:val="000677B9"/>
    <w:rsid w:val="000762C5"/>
    <w:rsid w:val="000831BA"/>
    <w:rsid w:val="000A42CC"/>
    <w:rsid w:val="000E7DD9"/>
    <w:rsid w:val="0010095E"/>
    <w:rsid w:val="00125B37"/>
    <w:rsid w:val="00187494"/>
    <w:rsid w:val="001C7437"/>
    <w:rsid w:val="001F32AE"/>
    <w:rsid w:val="00262993"/>
    <w:rsid w:val="002767FF"/>
    <w:rsid w:val="002B18FE"/>
    <w:rsid w:val="002B5493"/>
    <w:rsid w:val="003167F2"/>
    <w:rsid w:val="00317D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6AA"/>
    <w:rsid w:val="004C0004"/>
    <w:rsid w:val="004C5D52"/>
    <w:rsid w:val="0050519A"/>
    <w:rsid w:val="005072A1"/>
    <w:rsid w:val="00514517"/>
    <w:rsid w:val="00545827"/>
    <w:rsid w:val="00560270"/>
    <w:rsid w:val="005A60F1"/>
    <w:rsid w:val="005C2568"/>
    <w:rsid w:val="005F1B17"/>
    <w:rsid w:val="006037C0"/>
    <w:rsid w:val="006631B6"/>
    <w:rsid w:val="00680577"/>
    <w:rsid w:val="006C107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B51"/>
    <w:rsid w:val="00817416"/>
    <w:rsid w:val="00842779"/>
    <w:rsid w:val="00855D2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477"/>
    <w:rsid w:val="00A43E52"/>
    <w:rsid w:val="00A4678D"/>
    <w:rsid w:val="00A778C7"/>
    <w:rsid w:val="00AB441E"/>
    <w:rsid w:val="00AB6293"/>
    <w:rsid w:val="00AC5D1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4B1"/>
    <w:rsid w:val="00C61C0C"/>
    <w:rsid w:val="00C941CB"/>
    <w:rsid w:val="00CB1674"/>
    <w:rsid w:val="00CC2357"/>
    <w:rsid w:val="00CF071A"/>
    <w:rsid w:val="00D058B8"/>
    <w:rsid w:val="00D56C11"/>
    <w:rsid w:val="00D6756F"/>
    <w:rsid w:val="00D834A0"/>
    <w:rsid w:val="00D872DF"/>
    <w:rsid w:val="00D91E21"/>
    <w:rsid w:val="00DA7FCD"/>
    <w:rsid w:val="00E365E1"/>
    <w:rsid w:val="00E3679E"/>
    <w:rsid w:val="00E4560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C3A18"/>
    <w:rsid w:val="00FD0C70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55222"/>
  <w15:chartTrackingRefBased/>
  <w15:docId w15:val="{80E847F3-1754-47C3-A70F-BF7B5B43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629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62993"/>
    <w:pPr>
      <w:spacing w:before="480" w:after="240"/>
    </w:pPr>
  </w:style>
  <w:style w:type="paragraph" w:customStyle="1" w:styleId="PageHeading">
    <w:name w:val="PageHeading"/>
    <w:basedOn w:val="Normal"/>
    <w:rsid w:val="002629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62993"/>
    <w:rPr>
      <w:b/>
    </w:rPr>
  </w:style>
  <w:style w:type="paragraph" w:customStyle="1" w:styleId="NormalHanging12a">
    <w:name w:val="NormalHanging12a"/>
    <w:basedOn w:val="Normal"/>
    <w:link w:val="NormalHanging12aChar"/>
    <w:rsid w:val="0026299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629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2993"/>
    <w:rPr>
      <w:sz w:val="24"/>
      <w:lang w:val="sk-SK"/>
    </w:rPr>
  </w:style>
  <w:style w:type="paragraph" w:customStyle="1" w:styleId="EPFooter">
    <w:name w:val="EPFooter"/>
    <w:basedOn w:val="Normal"/>
    <w:rsid w:val="002629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26299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62993"/>
    <w:rPr>
      <w:sz w:val="24"/>
      <w:lang w:val="sk-SK"/>
    </w:rPr>
  </w:style>
  <w:style w:type="paragraph" w:styleId="Footer">
    <w:name w:val="footer"/>
    <w:basedOn w:val="Normal"/>
    <w:link w:val="FooterChar"/>
    <w:rsid w:val="00C524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524B1"/>
    <w:rPr>
      <w:sz w:val="24"/>
      <w:lang w:val="sk-SK"/>
    </w:rPr>
  </w:style>
  <w:style w:type="paragraph" w:styleId="BalloonText">
    <w:name w:val="Balloon Text"/>
    <w:basedOn w:val="Normal"/>
    <w:link w:val="BalloonTextChar"/>
    <w:rsid w:val="000179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79C4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18/1725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33B9E-585F-4620-966F-7207C5639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5611</Words>
  <Characters>35088</Characters>
  <Application>Microsoft Office Word</Application>
  <DocSecurity>0</DocSecurity>
  <Lines>292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2025-11-27T15:04:00Z</dcterms:created>
  <dcterms:modified xsi:type="dcterms:W3CDTF">2025-11-27T15:04:00Z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P10_TA(2025)0079_</vt:lpwstr>
  </property>
  <property fmtid="{D5CDD505-2E9C-101B-9397-08002B2CF9AE}" pid="4" name="&lt;Type&gt;">
    <vt:lpwstr>RR</vt:lpwstr>
  </property>
</Properties>
</file>