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371A" w14:paraId="7DEF76CE" w14:textId="77777777" w:rsidTr="0010095E">
        <w:trPr>
          <w:trHeight w:hRule="exact" w:val="1418"/>
        </w:trPr>
        <w:tc>
          <w:tcPr>
            <w:tcW w:w="6804" w:type="dxa"/>
            <w:shd w:val="clear" w:color="auto" w:fill="auto"/>
            <w:vAlign w:val="center"/>
          </w:tcPr>
          <w:p w14:paraId="4F99FFEE" w14:textId="77777777" w:rsidR="00751A4A" w:rsidRPr="0005371A" w:rsidRDefault="00542999" w:rsidP="0010095E">
            <w:pPr>
              <w:pStyle w:val="EPName"/>
            </w:pPr>
            <w:r w:rsidRPr="0005371A">
              <w:t>Evropský parlament</w:t>
            </w:r>
          </w:p>
          <w:p w14:paraId="61FC36BC" w14:textId="384CA326" w:rsidR="00751A4A" w:rsidRPr="0005371A" w:rsidRDefault="005F1B17" w:rsidP="005F1B17">
            <w:pPr>
              <w:pStyle w:val="EPTerm"/>
              <w:rPr>
                <w:rStyle w:val="HideTWBExt"/>
                <w:noProof w:val="0"/>
                <w:vanish w:val="0"/>
                <w:color w:val="auto"/>
              </w:rPr>
            </w:pPr>
            <w:proofErr w:type="gramStart"/>
            <w:r w:rsidRPr="0005371A">
              <w:t>2024</w:t>
            </w:r>
            <w:r w:rsidR="003258C9">
              <w:t xml:space="preserve"> -</w:t>
            </w:r>
            <w:r w:rsidR="00817416" w:rsidRPr="0005371A">
              <w:t>202</w:t>
            </w:r>
            <w:r w:rsidRPr="0005371A">
              <w:t>9</w:t>
            </w:r>
            <w:proofErr w:type="gramEnd"/>
          </w:p>
        </w:tc>
        <w:tc>
          <w:tcPr>
            <w:tcW w:w="2268" w:type="dxa"/>
            <w:shd w:val="clear" w:color="auto" w:fill="auto"/>
          </w:tcPr>
          <w:p w14:paraId="23CCAC01" w14:textId="77777777" w:rsidR="00751A4A" w:rsidRPr="0005371A" w:rsidRDefault="00187494" w:rsidP="0010095E">
            <w:pPr>
              <w:pStyle w:val="EPLogo"/>
            </w:pPr>
            <w:r w:rsidRPr="0005371A">
              <w:rPr>
                <w:noProof/>
                <w:lang w:val="en-GB"/>
              </w:rPr>
              <w:drawing>
                <wp:inline distT="0" distB="0" distL="0" distR="0" wp14:anchorId="7A460C4F" wp14:editId="6C5319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ADB1DF" w14:textId="77777777" w:rsidR="00D058B8" w:rsidRPr="0005371A" w:rsidRDefault="00D058B8" w:rsidP="004C5D52">
      <w:pPr>
        <w:pStyle w:val="LineTop"/>
      </w:pPr>
    </w:p>
    <w:p w14:paraId="308DADBA" w14:textId="77777777" w:rsidR="00680577" w:rsidRPr="0005371A" w:rsidRDefault="00542999" w:rsidP="00680577">
      <w:pPr>
        <w:pStyle w:val="EPBodyTA1"/>
      </w:pPr>
      <w:r w:rsidRPr="0005371A">
        <w:t>PŘIJATÉ TEXTY</w:t>
      </w:r>
    </w:p>
    <w:p w14:paraId="464E79C2" w14:textId="77777777" w:rsidR="00D058B8" w:rsidRPr="0005371A" w:rsidRDefault="00D058B8" w:rsidP="00D058B8">
      <w:pPr>
        <w:pStyle w:val="LineBottom"/>
      </w:pPr>
    </w:p>
    <w:p w14:paraId="4BA1E25D" w14:textId="77777777" w:rsidR="00542999" w:rsidRPr="0005371A" w:rsidRDefault="00542999" w:rsidP="00542999">
      <w:pPr>
        <w:pStyle w:val="ATHeading1"/>
      </w:pPr>
      <w:bookmarkStart w:id="0" w:name="TANumber"/>
      <w:r w:rsidRPr="0005371A">
        <w:t>P10_</w:t>
      </w:r>
      <w:proofErr w:type="gramStart"/>
      <w:r w:rsidRPr="0005371A">
        <w:t>TA(</w:t>
      </w:r>
      <w:proofErr w:type="gramEnd"/>
      <w:r w:rsidRPr="0005371A">
        <w:t>2025)00</w:t>
      </w:r>
      <w:r w:rsidR="008B5EEA">
        <w:t>8</w:t>
      </w:r>
      <w:r w:rsidRPr="0005371A">
        <w:t>0</w:t>
      </w:r>
      <w:bookmarkEnd w:id="0"/>
    </w:p>
    <w:p w14:paraId="1C75F04A" w14:textId="14DF1E72" w:rsidR="00542999" w:rsidRPr="0005371A" w:rsidRDefault="00542999" w:rsidP="00542999">
      <w:pPr>
        <w:pStyle w:val="ATHeading2"/>
      </w:pPr>
      <w:bookmarkStart w:id="1" w:name="title"/>
      <w:r w:rsidRPr="0005371A">
        <w:t xml:space="preserve">Udělení absolutoria za rok 2023: souhrnný rozpočet </w:t>
      </w:r>
      <w:proofErr w:type="gramStart"/>
      <w:r w:rsidRPr="0005371A">
        <w:t xml:space="preserve">EU </w:t>
      </w:r>
      <w:r w:rsidR="003258C9">
        <w:t xml:space="preserve"> -</w:t>
      </w:r>
      <w:proofErr w:type="gramEnd"/>
      <w:r w:rsidRPr="0005371A">
        <w:t xml:space="preserve"> Soudní dvůr Evropské unie</w:t>
      </w:r>
      <w:bookmarkEnd w:id="1"/>
    </w:p>
    <w:p w14:paraId="73900CF0" w14:textId="080CC622" w:rsidR="00542999" w:rsidRPr="0005371A" w:rsidRDefault="00542999" w:rsidP="00542999">
      <w:pPr>
        <w:rPr>
          <w:i/>
          <w:vanish/>
        </w:rPr>
      </w:pPr>
      <w:r w:rsidRPr="0005371A">
        <w:rPr>
          <w:i/>
        </w:rPr>
        <w:fldChar w:fldCharType="begin"/>
      </w:r>
      <w:r w:rsidRPr="0005371A">
        <w:rPr>
          <w:i/>
        </w:rPr>
        <w:instrText xml:space="preserve"> TC"(</w:instrText>
      </w:r>
      <w:bookmarkStart w:id="2" w:name="DocNumber"/>
      <w:r w:rsidRPr="0005371A">
        <w:rPr>
          <w:i/>
        </w:rPr>
        <w:instrText>A10</w:instrText>
      </w:r>
      <w:r w:rsidR="003258C9">
        <w:rPr>
          <w:i/>
        </w:rPr>
        <w:instrText xml:space="preserve"> -</w:instrText>
      </w:r>
      <w:r w:rsidRPr="0005371A">
        <w:rPr>
          <w:i/>
        </w:rPr>
        <w:instrText>0050/</w:instrText>
      </w:r>
      <w:proofErr w:type="gramStart"/>
      <w:r w:rsidRPr="0005371A">
        <w:rPr>
          <w:i/>
        </w:rPr>
        <w:instrText>2025</w:instrText>
      </w:r>
      <w:bookmarkEnd w:id="2"/>
      <w:r w:rsidRPr="0005371A">
        <w:rPr>
          <w:i/>
        </w:rPr>
        <w:instrText xml:space="preserve"> </w:instrText>
      </w:r>
      <w:r w:rsidR="003258C9">
        <w:rPr>
          <w:i/>
        </w:rPr>
        <w:instrText xml:space="preserve"> -</w:instrText>
      </w:r>
      <w:proofErr w:type="gramEnd"/>
      <w:r w:rsidRPr="0005371A">
        <w:rPr>
          <w:i/>
        </w:rPr>
        <w:instrText xml:space="preserve"> Zpravodaj: Cristian </w:instrText>
      </w:r>
      <w:proofErr w:type="spellStart"/>
      <w:r w:rsidRPr="0005371A">
        <w:rPr>
          <w:i/>
        </w:rPr>
        <w:instrText>Terheş</w:instrText>
      </w:r>
      <w:proofErr w:type="spellEnd"/>
      <w:r w:rsidRPr="0005371A">
        <w:rPr>
          <w:i/>
        </w:rPr>
        <w:instrText xml:space="preserve">)"\l3 \n&gt; \* MERGEFORMAT </w:instrText>
      </w:r>
      <w:r w:rsidRPr="0005371A">
        <w:rPr>
          <w:i/>
        </w:rPr>
        <w:fldChar w:fldCharType="end"/>
      </w:r>
    </w:p>
    <w:p w14:paraId="784D4D05" w14:textId="77777777" w:rsidR="00542999" w:rsidRPr="0005371A" w:rsidRDefault="00542999" w:rsidP="00542999">
      <w:pPr>
        <w:rPr>
          <w:vanish/>
        </w:rPr>
      </w:pPr>
      <w:bookmarkStart w:id="3" w:name="Commission"/>
      <w:r w:rsidRPr="0005371A">
        <w:rPr>
          <w:vanish/>
        </w:rPr>
        <w:t>Výbor pro rozpočtovou kontrolu</w:t>
      </w:r>
      <w:bookmarkEnd w:id="3"/>
    </w:p>
    <w:p w14:paraId="4890A024" w14:textId="77777777" w:rsidR="00542999" w:rsidRPr="0005371A" w:rsidRDefault="00542999" w:rsidP="00542999">
      <w:pPr>
        <w:rPr>
          <w:vanish/>
        </w:rPr>
      </w:pPr>
      <w:bookmarkStart w:id="4" w:name="PE"/>
      <w:r w:rsidRPr="0005371A">
        <w:rPr>
          <w:vanish/>
        </w:rPr>
        <w:t>PE764.996</w:t>
      </w:r>
      <w:bookmarkEnd w:id="4"/>
    </w:p>
    <w:p w14:paraId="7CCF06B6" w14:textId="77777777" w:rsidR="003258C9" w:rsidRPr="007D2405" w:rsidRDefault="003258C9" w:rsidP="003258C9">
      <w:pPr>
        <w:pStyle w:val="ATHeading3"/>
      </w:pPr>
      <w:r w:rsidRPr="007D2405">
        <w:t xml:space="preserve">1. Rozhodnutí Evropského parlamentu ze dne 7. května 2025 o udělení absolutoria za plnění souhrnného rozpočtu Evropské unie na rozpočtový rok 2023, oddíl IV – Soudní dvůr Evropské </w:t>
      </w:r>
      <w:proofErr w:type="gramStart"/>
      <w:r w:rsidRPr="007D2405">
        <w:t>unie  (</w:t>
      </w:r>
      <w:proofErr w:type="gramEnd"/>
      <w:r w:rsidRPr="007D2405">
        <w:t>2024/2022(DEC))</w:t>
      </w:r>
    </w:p>
    <w:p w14:paraId="2D416F60" w14:textId="77777777" w:rsidR="003258C9" w:rsidRPr="007D2405" w:rsidRDefault="003258C9" w:rsidP="003258C9">
      <w:pPr>
        <w:spacing w:before="480" w:after="240"/>
      </w:pPr>
      <w:r w:rsidRPr="007D2405">
        <w:rPr>
          <w:i/>
        </w:rPr>
        <w:t>Evropský parlament</w:t>
      </w:r>
      <w:r w:rsidRPr="007D2405">
        <w:t>,</w:t>
      </w:r>
    </w:p>
    <w:p w14:paraId="425A8812" w14:textId="77777777" w:rsidR="003258C9" w:rsidRPr="007D2405" w:rsidRDefault="003258C9" w:rsidP="003258C9">
      <w:pPr>
        <w:spacing w:after="240"/>
        <w:ind w:left="567" w:hanging="567"/>
      </w:pPr>
      <w:r w:rsidRPr="007D2405">
        <w:t>–</w:t>
      </w:r>
      <w:r w:rsidRPr="007D2405">
        <w:tab/>
        <w:t>s ohledem na souhrnný rozpočet Evropské unie na rozpočtový rok 2023</w:t>
      </w:r>
      <w:r w:rsidRPr="007D2405">
        <w:rPr>
          <w:vertAlign w:val="superscript"/>
        </w:rPr>
        <w:footnoteReference w:id="1"/>
      </w:r>
      <w:r w:rsidRPr="007D2405">
        <w:t>,</w:t>
      </w:r>
    </w:p>
    <w:p w14:paraId="2622FE58" w14:textId="0CD2E486" w:rsidR="003258C9" w:rsidRPr="007D2405" w:rsidRDefault="003258C9" w:rsidP="003258C9">
      <w:pPr>
        <w:spacing w:after="240"/>
        <w:ind w:left="567" w:hanging="567"/>
      </w:pPr>
      <w:r w:rsidRPr="007D2405">
        <w:t>–</w:t>
      </w:r>
      <w:r w:rsidRPr="007D2405">
        <w:tab/>
        <w:t>s ohledem na konsolidovanou roční účetní závěrku Evropské unie za rozpočtový rok 2023 (</w:t>
      </w:r>
      <w:proofErr w:type="gramStart"/>
      <w:r w:rsidRPr="007D2405">
        <w:t>COM(</w:t>
      </w:r>
      <w:proofErr w:type="gramEnd"/>
      <w:r w:rsidRPr="007D2405">
        <w:t>2024)0272 – C10</w:t>
      </w:r>
      <w:r>
        <w:t xml:space="preserve"> -</w:t>
      </w:r>
      <w:r w:rsidRPr="007D2405">
        <w:t>0070/2024)</w:t>
      </w:r>
      <w:r w:rsidRPr="007D2405">
        <w:rPr>
          <w:vertAlign w:val="superscript"/>
        </w:rPr>
        <w:footnoteReference w:id="2"/>
      </w:r>
      <w:r w:rsidRPr="007D2405">
        <w:t>,</w:t>
      </w:r>
    </w:p>
    <w:p w14:paraId="27844DB6" w14:textId="77777777" w:rsidR="003258C9" w:rsidRPr="007D2405" w:rsidRDefault="003258C9" w:rsidP="003258C9">
      <w:pPr>
        <w:spacing w:after="240"/>
        <w:ind w:left="567" w:hanging="567"/>
      </w:pPr>
      <w:r w:rsidRPr="007D2405">
        <w:t>–</w:t>
      </w:r>
      <w:r w:rsidRPr="007D2405">
        <w:tab/>
        <w:t>s ohledem na výroční zprávu o činnosti Soudního dvora Evropské unie za rok 2023 a jeho výroční zprávu o rozpočtovém a finančním řízení za rok 2023,</w:t>
      </w:r>
    </w:p>
    <w:p w14:paraId="19A60D7F" w14:textId="77777777" w:rsidR="003258C9" w:rsidRPr="007D2405" w:rsidRDefault="003258C9" w:rsidP="003258C9">
      <w:pPr>
        <w:spacing w:after="240"/>
        <w:ind w:left="567" w:hanging="567"/>
      </w:pPr>
      <w:r w:rsidRPr="007D2405">
        <w:t>–</w:t>
      </w:r>
      <w:r w:rsidRPr="007D2405">
        <w:tab/>
        <w:t>s ohledem na výroční zprávu Účetního dvora o plnění rozpočtu na rozpočtový rok 2023 spolu s odpověďmi orgánů</w:t>
      </w:r>
      <w:r w:rsidRPr="007D2405">
        <w:rPr>
          <w:vertAlign w:val="superscript"/>
        </w:rPr>
        <w:footnoteReference w:id="3"/>
      </w:r>
      <w:r w:rsidRPr="007D2405">
        <w:t>,</w:t>
      </w:r>
    </w:p>
    <w:p w14:paraId="12607477" w14:textId="77777777" w:rsidR="003258C9" w:rsidRPr="007D2405" w:rsidRDefault="003258C9" w:rsidP="003258C9">
      <w:pPr>
        <w:spacing w:after="240"/>
        <w:ind w:left="567" w:hanging="567"/>
      </w:pPr>
      <w:r w:rsidRPr="007D2405">
        <w:t>–</w:t>
      </w:r>
      <w:r w:rsidRPr="007D2405">
        <w:tab/>
        <w:t>s ohledem na prohlášení o věrohodnosti</w:t>
      </w:r>
      <w:r w:rsidRPr="007D2405">
        <w:rPr>
          <w:vertAlign w:val="superscript"/>
        </w:rPr>
        <w:footnoteReference w:id="4"/>
      </w:r>
      <w:r w:rsidRPr="007D2405">
        <w:t xml:space="preserve"> účetnictví a o legalitě a správnosti uskutečněných operací, které předložil Účetní dvůr za rozpočtový rok 2023 podle článku 287 Smlouvy o fungování Evropské unie,</w:t>
      </w:r>
    </w:p>
    <w:p w14:paraId="1960BCF8" w14:textId="77777777" w:rsidR="003258C9" w:rsidRPr="007D2405" w:rsidRDefault="003258C9" w:rsidP="003258C9">
      <w:pPr>
        <w:spacing w:after="240"/>
        <w:ind w:left="567" w:hanging="567"/>
      </w:pPr>
      <w:r w:rsidRPr="007D2405">
        <w:t>–</w:t>
      </w:r>
      <w:r w:rsidRPr="007D2405">
        <w:tab/>
        <w:t>s ohledem na čl. 314 odst. 10 a články 317, 318 a 319 Smlouvy o fungování Evropské unie,</w:t>
      </w:r>
    </w:p>
    <w:p w14:paraId="2F3E315D" w14:textId="77777777" w:rsidR="003258C9" w:rsidRPr="007D2405" w:rsidRDefault="003258C9" w:rsidP="003258C9">
      <w:pPr>
        <w:spacing w:after="240"/>
        <w:ind w:left="567" w:hanging="567"/>
      </w:pPr>
      <w:r w:rsidRPr="007D2405">
        <w:t>–</w:t>
      </w:r>
      <w:r w:rsidRPr="007D2405">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7D2405">
        <w:rPr>
          <w:vertAlign w:val="superscript"/>
        </w:rPr>
        <w:footnoteReference w:id="5"/>
      </w:r>
      <w:r w:rsidRPr="007D2405">
        <w:t>, a zejména na články 59, 118, 260, 261 a 262 tohoto nařízení,</w:t>
      </w:r>
    </w:p>
    <w:p w14:paraId="7FF88A42" w14:textId="77777777" w:rsidR="003258C9" w:rsidRPr="007D2405" w:rsidRDefault="003258C9" w:rsidP="003258C9">
      <w:pPr>
        <w:spacing w:after="240"/>
        <w:ind w:left="567" w:hanging="567"/>
      </w:pPr>
      <w:r w:rsidRPr="007D2405">
        <w:t>–</w:t>
      </w:r>
      <w:r w:rsidRPr="007D2405">
        <w:tab/>
        <w:t>s ohledem na nařízení Evropského parlamentu a Rady (EU, Euratom) 2024/2509 ze dne 23. září 2024, kterým se stanoví finanční pravidla pro souhrnný rozpočet Unie</w:t>
      </w:r>
      <w:r w:rsidRPr="007D2405">
        <w:rPr>
          <w:vertAlign w:val="superscript"/>
        </w:rPr>
        <w:footnoteReference w:id="6"/>
      </w:r>
      <w:r w:rsidRPr="007D2405">
        <w:t>, a zejména na články 59, 118, 266, 267 a 268 tohoto nařízení,</w:t>
      </w:r>
    </w:p>
    <w:p w14:paraId="7CDCFF22" w14:textId="77777777" w:rsidR="003258C9" w:rsidRPr="007D2405" w:rsidRDefault="003258C9" w:rsidP="003258C9">
      <w:pPr>
        <w:spacing w:after="240"/>
        <w:ind w:left="567" w:hanging="567"/>
      </w:pPr>
      <w:r w:rsidRPr="007D2405">
        <w:t>–</w:t>
      </w:r>
      <w:r w:rsidRPr="007D2405">
        <w:tab/>
        <w:t>s ohledem na článek 102 a přílohu V jednacího řádu,</w:t>
      </w:r>
    </w:p>
    <w:p w14:paraId="4534B09D" w14:textId="77777777" w:rsidR="003258C9" w:rsidRPr="007D2405" w:rsidRDefault="003258C9" w:rsidP="003258C9">
      <w:pPr>
        <w:spacing w:after="240"/>
        <w:ind w:left="567" w:hanging="567"/>
      </w:pPr>
      <w:r w:rsidRPr="007D2405">
        <w:t>–</w:t>
      </w:r>
      <w:r w:rsidRPr="007D2405">
        <w:tab/>
        <w:t>s ohledem na stanovisko Výboru pro právní záležitosti,</w:t>
      </w:r>
    </w:p>
    <w:p w14:paraId="11685B38" w14:textId="3161158D" w:rsidR="003258C9" w:rsidRPr="007D2405" w:rsidRDefault="003258C9" w:rsidP="003258C9">
      <w:pPr>
        <w:spacing w:after="240"/>
        <w:ind w:left="567" w:hanging="567"/>
      </w:pPr>
      <w:r w:rsidRPr="007D2405">
        <w:t>–</w:t>
      </w:r>
      <w:r w:rsidRPr="007D2405">
        <w:tab/>
        <w:t>s ohledem na zprávu Výboru pro rozpočtovou kontrolu (A10</w:t>
      </w:r>
      <w:r>
        <w:t xml:space="preserve"> -</w:t>
      </w:r>
      <w:r w:rsidRPr="007D2405">
        <w:t>0050/2025),</w:t>
      </w:r>
    </w:p>
    <w:p w14:paraId="6B802133" w14:textId="77777777" w:rsidR="003258C9" w:rsidRPr="007D2405" w:rsidRDefault="003258C9" w:rsidP="003258C9">
      <w:pPr>
        <w:spacing w:after="240"/>
        <w:ind w:left="567" w:hanging="567"/>
      </w:pPr>
      <w:r w:rsidRPr="007D2405">
        <w:t>1.</w:t>
      </w:r>
      <w:r w:rsidRPr="007D2405">
        <w:tab/>
        <w:t>uděluje absolutorium tajemníkovi Soudního dvora Evropské unie za plnění rozpočtu Soudního dvora Evropské unie na rozpočtový rok 2023;</w:t>
      </w:r>
    </w:p>
    <w:p w14:paraId="2D8681A9" w14:textId="77777777" w:rsidR="003258C9" w:rsidRPr="007D2405" w:rsidRDefault="003258C9" w:rsidP="003258C9">
      <w:pPr>
        <w:spacing w:after="240"/>
        <w:ind w:left="567" w:hanging="567"/>
      </w:pPr>
      <w:r w:rsidRPr="007D2405">
        <w:t>2.</w:t>
      </w:r>
      <w:r w:rsidRPr="007D2405">
        <w:tab/>
        <w:t>předkládá své připomínky v dále uvedeném usnesení;</w:t>
      </w:r>
    </w:p>
    <w:p w14:paraId="1C290C09" w14:textId="77777777" w:rsidR="003258C9" w:rsidRPr="007D2405" w:rsidRDefault="003258C9" w:rsidP="003258C9">
      <w:pPr>
        <w:spacing w:after="240"/>
        <w:ind w:left="567" w:hanging="567"/>
      </w:pPr>
      <w:r w:rsidRPr="007D2405">
        <w:t>3.</w:t>
      </w:r>
      <w:r w:rsidRPr="007D2405">
        <w:tab/>
        <w:t>pověřuje svou předsedkyni, aby předala toto rozhodnutí a usnesení, které je jeho nedílnou součástí, Soudnímu dvoru, Radě, Komisi, evropskému veřejnému ochránci práv, evropskému inspektorovi ochrany údajů a Účetnímu dvoru a aby zajistila jejich zveřejnění v </w:t>
      </w:r>
      <w:r w:rsidRPr="007D2405">
        <w:rPr>
          <w:i/>
        </w:rPr>
        <w:t>Úředním věstníku Evropské unie</w:t>
      </w:r>
      <w:r w:rsidRPr="007D2405">
        <w:t xml:space="preserve"> (řada L).</w:t>
      </w:r>
    </w:p>
    <w:p w14:paraId="6DBF6E5D" w14:textId="77777777" w:rsidR="003258C9" w:rsidRPr="00B72DE9" w:rsidRDefault="003258C9" w:rsidP="003258C9">
      <w:pPr>
        <w:sectPr w:rsidR="003258C9" w:rsidRPr="00B72DE9" w:rsidSect="003258C9">
          <w:footnotePr>
            <w:numRestart w:val="eachSect"/>
          </w:footnotePr>
          <w:pgSz w:w="11906" w:h="16838"/>
          <w:pgMar w:top="1440" w:right="1440" w:bottom="1440" w:left="1440" w:header="708" w:footer="708" w:gutter="0"/>
          <w:cols w:space="708"/>
          <w:docGrid w:linePitch="360"/>
        </w:sectPr>
      </w:pPr>
    </w:p>
    <w:p w14:paraId="63F9CF5B" w14:textId="77777777" w:rsidR="003258C9" w:rsidRPr="007D2405" w:rsidRDefault="003258C9" w:rsidP="003258C9">
      <w:pPr>
        <w:pStyle w:val="ATHeading3"/>
      </w:pPr>
      <w:r w:rsidRPr="007D2405">
        <w:t>2. Usnesení Evropského parlamentu ze dne 7. května 2025 obsahující připomínky, které jsou nedílnou součástí rozhodnutí o udělení absolutoria za plnění souhrnného rozpočtu Evropské unie na rozpočtový rok 2023, oddíl IV – Soudní dvůr Evropské unie (2024/2022(DEC))</w:t>
      </w:r>
    </w:p>
    <w:p w14:paraId="0194D3B8" w14:textId="77777777" w:rsidR="003258C9" w:rsidRPr="007D2405" w:rsidRDefault="003258C9" w:rsidP="003258C9">
      <w:pPr>
        <w:spacing w:before="480" w:after="240"/>
      </w:pPr>
      <w:r w:rsidRPr="007D2405">
        <w:rPr>
          <w:i/>
        </w:rPr>
        <w:t>Evropský parlament</w:t>
      </w:r>
      <w:r w:rsidRPr="007D2405">
        <w:t>,</w:t>
      </w:r>
    </w:p>
    <w:p w14:paraId="458ADE69" w14:textId="7327FF07" w:rsidR="003258C9" w:rsidRPr="007D2405" w:rsidRDefault="003258C9" w:rsidP="003258C9">
      <w:pPr>
        <w:spacing w:after="240"/>
        <w:ind w:left="567" w:hanging="567"/>
      </w:pPr>
      <w:r w:rsidRPr="007D2405">
        <w:t>–</w:t>
      </w:r>
      <w:r w:rsidRPr="007D2405">
        <w:tab/>
        <w:t>s ohledem na své rozhodnutí o udělení absolutoria za plnění souhrnného rozpočtu Evropské unie na rozpočtový rok 2023, oddíl IV – Soudní dvůr Evropské unie,</w:t>
      </w:r>
    </w:p>
    <w:p w14:paraId="7B832E32" w14:textId="3734AA07" w:rsidR="003258C9" w:rsidRPr="007D2405" w:rsidRDefault="003258C9" w:rsidP="003258C9">
      <w:pPr>
        <w:spacing w:after="240"/>
        <w:ind w:left="567" w:hanging="567"/>
      </w:pPr>
      <w:r w:rsidRPr="007D2405">
        <w:t>–</w:t>
      </w:r>
      <w:r w:rsidRPr="007D2405">
        <w:tab/>
        <w:t>s ohledem na článek 102 a přílohu V jednacího řádu,</w:t>
      </w:r>
    </w:p>
    <w:p w14:paraId="7290277A" w14:textId="10389CFE" w:rsidR="003258C9" w:rsidRPr="007D2405" w:rsidRDefault="003258C9" w:rsidP="003258C9">
      <w:pPr>
        <w:spacing w:after="240"/>
        <w:ind w:left="567" w:hanging="567"/>
      </w:pPr>
      <w:r w:rsidRPr="007D2405">
        <w:t>–</w:t>
      </w:r>
      <w:r w:rsidRPr="007D2405">
        <w:tab/>
        <w:t>s ohledem na stanovisko Výboru pro právní záležitosti,</w:t>
      </w:r>
    </w:p>
    <w:p w14:paraId="1F476224" w14:textId="6FEEB8A5" w:rsidR="003258C9" w:rsidRPr="007D2405" w:rsidRDefault="003258C9" w:rsidP="003258C9">
      <w:pPr>
        <w:spacing w:after="240"/>
        <w:ind w:left="567" w:hanging="567"/>
      </w:pPr>
      <w:r w:rsidRPr="007D2405">
        <w:t>–</w:t>
      </w:r>
      <w:r w:rsidRPr="007D2405">
        <w:tab/>
        <w:t>s ohledem na zprávu Výboru pro rozpočtovou kontrolu (A10</w:t>
      </w:r>
      <w:r>
        <w:t xml:space="preserve"> -</w:t>
      </w:r>
      <w:r w:rsidRPr="007D2405">
        <w:t>0050/2025),</w:t>
      </w:r>
    </w:p>
    <w:p w14:paraId="108CCB6F" w14:textId="77777777" w:rsidR="003258C9" w:rsidRPr="007D2405" w:rsidRDefault="003258C9" w:rsidP="003258C9">
      <w:pPr>
        <w:spacing w:after="240"/>
        <w:ind w:left="567" w:hanging="567"/>
      </w:pPr>
      <w:r w:rsidRPr="007D2405">
        <w:t>A.</w:t>
      </w:r>
      <w:r w:rsidRPr="007D2405">
        <w:tab/>
        <w:t>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konceptu sestavování rozpočtu podle výkonnosti a řádným řízením lidských zdrojů;</w:t>
      </w:r>
    </w:p>
    <w:p w14:paraId="04651853" w14:textId="77777777" w:rsidR="003258C9" w:rsidRPr="007D2405" w:rsidRDefault="003258C9" w:rsidP="003258C9">
      <w:pPr>
        <w:spacing w:after="240"/>
        <w:ind w:left="567" w:hanging="567"/>
        <w:rPr>
          <w:u w:val="single"/>
        </w:rPr>
      </w:pPr>
      <w:r w:rsidRPr="007D2405">
        <w:t>B.</w:t>
      </w:r>
      <w:r w:rsidRPr="007D2405">
        <w:tab/>
        <w:t>vzhledem k tomu, že Soudní dvůr Evropské unie (SDEU) je soudním orgánem Evropské unie, jehož úkolem je zajišťovat soulad s právem Unie tím, že dohlíží na jednotný výklad a uplatňování Smluv a zajišťuje zákonnost opatření přijatých orgány, institucemi a jinými subjekty Unie;</w:t>
      </w:r>
    </w:p>
    <w:p w14:paraId="3562E811" w14:textId="77777777" w:rsidR="003258C9" w:rsidRPr="007D2405" w:rsidRDefault="003258C9" w:rsidP="003258C9">
      <w:pPr>
        <w:spacing w:after="240"/>
        <w:ind w:left="567" w:hanging="567"/>
      </w:pPr>
      <w:r w:rsidRPr="007D2405">
        <w:t>C.</w:t>
      </w:r>
      <w:r w:rsidRPr="007D2405">
        <w:tab/>
        <w:t>vzhledem k tomu, že SDEU pomáhá zachovávat hodnoty Unie a prostřednictvím své judikatury usiluje o budování Evropy;</w:t>
      </w:r>
    </w:p>
    <w:p w14:paraId="2E6DABB2" w14:textId="77777777" w:rsidR="003258C9" w:rsidRPr="007D2405" w:rsidRDefault="003258C9" w:rsidP="003258C9">
      <w:pPr>
        <w:spacing w:after="240"/>
        <w:ind w:left="567" w:hanging="567"/>
      </w:pPr>
      <w:r w:rsidRPr="007D2405">
        <w:t>D.</w:t>
      </w:r>
      <w:r w:rsidRPr="007D2405">
        <w:tab/>
        <w:t>vzhledem k tomu, že SDEU se skládá ze dvou soudů: ze Soudního dvora a Tribunálu;</w:t>
      </w:r>
    </w:p>
    <w:p w14:paraId="40608522" w14:textId="77777777" w:rsidR="003258C9" w:rsidRPr="007D2405" w:rsidRDefault="003258C9" w:rsidP="003258C9">
      <w:pPr>
        <w:spacing w:after="240"/>
        <w:ind w:left="567" w:hanging="567"/>
      </w:pPr>
      <w:r w:rsidRPr="007D2405">
        <w:t>E.</w:t>
      </w:r>
      <w:r w:rsidRPr="007D2405">
        <w:tab/>
        <w:t>vzhledem k tomu, že Parlament a Rada provedly v roce 2024 změnu Protokolu č. 3 o statutu Soudního dvora Evropské unie (dále jen „statut“) </w:t>
      </w:r>
      <w:r w:rsidRPr="007D2405">
        <w:rPr>
          <w:vertAlign w:val="superscript"/>
        </w:rPr>
        <w:footnoteReference w:id="7"/>
      </w:r>
      <w:r w:rsidRPr="007D2405">
        <w:t xml:space="preserve"> týkající se přenesení příslušnosti k rozhodování o předběžných otázkách ve zvláštních oblastech na Tribunál;</w:t>
      </w:r>
    </w:p>
    <w:p w14:paraId="51E04F67" w14:textId="77777777" w:rsidR="003258C9" w:rsidRPr="007D2405" w:rsidRDefault="003258C9" w:rsidP="003258C9">
      <w:pPr>
        <w:spacing w:after="240"/>
        <w:ind w:left="567" w:hanging="567"/>
      </w:pPr>
      <w:r w:rsidRPr="007D2405">
        <w:t>1.</w:t>
      </w:r>
      <w:r w:rsidRPr="007D2405">
        <w:tab/>
        <w:t>konstatuje, že rozpočet SDEU spadá do okruhu 7 VFR „Evropská veřejná správa“, který v roce 2023 činil 12,3 miliardy EUR (což představuje 6,4 % celkového rozpočtu Unie); konstatuje, že rozpočet SDEU ve výši přibližně 0,5 miliardy EUR představuje přibližně 3,9 % celkových správních výdajů Unie;</w:t>
      </w:r>
    </w:p>
    <w:p w14:paraId="25530B65" w14:textId="77777777" w:rsidR="003258C9" w:rsidRPr="007D2405" w:rsidRDefault="003258C9" w:rsidP="003258C9">
      <w:pPr>
        <w:spacing w:after="240"/>
        <w:ind w:left="567" w:hanging="567"/>
      </w:pPr>
      <w:r w:rsidRPr="007D2405">
        <w:t>2.</w:t>
      </w:r>
      <w:r w:rsidRPr="007D2405">
        <w:tab/>
        <w:t>konstatuje, že Evropský účetní dvůr (dále jen „Účetní dvůr“) ve výroční zprávě za rozpočtový rok 2023 (dále jen „zpráva Účetního dvora“) zkoumal vzorek 70 transakcí v okruhu „Správa“, což je o deset transakcí více než v roce 2022; Účetní dvůr dále uvádí, že správní výdaje zahrnují výdaje na lidské zdroje včetně výdajů na důchody, které v roce 2023 představovaly přibližně 70 % celkových správních výdajů, a výdaje na budovy, vybavení, energie a komunikační a informační technologie (IT), a že z jeho dlouholeté práce vyplývá, že tyto výdaje celkově vykazují nízké riziko;</w:t>
      </w:r>
    </w:p>
    <w:p w14:paraId="7DE8E785" w14:textId="77777777" w:rsidR="003258C9" w:rsidRPr="007D2405" w:rsidRDefault="003258C9" w:rsidP="003258C9">
      <w:pPr>
        <w:spacing w:after="240"/>
        <w:ind w:left="567" w:hanging="567"/>
      </w:pPr>
      <w:r w:rsidRPr="007D2405">
        <w:t>3.</w:t>
      </w:r>
      <w:r w:rsidRPr="007D2405">
        <w:tab/>
        <w:t>konstatuje, že 21 (30 %) ze 70 transakcí obsahovaly chyby, ale že Účetní dvůr na základě pěti chyb, které byly vyčísleny, odhaduje, že míra chyb nedosahuje prahu významnosti;</w:t>
      </w:r>
    </w:p>
    <w:p w14:paraId="6B06E49B" w14:textId="77777777" w:rsidR="003258C9" w:rsidRPr="007D2405" w:rsidRDefault="003258C9" w:rsidP="003258C9">
      <w:pPr>
        <w:spacing w:after="240"/>
        <w:ind w:left="567" w:hanging="567"/>
      </w:pPr>
      <w:r w:rsidRPr="007D2405">
        <w:t>4.</w:t>
      </w:r>
      <w:r w:rsidRPr="007D2405">
        <w:tab/>
        <w:t>konstatuje, že zpráva Účetního dvora neuvedla žádné specifické otázky týkající se SDEU;</w:t>
      </w:r>
    </w:p>
    <w:p w14:paraId="027D01ED" w14:textId="77777777" w:rsidR="003258C9" w:rsidRPr="007D2405" w:rsidRDefault="003258C9" w:rsidP="003258C9">
      <w:pPr>
        <w:spacing w:after="240"/>
        <w:ind w:left="567" w:hanging="567"/>
        <w:rPr>
          <w:b/>
        </w:rPr>
      </w:pPr>
      <w:r w:rsidRPr="007D2405">
        <w:rPr>
          <w:b/>
        </w:rPr>
        <w:t>Rozpočtové a finanční řízení</w:t>
      </w:r>
    </w:p>
    <w:p w14:paraId="10BF9F11" w14:textId="77777777" w:rsidR="003258C9" w:rsidRPr="007D2405" w:rsidRDefault="003258C9" w:rsidP="003258C9">
      <w:pPr>
        <w:spacing w:after="240"/>
        <w:ind w:left="567" w:hanging="567"/>
      </w:pPr>
      <w:r w:rsidRPr="007D2405">
        <w:t>5.</w:t>
      </w:r>
      <w:r w:rsidRPr="007D2405">
        <w:tab/>
        <w:t>konstatuje, že rozpočtové prostředky přidělené SDEU v roce 2023 činily 486 025 796 EUR, což ve srovnání s rokem 2022 představovalo nárůst o 3,9 %; konstatuje, že tento nárůst souvisel především s úpravami platů očekávanými na rok 2023; zdůrazňuje, že rozpočet Soudního dvora je v zásadě administrativní, tj. přibližně 75 % prostředků souvisí s výdaji na jeho členy a zaměstnance a téměř všechny zbývající prostředky souvisí s výdaji na budovy a informační technologie;</w:t>
      </w:r>
    </w:p>
    <w:p w14:paraId="22460AF9" w14:textId="77777777" w:rsidR="003258C9" w:rsidRPr="007D2405" w:rsidRDefault="003258C9" w:rsidP="003258C9">
      <w:pPr>
        <w:spacing w:after="240"/>
        <w:ind w:left="567" w:hanging="567"/>
      </w:pPr>
      <w:r w:rsidRPr="007D2405">
        <w:t>6.</w:t>
      </w:r>
      <w:r w:rsidRPr="007D2405">
        <w:tab/>
        <w:t>konstatuje, že celková míra plnění rozpočtu činila na konci roku 2023 97,72 %; konstatuje, že rozpočtovému orgánu bylo v souladu s článkem 29 finančního nařízení předloženo pět převodů prostředků s cílem posílit rozpočtové položky „spotřeba energie“, „nákup, servis a údržba zařízení a softwaru a související práce“ a „budovy“ z jiných rozpočtových položek, především pak z položky „Platy a příspěvky“ pro zaměstnance; konstatuje, že ruská útočná válka proti Ukrajině nadále vytváří tlak na rozpočet SDEU, mimo jiné v důsledku rostoucí inflace a úprav platů, značně narůstajících výdajů na energie a nákladů na řadu zboží a služeb;</w:t>
      </w:r>
    </w:p>
    <w:p w14:paraId="741FBAFC" w14:textId="77777777" w:rsidR="003258C9" w:rsidRPr="007D2405" w:rsidRDefault="003258C9" w:rsidP="003258C9">
      <w:pPr>
        <w:spacing w:after="240"/>
        <w:ind w:left="567" w:hanging="567"/>
      </w:pPr>
      <w:r w:rsidRPr="007D2405">
        <w:t>7.</w:t>
      </w:r>
      <w:r w:rsidRPr="007D2405">
        <w:tab/>
        <w:t>s uspokojením konstatuje, že pověřená schvalující osoba prohlásila, že přidělené prostředky byly použity k zamýšlenému účelu a v souladu se zásadou řádného finančního řízení a že zavedené kontrolní postupy poskytují nezbytné záruky legality a správnosti uskutečněných operací;</w:t>
      </w:r>
    </w:p>
    <w:p w14:paraId="00554F29" w14:textId="77777777" w:rsidR="003258C9" w:rsidRPr="007D2405" w:rsidRDefault="003258C9" w:rsidP="003258C9">
      <w:pPr>
        <w:spacing w:after="240"/>
        <w:ind w:left="567" w:hanging="567"/>
      </w:pPr>
      <w:r w:rsidRPr="007D2405">
        <w:t>8.</w:t>
      </w:r>
      <w:r w:rsidRPr="007D2405">
        <w:tab/>
        <w:t>konstatuje, že průměrná doba provedení platby činila v roce 2023 23,1 dní oproti 24,32 dnům v roce 2022; vyzývá SDEU, aby nadále usiloval o zkrácení doby provedení plateb, zejména s přihlédnutím k tomu, že v roce 2023 bylo 81 % faktur obdrženo elektronicky;</w:t>
      </w:r>
    </w:p>
    <w:p w14:paraId="63CA83E0" w14:textId="77777777" w:rsidR="003258C9" w:rsidRPr="007D2405" w:rsidRDefault="003258C9" w:rsidP="003258C9">
      <w:pPr>
        <w:spacing w:after="240"/>
        <w:ind w:left="567" w:hanging="567"/>
      </w:pPr>
      <w:r w:rsidRPr="007D2405">
        <w:t>9.</w:t>
      </w:r>
      <w:r w:rsidRPr="007D2405">
        <w:tab/>
        <w:t>konstatuje, že rozpočet SDEU na služební cesty, který v roce 2023 dosáhl pro zaměstnance i členy výše 638 000 EUR, se v roce 2023 stejně jako v roce 2022 dále snížil, a to o 3,3 %; konstatuje, že v roce 2023 bylo využito 85,1 % prostředků na služební cesty ve srovnání s 46,6 % v roce 2022, což bylo způsobeno přetrvávajícími cestovními omezeními, jež byla v dané době platná;</w:t>
      </w:r>
    </w:p>
    <w:p w14:paraId="6B321A1E" w14:textId="77777777" w:rsidR="003258C9" w:rsidRPr="007D2405" w:rsidRDefault="003258C9" w:rsidP="003258C9">
      <w:pPr>
        <w:spacing w:after="240"/>
        <w:ind w:left="567" w:hanging="567"/>
        <w:rPr>
          <w:b/>
        </w:rPr>
      </w:pPr>
      <w:r w:rsidRPr="007D2405">
        <w:rPr>
          <w:b/>
        </w:rPr>
        <w:t>Vnitřní řízení, výkonnost a interní kontrola</w:t>
      </w:r>
    </w:p>
    <w:p w14:paraId="7C20CEC8" w14:textId="77777777" w:rsidR="003258C9" w:rsidRPr="007D2405" w:rsidRDefault="003258C9" w:rsidP="003258C9">
      <w:pPr>
        <w:spacing w:after="240"/>
        <w:ind w:left="567" w:hanging="567"/>
      </w:pPr>
      <w:r w:rsidRPr="007D2405">
        <w:t>10.</w:t>
      </w:r>
      <w:r w:rsidRPr="007D2405">
        <w:tab/>
        <w:t>bere na vědomí zásadní kroky, které v roce 2023 SDEU podnikl směrem ke své reformě a jež vedly k přenosu části pravomocí Soudního dvora v oblasti rozhodování o předběžných otázkách na Tribunál; konstatuje, že Parlament a Rada dosáhly na konci roku 2023 politické dohody ohledně změny statutu SDEU s cílem zlepšit fungování SDEU v situaci, kdy trvale docházelo k nárůstu počtu případů, jakož i zvyšování složitosti a citlivosti předložených otázek; konstatuje, že po přijetí dané reformy v roce 2024 byla přijata podrobná pravidla a postupy s cílem tuto reformu dokončit a umožnit zavedení nového regulačního rámce od 1. října 2024;</w:t>
      </w:r>
    </w:p>
    <w:p w14:paraId="11A9BF6D" w14:textId="77777777" w:rsidR="003258C9" w:rsidRPr="007D2405" w:rsidRDefault="003258C9" w:rsidP="003258C9">
      <w:pPr>
        <w:spacing w:after="240"/>
        <w:ind w:left="567" w:hanging="567"/>
      </w:pPr>
      <w:r w:rsidRPr="007D2405">
        <w:t>11.</w:t>
      </w:r>
      <w:r w:rsidRPr="007D2405">
        <w:tab/>
        <w:t>konstatuje, že Soudní dvůr rozhodl v roce 2023 v pěti věcech týkajících se zásady přednosti práva EU v souvislosti se čtyřmi rozhodnutími o předběžné otázce, které předložily soudy v Německu, Irsku, Polsku a Rumunsku, a jedním řízením o nesplnění povinnosti týkajícím se Polska; zdůrazňuje stěžejní význam zásady přednosti práva Unie, která zajišťuje jednotný výklad a uplatňování unijního práva ve všech členských státech a zaručuje dodržování zásad právního státu jako základní hodnoty Unie; důrazně potvrzuje, že přednost práva Unie je základním kamenem právního řádu Unie, a zdůrazňuje klíčovou úlohu SDEU při prosazování zásad právního státu v celé Unii; konstatuje dále, že Tribunál rozhodl v šesti věcech souvisejících s opatřeními na ochranu rozpočtu Unie před porušováním zásad právního státu maďarskou vládou, která soustavně působí proti základním hodnotám Unie; naléhavě vyzývá Komisi, aby přijala rozhodná donucovací opatření proti jakémukoli členskému státu, který napadá nebo ignoruje závaznou povahu rozsudků SDEU; zdůrazňuje, že v případech týkajících se vyšetřování rozpočtu Unie musí všechny příslušné orgány plně dodržovat zásady spravedlivého procesu a základní práva;</w:t>
      </w:r>
    </w:p>
    <w:p w14:paraId="38217A50" w14:textId="77777777" w:rsidR="003258C9" w:rsidRPr="007D2405" w:rsidRDefault="003258C9" w:rsidP="003258C9">
      <w:pPr>
        <w:spacing w:after="240"/>
        <w:ind w:left="567" w:hanging="567"/>
      </w:pPr>
      <w:r w:rsidRPr="007D2405">
        <w:t>12.</w:t>
      </w:r>
      <w:r w:rsidRPr="007D2405">
        <w:tab/>
        <w:t>poznamenává, že čl. 4 odst. 2 Smlouvy o Evropské unii stanoví, že „Unie ctí rovnost členských států před Smlouvami a jejich národní identitu, která spočívá v jejich základních politických a ústavních systémech, včetně místní a regionální samosprávy. Respektuje základní funkce státu […]“;</w:t>
      </w:r>
    </w:p>
    <w:p w14:paraId="775E0E00" w14:textId="77777777" w:rsidR="003258C9" w:rsidRPr="007D2405" w:rsidRDefault="003258C9" w:rsidP="003258C9">
      <w:pPr>
        <w:spacing w:after="240"/>
        <w:ind w:left="567" w:hanging="567"/>
        <w:rPr>
          <w:b/>
          <w:i/>
        </w:rPr>
      </w:pPr>
      <w:r w:rsidRPr="007D2405">
        <w:t>13.</w:t>
      </w:r>
      <w:r w:rsidRPr="007D2405">
        <w:tab/>
        <w:t>odsuzuje veškerá vnitrostátní opatření nebo legislativní kroky, jejichž cílem je oslabit kodifikaci a prosazování rozsudků SDEU; vyzývá k vytvoření formálního monitorovacího mechanismu, který by dodržování rozsudků SDEU ze strany členských států sledoval, a doporučuje propojit dodržování rozsudků s vyplácením finančních prostředků EU v rámci podmíněnosti dodržováním zásad právního státu;</w:t>
      </w:r>
    </w:p>
    <w:p w14:paraId="6E4C0604" w14:textId="1E601457" w:rsidR="003258C9" w:rsidRPr="007D2405" w:rsidRDefault="003258C9" w:rsidP="003258C9">
      <w:pPr>
        <w:spacing w:after="240"/>
        <w:ind w:left="567" w:hanging="567"/>
      </w:pPr>
      <w:r w:rsidRPr="007D2405">
        <w:t>14.</w:t>
      </w:r>
      <w:r w:rsidRPr="007D2405">
        <w:tab/>
        <w:t>konstatuje, že oproti 806 novým věcem v roce 2022 bylo Soudnímu dvoru v roce 2023 předloženo 821 nových věcí, z nichž 63 % tvořily žádosti o rozhodnutí o předběžné otázce a 28,6 % představovaly opravné prostředky podané proti rozhodnutím Tribunálu; konstatuje, že v případě Tribunálu došlo k podstatnému nárůstu počtu věcí, přičemž v roce 2023 činil počet nových věcí 1271 oproti 904 věcem v roce 2022, a to včetně mimořádné souvislé řady 404 spojených věcí předložených v říjnu 2023; konstatuje, že v roce 2023 se u Tribunálu 37 % nových věcí, včetně uvedené souvislé řady 404 spojených věcí, týkalo žalob týkajících se institucionálního práva, 24,3 % žalob týkajících se duševního vlastnictví a 6 % sporů mezi orgány a institucemi Unie a jejich zaměstnanci; konstatuje, že celkový počet nevyřízených věcí zůstává ve srovnání s předchozími roky stabilní: počítáme</w:t>
      </w:r>
      <w:r>
        <w:t xml:space="preserve"> </w:t>
      </w:r>
      <w:proofErr w:type="spellStart"/>
      <w:r>
        <w:t>-</w:t>
      </w:r>
      <w:r w:rsidRPr="007D2405">
        <w:t>li</w:t>
      </w:r>
      <w:proofErr w:type="spellEnd"/>
      <w:r w:rsidRPr="007D2405">
        <w:t xml:space="preserve"> výše zmíněných 404 věcí jako jednu věc, bylo na konci roku 2023 aktuálně projednáváno 2 587 věcí, oproti 2 585 věcem na konci roku 2022 a 2 541 na konci roku 2021;</w:t>
      </w:r>
    </w:p>
    <w:p w14:paraId="758FB692" w14:textId="77777777" w:rsidR="003258C9" w:rsidRPr="007D2405" w:rsidRDefault="003258C9" w:rsidP="003258C9">
      <w:pPr>
        <w:spacing w:after="240"/>
        <w:ind w:left="567" w:hanging="567"/>
      </w:pPr>
      <w:r w:rsidRPr="007D2405">
        <w:t>15.</w:t>
      </w:r>
      <w:r w:rsidRPr="007D2405">
        <w:tab/>
        <w:t>konstatuje, že Soudní dvůr ukončil v roce 2023 783 věcí ve srovnání s 808 věcmi v roce 2022 a že Tribunál ukončil v roce 2023 904 věcí oproti 858 věcem v roce 2022;</w:t>
      </w:r>
    </w:p>
    <w:p w14:paraId="255BE744" w14:textId="77777777" w:rsidR="003258C9" w:rsidRPr="007D2405" w:rsidRDefault="003258C9" w:rsidP="003258C9">
      <w:pPr>
        <w:spacing w:after="240"/>
        <w:ind w:left="567" w:hanging="567"/>
      </w:pPr>
      <w:r w:rsidRPr="007D2405">
        <w:t>16.</w:t>
      </w:r>
      <w:r w:rsidRPr="007D2405">
        <w:tab/>
        <w:t>vítá skutečnost, že průměrná délka řízení věcí ukončených u Soudního dvora se snížila, když činila v roce 2023 16,1 měsíce ve srovnání s 16,4 měsíci v roce 2022; konstatuje, že průměrná délka řízení věcí ukončených u Tribunálu byla 18,2 měsíce oproti 16,2 měsícům v roce 2022, což bylo podle Tribunálu způsobeno povahou a související složitostí řízení vedených v roce 2023;</w:t>
      </w:r>
    </w:p>
    <w:p w14:paraId="51C3E8A7" w14:textId="77777777" w:rsidR="003258C9" w:rsidRPr="007D2405" w:rsidRDefault="003258C9" w:rsidP="003258C9">
      <w:pPr>
        <w:spacing w:after="240"/>
        <w:ind w:left="567" w:hanging="567"/>
      </w:pPr>
      <w:r w:rsidRPr="007D2405">
        <w:t>17.</w:t>
      </w:r>
      <w:r w:rsidRPr="007D2405">
        <w:tab/>
        <w:t>bere na vědomí zkrácení průměrné doby vyřizování přímých žalob u Soudního dvora (z 23,5 měsíce v roce 2022 na 20,8 měsíce v roce 2023) a žádostí o rozhodnutí o předběžné otázce (ze 17,3 měsíce na 16,8 měsíce); konstatuje, že pokud jde o soudní spory před Soudním dvorem, došlo k výraznému nárůstu počtu přímých žalob, zejména v oblasti životního prostředí, a že předběžné otázky předložené Soudnímu dvoru v roce 2023 se týkaly především prostoru svobody, bezpečnosti a práva, po němž následovaly oblasti zdanění, ochrany spotřebitele a dopravy; konstatuje, že pokud jde o soudní spory před Tribunálem, došlo k nárůstu počtu věcí, které se týkají duševního vlastnictví a hospodářské a měnové politiky, včetně bankovnictví;</w:t>
      </w:r>
    </w:p>
    <w:p w14:paraId="63C13D69" w14:textId="210B4E65" w:rsidR="003258C9" w:rsidRPr="007D2405" w:rsidRDefault="003258C9" w:rsidP="003258C9">
      <w:pPr>
        <w:spacing w:after="240"/>
        <w:ind w:left="567" w:hanging="567"/>
      </w:pPr>
      <w:r w:rsidRPr="007D2405">
        <w:t>18.</w:t>
      </w:r>
      <w:r w:rsidRPr="007D2405">
        <w:tab/>
        <w:t xml:space="preserve">s uspokojením bere na vědomí vysokou míru využívání aplikace </w:t>
      </w:r>
      <w:proofErr w:type="gramStart"/>
      <w:r w:rsidRPr="007D2405">
        <w:t>e</w:t>
      </w:r>
      <w:r>
        <w:t xml:space="preserve"> -</w:t>
      </w:r>
      <w:r w:rsidRPr="007D2405">
        <w:t>Curia</w:t>
      </w:r>
      <w:proofErr w:type="gramEnd"/>
      <w:r w:rsidRPr="007D2405">
        <w:t xml:space="preserve"> v roce 2023, kdy bylo zaregistrováno 10 502 účtů této aplikace: prostřednictvím uvedené aplikace bylo podáno 94 % podání k Tribunálu, tedy stejně jako v roce 2022, zatímco míra používání aplikace e</w:t>
      </w:r>
      <w:r>
        <w:t xml:space="preserve"> -</w:t>
      </w:r>
      <w:r w:rsidRPr="007D2405">
        <w:t>Curia u Soudního dvora vzrostla přibližně na 89 %, oproti 87 % v roce 2022;</w:t>
      </w:r>
    </w:p>
    <w:p w14:paraId="075DD0D2" w14:textId="77777777" w:rsidR="003258C9" w:rsidRPr="007D2405" w:rsidRDefault="003258C9" w:rsidP="003258C9">
      <w:pPr>
        <w:spacing w:after="240"/>
        <w:ind w:left="567" w:hanging="567"/>
      </w:pPr>
      <w:r w:rsidRPr="007D2405">
        <w:t>19.</w:t>
      </w:r>
      <w:r w:rsidRPr="007D2405">
        <w:tab/>
        <w:t>oceňuje pokrok, jehož bylo dosaženo při digitalizaci soudních archivů s cílem zachovat dokumenty pro budoucí konzultace a usnadnit přístup výzkumných pracovníků a veřejnosti prostřednictvím digitálního portálu;</w:t>
      </w:r>
    </w:p>
    <w:p w14:paraId="3520BC71" w14:textId="77777777" w:rsidR="003258C9" w:rsidRPr="007D2405" w:rsidRDefault="003258C9" w:rsidP="003258C9">
      <w:pPr>
        <w:spacing w:after="240"/>
        <w:ind w:left="567" w:hanging="567"/>
      </w:pPr>
      <w:r w:rsidRPr="007D2405">
        <w:t>20.</w:t>
      </w:r>
      <w:r w:rsidRPr="007D2405">
        <w:tab/>
        <w:t>vítá přístup založený na výkonnosti, který vypracoval SDEU a na jehož základě může přijímat rozhodnutí podle výkonnostních výsledků a úrovně dosažení svých cílů, přičemž měření probíhá podle souboru ukazatelů pracovního zatížení a provozních ukazatelů; konstatuje, že klíčové ukazatele výkonnosti, které SDEU používá, se vztahují na širokou škálu zvláštních oblastí za účelem podpory pěti cílů v oblasti řízení, jež se týkají řádného fungování SDEU, a sice digitalizace a nově vznikajících technologií, otevřenosti a transparentnosti, mnohojazyčnosti a řízení lidských zdrojů;</w:t>
      </w:r>
    </w:p>
    <w:p w14:paraId="43E9FEB6" w14:textId="77777777" w:rsidR="003258C9" w:rsidRPr="007D2405" w:rsidRDefault="003258C9" w:rsidP="003258C9">
      <w:pPr>
        <w:spacing w:after="240"/>
        <w:ind w:left="567" w:hanging="567"/>
      </w:pPr>
      <w:r w:rsidRPr="007D2405">
        <w:t>21.</w:t>
      </w:r>
      <w:r w:rsidRPr="007D2405">
        <w:tab/>
        <w:t>konstatuje, že rámec vnitřní kontroly SDEU byl v letech 2022–2023 předmětem důkladného hodnocení, jež potvrdilo jeho řádnost; konstatuje, že v rámci hodnocení byly přizpůsobeny postupy schvalování finančních transakcí, aby kontroly byly efektivnější;</w:t>
      </w:r>
    </w:p>
    <w:p w14:paraId="02DD66C9" w14:textId="77777777" w:rsidR="003258C9" w:rsidRPr="007D2405" w:rsidRDefault="003258C9" w:rsidP="003258C9">
      <w:pPr>
        <w:spacing w:after="240"/>
        <w:ind w:left="567" w:hanging="567"/>
      </w:pPr>
      <w:r w:rsidRPr="007D2405">
        <w:t>22.</w:t>
      </w:r>
      <w:r w:rsidRPr="007D2405">
        <w:tab/>
        <w:t>konstatuje, že hlavní interní audity provedené v roce 2023 byly zaměřeny na výdaje SDEU na úklid budov, účinnost systému vnitřní kontroly pro zabezpečení IT prostředků SDEU a výběrová řízení při náboru zaměstnanců; konstatuje, že v rámci jednoho interního auditu byla rovněž provedena studie zaměřená na používání umělé inteligence v oblasti spravedlnosti v souvislosti s prováděním „strategie pro integraci nástrojů založených na umělé inteligenci do činností SDEU“; konstatuje, že útvary SDEU v mnoha případech přijaly opatření k provedení doporučení interního auditu ještě před formálním dokončením interních auditů a že interní auditor tato opatření považoval za uspokojivá;</w:t>
      </w:r>
    </w:p>
    <w:p w14:paraId="02BCD842" w14:textId="77777777" w:rsidR="003258C9" w:rsidRPr="007D2405" w:rsidRDefault="003258C9" w:rsidP="003258C9">
      <w:pPr>
        <w:spacing w:after="240"/>
        <w:ind w:left="567" w:hanging="567"/>
        <w:rPr>
          <w:b/>
        </w:rPr>
      </w:pPr>
      <w:r w:rsidRPr="007D2405">
        <w:rPr>
          <w:b/>
        </w:rPr>
        <w:t>Lidské zdroje, rovnost a dobré pracovní podmínky zaměstnanců</w:t>
      </w:r>
    </w:p>
    <w:p w14:paraId="21C1080A" w14:textId="77777777" w:rsidR="003258C9" w:rsidRPr="007D2405" w:rsidRDefault="003258C9" w:rsidP="003258C9">
      <w:pPr>
        <w:spacing w:after="240"/>
        <w:ind w:left="567" w:hanging="567"/>
      </w:pPr>
      <w:r w:rsidRPr="007D2405">
        <w:t>23.</w:t>
      </w:r>
      <w:r w:rsidRPr="007D2405">
        <w:tab/>
        <w:t>konstatuje, že SDEU zaměstnával na konci roku 2023 1340 úředníků (58 %), 765 dočasných zaměstnanců (33 %) podle čl. 2 písm. a), b) a c) pracovního řádu ostatních zaměstnanců EU a 198 smluvních zaměstnanců (9 %); konstatuje, že na konci roku 2023 byla obsazenost pracovních míst v plánu pracovních míst 97,11 %; dále konstatuje, že roční fluktuace zaměstnanců činila v roce 2023 7,8 %, což bylo způsobeno zvláště tím, že 20 % daných zaměstnanců odešlo z SDEU do důchodu;</w:t>
      </w:r>
    </w:p>
    <w:p w14:paraId="055E2A9E" w14:textId="77777777" w:rsidR="003258C9" w:rsidRPr="007D2405" w:rsidRDefault="003258C9" w:rsidP="003258C9">
      <w:pPr>
        <w:spacing w:after="240"/>
        <w:ind w:left="567" w:hanging="567"/>
      </w:pPr>
      <w:r w:rsidRPr="007D2405">
        <w:t>24.</w:t>
      </w:r>
      <w:r w:rsidRPr="007D2405">
        <w:tab/>
        <w:t>konstatuje, že Soudní dvůr se skládá z 27 soudců a 11 generálních advokátů a že v roce 2023 nenastoupil do funkce žádný nový soudce ani generální advokát; konstatuje dále, že Tribunál se skládá z 54 soudců a že v roce 2023 nastoupili do funkce dva noví soudci, jedna žena a jeden muž; konstatuje, že v roce 2023 byl zvolen nový vedoucí soudní kanceláře Tribunálu;</w:t>
      </w:r>
    </w:p>
    <w:p w14:paraId="0895AA12" w14:textId="77777777" w:rsidR="003258C9" w:rsidRPr="007D2405" w:rsidRDefault="003258C9" w:rsidP="003258C9">
      <w:pPr>
        <w:spacing w:after="240"/>
        <w:ind w:left="567" w:hanging="567"/>
      </w:pPr>
      <w:r w:rsidRPr="007D2405">
        <w:t>25.</w:t>
      </w:r>
      <w:r w:rsidRPr="007D2405">
        <w:tab/>
        <w:t>vítá podrobné odpovědi SDEU na dotazník parlamentního Výboru pro rozpočtovou kontrolu v rámci stávajícího postupu udělování absolutoria, zejména pokud jde o rozdělení zaměstnanců na konci roku 2023;</w:t>
      </w:r>
      <w:r w:rsidRPr="007D2405">
        <w:rPr>
          <w:b/>
          <w:i/>
        </w:rPr>
        <w:t xml:space="preserve"> </w:t>
      </w:r>
      <w:r w:rsidRPr="007D2405">
        <w:t>konstatuje, že zastoupení žen a mužů v Soudním dvoru a Tribunálu je stále velmi nevyvážené; oceňuje dopis předsedy Tribunálu adresovaný předsedovi konference zástupců vlád členských států v roce 2024, v němž jsou členské státy vyzvány k tomu, aby při navrhování kandidátů na výměnu soudců a generálních advokátů zohledňovaly potřebu genderové vyváženosti; vyzývá členské státy, aby při navrhování kandidátů na uvolněné pozice soudců zohledňovaly potřebu vyváženého zastoupení žen a mužů;</w:t>
      </w:r>
    </w:p>
    <w:p w14:paraId="70AA30A1" w14:textId="77777777" w:rsidR="003258C9" w:rsidRPr="007D2405" w:rsidRDefault="003258C9" w:rsidP="003258C9">
      <w:pPr>
        <w:spacing w:after="240"/>
        <w:ind w:left="567" w:hanging="567"/>
      </w:pPr>
      <w:r w:rsidRPr="007D2405">
        <w:t>26.</w:t>
      </w:r>
      <w:r w:rsidRPr="007D2405">
        <w:tab/>
        <w:t>bere na vědomí, že z 2 303 úředníků a zaměstnanců zaměstnaných na konci roku 2023 bylo 61 % žen; vítá skutečnost, že podíl žen na administrativních pozicích je 55 %, a zejména skutečnost, že podíl žen na vedoucích pozicích se zvýšil na 43 %, oproti 40 % v letech 2022 a 2021, což potvrzuje vzestupný trend, zaznamenávaný od roku 2018 (41 % v roce 2020, 39 % v roce 2019 a 37,5 % v roce 2018); konstatuje přesto, že zastoupení žen bylo nejvyšší ve třídách asistentů a nejnižší v pozicích vrcholného vedení; vyzývá SDEU, aby zajistil větší zastoupení žen na vyšších vedoucích pozicích a přijal další opatření na podporu vyváženého zastoupení žen a mužů na všech úrovních; vítá úsilí SDEU o zajištění rovnosti, začlenění a rozmanitosti, zejména pak ve fázi náboru pracovníků;</w:t>
      </w:r>
    </w:p>
    <w:p w14:paraId="4C188441" w14:textId="77777777" w:rsidR="003258C9" w:rsidRPr="007D2405" w:rsidRDefault="003258C9" w:rsidP="003258C9">
      <w:pPr>
        <w:spacing w:after="240"/>
        <w:ind w:left="567" w:hanging="567"/>
        <w:rPr>
          <w:b/>
          <w:i/>
        </w:rPr>
      </w:pPr>
      <w:r w:rsidRPr="007D2405">
        <w:t>27.</w:t>
      </w:r>
      <w:r w:rsidRPr="007D2405">
        <w:tab/>
        <w:t>vyzývá SDEU, aby vydával výroční zprávu o rovnosti žen a mužů a rozmanitosti s cílem zajistit transparentnost zastoupení žen a mužů na všech úrovních, tj. na úrovni soudců, generálních advokátů a administrativních pracovníků, a aby stanovil konkrétní opatření ke zlepšení rovnosti žen a mužů na vyšších pozicích;</w:t>
      </w:r>
    </w:p>
    <w:p w14:paraId="63967D84" w14:textId="77777777" w:rsidR="003258C9" w:rsidRPr="007D2405" w:rsidRDefault="003258C9" w:rsidP="003258C9">
      <w:pPr>
        <w:spacing w:after="240"/>
        <w:ind w:left="567" w:hanging="567"/>
        <w:rPr>
          <w:b/>
          <w:i/>
        </w:rPr>
      </w:pPr>
      <w:r w:rsidRPr="007D2405">
        <w:t>28.</w:t>
      </w:r>
      <w:r w:rsidRPr="007D2405">
        <w:tab/>
        <w:t>vítá skutečnost, že mezi zaměstnanci SDEU jsou zastoupeny všechny členské státy Unie, konstatuje však, že některé státní příslušnosti jsou zastoupeny více než jiné; oceňuje, že se SDEU i v roce 2023 stále snažil prosazovat lepší zeměpisné vyvážení mezi svými zaměstnanci, zejména pak větším zviditelněním volných pracovních míst a zvyšováním jejich přitažlivosti, vytvářením a nabízením příznivějších pracovních podmínek s cílem přilákat dočasné zaměstnance z některých méně zastoupených členských států a intenzivnějším informováním různorodých cílových skupin o pracovních příležitostech na SDEU; konstatuje, že na přilákání mnoha talentovaných mladých lidí z různých členských států bylo vynaloženo značné úsilí prostřednictvím programu stáží; vybízí SDEU, aby přezkoumal, zda jsou poměrně zastoupeni stážisté ze všech členských států;</w:t>
      </w:r>
    </w:p>
    <w:p w14:paraId="1F5A0ADF" w14:textId="77777777" w:rsidR="003258C9" w:rsidRPr="007D2405" w:rsidRDefault="003258C9" w:rsidP="003258C9">
      <w:pPr>
        <w:spacing w:after="240"/>
        <w:ind w:left="567" w:hanging="567"/>
        <w:rPr>
          <w:b/>
          <w:i/>
        </w:rPr>
      </w:pPr>
      <w:r w:rsidRPr="007D2405">
        <w:t>29.</w:t>
      </w:r>
      <w:r w:rsidRPr="007D2405">
        <w:tab/>
        <w:t>naléhavě vyzývá SDEU, aby podporoval mnohojazyčné pracovní prostředí a uznal jeho potenciál ke zlepšení spravedlivého poměru zastoupení různých národností mezi svými zaměstnanci; vyzývá všechny orgány EU, aby dodržovaly a zajišťovaly zásadu mnohojazyčnosti;</w:t>
      </w:r>
    </w:p>
    <w:p w14:paraId="5C5FBF4A" w14:textId="77777777" w:rsidR="003258C9" w:rsidRPr="007D2405" w:rsidRDefault="003258C9" w:rsidP="003258C9">
      <w:pPr>
        <w:spacing w:after="240"/>
        <w:ind w:left="567" w:hanging="567"/>
      </w:pPr>
      <w:r w:rsidRPr="007D2405">
        <w:t>30.</w:t>
      </w:r>
      <w:r w:rsidRPr="007D2405">
        <w:tab/>
        <w:t>vítá práci, kterou vykonala interinstitucionální skupina na vysoké úrovni pro zvýšení atraktivity Lucemburska coby místa výkonu zaměstnání pro zaměstnance; vyzývá SDEU, aby udržoval a posiloval spolupráci s dalšími institucemi se sídlem v Lucembursku v rámci různých iniciativ; uznale konstatuje, že rozpočtový orgán schválil na rozpočtový rok 2025 nezbytné prostředky, které umožní poskytovat zaměstnancům v nižších platových třídách příspěvek na bydlení, jak to doporučila interinstitucionální skupina na vysoké úrovni; žádá, aby byl Parlament informován o vývoji těchto iniciativ, které mají zlepšit přitažlivost Lucemburska coby místa výkonu zaměstnání;</w:t>
      </w:r>
    </w:p>
    <w:p w14:paraId="603A4F26" w14:textId="77777777" w:rsidR="003258C9" w:rsidRPr="007D2405" w:rsidRDefault="003258C9" w:rsidP="003258C9">
      <w:pPr>
        <w:spacing w:after="240"/>
        <w:ind w:left="567" w:hanging="567"/>
      </w:pPr>
      <w:r w:rsidRPr="007D2405">
        <w:t>31.</w:t>
      </w:r>
      <w:r w:rsidRPr="007D2405">
        <w:tab/>
        <w:t>konstatuje, že SDEU provedl v roce 2023 formou specializovaných pracovních setkání a činností v oblasti zvyšování povědomí několik iniciativ na podporu fyzického a duševního zdraví zaměstnanců; konstatuje, že vedoucí pracovníci hodnotí režim práce na dálku, jenž vstoupil v platnost dne 1. května 2022, kladně, přičemž 92 % z nich uvedlo, že produktivita zaměstnanců pracujících na dálku byla buď stejná, nebo vyšší než před zavedením tohoto režimu; konstatuje, že v zájmu dosažení lepší rovnováhy mezi pracovním a soukromým životem nabídl SDEU v roce 2023 svým zaměstnancům opět možnost pracovat na dálku mimo místo práce, a to ve výši až deseti pracovních dní ročně, především během soudních prázdnin;</w:t>
      </w:r>
    </w:p>
    <w:p w14:paraId="37FB59C5" w14:textId="77777777" w:rsidR="003258C9" w:rsidRPr="007D2405" w:rsidRDefault="003258C9" w:rsidP="003258C9">
      <w:pPr>
        <w:spacing w:after="240"/>
        <w:ind w:left="567" w:hanging="567"/>
        <w:rPr>
          <w:b/>
          <w:i/>
        </w:rPr>
      </w:pPr>
      <w:r w:rsidRPr="007D2405">
        <w:t>32.</w:t>
      </w:r>
      <w:r w:rsidRPr="007D2405">
        <w:tab/>
        <w:t>vítá probíhající osvětové, informační a vzdělávací kampaně zaměřené na podporu začleňování, vzájemného respektu, spolupráce a podpory pro osoby se zdravotním postižením a jejich pomocníky;</w:t>
      </w:r>
    </w:p>
    <w:p w14:paraId="40AFA2CC" w14:textId="77777777" w:rsidR="003258C9" w:rsidRPr="007D2405" w:rsidRDefault="003258C9" w:rsidP="003258C9">
      <w:pPr>
        <w:spacing w:after="240"/>
        <w:ind w:left="567" w:hanging="567"/>
      </w:pPr>
      <w:r w:rsidRPr="007D2405">
        <w:t>33.</w:t>
      </w:r>
      <w:r w:rsidRPr="007D2405">
        <w:tab/>
        <w:t>konstatuje, že počet pracovních dní placené nemocenské dovolené činil v roce 2023 20 198, což oproti roku 2022 představuje pokles o 14,78 %; se znepokojením konstatuje, že lékařská služba oznámila v roce 2023 jedenáct případů vyhoření; oceňuje, že SDEU provedl důkladnou analýzu lékařských zpráv s diagnózami, aby určil případy profesního vyhoření, a že klade důraz na preventivní opatření, zejména pak na posílení svého týmu zdravotnických a sociálních pracovníků, prevenci psychosociálních rizik na pracovišti a činnosti v oblasti zvyšování povědomí u vedoucích pracovníků o právu odpojit se a nebezpečí přepracování; vybízí SDEU, aby se tomuto problému nadále věnoval, zamezil tak dalším případům spojeným s vyhořením a informoval Parlament o opatřeních přijatých v tomto ohledu;</w:t>
      </w:r>
    </w:p>
    <w:p w14:paraId="2D0549D9" w14:textId="77777777" w:rsidR="003258C9" w:rsidRPr="007D2405" w:rsidRDefault="003258C9" w:rsidP="003258C9">
      <w:pPr>
        <w:spacing w:after="240"/>
        <w:ind w:left="567" w:hanging="567"/>
      </w:pPr>
      <w:r w:rsidRPr="007D2405">
        <w:t>34.</w:t>
      </w:r>
      <w:r w:rsidRPr="007D2405">
        <w:tab/>
        <w:t>konstatuje, že v roce 2023 bylo zahájeno správní šetření ve věci údajného sexuálního obtěžování, jež se týkala jednoho zaměstnance, a že tato věc byla v roce 2024 ukončena uložením sankce; vyjadřuje znepokojení nad tím, že v roce 2023 byl také zahájen postup pomoci ve věci údajného obtěžování, jež se týkala soudce, nicméně že v této věci obtěžování konstatováno nebylo; konstatuje, že meziútvarová pracovní skupina vytvořená v březnu 2023 proto před ratifikací Úmluvy Rady Evropy o prevenci a potírání násilí na ženách a domácího násilí prozkoumala pravidla a postupy platné v SDEU, jež mají zamezit obtěžování, a vydala několik doporučení s cílem tyto pravidla a postupy zkvalitnit; vybízí SDEU, aby se jimi řídil a nadále netoleroval žádné obtěžování na pracovišti a aby pro tyto účely zavedl povinné školení o nevědomých předsudcích a etických normách pro všechny soudce a vyšší úředníky v zájmu prevence zneužívání moci;</w:t>
      </w:r>
    </w:p>
    <w:p w14:paraId="3EEEC63A" w14:textId="77777777" w:rsidR="003258C9" w:rsidRPr="007D2405" w:rsidRDefault="003258C9" w:rsidP="003258C9">
      <w:pPr>
        <w:spacing w:after="240"/>
        <w:ind w:left="567" w:hanging="567"/>
        <w:rPr>
          <w:b/>
        </w:rPr>
      </w:pPr>
      <w:r w:rsidRPr="007D2405">
        <w:rPr>
          <w:b/>
        </w:rPr>
        <w:t>Etický rámec</w:t>
      </w:r>
    </w:p>
    <w:p w14:paraId="693761FB" w14:textId="77777777" w:rsidR="003258C9" w:rsidRPr="007D2405" w:rsidRDefault="003258C9" w:rsidP="003258C9">
      <w:pPr>
        <w:spacing w:after="240"/>
        <w:ind w:left="567" w:hanging="567"/>
      </w:pPr>
      <w:r w:rsidRPr="007D2405">
        <w:t>35.</w:t>
      </w:r>
      <w:r w:rsidRPr="007D2405">
        <w:tab/>
        <w:t>konstatuje s uspokojením, že v reakci na předchozí doporučení vydaná v souvislosti s udělením absolutoria byl v roce 2023 vypracován nový kodex chování týkající se práv a povinností úředníků a ostatních zaměstnanců SDEU, jenž odráží hodnoty SDEU a jeho závazek k etickému chování a který byl přijat v březnu 2024; konstatuje, že tento kodex chování obsahuje ustanovení o střetu zájmů, povinnosti loajality, povinnosti zachování důvěrnosti a mlčenlivosti, mimopracovních činnostech, pracovních činnostech po skončení služebního poměru a o publikacích, přičemž se vztahuje i na vyslané národní odborníky a soudní čekatele, kteří se účastní aktivit v rámci Evropské sítě pro justiční vzdělávání; konstatuje, že v roce 2023 byly pro zaměstnance a vedoucí pracovníky, se zvláštním zaměřením na nově přijaté pracovníky, organizovány činnosti v oblasti zvyšování informovanosti a přepracované školení o kodexu chování; vyzývá k zavedení povinnosti pravidelného školení pro všechny zaměstnance a žádá, aby byl Parlament průběžně informován o provádění kodexu chování;</w:t>
      </w:r>
    </w:p>
    <w:p w14:paraId="0CB6BBE5" w14:textId="77777777" w:rsidR="003258C9" w:rsidRPr="007D2405" w:rsidRDefault="003258C9" w:rsidP="003258C9">
      <w:pPr>
        <w:spacing w:after="240"/>
        <w:ind w:left="567" w:hanging="567"/>
      </w:pPr>
      <w:r w:rsidRPr="007D2405">
        <w:t>36.</w:t>
      </w:r>
      <w:r w:rsidRPr="007D2405">
        <w:tab/>
        <w:t>konstatuje, že před vstupem kodexu chování v platnost byl ve dvou potenciálních případech prohlášen střet zájmů a jejich projednávání proběhlo v souladu se stanovenými postupy, aby se zajistilo, že se dotčení noví zaměstnanci nebudou podílet na případech, s nimiž se seznámili v předchozím zaměstnání;</w:t>
      </w:r>
    </w:p>
    <w:p w14:paraId="5952EE45" w14:textId="17BCC1FF" w:rsidR="003258C9" w:rsidRPr="007D2405" w:rsidRDefault="003258C9" w:rsidP="003258C9">
      <w:pPr>
        <w:spacing w:after="240"/>
        <w:ind w:left="567" w:hanging="567"/>
      </w:pPr>
      <w:r w:rsidRPr="007D2405">
        <w:t>37.</w:t>
      </w:r>
      <w:r w:rsidRPr="007D2405">
        <w:tab/>
        <w:t>konstatuje, že po přijetí kodexu chování členů a bývalých členů SDEU, byla prohlášení členů o zájmech zveřejněna on</w:t>
      </w:r>
      <w:r>
        <w:t xml:space="preserve"> -</w:t>
      </w:r>
      <w:r w:rsidRPr="007D2405">
        <w:t>line, aby se při projednávání případů zamezilo jakémukoli možnému střetu zájmů; konstatuje, že SDEU svá interní pravidla v tomto ohledu nepřetržitě přehodnocuje, aby byla stále aktuální a aby zajistil co nejvyšší úroveň etického chování; vyzývá SDEU, aby zřídil nezávislý etický výbor, který by dohlížel na dodržování kodexu chování a vyšetřoval případná porušení pravidel; vyzývá k zavedení povinnosti každoročního etického školení pro všechny zaměstnance SDEU, včetně soudců a generálních advokátů, s cílem chránit integritu SDEU; žádá SDEU, aby Parlamentu sdělil výsledky dalšího případného hodnocení účinnosti tohoto opatření, které má předcházet vzniku střetů zájmů;</w:t>
      </w:r>
    </w:p>
    <w:p w14:paraId="5D8BC21A" w14:textId="77777777" w:rsidR="003258C9" w:rsidRPr="007D2405" w:rsidRDefault="003258C9" w:rsidP="003258C9">
      <w:pPr>
        <w:spacing w:after="240"/>
        <w:ind w:left="567" w:hanging="567"/>
        <w:rPr>
          <w:b/>
          <w:i/>
        </w:rPr>
      </w:pPr>
      <w:r w:rsidRPr="007D2405">
        <w:t>38.</w:t>
      </w:r>
      <w:r w:rsidRPr="007D2405">
        <w:tab/>
        <w:t>vítá skutečnost, že byla zveřejněna prohlášení o zájmech členů SDEU, nicméně žádá, aby byl zaveden standardní proces jejich prověřování ještě před jejich jmenováním, který by umožnil odhalit a zmírnit potenciální střety zájmů už v rané fázi; naléhavě vyzývá Radu, aby pro členské státy stanovila transparentní pokyny, jimiž by se při navrhování kandidátů na soudce SDEU řídily;</w:t>
      </w:r>
    </w:p>
    <w:p w14:paraId="55A25502" w14:textId="77777777" w:rsidR="003258C9" w:rsidRPr="007D2405" w:rsidRDefault="003258C9" w:rsidP="003258C9">
      <w:pPr>
        <w:spacing w:after="240"/>
        <w:ind w:left="567" w:hanging="567"/>
        <w:rPr>
          <w:b/>
          <w:i/>
        </w:rPr>
      </w:pPr>
      <w:r w:rsidRPr="007D2405">
        <w:t>39.</w:t>
      </w:r>
      <w:r w:rsidRPr="007D2405">
        <w:tab/>
        <w:t>naléhavě vyzývá SDEU, aby zavedl politiku povinného vyloučení soudců ze soudních řízení v případech, kdy mezi nimi a účastníky řízení před SDEU existovala v minulosti profesní vazba; vyzývá k přísnějšímu prověřování střetu zájmů soudců a vysoce postavených úředníků, včetně pravidelných aktualizací požadavků na zveřejňování finančních informací; žádá, aby v případech, kdy soudci uvedou, že se nacházejí ve střetu zájmů, byla v reálném čase zveřejňována rozhodnutí o jejich vyloučení z řízení, čímž se zajistí větší transparentnost soudního procesu a posílí důvěra veřejnosti v nestrannost a integritu SDEU;</w:t>
      </w:r>
    </w:p>
    <w:p w14:paraId="4FA40757" w14:textId="77777777" w:rsidR="003258C9" w:rsidRPr="007D2405" w:rsidRDefault="003258C9" w:rsidP="003258C9">
      <w:pPr>
        <w:spacing w:after="240"/>
        <w:ind w:left="567" w:hanging="567"/>
      </w:pPr>
      <w:r w:rsidRPr="007D2405">
        <w:t>40.</w:t>
      </w:r>
      <w:r w:rsidRPr="007D2405">
        <w:tab/>
        <w:t>konstatuje, že v roce 2023 měli všichni členové SDEU v souladu se článkem 14 statutu bydliště v Lucembursku;</w:t>
      </w:r>
    </w:p>
    <w:p w14:paraId="62BA77BC" w14:textId="77777777" w:rsidR="003258C9" w:rsidRPr="007D2405" w:rsidRDefault="003258C9" w:rsidP="003258C9">
      <w:pPr>
        <w:spacing w:after="240"/>
        <w:ind w:left="567" w:hanging="567"/>
      </w:pPr>
      <w:r w:rsidRPr="007D2405">
        <w:t>41.</w:t>
      </w:r>
      <w:r w:rsidRPr="007D2405">
        <w:tab/>
        <w:t>konstatuje, že je od roku 2018 na internetových stránkách SDEU zveřejňován seznam externích činností, které vykonávají členové Soudního dvora a Tribunálu;</w:t>
      </w:r>
      <w:r w:rsidRPr="007D2405">
        <w:rPr>
          <w:b/>
          <w:i/>
        </w:rPr>
        <w:t xml:space="preserve"> </w:t>
      </w:r>
      <w:r w:rsidRPr="007D2405">
        <w:t>dále konstatuje, že je tento seznam pro širokou veřejnost obtížně čitelný, a doporučuje jeho revizi, aby byla zajištěna jeho větší jasnost a informovanost; konstatuje, že Soudní dvůr na všeobecné schůzi nebo Tribunál na plenárním zasedání udílí předchozí povolení externí činnosti pouze tehdy, pokud je tato činnost v souladu s požadavky kodexu chování a povinností členů být k dispozici pro soudní činnosti; žádá SDEU, aby v souladu s předchozími doporučeními vydanými v souvislosti s udělením absolutoria informoval orgán příslušný k udělení absolutoria o veškerých iniciativách, které mají zlepšit srozumitelnost informací týkajících se externích činností;</w:t>
      </w:r>
    </w:p>
    <w:p w14:paraId="26904D0D" w14:textId="77777777" w:rsidR="003258C9" w:rsidRPr="007D2405" w:rsidRDefault="003258C9" w:rsidP="003258C9">
      <w:pPr>
        <w:spacing w:after="240"/>
        <w:ind w:left="567" w:hanging="567"/>
      </w:pPr>
      <w:r w:rsidRPr="007D2405">
        <w:t>42.</w:t>
      </w:r>
      <w:r w:rsidRPr="007D2405">
        <w:tab/>
        <w:t>konstatuje, že pravidla, jimiž se řídí cesty a služební cesty členů a využívání řidičů a vozidel a která byla aktualizována v roce 2021, stanoví, že SDEU hradí pouze provozní náklady spojené s využitím vozidla pro účely splnění cestovního příkazu nebo mandátu člena do vzdálenosti 10 000 km; opakuje svůj názor, že vozový park by za žádných okolností neměl být využíván mimo striktní rámec plnění úkolů členů SDEU, a konstatuje, že SDEU oznámil, že jedná s dalšími orgány a institucemi o vytvoření harmonizovaného souboru pravidel pro využívání služebních vozidel, přičemž by měla být respektována nezávislost každého orgánu a instituce; vyzývá všechny orgány Unie, aby se dohodly na jednotném systému, který by byl uplatňován horizontálně, což by snížilo zmatek a zvýšilo transparentnost a efektivitu využívání veřejných prostředků; žádá SDEU, aby Parlament informoval o veškerém vývoji v tomto ohledu;</w:t>
      </w:r>
    </w:p>
    <w:p w14:paraId="08E8B8D4" w14:textId="77777777" w:rsidR="003258C9" w:rsidRPr="007D2405" w:rsidRDefault="003258C9" w:rsidP="003258C9">
      <w:pPr>
        <w:spacing w:after="240"/>
        <w:ind w:left="567" w:hanging="567"/>
      </w:pPr>
      <w:r w:rsidRPr="007D2405">
        <w:t>43.</w:t>
      </w:r>
      <w:r w:rsidRPr="007D2405">
        <w:tab/>
        <w:t>konstatuje, že v roce 2023 byl ukončen případ šetřený úřadem OLAF, jenž je zmíněn v předchozích usneseních o udělení absolutoria a který se týkal jednání zaměstnance, jež mohlo představovat závažné porušení povinností; konstatuje, že SDEU nemá informace o žádném novém vyšetřování ze strany úřadu OLAF ani jeho doporučení v roce 2023;</w:t>
      </w:r>
    </w:p>
    <w:p w14:paraId="63074CF8" w14:textId="77777777" w:rsidR="003258C9" w:rsidRPr="007D2405" w:rsidRDefault="003258C9" w:rsidP="003258C9">
      <w:pPr>
        <w:spacing w:after="240"/>
        <w:ind w:left="567" w:hanging="567"/>
      </w:pPr>
      <w:r w:rsidRPr="007D2405">
        <w:t>44.</w:t>
      </w:r>
      <w:r w:rsidRPr="007D2405">
        <w:tab/>
        <w:t>konstatuje, že SDEU v roce 2023 neoznámil žádné případy podvodu, korupce či zneužití unijních prostředků; konstatuje, že strategie SDEU proti podvodům je nedílnou součástí jeho integrovaného rámce vnitřní kontroly a řízení rizik se zvláštním důrazem na rizika neoprávněného zveřejnění informací;</w:t>
      </w:r>
    </w:p>
    <w:p w14:paraId="2A20A986" w14:textId="77777777" w:rsidR="003258C9" w:rsidRPr="007D2405" w:rsidRDefault="003258C9" w:rsidP="003258C9">
      <w:pPr>
        <w:spacing w:after="240"/>
        <w:ind w:left="567" w:hanging="567"/>
        <w:rPr>
          <w:b/>
        </w:rPr>
      </w:pPr>
      <w:r w:rsidRPr="007D2405">
        <w:rPr>
          <w:b/>
        </w:rPr>
        <w:t>Transparentnost a přístup občanů ke spravedlnosti</w:t>
      </w:r>
    </w:p>
    <w:p w14:paraId="421454F1" w14:textId="77777777" w:rsidR="003258C9" w:rsidRPr="007D2405" w:rsidRDefault="003258C9" w:rsidP="003258C9">
      <w:pPr>
        <w:spacing w:after="240"/>
        <w:ind w:left="567" w:hanging="567"/>
      </w:pPr>
      <w:r w:rsidRPr="007D2405">
        <w:t>45.</w:t>
      </w:r>
      <w:r w:rsidRPr="007D2405">
        <w:tab/>
        <w:t>vítá úsilí SDEU o zvýšení transparentnosti, zlepšení přístupu ke spravedlnosti a posílení otevřenosti vůči veřejnosti, čímž přispívá k podpoře důvěry veřejnosti v orgány a instituce Unie;</w:t>
      </w:r>
    </w:p>
    <w:p w14:paraId="210B8489" w14:textId="0864308E" w:rsidR="003258C9" w:rsidRPr="007D2405" w:rsidRDefault="003258C9" w:rsidP="003258C9">
      <w:pPr>
        <w:spacing w:after="240"/>
        <w:ind w:left="567" w:hanging="567"/>
      </w:pPr>
      <w:r w:rsidRPr="007D2405">
        <w:t>46.</w:t>
      </w:r>
      <w:r w:rsidRPr="007D2405">
        <w:tab/>
        <w:t>konstatuje, že SDEU v roce 2023 konsolidoval službu streamování slyšení Soudního dvora a Tribunálu na internetových stránkách CURIA, čímž občanům usnadnil přístup k soudním činnostem SDEU; vítá zlepšení, která byla provedena na internetových stránkách CURIA, pokud jde o jejich strukturu, funkce a obsah; vítá, že na internetových stránkách CURIA je od roku 2023 živě vysíláno vyhlašování rozsudků Soudního dvora, přednes stanovisek generálních advokátů, slyšení velkého senátu a některá slyšení senátů, v nichž zasedá pět soudců; vyzývá SDEU, aby na svých internetových stránkách vysílal všechna slyšení Soudního dvora i Tribunálu, trvale je uchovával on</w:t>
      </w:r>
      <w:r>
        <w:t xml:space="preserve"> -</w:t>
      </w:r>
      <w:r w:rsidRPr="007D2405">
        <w:t>line, a tak ještě více posílil transparentnost;</w:t>
      </w:r>
    </w:p>
    <w:p w14:paraId="51E82D39" w14:textId="77777777" w:rsidR="003258C9" w:rsidRPr="007D2405" w:rsidRDefault="003258C9" w:rsidP="003258C9">
      <w:pPr>
        <w:spacing w:after="240"/>
        <w:ind w:left="567" w:hanging="567"/>
      </w:pPr>
      <w:r w:rsidRPr="007D2405">
        <w:t>47.</w:t>
      </w:r>
      <w:r w:rsidRPr="007D2405">
        <w:tab/>
        <w:t>vítá skutečnost, že SDEU bude v návaznosti na reformu svého statutu zveřejňovat spisy účastníků řízení nebo písemná vyjádření předložená v rámci řízení o předběžné otázce po skončení těchto řízení, s výjimkou případů, kdy zúčastněná strana vznese proti zveřejnění svého spisu nebo vyjádření námitku; zdůrazňuje, že jejich zveřejňování zlepší transparentnost a přístup občanů ke spravedlnosti, a vyzývá SDEU, aby na své internetové stránce zveřejňoval všechny dokumenty související s danými věcmi; vyzývá SDEU, aby zavedl postup, jejž by mohl použít každý zúčastněný, aby na dálku získal přístup ke všem dokumentům souvisejícím s danou věcí;</w:t>
      </w:r>
    </w:p>
    <w:p w14:paraId="531BB90D" w14:textId="77777777" w:rsidR="003258C9" w:rsidRPr="007D2405" w:rsidRDefault="003258C9" w:rsidP="003258C9">
      <w:pPr>
        <w:spacing w:after="240"/>
        <w:ind w:left="567" w:hanging="567"/>
      </w:pPr>
      <w:r w:rsidRPr="007D2405">
        <w:t>48.</w:t>
      </w:r>
      <w:r w:rsidRPr="007D2405">
        <w:tab/>
        <w:t>konstatuje, že Tribunál v dubnu 2023 a Soudní dvůr v září 2024 přijaly pravidla pro využívání videokonferencí, podle nichž může strana řízení požádat o využití videokonference v případě, že se zástupce této strany nemůže z bezpečnostních nebo jiných závažných důvodů slyšení účastnit osobně;</w:t>
      </w:r>
    </w:p>
    <w:p w14:paraId="6996FD4A" w14:textId="77777777" w:rsidR="003258C9" w:rsidRPr="007D2405" w:rsidRDefault="003258C9" w:rsidP="003258C9">
      <w:pPr>
        <w:spacing w:after="240"/>
        <w:ind w:left="567" w:hanging="567"/>
      </w:pPr>
      <w:r w:rsidRPr="007D2405">
        <w:t>49.</w:t>
      </w:r>
      <w:r w:rsidRPr="007D2405">
        <w:tab/>
        <w:t>konstatuje, že pravidla stanovená v rozhodnutí SDEU ze dne 26. listopadu 2019, jež se týkají přístupu veřejnosti k dokumentům, které má SDEU v držení v souvislosti s výkonem svých správních funkcí, se nevztahují na soudní písemnosti, v jejichž případě je přístup upraven jednacím řádem Soudního dvora nebo jednacím řádem Tribunálu; konstatuje, že SDEU zaregistroval v roce 2023 21 žádostí o přístup veřejnosti ke správním dokumentům a že ve dvanácti případech přístup ke správním dokumentům poskytl; konstatuje, že evropský veřejný ochránce práv nezjistil v roce 2023 na straně SDEU žádný případ nesprávného úředního postupu;</w:t>
      </w:r>
    </w:p>
    <w:p w14:paraId="607FEA5B" w14:textId="60754E77" w:rsidR="003258C9" w:rsidRPr="007D2405" w:rsidRDefault="003258C9" w:rsidP="003258C9">
      <w:pPr>
        <w:spacing w:after="240"/>
        <w:ind w:left="567" w:hanging="567"/>
      </w:pPr>
      <w:r w:rsidRPr="007D2405">
        <w:t>50.</w:t>
      </w:r>
      <w:r w:rsidRPr="007D2405">
        <w:tab/>
        <w:t xml:space="preserve">vyzývá SDEU, aby zjednodušil způsob, jak nacházet konkrétní rozhodnutí v aplikaci </w:t>
      </w:r>
      <w:proofErr w:type="gramStart"/>
      <w:r w:rsidRPr="007D2405">
        <w:t>e</w:t>
      </w:r>
      <w:r>
        <w:t xml:space="preserve"> -</w:t>
      </w:r>
      <w:r w:rsidRPr="007D2405">
        <w:t>curia</w:t>
      </w:r>
      <w:proofErr w:type="gramEnd"/>
      <w:r w:rsidRPr="007D2405">
        <w:t>; vítá úsilí o to, aby rozhraní bylo uživatelsky vstřícnější a intuitivní;</w:t>
      </w:r>
    </w:p>
    <w:p w14:paraId="264E832C" w14:textId="77777777" w:rsidR="003258C9" w:rsidRPr="007D2405" w:rsidRDefault="003258C9" w:rsidP="003258C9">
      <w:pPr>
        <w:spacing w:after="240"/>
        <w:ind w:left="567" w:hanging="567"/>
        <w:rPr>
          <w:b/>
        </w:rPr>
      </w:pPr>
      <w:r w:rsidRPr="007D2405">
        <w:rPr>
          <w:b/>
        </w:rPr>
        <w:t>Digitalizace, kybernetická bezpečnost a ochrana údajů</w:t>
      </w:r>
    </w:p>
    <w:p w14:paraId="2D0AE7DB" w14:textId="77777777" w:rsidR="003258C9" w:rsidRPr="007D2405" w:rsidRDefault="003258C9" w:rsidP="003258C9">
      <w:pPr>
        <w:spacing w:after="240"/>
        <w:ind w:left="567" w:hanging="567"/>
      </w:pPr>
      <w:r w:rsidRPr="007D2405">
        <w:t>51.</w:t>
      </w:r>
      <w:r w:rsidRPr="007D2405">
        <w:tab/>
        <w:t>konstatuje, že oproti roku 2022 vzrostly v roce 2023 rozpočtové výdaje na projekty v oblasti IT o 10,9 %, na vybavení IT o 13 %, na projekty v oblasti kybernetické bezpečnosti o 59 % a na služby, licence a vybavení v oblasti kybernetické bezpečnosti o 72 %;</w:t>
      </w:r>
    </w:p>
    <w:p w14:paraId="166D913B" w14:textId="0DC23F7D" w:rsidR="003258C9" w:rsidRPr="007D2405" w:rsidRDefault="003258C9" w:rsidP="003258C9">
      <w:pPr>
        <w:spacing w:after="240"/>
        <w:ind w:left="567" w:hanging="567"/>
      </w:pPr>
      <w:r w:rsidRPr="007D2405">
        <w:t>52.</w:t>
      </w:r>
      <w:r w:rsidRPr="007D2405">
        <w:tab/>
        <w:t xml:space="preserve">konstatuje, že prioritou SDEU byla v roce 2023 i nadále realizace hlavních projektů digitalizace v rámci strategie digitální transformace, například rozvoj integrovaného systému řízení případů (SIGA), podpora využívání aplikace </w:t>
      </w:r>
      <w:proofErr w:type="gramStart"/>
      <w:r w:rsidRPr="007D2405">
        <w:t>e</w:t>
      </w:r>
      <w:r>
        <w:t xml:space="preserve"> -</w:t>
      </w:r>
      <w:r w:rsidRPr="007D2405">
        <w:t>Curia</w:t>
      </w:r>
      <w:proofErr w:type="gramEnd"/>
      <w:r w:rsidRPr="007D2405">
        <w:t xml:space="preserve"> pro předkládání a doručování procesních písemností elektronickými prostředky, přijetí elektronického podpisu a přijetí elektronických systémů záznamů a správy dokumentů HAN/Ares. konstatuje, že SDEU sleduje návratnost investic do projektů digitalizace z hlediska nákladů a účinného využívání zdrojů, a žádá SDEU, aby orgán příslušný k udělení absolutoria informoval o svých zjištěních v této oblasti;</w:t>
      </w:r>
    </w:p>
    <w:p w14:paraId="046941A7" w14:textId="77777777" w:rsidR="003258C9" w:rsidRPr="007D2405" w:rsidRDefault="003258C9" w:rsidP="003258C9">
      <w:pPr>
        <w:spacing w:after="240"/>
        <w:ind w:left="567" w:hanging="567"/>
      </w:pPr>
      <w:r w:rsidRPr="007D2405">
        <w:t>53.</w:t>
      </w:r>
      <w:r w:rsidRPr="007D2405">
        <w:tab/>
        <w:t>konstatuje, že SDEU v rámci své komplexní iniciativy zaměřené na zlepšení přístupnosti pro zranitelné osoby a jejich začlenění nadále u každé změny a vývoje svých IT systémů uplatňuje přístup spočívající v zajištění „přístupnosti již od návrhu“; konstatuje, že v návaznosti na audit internetové stránky CURIA začal SDEU zlepšovat přístupnost stránky širokému spektru uživatelů, jako jsou osoby s poruchou zraku, sluchu či učení;</w:t>
      </w:r>
    </w:p>
    <w:p w14:paraId="55086681" w14:textId="569E0704" w:rsidR="003258C9" w:rsidRPr="007D2405" w:rsidRDefault="003258C9" w:rsidP="003258C9">
      <w:pPr>
        <w:spacing w:after="240"/>
        <w:ind w:left="567" w:hanging="567"/>
        <w:rPr>
          <w:i/>
        </w:rPr>
      </w:pPr>
      <w:r w:rsidRPr="007D2405">
        <w:t>54.</w:t>
      </w:r>
      <w:r w:rsidRPr="007D2405">
        <w:tab/>
        <w:t>konstatuje, že SDEU realizoval několik projektů založených na umělé inteligenci (UI), jako je automatizace analýzy dokumentů pro účely odkazů na platné právní předpisy a pomoc s ověřováním faktur prostřednictvím robotických procesů a přepisu slyšení, a to v souladu se svou novou strategií integrace umělé inteligence, kterou přijal v červnu 2023; zdůrazňuje, že je nesmírně důležité, aby umělá inteligence byla používána způsobem, který bude naprosto zachovávat nezávislost, kvalitu a nerušenost právních procesů, plně zohledňovat etické aspekty a bude plně pod lidským dohledem a umožňovat lidský zásah, aby se zabránilo negativním důsledkům nebo rizikům, nebo aby byl systém zastaven, pokud nebude fungovat tak, jak bylo zamýšleno; konstatuje, že v rámci této strategie zřídil SDEU správní radu pro umělou inteligenci, v níž zasedají členové Soudního dvora a Tribunálu, která vykonává dohled nad etickými aspekty používání umělé inteligence v rámci SDEU a stanovuje jasné hranice jejího používání; vítá pokyny týkající se používání umělé inteligence, které rada poskytla zaměstnancům; vítá iniciativy, které byly zavedeny za účelem prohlubování dovedností zaměstnanců v oblasti digitálních kompetencí, a to prostřednictvím programu odborné přípravy vypracovaného ve spolupráci s Interinstitucionálním výborem pro digitální transformaci (ETA); zdůraznit, že digitalizace soudnictví a přijetí nových technologií, jako je umělá inteligence, přinese významné výhody pro účinné fungování SDEU; doporučuje však, aby byl SDEU připraven na související kybernetická bezpečnostní rizika a ještě více posílil svou spolupráci s Agenturou EU pro kybernetickou bezpečnost a skupinou CERT</w:t>
      </w:r>
      <w:r>
        <w:t xml:space="preserve"> -</w:t>
      </w:r>
      <w:r w:rsidRPr="007D2405">
        <w:t>EU.</w:t>
      </w:r>
    </w:p>
    <w:p w14:paraId="3E513D9A" w14:textId="77777777" w:rsidR="003258C9" w:rsidRPr="007D2405" w:rsidRDefault="003258C9" w:rsidP="003258C9">
      <w:pPr>
        <w:spacing w:after="240"/>
        <w:ind w:left="567" w:hanging="567"/>
      </w:pPr>
      <w:r w:rsidRPr="007D2405">
        <w:t>55.</w:t>
      </w:r>
      <w:r w:rsidRPr="007D2405">
        <w:tab/>
        <w:t>konstatuje, že SDEU nebyla v roce 2023 sdělena žádná šetření ze strany evropského inspektora ochrany údajů; konstatuje, že evropský inspektor ochrany údajů nevydal v roce 2023 SDEU v návaznosti na své vyšetřování týkající se využívání cloudových služeb webových služeb společnosti Amazon žádné konkrétní doporučení; konstatuje, že evropský inspektor ochrany údajů zveřejnil v roce 2023 rozhodnutí, jímž potvrdil, že SDEU využívá cloudové služby pro účely videokonferencí v souladu s právními předpisy v oblasti ochrany údajů; opakuje však své obavy ohledně využívání externích cloudových služeb vzhledem k rostoucím hrozbám v oblasti kybernetické bezpečnosti a digitální suverenity;</w:t>
      </w:r>
    </w:p>
    <w:p w14:paraId="4DB51583" w14:textId="5581C6F3" w:rsidR="003258C9" w:rsidRPr="007D2405" w:rsidRDefault="003258C9" w:rsidP="003258C9">
      <w:pPr>
        <w:spacing w:after="240"/>
        <w:ind w:left="567" w:hanging="567"/>
      </w:pPr>
      <w:r w:rsidRPr="007D2405">
        <w:t>56.</w:t>
      </w:r>
      <w:r w:rsidRPr="007D2405">
        <w:tab/>
        <w:t>vítá, že SDEU přijal v roce 2023 plán pro kybernetické technologie a posílil své operační schopnosti v oblasti kybernetické bezpečnosti, aby mohl lépe chránit své systémy před rostoucím počtem kybernetických útoků; dále zdůrazňuje, že důsledná strategie kybernetické bezpečnosti je základním nástrojem boje proti zahraničnímu vměšování, jehož cílem je narušit integritu evropských orgánů; konstatuje, že SDEU přijal různá opatření k posílení své připravenosti v oblasti kybernetické bezpečnosti a schopnosti překonat bezpečnostní incidenty, mimo jiné se zapojil do řízení Interinstitucionálního výboru pro kybernetickou bezpečnost a kombinuje opatření a nástroje kybernetické bezpečnosti, jež jsou v souladu s doporučeními služby CERT</w:t>
      </w:r>
      <w:r>
        <w:t xml:space="preserve"> -</w:t>
      </w:r>
      <w:r w:rsidRPr="007D2405">
        <w:t>EU; konstatuje, že rozpočtový orgán schválil na rozpočtový rok 2025 nezbytné prostředky na další dvě pracovní místa, což SDEU umožní posílit personální kapacity v oblasti kybernetické bezpečnosti;</w:t>
      </w:r>
    </w:p>
    <w:p w14:paraId="370710E4" w14:textId="77777777" w:rsidR="003258C9" w:rsidRPr="007D2405" w:rsidRDefault="003258C9" w:rsidP="003258C9">
      <w:pPr>
        <w:spacing w:after="240"/>
        <w:ind w:left="567" w:hanging="567"/>
      </w:pPr>
      <w:r w:rsidRPr="007D2405">
        <w:t>57.</w:t>
      </w:r>
      <w:r w:rsidRPr="007D2405">
        <w:tab/>
        <w:t>vítá opatření, která byla přijata na ochranu technologické infrastruktury Soudního dvora před kybernetickými hrozbami, například audity kybernetické bezpečnosti, odborná příprava zaměstnanců a protokoly rychlé reakce na incidenty; zdůrazňuje, že digitalizace soudnictví a využívání nových technologií, jako je umělá inteligence, přinese mnoho výhod, pokud jde o hladké fungování SDEU, ale také s sebou nese rizika, která musí SDEU předjímat a chránit se proti nim; v této souvislosti navrhuje, aby SDEU vypracoval strategii kybernetické bezpečnosti a posílil spolupráci s ostatními orgány Unie, zejména s agenturou ENISA (Agentura EU pro kybernetickou bezpečnost), pokud jde o předcházení kybernetickým útokům, jejichž množství a sofistikovanost v Evropě exponenciálně narůstá;</w:t>
      </w:r>
    </w:p>
    <w:p w14:paraId="251FCD8D" w14:textId="77777777" w:rsidR="003258C9" w:rsidRPr="007D2405" w:rsidRDefault="003258C9" w:rsidP="003258C9">
      <w:pPr>
        <w:spacing w:after="240"/>
        <w:ind w:left="567" w:hanging="567"/>
      </w:pPr>
      <w:r w:rsidRPr="007D2405">
        <w:t>58.</w:t>
      </w:r>
      <w:r w:rsidRPr="007D2405">
        <w:tab/>
        <w:t>vítá iniciativu, v jejímž rámci se mají anonymizovaným případům přiřazovat fiktivní jména pomocí počítačového automatického generátoru názvů, aby se posílila ochrana osobních údajů a usnadnila identifikace jednotlivých případů;</w:t>
      </w:r>
    </w:p>
    <w:p w14:paraId="501D6214" w14:textId="77777777" w:rsidR="003258C9" w:rsidRPr="007D2405" w:rsidRDefault="003258C9" w:rsidP="003258C9">
      <w:pPr>
        <w:spacing w:after="240"/>
        <w:ind w:left="567" w:hanging="567"/>
      </w:pPr>
      <w:r w:rsidRPr="007D2405">
        <w:t>59.</w:t>
      </w:r>
      <w:r w:rsidRPr="007D2405">
        <w:tab/>
        <w:t>s uspokojením bere na vědomí změnu jednacího řádu Tribunálu, která vyjasní a </w:t>
      </w:r>
      <w:proofErr w:type="gramStart"/>
      <w:r w:rsidRPr="007D2405">
        <w:t>zjednoduší</w:t>
      </w:r>
      <w:proofErr w:type="gramEnd"/>
      <w:r w:rsidRPr="007D2405">
        <w:t xml:space="preserve"> soudní postupy, včetně možnosti využívat pro jednání videokonference, elektronického podpisu rozhodnutí a určení pilotních věcí;</w:t>
      </w:r>
    </w:p>
    <w:p w14:paraId="12487A87" w14:textId="77777777" w:rsidR="003258C9" w:rsidRPr="007D2405" w:rsidRDefault="003258C9" w:rsidP="003258C9">
      <w:pPr>
        <w:spacing w:after="240"/>
        <w:ind w:left="567" w:hanging="567"/>
        <w:rPr>
          <w:b/>
        </w:rPr>
      </w:pPr>
      <w:r w:rsidRPr="007D2405">
        <w:rPr>
          <w:b/>
        </w:rPr>
        <w:t>Budovy</w:t>
      </w:r>
    </w:p>
    <w:p w14:paraId="019137AE" w14:textId="77777777" w:rsidR="003258C9" w:rsidRPr="007D2405" w:rsidRDefault="003258C9" w:rsidP="003258C9">
      <w:pPr>
        <w:spacing w:after="240"/>
        <w:ind w:left="567" w:hanging="567"/>
      </w:pPr>
      <w:r w:rsidRPr="007D2405">
        <w:t>60.</w:t>
      </w:r>
      <w:r w:rsidRPr="007D2405">
        <w:tab/>
        <w:t>konstatuje, že v návaznosti na úvahy napříč útvary o nejúčinnějším využití prostor SDEU, jež byly završeny v roce 2023, byly zahájeny pilotní projekty; konstatuje, že v závěrečném rozhodnutí o využívání budov SDEU budou zohledněny výsledky těchto projektů, jakož i další faktory, například environmentální a rozpočtové aspekty, kvalita soudnictví, dobré pracovní podmínky, začlenění, přístupnost a atraktivita SDEU; žádá, aby byl Parlament informován o provádění těchto závěrů a o příslušných důsledcích pro organizaci pracovního prostoru;</w:t>
      </w:r>
    </w:p>
    <w:p w14:paraId="3B11CF40" w14:textId="77777777" w:rsidR="003258C9" w:rsidRPr="007D2405" w:rsidRDefault="003258C9" w:rsidP="003258C9">
      <w:pPr>
        <w:spacing w:after="240"/>
        <w:ind w:left="567" w:hanging="567"/>
      </w:pPr>
      <w:r w:rsidRPr="007D2405">
        <w:t>61.</w:t>
      </w:r>
      <w:r w:rsidRPr="007D2405">
        <w:tab/>
        <w:t>konstatuje, že SDEU v roce 2023 pokračoval v provádění své komplexní iniciativy zaměřené na zlepšení přístupnosti pro osoby se zdravotním postižením a jejich začlenění, aby všem osobám, účastníkům řízení i návštěvníkům zaručil fyzický i virtuální přístup k SDEU; konstatuje také, že SDEU začal v roce 2023 pořizovat inventární soupis své infrastruktury, aby k 1. lednu 2032 dosáhl souladu s novými vnitrostátními právními předpisy o přístupnosti; žádá, aby byl Parlament informován o dalších iniciativách v této oblasti;</w:t>
      </w:r>
    </w:p>
    <w:p w14:paraId="35489734" w14:textId="77777777" w:rsidR="003258C9" w:rsidRPr="007D2405" w:rsidRDefault="003258C9" w:rsidP="003258C9">
      <w:pPr>
        <w:spacing w:after="240"/>
        <w:ind w:left="567" w:hanging="567"/>
        <w:rPr>
          <w:b/>
        </w:rPr>
      </w:pPr>
      <w:r w:rsidRPr="007D2405">
        <w:rPr>
          <w:b/>
        </w:rPr>
        <w:t>Životní prostředí a udržitelnost</w:t>
      </w:r>
    </w:p>
    <w:p w14:paraId="3CDD79BC" w14:textId="77777777" w:rsidR="003258C9" w:rsidRPr="007D2405" w:rsidRDefault="003258C9" w:rsidP="003258C9">
      <w:pPr>
        <w:spacing w:after="240"/>
        <w:ind w:left="567" w:hanging="567"/>
        <w:rPr>
          <w:b/>
          <w:i/>
        </w:rPr>
      </w:pPr>
      <w:r w:rsidRPr="007D2405">
        <w:t>62.</w:t>
      </w:r>
      <w:r w:rsidRPr="007D2405">
        <w:tab/>
        <w:t>s uspokojením konstatuje, že v roce 2023 SDEU pokračoval ve výrazném snižování své spotřeby energie a uhlíkové stopy oproti roku 2015, jenž je výchozím bodem pro provádění strategie SDEU pro používání systému pro environmentální řízení podniků a audit, a to formou opatření na úsporu energie a optimalizací svých infrastruktur pro vytápění, chlazení a osvětlení; konstatuje, že oproti roku 2015 klesla v roce 2023 spotřeba tepla o 33,5 %, elektřiny o 28,7 %, vody o 20,1 %, kancelářského papíru o 63 %, kancelářský odpad a odpad z jídelen o 43 % a emise skleníkových plynů o 30,2 %; oceňuje, že SDEU uplatnil kritéria zelených veřejných zakázek v deseti výzvách k podávání nabídek přesahujících hodnotu 60 000 EUR; vítá odhodlání SDEU uplatňovat systém pro environmentální řízení podniků a audit (EMAS); vybízí SDEU, aby pokračoval ve svém úsilí o snížení svého dopadu na životní prostředí prostřednictvím strategie pro dosažení uhlíkové neutrality do roku 2035;</w:t>
      </w:r>
    </w:p>
    <w:p w14:paraId="179404F4" w14:textId="77777777" w:rsidR="003258C9" w:rsidRPr="007D2405" w:rsidRDefault="003258C9" w:rsidP="003258C9">
      <w:pPr>
        <w:spacing w:after="240"/>
        <w:ind w:left="567" w:hanging="567"/>
      </w:pPr>
      <w:r w:rsidRPr="007D2405">
        <w:t>63.</w:t>
      </w:r>
      <w:r w:rsidRPr="007D2405">
        <w:tab/>
        <w:t>vítá, že SDEU přijal několik iniciativ na podporu a zvýšení udržitelné mobility svých zaměstnanců a členů, včetně dotací na veřejnou dopravu, dotací na samoobslužná jízdní kola, lepších parkovacích zařízení pro kola a lepších zařízení pro hybridní a elektrické automobily;</w:t>
      </w:r>
    </w:p>
    <w:p w14:paraId="248ECE72" w14:textId="77777777" w:rsidR="003258C9" w:rsidRPr="007D2405" w:rsidRDefault="003258C9" w:rsidP="003258C9">
      <w:pPr>
        <w:spacing w:after="240"/>
        <w:ind w:left="567" w:hanging="567"/>
        <w:rPr>
          <w:b/>
        </w:rPr>
      </w:pPr>
      <w:r w:rsidRPr="007D2405">
        <w:rPr>
          <w:b/>
        </w:rPr>
        <w:t>Interinstitucionální spolupráce</w:t>
      </w:r>
    </w:p>
    <w:p w14:paraId="1592C209" w14:textId="77777777" w:rsidR="003258C9" w:rsidRPr="007D2405" w:rsidRDefault="003258C9" w:rsidP="003258C9">
      <w:pPr>
        <w:spacing w:after="240"/>
        <w:ind w:left="567" w:hanging="567"/>
      </w:pPr>
      <w:r w:rsidRPr="007D2405">
        <w:t>64.</w:t>
      </w:r>
      <w:r w:rsidRPr="007D2405">
        <w:tab/>
        <w:t>vítá rozpočtové úspory, jichž bylo dosaženo na základě spolupráce s ostatními orgány a </w:t>
      </w:r>
      <w:proofErr w:type="gramStart"/>
      <w:r w:rsidRPr="007D2405">
        <w:t>institucemi</w:t>
      </w:r>
      <w:proofErr w:type="gramEnd"/>
      <w:r w:rsidRPr="007D2405">
        <w:t xml:space="preserve"> a především prostřednictvím sdílení aplikací a hostingových služeb využívaných na základě dohod o poskytování služeb s Komisí, jakož i účastí na interinstitucionálních zadávacích řízeních, které SDEU umožnily optimalizovat náklady a zdroje;</w:t>
      </w:r>
    </w:p>
    <w:p w14:paraId="3A2A85D9" w14:textId="77777777" w:rsidR="003258C9" w:rsidRPr="007D2405" w:rsidRDefault="003258C9" w:rsidP="003258C9">
      <w:pPr>
        <w:spacing w:after="240"/>
        <w:ind w:left="567" w:hanging="567"/>
      </w:pPr>
      <w:r w:rsidRPr="007D2405">
        <w:t>65.</w:t>
      </w:r>
      <w:r w:rsidRPr="007D2405">
        <w:tab/>
        <w:t>oceňuje úsilí Evropské sítě pro justiční vzdělávání (EJTN), pokud jde o vzdělávání soudců členských států v oblasti práva EU; s uznáním konstatuje, že SDEU a Evropská síť pro justiční vzdělávání (EJTN) se v roce 2023 v souladu s prohlášením SDEU „</w:t>
      </w:r>
      <w:proofErr w:type="spellStart"/>
      <w:r w:rsidRPr="007D2405">
        <w:t>Supporting</w:t>
      </w:r>
      <w:proofErr w:type="spellEnd"/>
      <w:r w:rsidRPr="007D2405">
        <w:t xml:space="preserve"> </w:t>
      </w:r>
      <w:proofErr w:type="spellStart"/>
      <w:r w:rsidRPr="007D2405">
        <w:t>the</w:t>
      </w:r>
      <w:proofErr w:type="spellEnd"/>
      <w:r w:rsidRPr="007D2405">
        <w:t xml:space="preserve"> EJTN to </w:t>
      </w:r>
      <w:proofErr w:type="spellStart"/>
      <w:r w:rsidRPr="007D2405">
        <w:t>shape</w:t>
      </w:r>
      <w:proofErr w:type="spellEnd"/>
      <w:r w:rsidRPr="007D2405">
        <w:t xml:space="preserve"> a </w:t>
      </w:r>
      <w:proofErr w:type="spellStart"/>
      <w:r w:rsidRPr="007D2405">
        <w:t>sustainable</w:t>
      </w:r>
      <w:proofErr w:type="spellEnd"/>
      <w:r w:rsidRPr="007D2405">
        <w:t xml:space="preserve"> </w:t>
      </w:r>
      <w:proofErr w:type="spellStart"/>
      <w:r w:rsidRPr="007D2405">
        <w:t>European</w:t>
      </w:r>
      <w:proofErr w:type="spellEnd"/>
      <w:r w:rsidRPr="007D2405">
        <w:t xml:space="preserve"> </w:t>
      </w:r>
      <w:proofErr w:type="spellStart"/>
      <w:r w:rsidRPr="007D2405">
        <w:t>judicial</w:t>
      </w:r>
      <w:proofErr w:type="spellEnd"/>
      <w:r w:rsidRPr="007D2405">
        <w:t xml:space="preserve"> </w:t>
      </w:r>
      <w:proofErr w:type="spellStart"/>
      <w:r w:rsidRPr="007D2405">
        <w:t>culture</w:t>
      </w:r>
      <w:proofErr w:type="spellEnd"/>
      <w:r w:rsidRPr="007D2405">
        <w:t>“ (Podpora EJTN při vytváření udržitelné evropské soudní kultury) snažily dosáhnout co největší různorodosti dlouhodobých stážistů, aby se jejich počet nakonec zvýšil tak, že na jeden členský stát bude připadat jeden stážista; konstatuje, že přijatá opatření již byla úspěšná, neboť SDEU má stážisty z některých členských států, které se dříve tohoto programu aktivně neúčastnily; konstatuje, že v roce 2023/2024 bylo nabídnuto patnáct placených stáží; vyzývá SDEU, aby dále rozvíjel své iniciativy v oblasti sdílení znalostí, včetně společných databází judikatury a virtuálních platforem pro spolupráci, s cílem podpořit vnitrostátní soudy při složitém právním výkladu;</w:t>
      </w:r>
    </w:p>
    <w:p w14:paraId="0C5DA09D" w14:textId="77777777" w:rsidR="003258C9" w:rsidRPr="007D2405" w:rsidRDefault="003258C9" w:rsidP="003258C9">
      <w:pPr>
        <w:spacing w:after="240"/>
        <w:ind w:left="567" w:hanging="567"/>
      </w:pPr>
      <w:r w:rsidRPr="007D2405">
        <w:t>66.</w:t>
      </w:r>
      <w:r w:rsidRPr="007D2405">
        <w:tab/>
        <w:t>zdůrazňuje, že za stáže by měla být vyplácena odměna v souladu s usnesením Evropského parlamentu ze dne 14. června 2023 o kvalitních stážích v Unii (2020/2005 (INL)), které obsahuje výzvu, byly všechny stáže v Evropě placené; vítá skutečnost, že v současné době dostávají všichni stážisté na SDEU během svého pobytu grant, zejména od SDEU a v některých zvláštních případech z jiných zdrojů; bere na vědomí, že SDEU přijímá pouze několik stážistů (méně než 10 ročně) placených z jiných zdrojů, a to na krátkou dobu (v průměru 2 měsíce); vítá skutečnost, že v takových případech administrativa SDEU pečlivě kontroluje, zda tito stážisté grant, příspěvek nebo odměnu, které za tuto stáž vyplácí přímo jejich zaměstnavatel nebo akademická instituce, skutečně dostanou;</w:t>
      </w:r>
    </w:p>
    <w:p w14:paraId="7EE76526" w14:textId="77777777" w:rsidR="003258C9" w:rsidRPr="007D2405" w:rsidRDefault="003258C9" w:rsidP="003258C9">
      <w:pPr>
        <w:spacing w:after="240"/>
        <w:ind w:left="567" w:hanging="567"/>
      </w:pPr>
      <w:r w:rsidRPr="007D2405">
        <w:t>67.</w:t>
      </w:r>
      <w:r w:rsidRPr="007D2405">
        <w:tab/>
        <w:t>oceňuje, že SDEU plně spolupracuje s úřadem OLAF, Účetním dvorem, evropským inspektorem ochrany údajů a evropským veřejným ochráncem práv; konstatuje, že SDEU v roce 2023 pokračoval ve svém úsilí o udržení zavedeného dialogu s vnitrostátními soudy, zejména pak s ústavními a nejvyššími soudy, a že uspořádal řadu setkání, mimo jiné výroční setkání soudců ze členských států; vybízí k hlubší spolupráci mezi SDEU a vnitrostátními soudy s cílem posílit jednotné uplatňování práva Unie; doporučuje zavést stálý výměnný program pro soudce z členských států, kteří by pracovali se svými protějšky na SDEU, čímž by se podporovaly osvědčené postupy při výkladu práva Unie;</w:t>
      </w:r>
    </w:p>
    <w:p w14:paraId="0E2052E7" w14:textId="77777777" w:rsidR="003258C9" w:rsidRPr="007D2405" w:rsidRDefault="003258C9" w:rsidP="003258C9">
      <w:pPr>
        <w:spacing w:after="240"/>
        <w:ind w:left="567" w:hanging="567"/>
        <w:rPr>
          <w:b/>
        </w:rPr>
      </w:pPr>
      <w:r w:rsidRPr="007D2405">
        <w:rPr>
          <w:b/>
        </w:rPr>
        <w:t>Komunikační činnost</w:t>
      </w:r>
    </w:p>
    <w:p w14:paraId="09191135" w14:textId="77777777" w:rsidR="003258C9" w:rsidRPr="007D2405" w:rsidRDefault="003258C9" w:rsidP="003258C9">
      <w:pPr>
        <w:spacing w:after="240"/>
        <w:ind w:left="567" w:hanging="567"/>
      </w:pPr>
      <w:r w:rsidRPr="007D2405">
        <w:t>68.</w:t>
      </w:r>
      <w:r w:rsidRPr="007D2405">
        <w:tab/>
        <w:t>konstatuje, že SDEU v roce 2023 zintenzívnil své úsilí o komunikaci s občany Unie, neboť zvýšil svůj dosah na sociálních sítích; konstatuje, že na konci roku 2023 vzrostl oproti předchozímu roku počet registrovaných odběratelů na účtu SDEU na službě LinkedIn o 32 %, počet sledujících na dvou účtech SDEU na síti X (dříve Twitter) o 9 % a počet zobrazení na kanálu YouTube o 84,96 %;</w:t>
      </w:r>
    </w:p>
    <w:p w14:paraId="5228976D" w14:textId="342E8AA7" w:rsidR="00E365E1" w:rsidRPr="00831323" w:rsidRDefault="003258C9" w:rsidP="003258C9">
      <w:pPr>
        <w:spacing w:after="240"/>
        <w:ind w:left="567" w:hanging="567"/>
        <w:rPr>
          <w:szCs w:val="24"/>
        </w:rPr>
      </w:pPr>
      <w:r w:rsidRPr="007D2405">
        <w:t>69.</w:t>
      </w:r>
      <w:r w:rsidRPr="007D2405">
        <w:tab/>
        <w:t>vítá úsilí SDEU o posílení strategické komunikace a transparentnosti směrem k občanům Unie ohledně soudních činností SDEU, zejména pak uspořádáním dne otevřených dveří, možností navštívit SDEU, především formou zvláštních virtuálních návštěv, jichž se v roce 2023 zúčastnilo 800 studentů, a přezkumem koncipování svých tiskových zpráv a zveřejňování informací on</w:t>
      </w:r>
      <w:r>
        <w:t>-</w:t>
      </w:r>
      <w:r w:rsidRPr="007D2405">
        <w:t xml:space="preserve">line přístupným způsobem, </w:t>
      </w:r>
      <w:proofErr w:type="gramStart"/>
      <w:r w:rsidRPr="007D2405">
        <w:t>jde</w:t>
      </w:r>
      <w:r>
        <w:t xml:space="preserve"> </w:t>
      </w:r>
      <w:proofErr w:type="spellStart"/>
      <w:r>
        <w:t>-</w:t>
      </w:r>
      <w:r w:rsidRPr="007D2405">
        <w:t>li</w:t>
      </w:r>
      <w:proofErr w:type="spellEnd"/>
      <w:proofErr w:type="gramEnd"/>
      <w:r w:rsidRPr="007D2405">
        <w:t xml:space="preserve"> o záležitosti, jež jsou zajímavé pro sdělovací prostředky nebo jež mají dopad na život občanů.</w:t>
      </w:r>
    </w:p>
    <w:sectPr w:rsidR="00E365E1" w:rsidRPr="00831323" w:rsidSect="003258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695F2" w14:textId="77777777" w:rsidR="00542999" w:rsidRPr="00313AEB" w:rsidRDefault="00542999">
      <w:r w:rsidRPr="00313AEB">
        <w:separator/>
      </w:r>
    </w:p>
  </w:endnote>
  <w:endnote w:type="continuationSeparator" w:id="0">
    <w:p w14:paraId="75EF5253" w14:textId="77777777" w:rsidR="00542999" w:rsidRPr="00313AEB" w:rsidRDefault="00542999">
      <w:r w:rsidRPr="00313A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0DFD6" w14:textId="77777777" w:rsidR="00064002" w:rsidRPr="00313A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A0CB0" w14:textId="77777777" w:rsidR="00064002" w:rsidRPr="00313A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07651" w14:textId="77777777" w:rsidR="00064002" w:rsidRPr="00313A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9A4CE" w14:textId="77777777" w:rsidR="00542999" w:rsidRPr="00313AEB" w:rsidRDefault="00542999">
      <w:r w:rsidRPr="00313AEB">
        <w:separator/>
      </w:r>
    </w:p>
  </w:footnote>
  <w:footnote w:type="continuationSeparator" w:id="0">
    <w:p w14:paraId="0B8D2173" w14:textId="77777777" w:rsidR="00542999" w:rsidRPr="00313AEB" w:rsidRDefault="00542999">
      <w:r w:rsidRPr="00313AEB">
        <w:continuationSeparator/>
      </w:r>
    </w:p>
  </w:footnote>
  <w:footnote w:id="1">
    <w:p w14:paraId="3986E4F9" w14:textId="77777777" w:rsidR="003258C9" w:rsidRPr="00B72DE9" w:rsidRDefault="003258C9" w:rsidP="003258C9">
      <w:pPr>
        <w:ind w:left="567" w:hanging="567"/>
        <w:rPr>
          <w:lang w:val="fi-FI"/>
        </w:rPr>
      </w:pPr>
      <w:r w:rsidRPr="00BC7785">
        <w:rPr>
          <w:rStyle w:val="FootnoteReference"/>
        </w:rPr>
        <w:footnoteRef/>
      </w:r>
      <w:r w:rsidRPr="00B72DE9">
        <w:rPr>
          <w:lang w:val="fi-FI"/>
        </w:rPr>
        <w:t xml:space="preserve"> </w:t>
      </w:r>
      <w:r w:rsidRPr="00B72DE9">
        <w:rPr>
          <w:lang w:val="fi-FI"/>
        </w:rPr>
        <w:tab/>
      </w:r>
      <w:proofErr w:type="spellStart"/>
      <w:r w:rsidRPr="00B72DE9">
        <w:rPr>
          <w:lang w:val="fi-FI"/>
        </w:rPr>
        <w:t>Úř</w:t>
      </w:r>
      <w:proofErr w:type="spellEnd"/>
      <w:r w:rsidRPr="00B72DE9">
        <w:rPr>
          <w:lang w:val="fi-FI"/>
        </w:rPr>
        <w:t xml:space="preserve">. </w:t>
      </w:r>
      <w:proofErr w:type="spellStart"/>
      <w:r w:rsidRPr="00B72DE9">
        <w:rPr>
          <w:lang w:val="fi-FI"/>
        </w:rPr>
        <w:t>věst</w:t>
      </w:r>
      <w:proofErr w:type="spellEnd"/>
      <w:r w:rsidRPr="00B72DE9">
        <w:rPr>
          <w:lang w:val="fi-FI"/>
        </w:rPr>
        <w:t xml:space="preserve">. L 58, 23.2.2023, s. 1, ELI: </w:t>
      </w:r>
      <w:hyperlink r:id="rId1" w:tooltip="Umožňuje přístup k dokumentu prostřednictvím jeho identifikátorů URI používaným v rámci ELI." w:history="1">
        <w:r w:rsidRPr="00B72DE9">
          <w:rPr>
            <w:rStyle w:val="Hyperlink1"/>
            <w:color w:val="337AB7"/>
            <w:shd w:val="clear" w:color="auto" w:fill="FFFFFF"/>
            <w:lang w:val="fi-FI"/>
          </w:rPr>
          <w:t>http://data.europa.eu/eli/budget/2023/1/oj</w:t>
        </w:r>
      </w:hyperlink>
      <w:r w:rsidRPr="00B72DE9">
        <w:rPr>
          <w:lang w:val="fi-FI"/>
        </w:rPr>
        <w:t>.</w:t>
      </w:r>
    </w:p>
  </w:footnote>
  <w:footnote w:id="2">
    <w:p w14:paraId="070AF23D" w14:textId="77777777" w:rsidR="003258C9" w:rsidRPr="00BC7785" w:rsidRDefault="003258C9" w:rsidP="003258C9">
      <w:pPr>
        <w:pStyle w:val="FootnoteText"/>
        <w:ind w:left="567" w:hanging="567"/>
        <w:rPr>
          <w:sz w:val="24"/>
          <w:szCs w:val="24"/>
          <w:lang w:val="cs-CZ"/>
        </w:rPr>
      </w:pPr>
      <w:r w:rsidRPr="00BC7785">
        <w:rPr>
          <w:rStyle w:val="FootnoteReference"/>
          <w:sz w:val="24"/>
        </w:rPr>
        <w:footnoteRef/>
      </w:r>
      <w:r w:rsidRPr="00BC7785">
        <w:rPr>
          <w:sz w:val="24"/>
          <w:lang w:val="cs-CZ"/>
        </w:rPr>
        <w:t xml:space="preserve"> </w:t>
      </w:r>
      <w:r w:rsidRPr="007D2405">
        <w:rPr>
          <w:sz w:val="24"/>
          <w:lang w:val="cs-CZ"/>
        </w:rPr>
        <w:tab/>
      </w:r>
      <w:proofErr w:type="spellStart"/>
      <w:r w:rsidRPr="007D2405">
        <w:rPr>
          <w:sz w:val="24"/>
          <w:lang w:val="cs-CZ"/>
        </w:rPr>
        <w:t>Úř</w:t>
      </w:r>
      <w:proofErr w:type="spellEnd"/>
      <w:r w:rsidRPr="007D2405">
        <w:rPr>
          <w:sz w:val="24"/>
          <w:lang w:val="cs-CZ"/>
        </w:rPr>
        <w:t xml:space="preserve">. </w:t>
      </w:r>
      <w:proofErr w:type="spellStart"/>
      <w:r w:rsidRPr="007D2405">
        <w:rPr>
          <w:sz w:val="24"/>
          <w:lang w:val="cs-CZ"/>
        </w:rPr>
        <w:t>věst</w:t>
      </w:r>
      <w:proofErr w:type="spellEnd"/>
      <w:r w:rsidRPr="007D2405">
        <w:rPr>
          <w:sz w:val="24"/>
          <w:lang w:val="cs-CZ"/>
        </w:rPr>
        <w:t xml:space="preserve">. C, C/2024/5462, 10.10.2024, ELI: </w:t>
      </w:r>
      <w:hyperlink r:id="rId2" w:history="1">
        <w:r w:rsidRPr="007D2405">
          <w:rPr>
            <w:rStyle w:val="Hyperlink1"/>
            <w:sz w:val="24"/>
            <w:lang w:val="cs-CZ"/>
          </w:rPr>
          <w:t>http://data.europa.eu/eli/C/2024/5462/oj</w:t>
        </w:r>
      </w:hyperlink>
      <w:r w:rsidRPr="003258C9">
        <w:rPr>
          <w:sz w:val="24"/>
          <w:lang w:val="fi-FI"/>
        </w:rPr>
        <w:t>.</w:t>
      </w:r>
    </w:p>
  </w:footnote>
  <w:footnote w:id="3">
    <w:p w14:paraId="49FBB01A" w14:textId="77777777" w:rsidR="003258C9" w:rsidRPr="00BC7785" w:rsidRDefault="003258C9" w:rsidP="003258C9">
      <w:pPr>
        <w:pStyle w:val="FootnoteText"/>
        <w:ind w:left="567" w:hanging="567"/>
        <w:rPr>
          <w:sz w:val="24"/>
          <w:szCs w:val="24"/>
          <w:lang w:val="cs-CZ"/>
        </w:rPr>
      </w:pPr>
      <w:r w:rsidRPr="00BC7785">
        <w:rPr>
          <w:rStyle w:val="FootnoteReference"/>
          <w:sz w:val="24"/>
        </w:rPr>
        <w:footnoteRef/>
      </w:r>
      <w:r w:rsidRPr="00BC7785">
        <w:rPr>
          <w:sz w:val="24"/>
          <w:lang w:val="cs-CZ"/>
        </w:rPr>
        <w:t xml:space="preserve"> </w:t>
      </w:r>
      <w:r w:rsidRPr="007D2405">
        <w:rPr>
          <w:sz w:val="24"/>
          <w:lang w:val="cs-CZ"/>
        </w:rPr>
        <w:tab/>
      </w:r>
      <w:proofErr w:type="spellStart"/>
      <w:r w:rsidRPr="007D2405">
        <w:rPr>
          <w:sz w:val="24"/>
          <w:lang w:val="cs-CZ"/>
        </w:rPr>
        <w:t>Úř</w:t>
      </w:r>
      <w:proofErr w:type="spellEnd"/>
      <w:r w:rsidRPr="007D2405">
        <w:rPr>
          <w:sz w:val="24"/>
          <w:lang w:val="cs-CZ"/>
        </w:rPr>
        <w:t xml:space="preserve">. </w:t>
      </w:r>
      <w:proofErr w:type="spellStart"/>
      <w:r w:rsidRPr="007D2405">
        <w:rPr>
          <w:sz w:val="24"/>
          <w:lang w:val="cs-CZ"/>
        </w:rPr>
        <w:t>věst</w:t>
      </w:r>
      <w:proofErr w:type="spellEnd"/>
      <w:r w:rsidRPr="007D2405">
        <w:rPr>
          <w:sz w:val="24"/>
          <w:lang w:val="cs-CZ"/>
        </w:rPr>
        <w:t xml:space="preserve">. C, C/2024/5882, 9.10.2024, ELI: </w:t>
      </w:r>
      <w:hyperlink r:id="rId3" w:history="1">
        <w:r w:rsidRPr="007D2405">
          <w:rPr>
            <w:rStyle w:val="Hyperlink1"/>
            <w:sz w:val="24"/>
            <w:lang w:val="cs-CZ"/>
          </w:rPr>
          <w:t>http://data.europa.eu/eli/C/2024/5882/oj</w:t>
        </w:r>
      </w:hyperlink>
      <w:r w:rsidRPr="003258C9">
        <w:rPr>
          <w:sz w:val="24"/>
          <w:lang w:val="fi-FI"/>
        </w:rPr>
        <w:t>.</w:t>
      </w:r>
    </w:p>
  </w:footnote>
  <w:footnote w:id="4">
    <w:p w14:paraId="579FBA26" w14:textId="77777777" w:rsidR="003258C9" w:rsidRPr="00BC7785" w:rsidRDefault="003258C9" w:rsidP="003258C9">
      <w:pPr>
        <w:pStyle w:val="FootnoteText"/>
        <w:ind w:left="567" w:hanging="567"/>
        <w:rPr>
          <w:sz w:val="24"/>
          <w:szCs w:val="24"/>
          <w:lang w:val="cs-CZ"/>
        </w:rPr>
      </w:pPr>
      <w:r w:rsidRPr="00BC7785">
        <w:rPr>
          <w:rStyle w:val="FootnoteReference"/>
          <w:sz w:val="24"/>
        </w:rPr>
        <w:footnoteRef/>
      </w:r>
      <w:r w:rsidRPr="00BC7785">
        <w:rPr>
          <w:sz w:val="24"/>
          <w:lang w:val="cs-CZ"/>
        </w:rPr>
        <w:t xml:space="preserve"> </w:t>
      </w:r>
      <w:r w:rsidRPr="007D2405">
        <w:rPr>
          <w:sz w:val="24"/>
          <w:lang w:val="cs-CZ"/>
        </w:rPr>
        <w:tab/>
      </w:r>
      <w:proofErr w:type="spellStart"/>
      <w:r w:rsidRPr="007D2405">
        <w:rPr>
          <w:sz w:val="24"/>
          <w:lang w:val="cs-CZ"/>
        </w:rPr>
        <w:t>Úř</w:t>
      </w:r>
      <w:proofErr w:type="spellEnd"/>
      <w:r w:rsidRPr="007D2405">
        <w:rPr>
          <w:sz w:val="24"/>
          <w:lang w:val="cs-CZ"/>
        </w:rPr>
        <w:t xml:space="preserve">. </w:t>
      </w:r>
      <w:proofErr w:type="spellStart"/>
      <w:r w:rsidRPr="007D2405">
        <w:rPr>
          <w:sz w:val="24"/>
          <w:lang w:val="cs-CZ"/>
        </w:rPr>
        <w:t>věst</w:t>
      </w:r>
      <w:proofErr w:type="spellEnd"/>
      <w:r w:rsidRPr="007D2405">
        <w:rPr>
          <w:sz w:val="24"/>
          <w:lang w:val="cs-CZ"/>
        </w:rPr>
        <w:t xml:space="preserve">. C, C/2024/6041, 10.10.2024, ELI: </w:t>
      </w:r>
      <w:hyperlink r:id="rId4" w:history="1">
        <w:r w:rsidRPr="007D2405">
          <w:rPr>
            <w:rStyle w:val="Hyperlink1"/>
            <w:sz w:val="24"/>
            <w:lang w:val="cs-CZ"/>
          </w:rPr>
          <w:t>http://data.europa.eu/eli/C/2024/6041/oj</w:t>
        </w:r>
      </w:hyperlink>
      <w:r w:rsidRPr="003258C9">
        <w:rPr>
          <w:sz w:val="24"/>
          <w:lang w:val="fi-FI"/>
        </w:rPr>
        <w:t>.</w:t>
      </w:r>
    </w:p>
  </w:footnote>
  <w:footnote w:id="5">
    <w:p w14:paraId="25B52271" w14:textId="77777777" w:rsidR="003258C9" w:rsidRPr="00BC7785" w:rsidRDefault="003258C9" w:rsidP="003258C9">
      <w:pPr>
        <w:pStyle w:val="FootnoteText"/>
        <w:ind w:left="567" w:hanging="567"/>
        <w:rPr>
          <w:sz w:val="24"/>
          <w:szCs w:val="24"/>
          <w:lang w:val="cs-CZ"/>
        </w:rPr>
      </w:pPr>
      <w:r w:rsidRPr="00BC7785">
        <w:rPr>
          <w:rStyle w:val="FootnoteReference"/>
          <w:sz w:val="24"/>
        </w:rPr>
        <w:footnoteRef/>
      </w:r>
      <w:r w:rsidRPr="00BC7785">
        <w:rPr>
          <w:sz w:val="24"/>
          <w:lang w:val="cs-CZ"/>
        </w:rPr>
        <w:t xml:space="preserve"> </w:t>
      </w:r>
      <w:r w:rsidRPr="007D2405">
        <w:rPr>
          <w:sz w:val="24"/>
          <w:lang w:val="cs-CZ"/>
        </w:rPr>
        <w:tab/>
      </w:r>
      <w:proofErr w:type="spellStart"/>
      <w:r w:rsidRPr="007D2405">
        <w:rPr>
          <w:sz w:val="24"/>
          <w:lang w:val="cs-CZ"/>
        </w:rPr>
        <w:t>Úř</w:t>
      </w:r>
      <w:proofErr w:type="spellEnd"/>
      <w:r w:rsidRPr="007D2405">
        <w:rPr>
          <w:sz w:val="24"/>
          <w:lang w:val="cs-CZ"/>
        </w:rPr>
        <w:t xml:space="preserve">. </w:t>
      </w:r>
      <w:proofErr w:type="spellStart"/>
      <w:r w:rsidRPr="007D2405">
        <w:rPr>
          <w:sz w:val="24"/>
          <w:lang w:val="cs-CZ"/>
        </w:rPr>
        <w:t>věst</w:t>
      </w:r>
      <w:proofErr w:type="spellEnd"/>
      <w:r w:rsidRPr="007D2405">
        <w:rPr>
          <w:sz w:val="24"/>
          <w:lang w:val="cs-CZ"/>
        </w:rPr>
        <w:t xml:space="preserve">. L 193, 30.7.2018, s. 1, ELI: </w:t>
      </w:r>
      <w:hyperlink r:id="rId5" w:history="1">
        <w:r w:rsidRPr="007D2405">
          <w:rPr>
            <w:rStyle w:val="Hyperlink1"/>
            <w:sz w:val="24"/>
            <w:lang w:val="cs-CZ"/>
          </w:rPr>
          <w:t>http://data.europa.eu/eli/reg/2018/1046/oj</w:t>
        </w:r>
      </w:hyperlink>
      <w:r w:rsidRPr="003258C9">
        <w:rPr>
          <w:sz w:val="24"/>
          <w:lang w:val="fi-FI"/>
        </w:rPr>
        <w:t>.</w:t>
      </w:r>
    </w:p>
  </w:footnote>
  <w:footnote w:id="6">
    <w:p w14:paraId="30F70C56" w14:textId="77777777" w:rsidR="003258C9" w:rsidRPr="00BC7785" w:rsidRDefault="003258C9" w:rsidP="003258C9">
      <w:pPr>
        <w:pStyle w:val="FootnoteText"/>
        <w:ind w:left="567" w:hanging="567"/>
        <w:rPr>
          <w:sz w:val="24"/>
          <w:szCs w:val="24"/>
          <w:lang w:val="cs-CZ"/>
        </w:rPr>
      </w:pPr>
      <w:r w:rsidRPr="00BC7785">
        <w:rPr>
          <w:rStyle w:val="FootnoteReference"/>
          <w:sz w:val="24"/>
        </w:rPr>
        <w:footnoteRef/>
      </w:r>
      <w:r w:rsidRPr="00BC7785">
        <w:rPr>
          <w:sz w:val="24"/>
          <w:lang w:val="cs-CZ"/>
        </w:rPr>
        <w:t xml:space="preserve"> </w:t>
      </w:r>
      <w:r w:rsidRPr="007D2405">
        <w:rPr>
          <w:sz w:val="24"/>
          <w:lang w:val="cs-CZ"/>
        </w:rPr>
        <w:tab/>
      </w:r>
      <w:proofErr w:type="spellStart"/>
      <w:r w:rsidRPr="007D2405">
        <w:rPr>
          <w:sz w:val="24"/>
          <w:lang w:val="cs-CZ"/>
        </w:rPr>
        <w:t>Úř</w:t>
      </w:r>
      <w:proofErr w:type="spellEnd"/>
      <w:r w:rsidRPr="007D2405">
        <w:rPr>
          <w:sz w:val="24"/>
          <w:lang w:val="cs-CZ"/>
        </w:rPr>
        <w:t>. </w:t>
      </w:r>
      <w:proofErr w:type="spellStart"/>
      <w:r w:rsidRPr="007D2405">
        <w:rPr>
          <w:sz w:val="24"/>
          <w:lang w:val="cs-CZ"/>
        </w:rPr>
        <w:t>věst</w:t>
      </w:r>
      <w:proofErr w:type="spellEnd"/>
      <w:r w:rsidRPr="007D2405">
        <w:rPr>
          <w:sz w:val="24"/>
          <w:lang w:val="cs-CZ"/>
        </w:rPr>
        <w:t xml:space="preserve">. L, 2024/2509, 26.9.2024, ELI: </w:t>
      </w:r>
      <w:hyperlink r:id="rId6" w:history="1">
        <w:r w:rsidRPr="007D2405">
          <w:rPr>
            <w:rStyle w:val="Hyperlink1"/>
            <w:sz w:val="24"/>
            <w:lang w:val="cs-CZ"/>
          </w:rPr>
          <w:t>http://data.europa.eu/eli/reg/2024/2509/oj</w:t>
        </w:r>
      </w:hyperlink>
      <w:r w:rsidRPr="007D2405">
        <w:rPr>
          <w:sz w:val="24"/>
          <w:szCs w:val="24"/>
          <w:lang w:val="cs-CZ"/>
        </w:rPr>
        <w:t>.</w:t>
      </w:r>
    </w:p>
  </w:footnote>
  <w:footnote w:id="7">
    <w:p w14:paraId="10A11D6E" w14:textId="77777777" w:rsidR="003258C9" w:rsidRPr="00D53F7E" w:rsidRDefault="003258C9" w:rsidP="003258C9">
      <w:pPr>
        <w:pStyle w:val="FootnoteText"/>
        <w:ind w:left="567" w:hanging="567"/>
        <w:rPr>
          <w:sz w:val="24"/>
          <w:lang w:val="cs-CZ"/>
        </w:rPr>
      </w:pPr>
      <w:r w:rsidRPr="00D53F7E">
        <w:rPr>
          <w:rStyle w:val="FootnoteReference"/>
          <w:sz w:val="24"/>
        </w:rPr>
        <w:footnoteRef/>
      </w:r>
      <w:r w:rsidRPr="007D2405">
        <w:rPr>
          <w:sz w:val="24"/>
          <w:lang w:val="cs-CZ"/>
        </w:rPr>
        <w:tab/>
        <w:t>Nařízení Evropského parlamentu a Rady (EU, Euratom) 2024/2019 ze dne 11. dubna 2024, kterým se mění Protokol č. 3 o statutu Soudního dvora Evropské unie (</w:t>
      </w:r>
      <w:proofErr w:type="spellStart"/>
      <w:r w:rsidRPr="007D2405">
        <w:rPr>
          <w:sz w:val="24"/>
          <w:lang w:val="cs-CZ"/>
        </w:rPr>
        <w:t>Úř</w:t>
      </w:r>
      <w:proofErr w:type="spellEnd"/>
      <w:r w:rsidRPr="007D2405">
        <w:rPr>
          <w:sz w:val="24"/>
          <w:lang w:val="cs-CZ"/>
        </w:rPr>
        <w:t xml:space="preserve">. </w:t>
      </w:r>
      <w:proofErr w:type="spellStart"/>
      <w:r w:rsidRPr="007D2405">
        <w:rPr>
          <w:sz w:val="24"/>
          <w:lang w:val="cs-CZ"/>
        </w:rPr>
        <w:t>věst</w:t>
      </w:r>
      <w:proofErr w:type="spellEnd"/>
      <w:r w:rsidRPr="007D2405">
        <w:rPr>
          <w:sz w:val="24"/>
          <w:lang w:val="cs-CZ"/>
        </w:rPr>
        <w:t xml:space="preserve">. L, 2024/2019, 12.8.2024, ELI: </w:t>
      </w:r>
      <w:hyperlink r:id="rId7" w:history="1">
        <w:r w:rsidRPr="007D2405">
          <w:rPr>
            <w:rStyle w:val="Hyperlink"/>
            <w:sz w:val="24"/>
            <w:lang w:val="cs-CZ"/>
          </w:rPr>
          <w:t>http://data.europa.eu/eli/reg/2024/2019/oj</w:t>
        </w:r>
      </w:hyperlink>
      <w:r w:rsidRPr="007D2405">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0A800" w14:textId="77777777" w:rsidR="00064002" w:rsidRPr="00313A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36D2" w14:textId="77777777" w:rsidR="00064002" w:rsidRPr="00313A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DFDE" w14:textId="77777777" w:rsidR="00064002" w:rsidRPr="00313A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num w:numId="1" w16cid:durableId="204373021">
    <w:abstractNumId w:val="9"/>
  </w:num>
  <w:num w:numId="2" w16cid:durableId="1933467852">
    <w:abstractNumId w:val="9"/>
  </w:num>
  <w:num w:numId="3" w16cid:durableId="572932289">
    <w:abstractNumId w:val="7"/>
  </w:num>
  <w:num w:numId="4" w16cid:durableId="1806501991">
    <w:abstractNumId w:val="7"/>
  </w:num>
  <w:num w:numId="5" w16cid:durableId="190926086">
    <w:abstractNumId w:val="6"/>
  </w:num>
  <w:num w:numId="6" w16cid:durableId="1878933816">
    <w:abstractNumId w:val="6"/>
  </w:num>
  <w:num w:numId="7" w16cid:durableId="1951623923">
    <w:abstractNumId w:val="5"/>
  </w:num>
  <w:num w:numId="8" w16cid:durableId="1158377171">
    <w:abstractNumId w:val="5"/>
  </w:num>
  <w:num w:numId="9" w16cid:durableId="1183082581">
    <w:abstractNumId w:val="4"/>
  </w:num>
  <w:num w:numId="10" w16cid:durableId="1441221146">
    <w:abstractNumId w:val="4"/>
  </w:num>
  <w:num w:numId="11" w16cid:durableId="1719235146">
    <w:abstractNumId w:val="8"/>
  </w:num>
  <w:num w:numId="12" w16cid:durableId="276571413">
    <w:abstractNumId w:val="8"/>
  </w:num>
  <w:num w:numId="13" w16cid:durableId="2087991720">
    <w:abstractNumId w:val="3"/>
  </w:num>
  <w:num w:numId="14" w16cid:durableId="812797600">
    <w:abstractNumId w:val="3"/>
  </w:num>
  <w:num w:numId="15" w16cid:durableId="1699240233">
    <w:abstractNumId w:val="2"/>
  </w:num>
  <w:num w:numId="16" w16cid:durableId="290523228">
    <w:abstractNumId w:val="2"/>
  </w:num>
  <w:num w:numId="17" w16cid:durableId="365176699">
    <w:abstractNumId w:val="1"/>
  </w:num>
  <w:num w:numId="18" w16cid:durableId="106052074">
    <w:abstractNumId w:val="1"/>
  </w:num>
  <w:num w:numId="19" w16cid:durableId="790630757">
    <w:abstractNumId w:val="0"/>
  </w:num>
  <w:num w:numId="20" w16cid:durableId="292248067">
    <w:abstractNumId w:val="0"/>
  </w:num>
  <w:num w:numId="21" w16cid:durableId="442384058">
    <w:abstractNumId w:val="9"/>
  </w:num>
  <w:num w:numId="22" w16cid:durableId="1334452134">
    <w:abstractNumId w:val="7"/>
  </w:num>
  <w:num w:numId="23" w16cid:durableId="822627820">
    <w:abstractNumId w:val="6"/>
  </w:num>
  <w:num w:numId="24" w16cid:durableId="1499729266">
    <w:abstractNumId w:val="5"/>
  </w:num>
  <w:num w:numId="25" w16cid:durableId="1951357351">
    <w:abstractNumId w:val="4"/>
  </w:num>
  <w:num w:numId="26" w16cid:durableId="1584412436">
    <w:abstractNumId w:val="8"/>
  </w:num>
  <w:num w:numId="27" w16cid:durableId="1899318688">
    <w:abstractNumId w:val="3"/>
  </w:num>
  <w:num w:numId="28" w16cid:durableId="1803888206">
    <w:abstractNumId w:val="2"/>
  </w:num>
  <w:num w:numId="29" w16cid:durableId="1023164899">
    <w:abstractNumId w:val="1"/>
  </w:num>
  <w:num w:numId="30" w16cid:durableId="70154246">
    <w:abstractNumId w:val="0"/>
  </w:num>
  <w:num w:numId="31" w16cid:durableId="1723559233">
    <w:abstractNumId w:val="9"/>
  </w:num>
  <w:num w:numId="32" w16cid:durableId="701830666">
    <w:abstractNumId w:val="7"/>
  </w:num>
  <w:num w:numId="33" w16cid:durableId="2020617507">
    <w:abstractNumId w:val="6"/>
  </w:num>
  <w:num w:numId="34" w16cid:durableId="71006464">
    <w:abstractNumId w:val="5"/>
  </w:num>
  <w:num w:numId="35" w16cid:durableId="527135211">
    <w:abstractNumId w:val="4"/>
  </w:num>
  <w:num w:numId="36" w16cid:durableId="1943150634">
    <w:abstractNumId w:val="8"/>
  </w:num>
  <w:num w:numId="37" w16cid:durableId="1971858964">
    <w:abstractNumId w:val="3"/>
  </w:num>
  <w:num w:numId="38" w16cid:durableId="1590431087">
    <w:abstractNumId w:val="2"/>
  </w:num>
  <w:num w:numId="39" w16cid:durableId="1488090911">
    <w:abstractNumId w:val="1"/>
  </w:num>
  <w:num w:numId="40" w16cid:durableId="689376371">
    <w:abstractNumId w:val="0"/>
  </w:num>
  <w:num w:numId="41" w16cid:durableId="1058818849">
    <w:abstractNumId w:val="10"/>
  </w:num>
  <w:num w:numId="42" w16cid:durableId="1023820952">
    <w:abstractNumId w:val="10"/>
  </w:num>
  <w:num w:numId="43" w16cid:durableId="1563522788">
    <w:abstractNumId w:val="10"/>
  </w:num>
  <w:num w:numId="44" w16cid:durableId="844129355">
    <w:abstractNumId w:val="12"/>
  </w:num>
  <w:num w:numId="45" w16cid:durableId="2138447311">
    <w:abstractNumId w:val="13"/>
  </w:num>
  <w:num w:numId="46" w16cid:durableId="2520514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CS"/>
    <w:docVar w:name="dvnumam" w:val="0"/>
    <w:docVar w:name="dvpe" w:val="764.996"/>
    <w:docVar w:name="dvrapporteur" w:val="Zpravodaj: "/>
    <w:docVar w:name="dvtitre" w:val="Rozhodnutí Evropského parlamentu ze dne 7. května 2025 o udělení absolutoria za plnění souhrnného rozpočtu Evropské unie na rozpočtový rok 2023, oddíl IV – Soudní dvůr(2024/2022(DEC))"/>
  </w:docVars>
  <w:rsids>
    <w:rsidRoot w:val="00542999"/>
    <w:rsid w:val="00002272"/>
    <w:rsid w:val="00032834"/>
    <w:rsid w:val="0005371A"/>
    <w:rsid w:val="00064002"/>
    <w:rsid w:val="000677B9"/>
    <w:rsid w:val="000831BA"/>
    <w:rsid w:val="000A42CC"/>
    <w:rsid w:val="000E7DD9"/>
    <w:rsid w:val="0010095E"/>
    <w:rsid w:val="00125B37"/>
    <w:rsid w:val="00187494"/>
    <w:rsid w:val="001F32AE"/>
    <w:rsid w:val="002767FF"/>
    <w:rsid w:val="002B18FE"/>
    <w:rsid w:val="002B5493"/>
    <w:rsid w:val="00313AEB"/>
    <w:rsid w:val="003258C9"/>
    <w:rsid w:val="00343214"/>
    <w:rsid w:val="00361C00"/>
    <w:rsid w:val="00395FA1"/>
    <w:rsid w:val="00397CD1"/>
    <w:rsid w:val="003E15D4"/>
    <w:rsid w:val="00411CCE"/>
    <w:rsid w:val="0041666E"/>
    <w:rsid w:val="00421060"/>
    <w:rsid w:val="00471C19"/>
    <w:rsid w:val="004867E3"/>
    <w:rsid w:val="00494A28"/>
    <w:rsid w:val="004C0004"/>
    <w:rsid w:val="004C5D52"/>
    <w:rsid w:val="004D5490"/>
    <w:rsid w:val="0050519A"/>
    <w:rsid w:val="005071AB"/>
    <w:rsid w:val="005072A1"/>
    <w:rsid w:val="00514517"/>
    <w:rsid w:val="005361D9"/>
    <w:rsid w:val="00542999"/>
    <w:rsid w:val="00545827"/>
    <w:rsid w:val="00560270"/>
    <w:rsid w:val="005C2568"/>
    <w:rsid w:val="005D236A"/>
    <w:rsid w:val="005F1B17"/>
    <w:rsid w:val="006037C0"/>
    <w:rsid w:val="00634EFE"/>
    <w:rsid w:val="006631B6"/>
    <w:rsid w:val="00680577"/>
    <w:rsid w:val="006F74FA"/>
    <w:rsid w:val="00731ADD"/>
    <w:rsid w:val="00734777"/>
    <w:rsid w:val="00747932"/>
    <w:rsid w:val="00751A4A"/>
    <w:rsid w:val="00756632"/>
    <w:rsid w:val="00762C74"/>
    <w:rsid w:val="00786EC0"/>
    <w:rsid w:val="007D1690"/>
    <w:rsid w:val="007E22AD"/>
    <w:rsid w:val="00817416"/>
    <w:rsid w:val="00831323"/>
    <w:rsid w:val="00842779"/>
    <w:rsid w:val="00865F67"/>
    <w:rsid w:val="00881A7B"/>
    <w:rsid w:val="008840E5"/>
    <w:rsid w:val="00887B3E"/>
    <w:rsid w:val="008A7867"/>
    <w:rsid w:val="008B5EE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259"/>
    <w:rsid w:val="00C61C0C"/>
    <w:rsid w:val="00C941CB"/>
    <w:rsid w:val="00CC2357"/>
    <w:rsid w:val="00CF071A"/>
    <w:rsid w:val="00D058B8"/>
    <w:rsid w:val="00D25C50"/>
    <w:rsid w:val="00D56C11"/>
    <w:rsid w:val="00D734AC"/>
    <w:rsid w:val="00D834A0"/>
    <w:rsid w:val="00D872DF"/>
    <w:rsid w:val="00D91E21"/>
    <w:rsid w:val="00DA7FCD"/>
    <w:rsid w:val="00DC2F42"/>
    <w:rsid w:val="00E365E1"/>
    <w:rsid w:val="00E820A4"/>
    <w:rsid w:val="00EA1BED"/>
    <w:rsid w:val="00EB006A"/>
    <w:rsid w:val="00EB4772"/>
    <w:rsid w:val="00ED169E"/>
    <w:rsid w:val="00ED4235"/>
    <w:rsid w:val="00F04346"/>
    <w:rsid w:val="00F075DC"/>
    <w:rsid w:val="00F149E9"/>
    <w:rsid w:val="00F5134D"/>
    <w:rsid w:val="00F7403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A0CB1"/>
  <w15:chartTrackingRefBased/>
  <w15:docId w15:val="{4AC137CD-B3AA-48DC-887D-DEA03BD01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A1BED"/>
    <w:rPr>
      <w:b/>
      <w:kern w:val="28"/>
      <w:sz w:val="28"/>
      <w:lang w:val="fr-FR" w:eastAsia="fr-FR"/>
    </w:rPr>
  </w:style>
  <w:style w:type="character" w:customStyle="1" w:styleId="Heading2Char">
    <w:name w:val="Heading 2 Char"/>
    <w:basedOn w:val="DefaultParagraphFont"/>
    <w:link w:val="Heading2"/>
    <w:semiHidden/>
    <w:rsid w:val="00EA1BED"/>
    <w:rPr>
      <w:sz w:val="24"/>
      <w:lang w:val="fr-FR" w:eastAsia="fr-FR"/>
    </w:rPr>
  </w:style>
  <w:style w:type="character" w:customStyle="1" w:styleId="Heading3Char">
    <w:name w:val="Heading 3 Char"/>
    <w:basedOn w:val="DefaultParagraphFont"/>
    <w:link w:val="Heading3"/>
    <w:semiHidden/>
    <w:rsid w:val="00EA1BED"/>
    <w:rPr>
      <w:rFonts w:ascii="Arial" w:hAnsi="Arial"/>
      <w:sz w:val="24"/>
      <w:lang w:val="fr-FR" w:eastAsia="fr-FR"/>
    </w:rPr>
  </w:style>
  <w:style w:type="character" w:customStyle="1" w:styleId="Heading4Char">
    <w:name w:val="Heading 4 Char"/>
    <w:basedOn w:val="DefaultParagraphFont"/>
    <w:link w:val="Heading4"/>
    <w:semiHidden/>
    <w:rsid w:val="00EA1BED"/>
    <w:rPr>
      <w:sz w:val="24"/>
      <w:lang w:val="en-US" w:eastAsia="fr-FR"/>
    </w:rPr>
  </w:style>
  <w:style w:type="character" w:customStyle="1" w:styleId="Heading5Char">
    <w:name w:val="Heading 5 Char"/>
    <w:basedOn w:val="DefaultParagraphFont"/>
    <w:link w:val="Heading5"/>
    <w:semiHidden/>
    <w:rsid w:val="00EA1BED"/>
    <w:rPr>
      <w:sz w:val="24"/>
      <w:lang w:val="en-US" w:eastAsia="fr-FR"/>
    </w:rPr>
  </w:style>
  <w:style w:type="character" w:customStyle="1" w:styleId="Heading6Char">
    <w:name w:val="Heading 6 Char"/>
    <w:basedOn w:val="DefaultParagraphFont"/>
    <w:link w:val="Heading6"/>
    <w:semiHidden/>
    <w:rsid w:val="00EA1BED"/>
    <w:rPr>
      <w:i/>
      <w:sz w:val="22"/>
      <w:lang w:val="cs-CZ"/>
    </w:rPr>
  </w:style>
  <w:style w:type="character" w:customStyle="1" w:styleId="Heading7Char">
    <w:name w:val="Heading 7 Char"/>
    <w:basedOn w:val="DefaultParagraphFont"/>
    <w:link w:val="Heading7"/>
    <w:semiHidden/>
    <w:rsid w:val="00EA1BED"/>
    <w:rPr>
      <w:rFonts w:ascii="Arial" w:hAnsi="Arial"/>
      <w:sz w:val="24"/>
      <w:lang w:val="cs-CZ"/>
    </w:rPr>
  </w:style>
  <w:style w:type="character" w:customStyle="1" w:styleId="Heading8Char">
    <w:name w:val="Heading 8 Char"/>
    <w:basedOn w:val="DefaultParagraphFont"/>
    <w:link w:val="Heading8"/>
    <w:semiHidden/>
    <w:rsid w:val="00EA1BED"/>
    <w:rPr>
      <w:rFonts w:ascii="Arial" w:hAnsi="Arial"/>
      <w:i/>
      <w:sz w:val="24"/>
      <w:lang w:val="cs-CZ"/>
    </w:rPr>
  </w:style>
  <w:style w:type="character" w:customStyle="1" w:styleId="Heading9Char">
    <w:name w:val="Heading 9 Char"/>
    <w:basedOn w:val="DefaultParagraphFont"/>
    <w:link w:val="Heading9"/>
    <w:semiHidden/>
    <w:rsid w:val="00EA1BED"/>
    <w:rPr>
      <w:rFonts w:ascii="Arial" w:hAnsi="Arial"/>
      <w:b/>
      <w:i/>
      <w:sz w:val="18"/>
      <w:lang w:val="cs-CZ"/>
    </w:rPr>
  </w:style>
  <w:style w:type="paragraph" w:styleId="TOCHeading">
    <w:name w:val="TOC Heading"/>
    <w:basedOn w:val="Normal"/>
    <w:next w:val="Normal"/>
    <w:unhideWhenUsed/>
    <w:qFormat/>
    <w:rsid w:val="00EA1BED"/>
    <w:pPr>
      <w:widowControl/>
      <w:spacing w:after="240"/>
    </w:pPr>
    <w:rPr>
      <w:lang w:val="en-GB"/>
    </w:rPr>
  </w:style>
  <w:style w:type="paragraph" w:customStyle="1" w:styleId="EPFooter2">
    <w:name w:val="EPFooter2"/>
    <w:basedOn w:val="Normal"/>
    <w:next w:val="Normal"/>
    <w:rsid w:val="00EA1BE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1BED"/>
    <w:pPr>
      <w:spacing w:before="480" w:after="240"/>
    </w:pPr>
  </w:style>
  <w:style w:type="paragraph" w:customStyle="1" w:styleId="TOCPage">
    <w:name w:val="TOC Page"/>
    <w:basedOn w:val="Normal"/>
    <w:next w:val="TOC1"/>
    <w:rsid w:val="00EA1BED"/>
    <w:pPr>
      <w:keepNext/>
      <w:spacing w:after="240"/>
      <w:jc w:val="right"/>
    </w:pPr>
    <w:rPr>
      <w:rFonts w:ascii="Arial" w:hAnsi="Arial"/>
      <w:b/>
    </w:rPr>
  </w:style>
  <w:style w:type="paragraph" w:customStyle="1" w:styleId="PageHeading">
    <w:name w:val="PageHeading"/>
    <w:basedOn w:val="Normal"/>
    <w:rsid w:val="00EA1BED"/>
    <w:pPr>
      <w:keepNext/>
      <w:spacing w:after="480"/>
      <w:jc w:val="center"/>
    </w:pPr>
    <w:rPr>
      <w:rFonts w:ascii="Arial" w:hAnsi="Arial" w:cs="Arial"/>
      <w:b/>
    </w:rPr>
  </w:style>
  <w:style w:type="paragraph" w:customStyle="1" w:styleId="NormalBold">
    <w:name w:val="NormalBold"/>
    <w:basedOn w:val="Normal"/>
    <w:rsid w:val="00EA1BED"/>
    <w:rPr>
      <w:b/>
    </w:rPr>
  </w:style>
  <w:style w:type="paragraph" w:customStyle="1" w:styleId="NormalHanging12a">
    <w:name w:val="NormalHanging12a"/>
    <w:basedOn w:val="Normal"/>
    <w:link w:val="NormalHanging12aChar"/>
    <w:qFormat/>
    <w:rsid w:val="00EA1BED"/>
    <w:pPr>
      <w:spacing w:after="240"/>
      <w:ind w:left="567" w:hanging="567"/>
    </w:pPr>
  </w:style>
  <w:style w:type="paragraph" w:customStyle="1" w:styleId="CoverNormal24a">
    <w:name w:val="CoverNormal24a"/>
    <w:basedOn w:val="Normal"/>
    <w:rsid w:val="00EA1BED"/>
    <w:pPr>
      <w:spacing w:after="480"/>
      <w:ind w:left="1417"/>
    </w:pPr>
  </w:style>
  <w:style w:type="paragraph" w:customStyle="1" w:styleId="CoverNormal">
    <w:name w:val="CoverNormal"/>
    <w:basedOn w:val="Normal"/>
    <w:rsid w:val="00EA1BED"/>
    <w:pPr>
      <w:ind w:left="1418"/>
    </w:pPr>
  </w:style>
  <w:style w:type="paragraph" w:customStyle="1" w:styleId="CoverReference">
    <w:name w:val="CoverReference"/>
    <w:basedOn w:val="Normal"/>
    <w:rsid w:val="00EA1BED"/>
    <w:pPr>
      <w:spacing w:before="1080"/>
      <w:jc w:val="right"/>
    </w:pPr>
    <w:rPr>
      <w:rFonts w:ascii="Arial" w:hAnsi="Arial" w:cs="Arial"/>
      <w:b/>
    </w:rPr>
  </w:style>
  <w:style w:type="paragraph" w:customStyle="1" w:styleId="CoverDocType24a">
    <w:name w:val="CoverDocType24a"/>
    <w:basedOn w:val="Normal"/>
    <w:rsid w:val="00EA1BED"/>
    <w:pPr>
      <w:spacing w:after="480"/>
      <w:ind w:left="1418"/>
    </w:pPr>
    <w:rPr>
      <w:rFonts w:ascii="Arial" w:hAnsi="Arial"/>
      <w:b/>
      <w:sz w:val="48"/>
    </w:rPr>
  </w:style>
  <w:style w:type="paragraph" w:customStyle="1" w:styleId="CoverDate">
    <w:name w:val="CoverDate"/>
    <w:basedOn w:val="Normal"/>
    <w:rsid w:val="00EA1BED"/>
    <w:pPr>
      <w:spacing w:before="240" w:after="1200"/>
    </w:pPr>
  </w:style>
  <w:style w:type="paragraph" w:styleId="Header">
    <w:name w:val="header"/>
    <w:basedOn w:val="Normal"/>
    <w:link w:val="HeaderChar"/>
    <w:rsid w:val="00EA1BED"/>
    <w:pPr>
      <w:tabs>
        <w:tab w:val="center" w:pos="4513"/>
        <w:tab w:val="right" w:pos="9026"/>
      </w:tabs>
    </w:pPr>
  </w:style>
  <w:style w:type="character" w:customStyle="1" w:styleId="HeaderChar">
    <w:name w:val="Header Char"/>
    <w:basedOn w:val="DefaultParagraphFont"/>
    <w:link w:val="Header"/>
    <w:rsid w:val="00EA1BED"/>
    <w:rPr>
      <w:sz w:val="24"/>
      <w:lang w:val="cs-CZ"/>
    </w:rPr>
  </w:style>
  <w:style w:type="paragraph" w:customStyle="1" w:styleId="EPBody">
    <w:name w:val="EPBody"/>
    <w:basedOn w:val="Normal"/>
    <w:rsid w:val="00EA1BED"/>
    <w:pPr>
      <w:jc w:val="center"/>
    </w:pPr>
    <w:rPr>
      <w:rFonts w:ascii="Arial" w:hAnsi="Arial" w:cs="Arial"/>
      <w:i/>
      <w:sz w:val="22"/>
      <w:szCs w:val="22"/>
    </w:rPr>
  </w:style>
  <w:style w:type="paragraph" w:customStyle="1" w:styleId="EPFooter">
    <w:name w:val="EPFooter"/>
    <w:basedOn w:val="Normal"/>
    <w:rsid w:val="00EA1BED"/>
    <w:pPr>
      <w:tabs>
        <w:tab w:val="center" w:pos="4535"/>
        <w:tab w:val="right" w:pos="9071"/>
      </w:tabs>
      <w:spacing w:before="240" w:after="240"/>
    </w:pPr>
    <w:rPr>
      <w:color w:val="010000"/>
      <w:sz w:val="22"/>
    </w:rPr>
  </w:style>
  <w:style w:type="character" w:styleId="Hyperlink">
    <w:name w:val="Hyperlink"/>
    <w:basedOn w:val="DefaultParagraphFont"/>
    <w:uiPriority w:val="99"/>
    <w:rsid w:val="00EA1BED"/>
    <w:rPr>
      <w:color w:val="0563C1" w:themeColor="hyperlink"/>
      <w:u w:val="single"/>
    </w:rPr>
  </w:style>
  <w:style w:type="character" w:customStyle="1" w:styleId="NormalHanging12aChar">
    <w:name w:val="NormalHanging12a Char"/>
    <w:basedOn w:val="DefaultParagraphFont"/>
    <w:link w:val="NormalHanging12a"/>
    <w:locked/>
    <w:rsid w:val="00EA1BED"/>
    <w:rPr>
      <w:sz w:val="24"/>
      <w:lang w:val="cs-CZ"/>
    </w:rPr>
  </w:style>
  <w:style w:type="paragraph" w:styleId="Footer">
    <w:name w:val="footer"/>
    <w:basedOn w:val="Normal"/>
    <w:link w:val="FooterChar"/>
    <w:rsid w:val="00EA1BED"/>
    <w:pPr>
      <w:tabs>
        <w:tab w:val="center" w:pos="4513"/>
        <w:tab w:val="right" w:pos="9026"/>
      </w:tabs>
    </w:pPr>
  </w:style>
  <w:style w:type="character" w:customStyle="1" w:styleId="FooterChar">
    <w:name w:val="Footer Char"/>
    <w:basedOn w:val="DefaultParagraphFont"/>
    <w:link w:val="Footer"/>
    <w:rsid w:val="00EA1BED"/>
    <w:rPr>
      <w:sz w:val="24"/>
      <w:lang w:val="cs-CZ"/>
    </w:rPr>
  </w:style>
  <w:style w:type="paragraph" w:styleId="BalloonText">
    <w:name w:val="Balloon Text"/>
    <w:basedOn w:val="Normal"/>
    <w:link w:val="BalloonTextChar"/>
    <w:unhideWhenUsed/>
    <w:rsid w:val="00EA1BED"/>
    <w:rPr>
      <w:rFonts w:ascii="Segoe UI" w:hAnsi="Segoe UI" w:cs="Segoe UI"/>
      <w:sz w:val="18"/>
      <w:szCs w:val="18"/>
    </w:rPr>
  </w:style>
  <w:style w:type="character" w:customStyle="1" w:styleId="BalloonTextChar">
    <w:name w:val="Balloon Text Char"/>
    <w:basedOn w:val="DefaultParagraphFont"/>
    <w:link w:val="BalloonText"/>
    <w:rsid w:val="00EA1BED"/>
    <w:rPr>
      <w:rFonts w:ascii="Segoe UI" w:hAnsi="Segoe UI" w:cs="Segoe UI"/>
      <w:sz w:val="18"/>
      <w:szCs w:val="18"/>
      <w:lang w:val="cs-CZ"/>
    </w:rPr>
  </w:style>
  <w:style w:type="character" w:styleId="CommentReference">
    <w:name w:val="annotation reference"/>
    <w:basedOn w:val="DefaultParagraphFont"/>
    <w:uiPriority w:val="99"/>
    <w:rsid w:val="00EA1BED"/>
    <w:rPr>
      <w:sz w:val="16"/>
      <w:szCs w:val="16"/>
    </w:rPr>
  </w:style>
  <w:style w:type="paragraph" w:styleId="CommentText">
    <w:name w:val="annotation text"/>
    <w:basedOn w:val="Normal"/>
    <w:link w:val="CommentTextChar"/>
    <w:uiPriority w:val="99"/>
    <w:rsid w:val="00EA1BED"/>
    <w:rPr>
      <w:sz w:val="20"/>
    </w:rPr>
  </w:style>
  <w:style w:type="character" w:customStyle="1" w:styleId="CommentTextChar">
    <w:name w:val="Comment Text Char"/>
    <w:basedOn w:val="DefaultParagraphFont"/>
    <w:link w:val="CommentText"/>
    <w:uiPriority w:val="99"/>
    <w:rsid w:val="00EA1BED"/>
    <w:rPr>
      <w:lang w:val="cs-CZ"/>
    </w:rPr>
  </w:style>
  <w:style w:type="paragraph" w:styleId="CommentSubject">
    <w:name w:val="annotation subject"/>
    <w:basedOn w:val="CommentText"/>
    <w:next w:val="CommentText"/>
    <w:link w:val="CommentSubjectChar"/>
    <w:unhideWhenUsed/>
    <w:rsid w:val="00EA1BED"/>
    <w:rPr>
      <w:b/>
      <w:bCs/>
    </w:rPr>
  </w:style>
  <w:style w:type="character" w:customStyle="1" w:styleId="CommentSubjectChar">
    <w:name w:val="Comment Subject Char"/>
    <w:basedOn w:val="CommentTextChar"/>
    <w:link w:val="CommentSubject"/>
    <w:rsid w:val="00EA1BED"/>
    <w:rPr>
      <w:b/>
      <w:bCs/>
      <w:lang w:val="cs-CZ"/>
    </w:rPr>
  </w:style>
  <w:style w:type="paragraph" w:styleId="Subtitle">
    <w:name w:val="Subtitle"/>
    <w:basedOn w:val="Normal"/>
    <w:next w:val="Normal"/>
    <w:link w:val="SubtitleChar"/>
    <w:qFormat/>
    <w:rsid w:val="00EA1BED"/>
    <w:pPr>
      <w:numPr>
        <w:ilvl w:val="1"/>
      </w:numPr>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rsid w:val="00EA1BED"/>
    <w:rPr>
      <w:rFonts w:asciiTheme="majorHAnsi" w:eastAsiaTheme="majorEastAsia" w:hAnsiTheme="majorHAnsi" w:cstheme="majorBidi"/>
      <w:i/>
      <w:iCs/>
      <w:color w:val="5B9BD5" w:themeColor="accent1"/>
      <w:spacing w:val="15"/>
      <w:sz w:val="24"/>
      <w:szCs w:val="24"/>
      <w:lang w:val="cs-CZ"/>
    </w:rPr>
  </w:style>
  <w:style w:type="paragraph" w:customStyle="1" w:styleId="Normal24a">
    <w:name w:val="Normal24a"/>
    <w:basedOn w:val="Normal"/>
    <w:rsid w:val="00EA1BED"/>
    <w:pPr>
      <w:spacing w:after="480"/>
    </w:pPr>
  </w:style>
  <w:style w:type="paragraph" w:customStyle="1" w:styleId="NormalBoldCenter">
    <w:name w:val="NormalBoldCenter"/>
    <w:basedOn w:val="Normal"/>
    <w:rsid w:val="00EA1BED"/>
    <w:pPr>
      <w:jc w:val="center"/>
    </w:pPr>
    <w:rPr>
      <w:b/>
    </w:rPr>
  </w:style>
  <w:style w:type="paragraph" w:customStyle="1" w:styleId="Footprint12b">
    <w:name w:val="Footprint12b"/>
    <w:basedOn w:val="Normal"/>
    <w:rsid w:val="00EA1BED"/>
    <w:pPr>
      <w:spacing w:before="240"/>
    </w:pPr>
    <w:rPr>
      <w:szCs w:val="24"/>
    </w:rPr>
  </w:style>
  <w:style w:type="paragraph" w:customStyle="1" w:styleId="NormalSingle">
    <w:name w:val="NormalSingle"/>
    <w:basedOn w:val="Normal"/>
    <w:qFormat/>
    <w:rsid w:val="00EA1BED"/>
    <w:rPr>
      <w:szCs w:val="24"/>
    </w:rPr>
  </w:style>
  <w:style w:type="character" w:customStyle="1" w:styleId="PageHeadingNotTOCChar">
    <w:name w:val="PageHeadingNotTOC Char"/>
    <w:basedOn w:val="DefaultParagraphFont"/>
    <w:link w:val="PageHeadingNotTOC"/>
    <w:locked/>
    <w:rsid w:val="00EA1BED"/>
    <w:rPr>
      <w:rFonts w:ascii="Arial" w:hAnsi="Arial" w:cs="Arial"/>
      <w:b/>
      <w:sz w:val="24"/>
    </w:rPr>
  </w:style>
  <w:style w:type="paragraph" w:customStyle="1" w:styleId="PageHeadingNotTOC">
    <w:name w:val="PageHeadingNotTOC"/>
    <w:basedOn w:val="Normal"/>
    <w:link w:val="PageHeadingNotTOCChar"/>
    <w:rsid w:val="00EA1BED"/>
    <w:pPr>
      <w:keepNext/>
      <w:spacing w:after="480"/>
      <w:jc w:val="center"/>
    </w:pPr>
    <w:rPr>
      <w:rFonts w:ascii="Arial" w:hAnsi="Arial" w:cs="Arial"/>
      <w:b/>
      <w:lang w:val="en-GB"/>
    </w:rPr>
  </w:style>
  <w:style w:type="paragraph" w:customStyle="1" w:styleId="Normal12a">
    <w:name w:val="Normal12a"/>
    <w:basedOn w:val="Normal"/>
    <w:rsid w:val="00EA1BED"/>
    <w:pPr>
      <w:spacing w:after="240"/>
    </w:pPr>
  </w:style>
  <w:style w:type="paragraph" w:customStyle="1" w:styleId="RollCallVotes">
    <w:name w:val="RollCallVotes"/>
    <w:basedOn w:val="Normal"/>
    <w:rsid w:val="00EA1BED"/>
    <w:pPr>
      <w:spacing w:before="120" w:after="120"/>
      <w:jc w:val="center"/>
    </w:pPr>
    <w:rPr>
      <w:b/>
      <w:bCs/>
      <w:snapToGrid w:val="0"/>
      <w:sz w:val="16"/>
      <w:lang w:eastAsia="en-US"/>
    </w:rPr>
  </w:style>
  <w:style w:type="paragraph" w:customStyle="1" w:styleId="RollCallTabs">
    <w:name w:val="RollCallTabs"/>
    <w:basedOn w:val="Normal"/>
    <w:qFormat/>
    <w:rsid w:val="00EA1BED"/>
    <w:pPr>
      <w:tabs>
        <w:tab w:val="center" w:pos="284"/>
        <w:tab w:val="left" w:pos="426"/>
      </w:tabs>
    </w:pPr>
    <w:rPr>
      <w:snapToGrid w:val="0"/>
      <w:lang w:eastAsia="en-US"/>
    </w:rPr>
  </w:style>
  <w:style w:type="paragraph" w:customStyle="1" w:styleId="RollCallSymbols14pt">
    <w:name w:val="RollCallSymbols14pt"/>
    <w:basedOn w:val="Normal"/>
    <w:rsid w:val="00EA1BED"/>
    <w:pPr>
      <w:spacing w:before="120" w:after="120"/>
      <w:jc w:val="center"/>
    </w:pPr>
    <w:rPr>
      <w:rFonts w:ascii="Arial" w:hAnsi="Arial"/>
      <w:b/>
      <w:bCs/>
      <w:snapToGrid w:val="0"/>
      <w:sz w:val="28"/>
      <w:lang w:eastAsia="en-US"/>
    </w:rPr>
  </w:style>
  <w:style w:type="paragraph" w:customStyle="1" w:styleId="RollCallTable">
    <w:name w:val="RollCallTable"/>
    <w:basedOn w:val="Normal"/>
    <w:rsid w:val="00EA1BED"/>
    <w:pPr>
      <w:spacing w:before="120" w:after="120"/>
    </w:pPr>
    <w:rPr>
      <w:snapToGrid w:val="0"/>
      <w:sz w:val="16"/>
      <w:lang w:eastAsia="en-US"/>
    </w:rPr>
  </w:style>
  <w:style w:type="paragraph" w:styleId="BodyText">
    <w:name w:val="Body Text"/>
    <w:basedOn w:val="Normal"/>
    <w:link w:val="BodyTextChar"/>
    <w:uiPriority w:val="1"/>
    <w:unhideWhenUsed/>
    <w:qFormat/>
    <w:rsid w:val="00EA1BED"/>
    <w:pPr>
      <w:autoSpaceDE w:val="0"/>
      <w:autoSpaceDN w:val="0"/>
    </w:pPr>
    <w:rPr>
      <w:szCs w:val="24"/>
      <w:lang w:bidi="en-GB"/>
    </w:rPr>
  </w:style>
  <w:style w:type="character" w:customStyle="1" w:styleId="BodyTextChar">
    <w:name w:val="Body Text Char"/>
    <w:basedOn w:val="DefaultParagraphFont"/>
    <w:link w:val="BodyText"/>
    <w:uiPriority w:val="1"/>
    <w:rsid w:val="00EA1BED"/>
    <w:rPr>
      <w:sz w:val="24"/>
      <w:szCs w:val="24"/>
      <w:lang w:val="cs-CZ" w:bidi="en-GB"/>
    </w:rPr>
  </w:style>
  <w:style w:type="paragraph" w:styleId="ListParagraph">
    <w:name w:val="List Paragraph"/>
    <w:basedOn w:val="Normal"/>
    <w:uiPriority w:val="1"/>
    <w:qFormat/>
    <w:rsid w:val="00EA1BED"/>
    <w:pPr>
      <w:autoSpaceDE w:val="0"/>
      <w:autoSpaceDN w:val="0"/>
      <w:ind w:left="1382" w:right="962" w:hanging="426"/>
    </w:pPr>
    <w:rPr>
      <w:sz w:val="22"/>
      <w:szCs w:val="22"/>
      <w:lang w:bidi="en-GB"/>
    </w:rPr>
  </w:style>
  <w:style w:type="character" w:customStyle="1" w:styleId="Hyperlink1">
    <w:name w:val="Hyperlink1"/>
    <w:basedOn w:val="DefaultParagraphFont"/>
    <w:rsid w:val="003258C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s://eur-lex.europa.eu/eli/reg/2018/1046/oj?locale=cs"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07C02-9E9F-4307-9978-9366AECB5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6152</Words>
  <Characters>35718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KONOPKOVA Jindra</cp:lastModifiedBy>
  <cp:revision>2</cp:revision>
  <cp:lastPrinted>2004-11-19T15:42:00Z</cp:lastPrinted>
  <dcterms:created xsi:type="dcterms:W3CDTF">2025-11-25T13:03:00Z</dcterms:created>
  <dcterms:modified xsi:type="dcterms:W3CDTF">2025-11-25T13:03:00Z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P10_TA(2025)0080_</vt:lpwstr>
  </property>
  <property fmtid="{D5CDD505-2E9C-101B-9397-08002B2CF9AE}" pid="4" name="&lt;Type&gt;">
    <vt:lpwstr>RR</vt:lpwstr>
  </property>
</Properties>
</file>