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8436B" w:rsidTr="0010095E">
        <w:trPr>
          <w:trHeight w:hRule="exact" w:val="1418"/>
        </w:trPr>
        <w:tc>
          <w:tcPr>
            <w:tcW w:w="6804" w:type="dxa"/>
            <w:shd w:val="clear" w:color="auto" w:fill="auto"/>
            <w:vAlign w:val="center"/>
          </w:tcPr>
          <w:p w:rsidR="00751A4A" w:rsidRPr="00C8436B" w:rsidRDefault="0089500D" w:rsidP="0010095E">
            <w:pPr>
              <w:pStyle w:val="EPName"/>
            </w:pPr>
            <w:bookmarkStart w:id="0" w:name="_GoBack"/>
            <w:bookmarkEnd w:id="0"/>
            <w:r w:rsidRPr="00C8436B">
              <w:t>Ευρωπαϊκό Κοινοβούλιο</w:t>
            </w:r>
          </w:p>
          <w:p w:rsidR="00751A4A" w:rsidRPr="00C8436B" w:rsidRDefault="005F1B17" w:rsidP="005F1B17">
            <w:pPr>
              <w:pStyle w:val="EPTerm"/>
              <w:rPr>
                <w:rStyle w:val="HideTWBExt"/>
                <w:noProof w:val="0"/>
                <w:vanish w:val="0"/>
                <w:color w:val="auto"/>
              </w:rPr>
            </w:pPr>
            <w:r w:rsidRPr="00C8436B">
              <w:t>2024</w:t>
            </w:r>
            <w:r w:rsidR="00817416" w:rsidRPr="00C8436B">
              <w:t>-202</w:t>
            </w:r>
            <w:r w:rsidRPr="00C8436B">
              <w:t>9</w:t>
            </w:r>
          </w:p>
        </w:tc>
        <w:tc>
          <w:tcPr>
            <w:tcW w:w="2268" w:type="dxa"/>
            <w:shd w:val="clear" w:color="auto" w:fill="auto"/>
          </w:tcPr>
          <w:p w:rsidR="00751A4A" w:rsidRPr="00C8436B" w:rsidRDefault="00187494" w:rsidP="0010095E">
            <w:pPr>
              <w:pStyle w:val="EPLogo"/>
            </w:pPr>
            <w:r w:rsidRPr="00C8436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8436B" w:rsidRDefault="00D058B8" w:rsidP="004C5D52">
      <w:pPr>
        <w:pStyle w:val="LineTop"/>
      </w:pPr>
    </w:p>
    <w:p w:rsidR="00680577" w:rsidRPr="00C8436B" w:rsidRDefault="0089500D" w:rsidP="00680577">
      <w:pPr>
        <w:pStyle w:val="EPBodyTA1"/>
      </w:pPr>
      <w:r w:rsidRPr="00C8436B">
        <w:t>ΚΕΙΜΕΝΑ ΠΟΥ ΕΓΚΡΙΘΗΚΑΝ</w:t>
      </w:r>
    </w:p>
    <w:p w:rsidR="00D058B8" w:rsidRPr="00C8436B" w:rsidRDefault="00D058B8" w:rsidP="00D058B8">
      <w:pPr>
        <w:pStyle w:val="LineBottom"/>
      </w:pPr>
    </w:p>
    <w:p w:rsidR="0089500D" w:rsidRPr="00C8436B" w:rsidRDefault="0089500D" w:rsidP="0089500D">
      <w:pPr>
        <w:pStyle w:val="ATHeading1"/>
      </w:pPr>
      <w:bookmarkStart w:id="1" w:name="TANumber"/>
      <w:r w:rsidRPr="00C8436B">
        <w:t>P10_TA(2025)00</w:t>
      </w:r>
      <w:r w:rsidR="00026AE3" w:rsidRPr="00C8436B">
        <w:t>8</w:t>
      </w:r>
      <w:r w:rsidRPr="00C8436B">
        <w:t>0</w:t>
      </w:r>
      <w:bookmarkEnd w:id="1"/>
    </w:p>
    <w:p w:rsidR="0089500D" w:rsidRPr="00C8436B" w:rsidRDefault="008D0D38" w:rsidP="0089500D">
      <w:pPr>
        <w:pStyle w:val="ATHeading2"/>
      </w:pPr>
      <w:r w:rsidRPr="00C8436B">
        <w:t xml:space="preserve">Απαλλαγή 2023: Γενικός προϋπολογισμός της ΕΕ </w:t>
      </w:r>
      <w:r w:rsidR="00FF06D2" w:rsidRPr="00C8436B">
        <w:t>–</w:t>
      </w:r>
      <w:r w:rsidRPr="00C8436B">
        <w:t xml:space="preserve"> Δικαστήριο της Ευρωπαϊκής Ένωσης</w:t>
      </w:r>
    </w:p>
    <w:p w:rsidR="0089500D" w:rsidRPr="00C8436B" w:rsidRDefault="0089500D" w:rsidP="0089500D">
      <w:pPr>
        <w:rPr>
          <w:i/>
          <w:vanish/>
        </w:rPr>
      </w:pPr>
      <w:r w:rsidRPr="00C8436B">
        <w:rPr>
          <w:i/>
        </w:rPr>
        <w:fldChar w:fldCharType="begin"/>
      </w:r>
      <w:r w:rsidRPr="00C8436B">
        <w:rPr>
          <w:i/>
        </w:rPr>
        <w:instrText xml:space="preserve"> TC"(</w:instrText>
      </w:r>
      <w:bookmarkStart w:id="2" w:name="DocNumber"/>
      <w:r w:rsidRPr="00C8436B">
        <w:rPr>
          <w:i/>
        </w:rPr>
        <w:instrText>A10-0050/2025</w:instrText>
      </w:r>
      <w:bookmarkEnd w:id="2"/>
      <w:r w:rsidRPr="00C8436B">
        <w:rPr>
          <w:i/>
        </w:rPr>
        <w:instrText xml:space="preserve"> - Εισηγητής: Cristian Terheş)"\l3 \n&gt; \* MERGEFORMAT </w:instrText>
      </w:r>
      <w:r w:rsidRPr="00C8436B">
        <w:rPr>
          <w:i/>
        </w:rPr>
        <w:fldChar w:fldCharType="end"/>
      </w:r>
    </w:p>
    <w:p w:rsidR="0089500D" w:rsidRPr="00C8436B" w:rsidRDefault="0089500D" w:rsidP="0089500D">
      <w:pPr>
        <w:rPr>
          <w:vanish/>
        </w:rPr>
      </w:pPr>
      <w:bookmarkStart w:id="3" w:name="Commission"/>
      <w:r w:rsidRPr="00C8436B">
        <w:rPr>
          <w:vanish/>
        </w:rPr>
        <w:t>Επιτροπή Ελέγχου του Προϋπολογισμού</w:t>
      </w:r>
      <w:bookmarkEnd w:id="3"/>
    </w:p>
    <w:p w:rsidR="0089500D" w:rsidRPr="00C8436B" w:rsidRDefault="0089500D" w:rsidP="0089500D">
      <w:pPr>
        <w:rPr>
          <w:vanish/>
        </w:rPr>
      </w:pPr>
      <w:bookmarkStart w:id="4" w:name="PE"/>
      <w:r w:rsidRPr="00C8436B">
        <w:rPr>
          <w:vanish/>
        </w:rPr>
        <w:t>PE764.996</w:t>
      </w:r>
      <w:bookmarkEnd w:id="4"/>
    </w:p>
    <w:p w:rsidR="0089500D" w:rsidRPr="00C8436B" w:rsidRDefault="00EE40C8" w:rsidP="0089500D">
      <w:pPr>
        <w:pStyle w:val="ATHeading3"/>
      </w:pPr>
      <w:bookmarkStart w:id="5" w:name="Sujet"/>
      <w:r w:rsidRPr="00C8436B">
        <w:t>1. Α</w:t>
      </w:r>
      <w:r w:rsidR="0089500D" w:rsidRPr="00C8436B">
        <w:t xml:space="preserve">πόφαση του Ευρωπαϊκού Κοινοβουλίου </w:t>
      </w:r>
      <w:r w:rsidR="00EB4FED" w:rsidRPr="00C8436B">
        <w:t xml:space="preserve">της </w:t>
      </w:r>
      <w:r w:rsidR="008D0D38" w:rsidRPr="00C8436B">
        <w:t>7</w:t>
      </w:r>
      <w:r w:rsidR="00EB4FED" w:rsidRPr="00C8436B">
        <w:t xml:space="preserve">ης Μαΐου 2025 </w:t>
      </w:r>
      <w:r w:rsidR="0089500D" w:rsidRPr="00C8436B">
        <w:t>σχετικά με την απαλλαγή όσον αφορά την εκτέλεση του γενικού προϋπολογισμού της Ευρωπαϊκής Ένωσης για το οικονομικό έτος 2023, τμήμα IV – Δικαστήριο</w:t>
      </w:r>
      <w:bookmarkEnd w:id="5"/>
      <w:r w:rsidR="0089500D" w:rsidRPr="00C8436B">
        <w:t xml:space="preserve"> </w:t>
      </w:r>
      <w:bookmarkStart w:id="6" w:name="References"/>
      <w:r w:rsidR="00FF06D2" w:rsidRPr="00C8436B">
        <w:t xml:space="preserve">της Ευρωπαϊκής Ένωσης </w:t>
      </w:r>
      <w:r w:rsidR="0089500D" w:rsidRPr="00C8436B">
        <w:t>(2024/2022(DEC))</w:t>
      </w:r>
      <w:bookmarkEnd w:id="6"/>
    </w:p>
    <w:p w:rsidR="006433A3" w:rsidRPr="00C8436B" w:rsidRDefault="006433A3" w:rsidP="006433A3">
      <w:pPr>
        <w:pStyle w:val="EPComma"/>
      </w:pPr>
      <w:bookmarkStart w:id="7" w:name="TextBodyBegin"/>
      <w:bookmarkEnd w:id="7"/>
      <w:r w:rsidRPr="00C8436B">
        <w:rPr>
          <w:i/>
          <w:iCs/>
        </w:rPr>
        <w:t>Το Ευρωπαϊκό Κοινοβούλιο,</w:t>
      </w:r>
    </w:p>
    <w:p w:rsidR="006433A3" w:rsidRPr="00C8436B" w:rsidRDefault="006433A3" w:rsidP="006433A3">
      <w:pPr>
        <w:pStyle w:val="NormalHanging12a"/>
      </w:pPr>
      <w:r w:rsidRPr="00C8436B">
        <w:t>–</w:t>
      </w:r>
      <w:r w:rsidRPr="00C8436B">
        <w:tab/>
        <w:t>έχοντας υπόψη τον γενικό προϋπολογισμό της Ευρωπαϊκής Ένωσης για το οικονομικό έτος 2023</w:t>
      </w:r>
      <w:r w:rsidRPr="00C8436B">
        <w:rPr>
          <w:rStyle w:val="FootnoteReference"/>
        </w:rPr>
        <w:footnoteReference w:id="1"/>
      </w:r>
      <w:r w:rsidRPr="00C8436B">
        <w:t>,</w:t>
      </w:r>
    </w:p>
    <w:p w:rsidR="006433A3" w:rsidRPr="00C8436B" w:rsidRDefault="006433A3" w:rsidP="006433A3">
      <w:pPr>
        <w:pStyle w:val="NormalHanging12a"/>
      </w:pPr>
      <w:r w:rsidRPr="00C8436B">
        <w:t>–</w:t>
      </w:r>
      <w:r w:rsidRPr="00C8436B">
        <w:tab/>
        <w:t>έχοντας υπόψη τους ενοποιημένους ετήσιους λογαριασμούς της Ευρωπαϊκής Ένωσης για το οικονομικό έτος 2023 (COM(2024)0272 – C10</w:t>
      </w:r>
      <w:r w:rsidRPr="00C8436B">
        <w:noBreakHyphen/>
        <w:t>0070/2024)</w:t>
      </w:r>
      <w:r w:rsidRPr="00C8436B">
        <w:rPr>
          <w:rStyle w:val="FootnoteReference"/>
        </w:rPr>
        <w:footnoteReference w:id="2"/>
      </w:r>
      <w:r w:rsidRPr="00C8436B">
        <w:t>,</w:t>
      </w:r>
    </w:p>
    <w:p w:rsidR="006433A3" w:rsidRPr="00C8436B" w:rsidRDefault="006433A3" w:rsidP="006433A3">
      <w:pPr>
        <w:pStyle w:val="NormalHanging12a"/>
      </w:pPr>
      <w:r w:rsidRPr="00C8436B">
        <w:t>–</w:t>
      </w:r>
      <w:r w:rsidRPr="00C8436B">
        <w:tab/>
        <w:t>έχοντας υπόψη την ετήσια έκθεση δραστηριοτήτων του Δικαστηρίου της Ευρωπαϊκής Ένωσης για το 2023 και την ετήσια έκθεσή του σχετικά με τη δημοσιονομική και χρηματοοικονομική διαχείριση για το 2023,</w:t>
      </w:r>
    </w:p>
    <w:p w:rsidR="006433A3" w:rsidRPr="00C8436B" w:rsidRDefault="006433A3" w:rsidP="006433A3">
      <w:pPr>
        <w:pStyle w:val="NormalHanging12a"/>
      </w:pPr>
      <w:r w:rsidRPr="00C8436B">
        <w:t>–</w:t>
      </w:r>
      <w:r w:rsidRPr="00C8436B">
        <w:tab/>
        <w:t>έχοντας υπόψη την ετήσια έκθεση του Ελεγκτικού Συνεδρίου σχετικά με την εκτέλεση του προϋπολογισμού για το οικονομικό έτος 2023, που συνοδεύεται από τις απαντήσεις των οργάνων</w:t>
      </w:r>
      <w:r w:rsidRPr="00C8436B">
        <w:rPr>
          <w:rStyle w:val="FootnoteReference"/>
        </w:rPr>
        <w:footnoteReference w:id="3"/>
      </w:r>
      <w:r w:rsidRPr="00C8436B">
        <w:t>,</w:t>
      </w:r>
    </w:p>
    <w:p w:rsidR="006433A3" w:rsidRPr="00C8436B" w:rsidRDefault="006433A3" w:rsidP="006433A3">
      <w:pPr>
        <w:pStyle w:val="NormalHanging12a"/>
      </w:pPr>
      <w:r w:rsidRPr="00C8436B">
        <w:t>–</w:t>
      </w:r>
      <w:r w:rsidRPr="00C8436B">
        <w:tab/>
        <w:t>έχοντας υπόψη τη δήλωση αξιοπιστίας</w:t>
      </w:r>
      <w:r w:rsidRPr="00C8436B">
        <w:rPr>
          <w:rStyle w:val="FootnoteReference"/>
        </w:rPr>
        <w:footnoteReference w:id="4"/>
      </w:r>
      <w:r w:rsidRPr="00C8436B">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6433A3" w:rsidRPr="00C8436B" w:rsidRDefault="006433A3" w:rsidP="006433A3">
      <w:pPr>
        <w:pStyle w:val="NormalHanging12a"/>
      </w:pPr>
      <w:r w:rsidRPr="00C8436B">
        <w:t>–</w:t>
      </w:r>
      <w:r w:rsidRPr="00C8436B">
        <w:tab/>
        <w:t>έχοντας υπόψη το άρθρο 314 παράγραφος 10 και τα άρθρα 317, 318 και 319 της Συνθήκης για τη λειτουργία της Ευρωπαϊκής Ένωσης,</w:t>
      </w:r>
    </w:p>
    <w:p w:rsidR="006433A3" w:rsidRPr="00C8436B" w:rsidRDefault="006433A3" w:rsidP="006433A3">
      <w:pPr>
        <w:pStyle w:val="NormalHanging12a"/>
      </w:pPr>
      <w:r w:rsidRPr="00C8436B">
        <w:t>–</w:t>
      </w:r>
      <w:r w:rsidRPr="00C8436B">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w:t>
      </w:r>
      <w:r w:rsidRPr="00C8436B">
        <w:lastRenderedPageBreak/>
        <w:t>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C8436B">
        <w:rPr>
          <w:rStyle w:val="FootnoteReference"/>
        </w:rPr>
        <w:footnoteReference w:id="5"/>
      </w:r>
      <w:r w:rsidRPr="00C8436B">
        <w:t>, και ιδίως τα άρθρα 59, 118, 260, 261 και 262,</w:t>
      </w:r>
    </w:p>
    <w:p w:rsidR="006433A3" w:rsidRPr="00C8436B" w:rsidRDefault="006433A3" w:rsidP="006433A3">
      <w:pPr>
        <w:pStyle w:val="NormalHanging12a"/>
        <w:rPr>
          <w:szCs w:val="24"/>
        </w:rPr>
      </w:pPr>
      <w:r w:rsidRPr="00C8436B">
        <w:t>–</w:t>
      </w:r>
      <w:r w:rsidRPr="00C8436B">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C8436B">
        <w:rPr>
          <w:rStyle w:val="FootnoteReference"/>
        </w:rPr>
        <w:footnoteReference w:id="6"/>
      </w:r>
      <w:r w:rsidRPr="00C8436B">
        <w:t>, και ιδίως τα άρθρα 59, 118, 266, 267 και 268,</w:t>
      </w:r>
    </w:p>
    <w:p w:rsidR="006433A3" w:rsidRPr="00C8436B" w:rsidRDefault="006433A3" w:rsidP="006433A3">
      <w:pPr>
        <w:pStyle w:val="NormalHanging12a"/>
      </w:pPr>
      <w:r w:rsidRPr="00C8436B">
        <w:t>–</w:t>
      </w:r>
      <w:r w:rsidRPr="00C8436B">
        <w:tab/>
        <w:t>έχοντας υπόψη το άρθρο 102 και το παράρτημα V του Κανονισμού του,</w:t>
      </w:r>
    </w:p>
    <w:p w:rsidR="006433A3" w:rsidRPr="00C8436B" w:rsidRDefault="006433A3" w:rsidP="006433A3">
      <w:pPr>
        <w:pStyle w:val="NormalHanging12a"/>
      </w:pPr>
      <w:r w:rsidRPr="00C8436B">
        <w:t>–</w:t>
      </w:r>
      <w:r w:rsidRPr="00C8436B">
        <w:tab/>
        <w:t>έχοντας υπόψη τη γνωμοδότηση της Επιτροπής Νομικών Θεμάτων,</w:t>
      </w:r>
    </w:p>
    <w:p w:rsidR="006433A3" w:rsidRPr="00C8436B" w:rsidRDefault="006433A3" w:rsidP="006433A3">
      <w:pPr>
        <w:pStyle w:val="NormalHanging12a"/>
      </w:pPr>
      <w:r w:rsidRPr="00C8436B">
        <w:t>–</w:t>
      </w:r>
      <w:r w:rsidRPr="00C8436B">
        <w:tab/>
        <w:t>έχοντας υπόψη την έκθεση της Επιτροπής Ελέγχου του Προϋπολογισμού (A10-0050/2025),</w:t>
      </w:r>
    </w:p>
    <w:p w:rsidR="006433A3" w:rsidRPr="00C8436B" w:rsidRDefault="006433A3" w:rsidP="006433A3">
      <w:pPr>
        <w:pStyle w:val="NormalHanging12a"/>
      </w:pPr>
      <w:r w:rsidRPr="00C8436B">
        <w:t>1.</w:t>
      </w:r>
      <w:r w:rsidRPr="00C8436B">
        <w:tab/>
        <w:t>χορηγεί απαλλαγή στον Γραμματέα του Δικαστηρίου όσον αφορά την εκτέλεση του προϋπολογισμού του Δικαστηρίου της Ευρωπαϊκής Ένωσης για το οικονομικό έτος 2023·</w:t>
      </w:r>
    </w:p>
    <w:p w:rsidR="006433A3" w:rsidRPr="00C8436B" w:rsidRDefault="006433A3" w:rsidP="006433A3">
      <w:pPr>
        <w:pStyle w:val="NormalHanging12a"/>
      </w:pPr>
      <w:r w:rsidRPr="00C8436B">
        <w:t>2.</w:t>
      </w:r>
      <w:r w:rsidRPr="00C8436B">
        <w:tab/>
        <w:t>εκθέτει τις παρατηρήσεις του στο ψήφισμα που ακολουθεί·</w:t>
      </w:r>
    </w:p>
    <w:p w:rsidR="006433A3" w:rsidRPr="00C8436B" w:rsidRDefault="006433A3" w:rsidP="006433A3">
      <w:pPr>
        <w:pStyle w:val="NormalHanging12a"/>
      </w:pPr>
      <w:r w:rsidRPr="00C8436B">
        <w:t>3.</w:t>
      </w:r>
      <w:r w:rsidRPr="00C8436B">
        <w:tab/>
        <w:t xml:space="preserve">αναθέτει στην Πρόεδρό του να διαβιβάσει την παρούσα απόφαση και το ψήφισμα που αποτελεί αναπόσπαστο μέρος της, στο Δικαστήριο της Ευρωπαϊκής Ένωσης, στο Συμβούλιο, στην Επιτροπή, στην Ευρωπαία Διαμεσολαβήτρια, στον Ευρωπαίο Επόπτη Προστασίας Δεδομένων και στο Ελεγκτικό Συνέδριο, και να μεριμνήσει για τη δημοσίευσή τους στην </w:t>
      </w:r>
      <w:r w:rsidRPr="00C8436B">
        <w:rPr>
          <w:i/>
        </w:rPr>
        <w:t>Επίσημη Εφημερίδα της Ευρωπαϊκής Ένωσης</w:t>
      </w:r>
      <w:r w:rsidRPr="00C8436B">
        <w:t xml:space="preserve"> (σειρά L).</w:t>
      </w:r>
    </w:p>
    <w:p w:rsidR="006433A3" w:rsidRPr="00C8436B" w:rsidRDefault="006433A3" w:rsidP="006433A3"/>
    <w:p w:rsidR="006433A3" w:rsidRPr="00C8436B" w:rsidRDefault="006433A3" w:rsidP="006433A3">
      <w:pPr>
        <w:widowControl/>
        <w:rPr>
          <w:b/>
        </w:rPr>
        <w:sectPr w:rsidR="006433A3" w:rsidRPr="00C8436B" w:rsidSect="00E25C7F">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6433A3" w:rsidRPr="00C8436B" w:rsidRDefault="006433A3" w:rsidP="00026AE3">
      <w:pPr>
        <w:pStyle w:val="ATHeading3"/>
      </w:pPr>
      <w:bookmarkStart w:id="8" w:name="_Toc195600713"/>
      <w:r w:rsidRPr="00C8436B">
        <w:lastRenderedPageBreak/>
        <w:t>2.</w:t>
      </w:r>
      <w:r w:rsidR="00EB4FED" w:rsidRPr="00C8436B">
        <w:t xml:space="preserve"> Ψήφισμα του Ευρωπαϊκού Κοινοβουλίου της </w:t>
      </w:r>
      <w:r w:rsidR="008D0D38" w:rsidRPr="00C8436B">
        <w:t>7</w:t>
      </w:r>
      <w:r w:rsidR="00EB4FED" w:rsidRPr="00C8436B">
        <w:t xml:space="preserve">ης Μαΐου 2025 </w:t>
      </w:r>
      <w:bookmarkEnd w:id="8"/>
      <w:r w:rsidRPr="00C8436B">
        <w:t>με τις παρατηρήσεις που αποτελούν αναπόσπαστο μέρος της απόφασης σχετικά με την απαλλαγή όσον αφορά την εκτέλεση του γενικού προϋπολογισμού της Ευρωπαϊκής Ένωσης για το οικονομικό έτος 2023, τμήμα IV – Δικαστήριο της Ευρωπαϊκής Ένωσης</w:t>
      </w:r>
      <w:r w:rsidR="00EB4FED" w:rsidRPr="00C8436B">
        <w:t xml:space="preserve"> </w:t>
      </w:r>
      <w:r w:rsidRPr="00C8436B">
        <w:t>(2024/2022(DEC))</w:t>
      </w:r>
    </w:p>
    <w:p w:rsidR="006433A3" w:rsidRPr="00C8436B" w:rsidRDefault="006433A3" w:rsidP="006433A3">
      <w:pPr>
        <w:pStyle w:val="EPComma"/>
      </w:pPr>
      <w:r w:rsidRPr="00C8436B">
        <w:rPr>
          <w:i/>
          <w:iCs/>
        </w:rPr>
        <w:t>Το Ευρωπαϊκό Κοινοβούλιο,</w:t>
      </w:r>
    </w:p>
    <w:p w:rsidR="006433A3" w:rsidRPr="00C8436B" w:rsidRDefault="006433A3" w:rsidP="00EB4FED">
      <w:pPr>
        <w:pStyle w:val="NormalHanging12a"/>
        <w:widowControl/>
      </w:pPr>
      <w:r w:rsidRPr="00C8436B">
        <w:t>–</w:t>
      </w:r>
      <w:r w:rsidRPr="00C8436B">
        <w:tab/>
        <w:t>έχοντας υπόψη την απόφασή του σχετικά με την απαλλαγή όσον αφορά την εκτέλεση του γενικού προϋπολογισμού της Ευρωπαϊκής Ένωσης για το οικονομικό έτος 2023, τμήμα IV – Δικαστήριο της Ευρωπαϊκής Ένωσης,</w:t>
      </w:r>
    </w:p>
    <w:p w:rsidR="006433A3" w:rsidRPr="00C8436B" w:rsidRDefault="006433A3" w:rsidP="00EB4FED">
      <w:pPr>
        <w:pStyle w:val="NormalHanging12a"/>
        <w:widowControl/>
      </w:pPr>
      <w:r w:rsidRPr="00C8436B">
        <w:t>–</w:t>
      </w:r>
      <w:r w:rsidRPr="00C8436B">
        <w:tab/>
        <w:t>έχοντας υπόψη το άρθρο 102 και το παράρτημα V του Κανονισμού του,</w:t>
      </w:r>
    </w:p>
    <w:p w:rsidR="006433A3" w:rsidRPr="00C8436B" w:rsidRDefault="006433A3" w:rsidP="00EB4FED">
      <w:pPr>
        <w:pStyle w:val="NormalHanging12a"/>
        <w:widowControl/>
      </w:pPr>
      <w:r w:rsidRPr="00C8436B">
        <w:t>–</w:t>
      </w:r>
      <w:r w:rsidRPr="00C8436B">
        <w:tab/>
        <w:t>έχοντας υπόψη τη γνωμοδότηση της Επιτροπής Νομικών Θεμάτων,</w:t>
      </w:r>
    </w:p>
    <w:p w:rsidR="006433A3" w:rsidRPr="00C8436B" w:rsidRDefault="006433A3" w:rsidP="00EB4FED">
      <w:pPr>
        <w:pStyle w:val="NormalHanging12a"/>
        <w:widowControl/>
      </w:pPr>
      <w:r w:rsidRPr="00C8436B">
        <w:t>–</w:t>
      </w:r>
      <w:r w:rsidRPr="00C8436B">
        <w:tab/>
        <w:t>έχοντας υπόψη την έκθεση της Επιτροπής Ελέγχου του Προϋπολογισμού (A10-0050/2025),</w:t>
      </w:r>
    </w:p>
    <w:p w:rsidR="006433A3" w:rsidRPr="00C8436B" w:rsidRDefault="006433A3" w:rsidP="00EB4FED">
      <w:pPr>
        <w:pStyle w:val="NormalHanging12a"/>
        <w:widowControl/>
      </w:pPr>
      <w:r w:rsidRPr="00C8436B">
        <w:t>Α.</w:t>
      </w:r>
      <w:r w:rsidRPr="00C8436B">
        <w:tab/>
        <w:t>λαμβάνοντας υπόψη ότι, στο πλαίσιο της διαδικασίας απαλλαγής, η αρμόδια για την απαλλαγή αρχή επιθυμεί να τονίσει την ιδιαίτερη σημασία που έχουν η περαιτέρω ενίσχυση της δημοκρατικής νομιμοποίησης των θεσμικών οργάνων της Ένωσης μέσω της βελτίωσης της διαφάνειας και της λογοδοσίας, όπως επίσης και η εφαρμογή της προσέγγισης της κατάρτισης του προϋπολογισμού βάσει επιδόσεων και της χρηστής διαχείρισης των ανθρώπινων πόρων·</w:t>
      </w:r>
    </w:p>
    <w:p w:rsidR="006433A3" w:rsidRPr="00C8436B" w:rsidRDefault="006433A3" w:rsidP="00EB4FED">
      <w:pPr>
        <w:pStyle w:val="NormalHanging12a"/>
        <w:widowControl/>
        <w:rPr>
          <w:u w:val="single"/>
        </w:rPr>
      </w:pPr>
      <w:r w:rsidRPr="00C8436B">
        <w:t>Β.</w:t>
      </w:r>
      <w:r w:rsidRPr="00C8436B">
        <w:tab/>
        <w:t>λαμβάνοντας υπόψη ότι το Δικαστήριο της Ευρωπαϊκής Ένωσης (ΔΕΕ) είναι το δικαιοδοτικό όργανο της Ευρωπαϊκής Ένωσης, το οποίο έχει το καθήκον να διασφαλίζει τη συμμόρφωση με το δίκαιο της Ένωσης, επιβλέποντας την ομοιόμορφη ερμηνεία και εφαρμογή των Συνθηκών και διασφαλίζοντας τη νομιμότητα των μέτρων που λαμβάνουν τα θεσμικά και λοιπά όργανα και οι οργανισμοί της Ένωσης·</w:t>
      </w:r>
    </w:p>
    <w:p w:rsidR="006433A3" w:rsidRPr="00C8436B" w:rsidRDefault="006433A3" w:rsidP="00EB4FED">
      <w:pPr>
        <w:pStyle w:val="NormalHanging12a"/>
        <w:widowControl/>
      </w:pPr>
      <w:r w:rsidRPr="00C8436B">
        <w:t>Γ.</w:t>
      </w:r>
      <w:r w:rsidRPr="00C8436B">
        <w:tab/>
        <w:t>λαμβάνοντας υπόψη ότι το ΔΕΕ συμβάλλει στη διατήρηση των αξιών της Ένωσης και, μέσω της νομολογίας του, εργάζεται για την οικοδόμηση της Ευρώπης·</w:t>
      </w:r>
    </w:p>
    <w:p w:rsidR="006433A3" w:rsidRPr="00C8436B" w:rsidRDefault="006433A3" w:rsidP="00EB4FED">
      <w:pPr>
        <w:pStyle w:val="NormalHanging12a"/>
        <w:widowControl/>
      </w:pPr>
      <w:r w:rsidRPr="00C8436B">
        <w:t>Δ.</w:t>
      </w:r>
      <w:r w:rsidRPr="00C8436B">
        <w:tab/>
        <w:t>λαμβάνοντας υπόψη ότι το ΔΕΕ αποτελείται από δύο δικαστήρια: το Δικαστήριο και το Γενικό Δικαστήριο·</w:t>
      </w:r>
    </w:p>
    <w:p w:rsidR="006433A3" w:rsidRPr="00C8436B" w:rsidRDefault="006433A3" w:rsidP="00EB4FED">
      <w:pPr>
        <w:pStyle w:val="NormalHanging12a"/>
        <w:widowControl/>
      </w:pPr>
      <w:r w:rsidRPr="00C8436B">
        <w:t>Ε.</w:t>
      </w:r>
      <w:r w:rsidRPr="00C8436B">
        <w:tab/>
        <w:t>λαμβάνοντας υπόψη ότι το Κοινοβούλιο και το Συμβούλιο τροποποίησαν το πρωτόκολλο αριθ. 3 περί του Οργανισμού του ΔΕΕ («ο Οργανισμός»)</w:t>
      </w:r>
      <w:r w:rsidRPr="00C8436B">
        <w:rPr>
          <w:rStyle w:val="FootnoteReference"/>
        </w:rPr>
        <w:footnoteReference w:id="7"/>
      </w:r>
      <w:r w:rsidRPr="00C8436B">
        <w:t xml:space="preserve"> το 2024 όσον αφορά τη μεταφορά προδικαστικών αποφάσεων σε συγκεκριμένους τομείς στην αρμοδιότητα του Γενικού Δικαστηρίου·</w:t>
      </w:r>
    </w:p>
    <w:p w:rsidR="006433A3" w:rsidRPr="00C8436B" w:rsidRDefault="00C8436B" w:rsidP="00C8436B">
      <w:pPr>
        <w:pStyle w:val="NormalHanging12a"/>
        <w:widowControl/>
        <w:ind w:left="570" w:hanging="570"/>
      </w:pPr>
      <w:r w:rsidRPr="00C8436B">
        <w:t>1.</w:t>
      </w:r>
      <w:r w:rsidRPr="00C8436B">
        <w:tab/>
      </w:r>
      <w:r w:rsidR="006433A3" w:rsidRPr="00C8436B">
        <w:t>σημειώνει ότι ο προϋπολογισμός του ΔΕΕ εντάσσεται στον τομέα 7 του ΠΔΠ, («Ευρωπαϊκή δημόσια διοίκηση»), ο οποίος ανήλθε σε 12,3 δισ</w:t>
      </w:r>
      <w:r w:rsidR="00EB4FED" w:rsidRPr="00C8436B">
        <w:t>εκατομμύρια</w:t>
      </w:r>
      <w:r w:rsidR="006433A3" w:rsidRPr="00C8436B">
        <w:t xml:space="preserve"> EUR το 2023 (που αντιστοιχεί στο 6,4 % του συνολικού προϋπολογισμού της Ένωσης)· </w:t>
      </w:r>
      <w:r w:rsidR="006433A3" w:rsidRPr="00C8436B">
        <w:lastRenderedPageBreak/>
        <w:t>σημειώνει ότι ο προϋπολογισμός του ΔΕΕ, ύψους περίπου 0,5 δισεκατομμυρίου EUR, συνιστά περίπου το 3,9 % των συνολικών διοικητικών δαπανών της Ένωσης·</w:t>
      </w:r>
    </w:p>
    <w:p w:rsidR="006433A3" w:rsidRPr="00C8436B" w:rsidRDefault="00C8436B" w:rsidP="00C8436B">
      <w:pPr>
        <w:pStyle w:val="NormalHanging12a"/>
        <w:widowControl/>
        <w:ind w:left="570" w:hanging="570"/>
      </w:pPr>
      <w:r w:rsidRPr="00C8436B">
        <w:t>2.</w:t>
      </w:r>
      <w:r w:rsidRPr="00C8436B">
        <w:tab/>
      </w:r>
      <w:r w:rsidR="006433A3" w:rsidRPr="00C8436B">
        <w:t>σημειώνει ότι το Ελεγκτικό Συνέδριο, στην ετήσια έκθεσή του για το οικονομικό έτος 2023 («έκθεση του Ελεγκτικού Συνεδρίου»), εξέτασε δείγμα 70 πράξεων υπό τον τίτλο «Διοίκηση», 10 περισσότερες από αυτές που εξετάστηκαν το 2022· το Ελεγκτικό Συνέδριο αναφέρει περαιτέρω ότι οι διοικητικές δαπάνες περιλαμβάνουν τις δαπάνες για ανθρώπινους πόρους, συμπεριλαμβανομένων των δαπανών για συντάξεις, οι οποίες το 2023 αντιπροσώπευαν περίπου το 70 % των συνολικών διοικητικών δαπανών, καθώς και δαπάνες για κτίρια, εξοπλισμό, ενέργεια, επικοινωνίες και τεχνολογία των πληροφοριών, και ότι το έργο του επί σειρά ετών δείχνει ότι, συνολικά, οι δαπάνες αυτές είναι χαμηλού κινδύνου·</w:t>
      </w:r>
    </w:p>
    <w:p w:rsidR="006433A3" w:rsidRPr="00C8436B" w:rsidRDefault="00C8436B" w:rsidP="00C8436B">
      <w:pPr>
        <w:pStyle w:val="NormalHanging12a"/>
        <w:widowControl/>
        <w:ind w:left="570" w:hanging="570"/>
      </w:pPr>
      <w:r w:rsidRPr="00C8436B">
        <w:t>3.</w:t>
      </w:r>
      <w:r w:rsidRPr="00C8436B">
        <w:tab/>
      </w:r>
      <w:r w:rsidR="006433A3" w:rsidRPr="00C8436B">
        <w:t>σημειώνει ότι 21 (30 %) από τις 70 πράξεις περιείχαν σφάλματα, αλλά ότι το Ελεγκτικό Συνέδριο, βάσει των πέντε σφαλμάτων που ποσοτικοποιήθηκαν, εκτιμά ότι το επίπεδο σφάλματος είναι χαμηλότερο από το όριο σημαντικότητας·</w:t>
      </w:r>
    </w:p>
    <w:p w:rsidR="006433A3" w:rsidRPr="00C8436B" w:rsidRDefault="00C8436B" w:rsidP="00C8436B">
      <w:pPr>
        <w:pStyle w:val="NormalHanging12a"/>
        <w:widowControl/>
        <w:ind w:left="570" w:hanging="570"/>
      </w:pPr>
      <w:r w:rsidRPr="00C8436B">
        <w:t>4.</w:t>
      </w:r>
      <w:r w:rsidRPr="00C8436B">
        <w:tab/>
      </w:r>
      <w:r w:rsidR="006433A3" w:rsidRPr="00C8436B">
        <w:t>σημειώνει ότι η έκθεση του Ελεγκτικού Συνεδρίου δεν εντόπισε συγκεκριμένα ζητήματα σχετικά με το ΔΕΕ·</w:t>
      </w:r>
    </w:p>
    <w:p w:rsidR="006433A3" w:rsidRPr="00C8436B" w:rsidRDefault="006433A3" w:rsidP="00EB4FED">
      <w:pPr>
        <w:pStyle w:val="NormalHanging12a"/>
        <w:widowControl/>
        <w:rPr>
          <w:b/>
          <w:i/>
        </w:rPr>
      </w:pPr>
      <w:r w:rsidRPr="00C8436B">
        <w:rPr>
          <w:b/>
          <w:i/>
        </w:rPr>
        <w:t>Διαχείριση του προϋπολογισμού και χρηματοοικονομική διαχείριση</w:t>
      </w:r>
    </w:p>
    <w:p w:rsidR="006433A3" w:rsidRPr="00C8436B" w:rsidRDefault="00C8436B" w:rsidP="00C8436B">
      <w:pPr>
        <w:pStyle w:val="NormalHanging12a"/>
        <w:widowControl/>
        <w:ind w:left="570" w:hanging="570"/>
      </w:pPr>
      <w:r w:rsidRPr="00C8436B">
        <w:t>5.</w:t>
      </w:r>
      <w:r w:rsidRPr="00C8436B">
        <w:tab/>
      </w:r>
      <w:r w:rsidR="006433A3" w:rsidRPr="00C8436B">
        <w:t>σημειώνει ότι ο προϋπολογισμός που διατέθηκε για το ΔΕΕ το 2023 ανήλθε σε 486 025 796 EUR, ποσό που αντιπροσωπεύει αύξηση κατά 3,9 % σε σύγκριση με το 2022· σημειώνει ότι η αύξηση αυτή αφορούσε κυρίως προσαρμογές των μισθών που προβλέπονταν για το 2023· τονίζει ότι ο προϋπολογισμός του ΔΕΕ είναι ουσιαστικά διοικητικός, με περίπου το 75 % των πιστώσεων να σχετίζονται με δαπάνες για τα μέλη και το προσωπικό, και σχεδόν το σύνολο των υπόλοιπων πιστώσεων να σχετίζεται με δαπάνες για κτίρια και ΤΠ·</w:t>
      </w:r>
    </w:p>
    <w:p w:rsidR="006433A3" w:rsidRPr="00C8436B" w:rsidRDefault="00C8436B" w:rsidP="00C8436B">
      <w:pPr>
        <w:pStyle w:val="NormalHanging12a"/>
        <w:widowControl/>
        <w:ind w:left="570" w:hanging="570"/>
      </w:pPr>
      <w:r w:rsidRPr="00C8436B">
        <w:t>6.</w:t>
      </w:r>
      <w:r w:rsidRPr="00C8436B">
        <w:tab/>
      </w:r>
      <w:r w:rsidR="006433A3" w:rsidRPr="00C8436B">
        <w:t>σημειώνει ότι το συνολικό ποσοστό εκτέλεσης του προϋπολογισμού έως τα τέλη του 2023 ήταν 97,72%· σημειώνει ότι υποβλήθηκαν πέντε μεταφορές στην αρμόδια για τον προϋπολογισμό αρχή σύμφωνα με το άρθρο 29 του δημοσιονομικού κανονισμού για την ενίσχυση των γραμμών του προϋπολογισμού «Κατανάλωση ενέργειας», «Αγορά, εργασίες και συντήρηση του εξοπλισμού και του λογισμικού» και «Κτίρια» από άλλες γραμμές του προϋπολογισμού, κυρίως από τη γραμμή του προϋπολογισμού για το προσωπικό «Αποδοχές και αποζημιώσεις»· σημειώνει ότι ο επιθετικός πόλεμος της Ρωσίας κατά της Ουκρανίας συνεχίζει να δημιουργεί δημοσιονομικές πιέσεις για το ΔΕΕ, μεταξύ άλλων μέσω της αύξησης του πληθωρισμού και των μισθολογικών προσαρμογών, της έντονης αύξησης του ενεργειακού κόστους και του κόστους για ορισμένα αγαθά και υπηρεσίες·</w:t>
      </w:r>
    </w:p>
    <w:p w:rsidR="006433A3" w:rsidRPr="00C8436B" w:rsidRDefault="00C8436B" w:rsidP="00C8436B">
      <w:pPr>
        <w:pStyle w:val="NormalHanging12a"/>
        <w:widowControl/>
        <w:ind w:left="570" w:hanging="570"/>
      </w:pPr>
      <w:r w:rsidRPr="00C8436B">
        <w:t>7.</w:t>
      </w:r>
      <w:r w:rsidRPr="00C8436B">
        <w:tab/>
      </w:r>
      <w:r w:rsidR="006433A3" w:rsidRPr="00C8436B">
        <w:t>σημειώνει με ικανοποίηση ότι ο κύριος διατάκτης δήλωσε ότι οι πόροι που διατέθηκαν χρησιμοποιήθηκαν για τον επιδιωκόμενο σκοπό και σύμφωνα με την αρχή της χρηστής δημοσιονομικής διαχείρισης και ότι οι εφαρμοζόμενες διαδικασίες ελέγχου παρείχαν τις αναγκαίες εγγυήσεις όσον αφορά τη νομιμότητα και κανονικότητα των υποκείμενων πράξεων·</w:t>
      </w:r>
    </w:p>
    <w:p w:rsidR="006433A3" w:rsidRPr="00C8436B" w:rsidRDefault="00C8436B" w:rsidP="00C8436B">
      <w:pPr>
        <w:pStyle w:val="NormalHanging12a"/>
        <w:widowControl/>
        <w:ind w:left="570" w:hanging="570"/>
      </w:pPr>
      <w:r w:rsidRPr="00C8436B">
        <w:t>8.</w:t>
      </w:r>
      <w:r w:rsidRPr="00C8436B">
        <w:tab/>
      </w:r>
      <w:r w:rsidR="006433A3" w:rsidRPr="00C8436B">
        <w:t xml:space="preserve">σημειώνει ότι ο μέσος χρόνος πληρωμής ανήλθε σε 23,1 ημέρες το 2023 σε σύγκριση με 24,32 ημέρες το 2022· καλεί το ΔΕΕ να συνεχίσει τις προσπάθειές του για τη μείωση </w:t>
      </w:r>
      <w:r w:rsidR="006433A3" w:rsidRPr="00C8436B">
        <w:lastRenderedPageBreak/>
        <w:t>του χρόνου πληρωμής, λαμβάνοντας ιδίως υπόψη ότι το 81 % των τιμολογίων ελήφθησαν ηλεκτρονικά το 2023·</w:t>
      </w:r>
    </w:p>
    <w:p w:rsidR="006433A3" w:rsidRPr="00C8436B" w:rsidRDefault="00C8436B" w:rsidP="00C8436B">
      <w:pPr>
        <w:pStyle w:val="NormalHanging12a"/>
        <w:widowControl/>
        <w:ind w:left="570" w:hanging="570"/>
      </w:pPr>
      <w:r w:rsidRPr="00C8436B">
        <w:t>9.</w:t>
      </w:r>
      <w:r w:rsidRPr="00C8436B">
        <w:tab/>
      </w:r>
      <w:r w:rsidR="006433A3" w:rsidRPr="00C8436B">
        <w:t>σημειώνει ότι ο προϋπολογισμός αποστολών του ΔΕΕ, ο οποίος ανήλθε σε 638 000 EUR τόσο για το προσωπικό όσο και για τους βουλευτές το 2023, συνέχισε να μειώνεται κατά 3,3 % το 2023 σε σύγκριση με το 2022· σημειώνει ότι το 85,1 % των πιστώσεων για αποστολές το 2023 χρησιμοποιήθηκε σε σύγκριση με 46,6 % το 2022 λόγω των συνεχιζόμενων ταξιδιωτικών περιορισμών που ίσχυαν εκείνη την περίοδο·</w:t>
      </w:r>
    </w:p>
    <w:p w:rsidR="006433A3" w:rsidRPr="00C8436B" w:rsidRDefault="006433A3" w:rsidP="00EB4FED">
      <w:pPr>
        <w:pStyle w:val="NormalHanging12a"/>
        <w:widowControl/>
        <w:rPr>
          <w:b/>
          <w:i/>
        </w:rPr>
      </w:pPr>
      <w:r w:rsidRPr="00C8436B">
        <w:rPr>
          <w:b/>
          <w:i/>
        </w:rPr>
        <w:t>Εσωτερική διαχείριση, επιδόσεις και εσωτερικός έλεγχος</w:t>
      </w:r>
    </w:p>
    <w:p w:rsidR="006433A3" w:rsidRPr="00C8436B" w:rsidRDefault="00C8436B" w:rsidP="00C8436B">
      <w:pPr>
        <w:pStyle w:val="NormalHanging12a"/>
        <w:widowControl/>
        <w:ind w:left="570" w:hanging="570"/>
      </w:pPr>
      <w:r w:rsidRPr="00C8436B">
        <w:t>10.</w:t>
      </w:r>
      <w:r w:rsidRPr="00C8436B">
        <w:tab/>
      </w:r>
      <w:r w:rsidR="006433A3" w:rsidRPr="00C8436B">
        <w:t>σημειώνει τα σημαντικά μέτρα που έλαβε το ΔΕΕ το 2023 για τη δικαστική του μεταρρύθμιση, η οποία οδήγησε στη μερική μεταβίβαση της αρμοδιότητας για την έκδοση προδικαστικών αποφάσεων από το Δικαστήριο στο Γενικό Δικαστήριο· σημειώνει ότι επιτεύχθηκε πολιτική συμφωνία με το Κοινοβούλιο και το Συμβούλιο στα τέλη του 2023 ενόψει της τροποποίησης του Οργανισμού του ΔΕΕ και με σκοπό τη βελτίωση της λειτουργίας του ΔΕΕ στο πλαίσιο της σταθερής αύξησης του φόρτου υποθέσεων και της πολυπλοκότητας και του ευαίσθητου χαρακτήρα των ζητημάτων που εγείρονται· σημειώνει ότι, μετά την έγκριση της μεταρρύθμισης το 2024, εγκρίθηκαν λεπτομερείς κανόνες και διαδικασίες προκειμένου να ολοκληρωθεί η μεταρρύθμιση και να καταστεί δυνατή η εφαρμογή του νέου κανονιστικού πλαισίου από την 1η Οκτωβρίου 2024·</w:t>
      </w:r>
    </w:p>
    <w:p w:rsidR="006433A3" w:rsidRPr="00C8436B" w:rsidRDefault="00C8436B" w:rsidP="00C8436B">
      <w:pPr>
        <w:pStyle w:val="NormalHanging12a"/>
        <w:widowControl/>
        <w:ind w:left="570" w:hanging="570"/>
      </w:pPr>
      <w:r w:rsidRPr="00C8436B">
        <w:t>11.</w:t>
      </w:r>
      <w:r w:rsidRPr="00C8436B">
        <w:tab/>
      </w:r>
      <w:r w:rsidR="006433A3" w:rsidRPr="00C8436B">
        <w:t>σημειώνει ότι, το 2023, το Δικαστήριο αποφάνθηκε επί πέντε υποθέσεων που αφορούσαν την αρχή της υπεροχής στο πλαίσιο τεσσάρων προδικαστικών αποφάσεων που εισήχθησαν από τα δικαστήρια της Γερμανίας, της Ιρλανδίας, της Πολωνίας και της Ρουμανίας, και μίας υπόθεσης επί παραβάσει που αφορούσε την Πολωνία· τονίζει τη θεμελιώδη σημασία της αρχής της υπεροχής του δικαίου της ΕΕ, η οποία διασφαλίζει την ομοιόμορφη ερμηνεία και εφαρμογή του δικαίου της ΕΕ σε όλα τα κράτη μέλη και προστατεύει το κράτος δικαίου ως βασική αξία της Ένωσης· επαναβεβαιώνει σθεναρά ότι η υπεροχή του δικαίου της Ένωσης αποτελεί τον ακρογωνιαίο λίθο της έννομης τάξης της Ένωσης και υπογραμμίζει τον καίριο ρόλο του ΔΕΕ στην προάσπιση του κράτους δικαίου σε ολόκληρη την Ένωση. σημειώνει περαιτέρω ότι το Γενικό Δικαστήριο αποφάνθηκε σε έξι υποθέσεις σχετικά με μέτρα για την προστασία του προϋπολογισμού της Ένωσης από παραβιάσεις των αρχών του κράτους δικαίου από την ουγγρική κυβέρνηση, η οποία συστηματικά υπονομεύει τις θεμελιώδεις αξίες της ΕΕ· παροτρύνει την Επιτροπή να λάβει αποφασιστικά μέτρα επιβολής κατά οποιουδήποτε κράτους μέλους αμφισβητεί ή δεν λαμβάνει υπόψη τον δεσμευτικό χαρακτήρα των αποφάσεων του ΔΕΕ·</w:t>
      </w:r>
      <w:r w:rsidR="00026AE3" w:rsidRPr="00C8436B">
        <w:t xml:space="preserve"> επισημαίνει ότι, σε περιπτώσεις που σχετίζονται με τη διερεύνηση του προϋπολογισμού της Ένωσης, όλες οι αρμόδιες αρχές πρέπει να σέβονται πλήρως τις αρχές της ορθής διαδικασίας και των θεμελιωδών δικαιωμάτων·</w:t>
      </w:r>
    </w:p>
    <w:p w:rsidR="00026AE3" w:rsidRPr="00C8436B" w:rsidRDefault="00C8436B" w:rsidP="00C8436B">
      <w:pPr>
        <w:pStyle w:val="NormalHanging12a"/>
        <w:widowControl/>
        <w:ind w:left="570" w:hanging="570"/>
      </w:pPr>
      <w:r w:rsidRPr="00C8436B">
        <w:t>12.</w:t>
      </w:r>
      <w:r w:rsidRPr="00C8436B">
        <w:tab/>
      </w:r>
      <w:r w:rsidR="00026AE3" w:rsidRPr="00C8436B">
        <w:t>σημειώνει ότι το άρθρο 4 παράγραφος 2 της Συνθήκης για την Ευρωπαϊκή Ένωση ορίζει ότι «Η Ένωση σέβεται την ισότητα των κρατών μελών ενώπιον των Συνθηκών καθώς και την εθνική τους ταυτότητα που είναι συμφυής με τη θεμελιώδη πολιτική και συνταγματική τους δομή, στην οποία συμπεριλαμβάνεται η περιφερειακή και τοπική αυτοδιοίκηση. Σέβεται τις ουσιώδεις λειτουργίες του κράτους [...]»·</w:t>
      </w:r>
    </w:p>
    <w:p w:rsidR="006433A3" w:rsidRPr="00C8436B" w:rsidRDefault="00C8436B" w:rsidP="00C8436B">
      <w:pPr>
        <w:pStyle w:val="NormalHanging12a"/>
        <w:widowControl/>
        <w:ind w:left="570" w:hanging="570"/>
      </w:pPr>
      <w:r w:rsidRPr="00C8436B">
        <w:t>13.</w:t>
      </w:r>
      <w:r w:rsidRPr="00C8436B">
        <w:tab/>
      </w:r>
      <w:r w:rsidR="006433A3" w:rsidRPr="00C8436B">
        <w:t xml:space="preserve">καταδικάζει κάθε εθνικό μέτρο ή νομοθετική δράση που επιδιώκει να υπονομεύσει την κωδικοποίηση και την εκτέλεση των αποφάσεων του ΔΕΕ· ζητεί τη θέσπιση επίσημου </w:t>
      </w:r>
      <w:r w:rsidR="006433A3" w:rsidRPr="00C8436B">
        <w:lastRenderedPageBreak/>
        <w:t>μηχανισμού παρακολούθησης για την παρακολούθηση της συμμόρφωσης των κρατών μελών με τις αποφάσεις του ΔΕΕ και συνιστά τη σύνδεση της συμμόρφωσης με την εκταμίευση της χρηματοδότησης της ΕΕ στο πλαίσιο της αιρεσιμότητας για το κράτος δικαίου·</w:t>
      </w:r>
    </w:p>
    <w:p w:rsidR="006433A3" w:rsidRPr="00C8436B" w:rsidRDefault="00C8436B" w:rsidP="00C8436B">
      <w:pPr>
        <w:pStyle w:val="NormalHanging12a"/>
        <w:widowControl/>
        <w:ind w:left="570" w:hanging="570"/>
      </w:pPr>
      <w:r w:rsidRPr="00C8436B">
        <w:t>14.</w:t>
      </w:r>
      <w:r w:rsidRPr="00C8436B">
        <w:tab/>
      </w:r>
      <w:r w:rsidR="006433A3" w:rsidRPr="00C8436B">
        <w:t>σημειώνει ότι το 2023 υποβλήθηκαν στο Δικαστήριο 821 νέες υποθέσεις, σε σύγκριση με 806 το 2022, εκ των οποίων το 63 % ήταν αιτήσεις προδικαστικής απόφασης και το 28,6 % ήταν προσφυγές κατά αποφάσεων του Γενικού Δικαστηρίου· σημειώνει ότι το Γενικό Δικαστήριο σημείωσε σημαντική αύξηση των υποθέσεων με 1 271 νέες υποθέσεις το 2023 σε σύγκριση με 904 το 2022, συμπεριλαμβανομένης μιας σπάνιας σειράς 404 κοινών υποθέσεων που υποβλήθηκαν τον Οκτώβριο του 2023· σημειώνει ότι το 2023 για το Γενικό Δικαστήριο το 37 % των νέων υποθέσεων, συμπεριλαμβανομένης της σειράς των 404 κοινών υποθέσεων, αφορούσαν δράσεις σχετικές με το θεσμικό δίκαιο, το 24,3 % αφορούσαν δράσεις σχετικές με τη διανοητική ιδιοκτησία και το 6 % αφορούσαν διαφορές μεταξύ των θεσμικών οργάνων της Ένωσης και του προσωπικού τους· σημειώνει ότι ο συνολικός αριθμός των εκκρεμών υποθέσεων παραμένει σταθερός σε σύγκριση με τα προηγούμενα έτη: εάν οι προαναφερθείσες 404 υποθέσεις θεωρηθούν ενιαία υπόθεση, στο τέλος του 2023 εκκρεμούσαν 2 587 υποθέσεις, έναντι 2 585 στο τέλος του 2022 και 2 541 στο τέλος του 2021·</w:t>
      </w:r>
    </w:p>
    <w:p w:rsidR="006433A3" w:rsidRPr="00C8436B" w:rsidRDefault="00C8436B" w:rsidP="00C8436B">
      <w:pPr>
        <w:pStyle w:val="NormalHanging12a"/>
        <w:widowControl/>
        <w:ind w:left="570" w:hanging="570"/>
      </w:pPr>
      <w:r w:rsidRPr="00C8436B">
        <w:t>15.</w:t>
      </w:r>
      <w:r w:rsidRPr="00C8436B">
        <w:tab/>
      </w:r>
      <w:r w:rsidR="006433A3" w:rsidRPr="00C8436B">
        <w:t>σημειώνει ότι το Δικαστήριο περάτωσε 783 υποθέσεις το 2023, σε σύγκριση με 808 το 2022, και ότι το Γενικό Δικαστήριο περάτωσε 904 υποθέσεις το 2023, έναντι 858 το 2022·</w:t>
      </w:r>
    </w:p>
    <w:p w:rsidR="006433A3" w:rsidRPr="00C8436B" w:rsidRDefault="00C8436B" w:rsidP="00C8436B">
      <w:pPr>
        <w:pStyle w:val="NormalHanging12a"/>
        <w:widowControl/>
        <w:ind w:left="570" w:hanging="570"/>
      </w:pPr>
      <w:r w:rsidRPr="00C8436B">
        <w:t>16.</w:t>
      </w:r>
      <w:r w:rsidRPr="00C8436B">
        <w:tab/>
      </w:r>
      <w:r w:rsidR="006433A3" w:rsidRPr="00C8436B">
        <w:t>εκφράζει την ικανοποίησή του για τη μείωση της μέσης διάρκειας των διαδικασιών για τις υποθέσεις που περατώθηκαν από το Δικαστήριο, όταν το 2023 ήταν 16,1 μήνες, σε σύγκριση με 16,4 μήνες το 2022· σημειώνει ότι η μέση διάρκεια για τις υποθέσεις που περατώθηκαν από το Γενικό Δικαστήριο ήταν 18,2 μήνες, σε σύγκριση με 16,2 μήνες το 2022, γεγονός που σύμφωνα με το Γενικό Δικαστήριο οφείλεται στη φύση και τη σχετική πολυπλοκότητα των διαδικασιών που διαχειρίστηκε το 2023·</w:t>
      </w:r>
    </w:p>
    <w:p w:rsidR="006433A3" w:rsidRPr="00C8436B" w:rsidRDefault="00C8436B" w:rsidP="00C8436B">
      <w:pPr>
        <w:pStyle w:val="NormalHanging12a"/>
        <w:widowControl/>
        <w:ind w:left="570" w:hanging="570"/>
      </w:pPr>
      <w:r w:rsidRPr="00C8436B">
        <w:t>17.</w:t>
      </w:r>
      <w:r w:rsidRPr="00C8436B">
        <w:tab/>
      </w:r>
      <w:r w:rsidR="006433A3" w:rsidRPr="00C8436B">
        <w:t>σημειώνει τη μείωση του μέσου χρόνου που απαιτείται για την εκδίκαση των άμεσων προσφυγών ενώπιον του Δικαστηρίου (από 23,5 μήνες το 2022 σε 20,8 μήνες το 2023) και για τη διεκπεραίωση των αιτήσεων προδικαστικής απόφασης (από 17,3 μήνες σε 16,8 μήνες)· σημειώνει ότι, όσον αφορά την παραπομπή διαφορών στο Δικαστήριο, σημειώθηκε σημαντική αύξηση του αριθμού των άμεσων προσφυγών, ιδίως στον τομέα του περιβάλλοντος, και ότι τα προδικαστικά ερωτήματα που υποβλήθηκαν στο Δικαστήριο το 2023 αφορούσαν κατά πρώτο λόγο τον χώρο ελευθερίας, ασφάλειας και δικαιοσύνης και κατά δεύτερο λόγο την φορολογία, την προστασία των καταναλωτών και τις μεταφορές· σημειώνει ότι, όσον αφορά τις διαφορές ενώπιον του Γενικού Δικαστηρίου, σημειώθηκε αύξηση των υποθέσεων στους τομείς της διανοητικής ιδιοκτησίας και της οικονομικής και νομισματικής πολιτικής, συμπεριλαμβανομένου του τραπεζικού τομέα·</w:t>
      </w:r>
    </w:p>
    <w:p w:rsidR="006433A3" w:rsidRPr="00C8436B" w:rsidRDefault="00C8436B" w:rsidP="00C8436B">
      <w:pPr>
        <w:pStyle w:val="NormalHanging12a"/>
        <w:widowControl/>
        <w:ind w:left="570" w:hanging="570"/>
      </w:pPr>
      <w:r w:rsidRPr="00C8436B">
        <w:t>18.</w:t>
      </w:r>
      <w:r w:rsidRPr="00C8436B">
        <w:tab/>
      </w:r>
      <w:r w:rsidR="006433A3" w:rsidRPr="00C8436B">
        <w:t>σημειώνει με ικανοποίηση το υψηλό ποσοστό χρήσης του e-</w:t>
      </w:r>
      <w:proofErr w:type="spellStart"/>
      <w:r w:rsidR="006433A3" w:rsidRPr="00C8436B">
        <w:t>Curia</w:t>
      </w:r>
      <w:proofErr w:type="spellEnd"/>
      <w:r w:rsidR="006433A3" w:rsidRPr="00C8436B">
        <w:t xml:space="preserve"> το 2023, με την καταχώριση 10 502 λογαριασμών e-</w:t>
      </w:r>
      <w:proofErr w:type="spellStart"/>
      <w:r w:rsidR="006433A3" w:rsidRPr="00C8436B">
        <w:t>Curia</w:t>
      </w:r>
      <w:proofErr w:type="spellEnd"/>
      <w:r w:rsidR="006433A3" w:rsidRPr="00C8436B">
        <w:t>: το 94 % των προσφυγών ενώπιον του Γενικού Δικαστηρίου πραγματοποιήθηκε μέσω του e-</w:t>
      </w:r>
      <w:proofErr w:type="spellStart"/>
      <w:r w:rsidR="006433A3" w:rsidRPr="00C8436B">
        <w:t>Curia</w:t>
      </w:r>
      <w:proofErr w:type="spellEnd"/>
      <w:r w:rsidR="006433A3" w:rsidRPr="00C8436B">
        <w:t>, το οποίο είναι το ίδιο με το ποσοστό του 2022, ενώ το ποσοστό χρήσης του e-</w:t>
      </w:r>
      <w:proofErr w:type="spellStart"/>
      <w:r w:rsidR="006433A3" w:rsidRPr="00C8436B">
        <w:t>Curia</w:t>
      </w:r>
      <w:proofErr w:type="spellEnd"/>
      <w:r w:rsidR="006433A3" w:rsidRPr="00C8436B">
        <w:t xml:space="preserve"> στο Δικαστήριο ανήλθε σε περίπου 89 %, σε σύγκριση με 87 % το 2022·</w:t>
      </w:r>
    </w:p>
    <w:p w:rsidR="006433A3" w:rsidRPr="00C8436B" w:rsidRDefault="00C8436B" w:rsidP="00C8436B">
      <w:pPr>
        <w:pStyle w:val="NormalHanging12a"/>
        <w:widowControl/>
        <w:ind w:left="570" w:hanging="570"/>
      </w:pPr>
      <w:r w:rsidRPr="00C8436B">
        <w:lastRenderedPageBreak/>
        <w:t>19.</w:t>
      </w:r>
      <w:r w:rsidRPr="00C8436B">
        <w:tab/>
      </w:r>
      <w:r w:rsidR="006433A3" w:rsidRPr="00C8436B">
        <w:t>εκφράζει την εκτίμησή του για την πρόοδο που έχει σημειωθεί όσον αφορά την ψηφιοποίηση των δικαστικών αρχείων με σκοπό τη διατήρηση των εγγράφων για μελλοντική διαβούλευση και τη διευκόλυνση της πρόσβασης των ερευνητών και του κοινού μέσω ψηφιακής πύλης·</w:t>
      </w:r>
    </w:p>
    <w:p w:rsidR="006433A3" w:rsidRPr="00C8436B" w:rsidRDefault="00C8436B" w:rsidP="00C8436B">
      <w:pPr>
        <w:pStyle w:val="NormalHanging12a"/>
        <w:widowControl/>
        <w:ind w:left="570" w:hanging="570"/>
      </w:pPr>
      <w:r w:rsidRPr="00C8436B">
        <w:t>20.</w:t>
      </w:r>
      <w:r w:rsidRPr="00C8436B">
        <w:tab/>
      </w:r>
      <w:r w:rsidR="006433A3" w:rsidRPr="00C8436B">
        <w:t>εκφράζει την ικανοποίησή του για την προσέγγιση βάσει επιδόσεων που ανέπτυξε το ΔΕΕ, η οποία επιτρέπει στο ΔΕΕ να λαμβάνει αποφάσεις με βάση τα αποτελέσματα επιδόσεων και το επίπεδο επίτευξης των στόχων του, το οποίο μετράται μέσω ενός συνόλου δεικτών φόρτου εργασίας και επιχειρησιακών δεικτών· σημειώνει ότι οι βασικοί δείκτες επιδόσεων που χρησιμοποιεί το ΔΕΕ καλύπτουν ευρύ φάσμα συγκεκριμένων τομέων για τη στήριξη των πέντε στόχων διαχείρισης που σχετίζονται με την ορθή λειτουργία του ΔΕΕ, την ψηφιοποίηση και τις αναδυόμενες τεχνολογίες, τον ανοικτό χαρακτήρα και τη διαφάνεια, την πολυγλωσσία και τη διαχείριση των ανθρώπινων πόρων·</w:t>
      </w:r>
    </w:p>
    <w:p w:rsidR="006433A3" w:rsidRPr="00C8436B" w:rsidRDefault="00C8436B" w:rsidP="00C8436B">
      <w:pPr>
        <w:pStyle w:val="NormalHanging12a"/>
        <w:widowControl/>
        <w:ind w:left="570" w:hanging="570"/>
      </w:pPr>
      <w:r w:rsidRPr="00C8436B">
        <w:t>21.</w:t>
      </w:r>
      <w:r w:rsidRPr="00C8436B">
        <w:tab/>
      </w:r>
      <w:r w:rsidR="006433A3" w:rsidRPr="00C8436B">
        <w:t>σημειώνει ότι το πλαίσιο εσωτερικού ελέγχου του ΔΕΕ αποτέλεσε αντικείμενο διεξοδικής αξιολόγησης την περίοδο 2022-2023, η οποία επιβεβαίωσε την αρτιότητά του· σημειώνει ότι, στο πλαίσιο της εν λόγω αξιολόγησης, τα κυκλώματα δημοσιονομικού ελέγχου προσαρμόστηκαν προκειμένου να καταστούν αποτελεσματικότεροι οι έλεγχοι·</w:t>
      </w:r>
    </w:p>
    <w:p w:rsidR="006433A3" w:rsidRPr="00C8436B" w:rsidRDefault="00C8436B" w:rsidP="00C8436B">
      <w:pPr>
        <w:pStyle w:val="NormalHanging12a"/>
        <w:widowControl/>
        <w:ind w:left="570" w:hanging="570"/>
      </w:pPr>
      <w:r w:rsidRPr="00C8436B">
        <w:t>22.</w:t>
      </w:r>
      <w:r w:rsidRPr="00C8436B">
        <w:tab/>
      </w:r>
      <w:r w:rsidR="006433A3" w:rsidRPr="00C8436B">
        <w:t xml:space="preserve">σημειώνει ότι οι κύριοι εσωτερικοί έλεγχοι που διενεργήθηκαν το 2023 αφορούσαν τις δαπάνες του ΔΕΕ για τον καθαρισμό των κτιρίων, την αποτελεσματικότητα του συστήματος εσωτερικού ελέγχου για τη διασφάλιση των περιουσιακών στοιχείων ΤΠ του ΔΕΕ και τις διαδικασίες επιλογής προσωπικού· σημειώνει ότι σε εσωτερικό έλεγχο διενεργήθηκε επίσης μελέτη σχετικά με τη χρήση της τεχνητής νοημοσύνης στον τομέα της δικαιοσύνης </w:t>
      </w:r>
      <w:bookmarkStart w:id="9" w:name="_bookmark0"/>
      <w:bookmarkEnd w:id="9"/>
      <w:r w:rsidR="006433A3" w:rsidRPr="00C8436B">
        <w:t>σε σχέση με την εφαρμογή μιας «στρατηγικής για την ενσωμάτωση στη λειτουργία του ΔΕΕ εργαλείων που βασίζονται στην τεχνητή νοημοσύνη»· σημειώνει ότι, σε πολλές περιπτώσεις, οι υπηρεσίες του ΔΕΕ έλαβαν μέτρα για την εφαρμογή των συστάσεων του εσωτερικού ελέγχου πριν από την επίσημη οριστικοποίηση των εσωτερικών ελέγχων και ότι οι ενέργειες αυτές κρίθηκαν ικανοποιητικές από τον εσωτερικό ελεγκτή·</w:t>
      </w:r>
    </w:p>
    <w:p w:rsidR="006433A3" w:rsidRPr="00C8436B" w:rsidRDefault="006433A3" w:rsidP="00EB4FED">
      <w:pPr>
        <w:pStyle w:val="NormalHanging12a"/>
        <w:widowControl/>
        <w:rPr>
          <w:b/>
          <w:i/>
        </w:rPr>
      </w:pPr>
      <w:r w:rsidRPr="00C8436B">
        <w:rPr>
          <w:b/>
          <w:i/>
        </w:rPr>
        <w:t>Ανθρώπινοι πόροι, ισότητα και ευεξία του προσωπικού</w:t>
      </w:r>
    </w:p>
    <w:p w:rsidR="006433A3" w:rsidRPr="00C8436B" w:rsidRDefault="00C8436B" w:rsidP="00C8436B">
      <w:pPr>
        <w:pStyle w:val="NormalHanging12a"/>
        <w:widowControl/>
        <w:ind w:left="570" w:hanging="570"/>
      </w:pPr>
      <w:r w:rsidRPr="00C8436B">
        <w:t>23.</w:t>
      </w:r>
      <w:r w:rsidRPr="00C8436B">
        <w:tab/>
      </w:r>
      <w:r w:rsidR="006433A3" w:rsidRPr="00C8436B">
        <w:t>σημειώνει ότι, στο τέλος του 2023, το ΔΕΕ απασχολούσε 1</w:t>
      </w:r>
      <w:r w:rsidR="00EB4FED" w:rsidRPr="00C8436B">
        <w:t> </w:t>
      </w:r>
      <w:r w:rsidR="006433A3" w:rsidRPr="00C8436B">
        <w:t>340 μόνιμους υπαλλήλους (58 %), 765 έκτακτους υπαλλήλους (33 %) σύμφωνα με το άρθρο 2 στοιχείο α), το άρθρο 2 στοιχείο β) και το άρθρο 2 στοιχείο γ) του καθεστώτος που εφαρμόζεται στο λοιπό προσωπικό της ΕΕ, και 198 συμβασιούχους υπαλλήλους (9 %)· σημειώνει ότι, στο τέλος του 2023, το ποσοστό κάλυψης του οργανογράμματος ανερχόταν σε 97,11 %· σημειώνει περαιτέρω ότι η ετήσια εναλλαγή προσωπικού ήταν 7,8 % το 2023, γεγονός που οφειλόταν ιδίως στο 20 % των μελών του προσωπικού που αποχώρησαν από το ΔΕΕ λόγω συνταξιοδότησης·</w:t>
      </w:r>
    </w:p>
    <w:p w:rsidR="006433A3" w:rsidRPr="00C8436B" w:rsidRDefault="00C8436B" w:rsidP="00C8436B">
      <w:pPr>
        <w:pStyle w:val="NormalHanging12a"/>
        <w:widowControl/>
        <w:ind w:left="570" w:hanging="570"/>
      </w:pPr>
      <w:r w:rsidRPr="00C8436B">
        <w:t>24.</w:t>
      </w:r>
      <w:r w:rsidRPr="00C8436B">
        <w:tab/>
      </w:r>
      <w:r w:rsidR="006433A3" w:rsidRPr="00C8436B">
        <w:t>σημειώνει ότι το Δικαστήριο αποτελείται από 27 δικαστές και 11 γενικούς εισαγγελείς και ότι κανένας νέος δικαστής ή γενικός εισαγγελέας δεν ανέλαβε καθήκοντα το 2023· σημειώνει περαιτέρω ότι το Γενικό Δικαστήριο αποτελείται από 54 δικαστές και ότι δύο νέοι δικαστές, μία γυναίκα και ένας άντρας, ανέλαβαν καθήκοντα κατά τη διάρκεια του 2023· σημειώνει περαιτέρω ότι το 2023 εξελέγη νέος Γραμματέας του Γενικού Δικαστηρίου·</w:t>
      </w:r>
    </w:p>
    <w:p w:rsidR="006433A3" w:rsidRPr="00C8436B" w:rsidRDefault="00C8436B" w:rsidP="00C8436B">
      <w:pPr>
        <w:pStyle w:val="NormalHanging12a"/>
        <w:widowControl/>
        <w:ind w:left="570" w:hanging="570"/>
      </w:pPr>
      <w:r w:rsidRPr="00C8436B">
        <w:lastRenderedPageBreak/>
        <w:t>25.</w:t>
      </w:r>
      <w:r w:rsidRPr="00C8436B">
        <w:tab/>
      </w:r>
      <w:r w:rsidR="006433A3" w:rsidRPr="00C8436B">
        <w:t>εκφράζει την ικανοποίησή του για τις λεπτομερείς απαντήσεις του ΔΕΕ στο ερωτηματολόγιο της Επιτροπής Ελέγχου του Προϋπολογισμού του Κοινοβουλίου, που παρασχέθηκε στο πλαίσιο της τρέχουσας διαδικασίας απαλλαγής, ιδίως όσον αφορά την κατανομή του προσωπικού στο τέλος του 2023·</w:t>
      </w:r>
      <w:r w:rsidR="006433A3" w:rsidRPr="00C8436B">
        <w:rPr>
          <w:b/>
          <w:i/>
        </w:rPr>
        <w:t xml:space="preserve"> </w:t>
      </w:r>
      <w:r w:rsidR="006433A3" w:rsidRPr="00C8436B">
        <w:t>σημειώνει ότι η σύνθεση του Δικαστηρίου και του Γενικού Δικαστηρίου ως προς το φύλο εξακολουθεί να είναι πολύ άνιση· εκφράζει την εκτίμησή του για την επιστολή του Προέδρου του Γενικού Δικαστηρίου προς τον Πρόεδρο της Διάσκεψης των αντιπροσώπων των κρατών μελών το 2024, με την οποία καλεί τα κράτη μέλη να λάβουν υπόψη την ανάγκη για ισόρροπη εκπροσώπηση των φύλων κατά τον διορισμό υποψηφίων για την αντικατάσταση δικαστών και γενικών εισαγγελέων· καλεί τα κράτη μέλη να λαμβάνουν υπόψη την ανάγκη για ισόρροπη εκπροσώπηση των φύλων κατά τον ορισμό υποψηφίων για την αντικατάσταση δικαστών·</w:t>
      </w:r>
    </w:p>
    <w:p w:rsidR="006433A3" w:rsidRPr="00C8436B" w:rsidRDefault="00C8436B" w:rsidP="00C8436B">
      <w:pPr>
        <w:pStyle w:val="NormalHanging12a"/>
        <w:widowControl/>
        <w:ind w:left="570" w:hanging="570"/>
      </w:pPr>
      <w:r w:rsidRPr="00C8436B">
        <w:t>26.</w:t>
      </w:r>
      <w:r w:rsidRPr="00C8436B">
        <w:tab/>
      </w:r>
      <w:r w:rsidR="006433A3" w:rsidRPr="00C8436B">
        <w:t>σημειώνει ότι, από τους 2 303 μόνιμους και λοιπούς υπαλλήλους που υπηρετούσαν στο τέλος του 2023, το 61 % είναι γυναίκες· εκφράζει την ικανοποίησή του για το γεγονός ότι το ποσοστό των γυναικών σε διοικητικές θέσεις είναι 55% και, ιδίως, για το γεγονός ότι, στις διευθυντικές θέσεις, το ποσοστό έχει αυξηθεί σε 43%, σε σύγκριση με 40 % το 2022 και το 2021, επιβεβαιώνοντας την παγκόσμια ανοδική τάση που καταγράφεται από το 2018 (41 % το 2020, 39 % το 2019 και 37,5 % το 2018)· σημειώνει, ωστόσο, ότι η εκπροσώπηση των γυναικών ήταν η υψηλότερη στους βαθμούς των βοηθών, ενώ ήταν η χαμηλότερη στις ανώτερες διευθυντικές θέσεις· καλεί το ΔΕΕ να διασφαλίσει μεγαλύτερη εκπροσώπηση των γυναικών σε ανώτερες διευθυντικές θέσεις και να λάβει περαιτέρω μέτρα για την προώθηση της ισόρροπης εκπροσώπησης των φύλων σε όλα τα επίπεδα·</w:t>
      </w:r>
      <w:r w:rsidR="006433A3" w:rsidRPr="00C8436B">
        <w:rPr>
          <w:color w:val="FF0000"/>
        </w:rPr>
        <w:t xml:space="preserve"> </w:t>
      </w:r>
      <w:r w:rsidR="006433A3" w:rsidRPr="00C8436B">
        <w:t>εκφράζει την ικανοποίησή του για τις προσπάθειες που καταβάλλει το ΔΕΕ υπέρ της ισότητας, της ένταξης και της πολυμορφίας, ιδίως στο στάδιο των προσλήψεων·</w:t>
      </w:r>
    </w:p>
    <w:p w:rsidR="006433A3" w:rsidRPr="00C8436B" w:rsidRDefault="00C8436B" w:rsidP="00C8436B">
      <w:pPr>
        <w:pStyle w:val="NormalHanging12a"/>
        <w:widowControl/>
        <w:ind w:left="570" w:hanging="570"/>
      </w:pPr>
      <w:r w:rsidRPr="00C8436B">
        <w:t>27.</w:t>
      </w:r>
      <w:r w:rsidRPr="00C8436B">
        <w:tab/>
      </w:r>
      <w:r w:rsidR="006433A3" w:rsidRPr="00C8436B">
        <w:t>καλεί το ΔΕΕ να δημοσιεύει ετήσια έκθεση για την ισότητα των φύλων και τη διαφορετικότητα, η οποία θα παρέχει διαφάνεια όσον αφορά την εκπροσώπηση των φύλων σε όλα τα επίπεδα του θεσμικού οργάνου, συμπεριλαμβανομένων των δικαστών, των γενικών εισαγγελέων και του διοικητικού προσωπικού, καθώς και να προβλέπει συγκεκριμένα μέτρα για τη βελτίωση της ισότητας των φύλων στις ανώτερες θέσεις·</w:t>
      </w:r>
    </w:p>
    <w:p w:rsidR="006433A3" w:rsidRPr="00C8436B" w:rsidRDefault="00C8436B" w:rsidP="00C8436B">
      <w:pPr>
        <w:pStyle w:val="NormalHanging12a"/>
        <w:widowControl/>
        <w:ind w:left="570" w:hanging="570"/>
      </w:pPr>
      <w:r w:rsidRPr="00C8436B">
        <w:t>28.</w:t>
      </w:r>
      <w:r w:rsidRPr="00C8436B">
        <w:tab/>
      </w:r>
      <w:r w:rsidR="006433A3" w:rsidRPr="00C8436B">
        <w:t>εκφράζει την ικανοποίησή του για το γεγονός ότι όλες οι εθνικότητες της Ένωσης εκπροσωπούνται στο προσωπικό του ΔΕΕ, αλλά σημειώνει ότι ορισμένες εθνικότητες εκπροσωπούνται περισσότερο από άλλες· εκφράζει την ικανοποίησή του για το γεγονός ότι, το 2023, το ΔΕΕ συνέχισε τις προσπάθειές του για την προώθηση καλύτερης γεωγραφικής ισορροπίας μεταξύ του προσωπικού του, ιδίως με την προώθηση της προβολής και της ελκυστικότητας των κενών θέσεων εργασίας του, τη δημιουργία και την προσφορά ευνοϊκότερων συνθηκών εργασίας για την προσέλκυση έκτακτων υπαλλήλων από ορισμένα λιγότερο εκπροσωπούμενα κράτη μέλη και την ευρεία επικοινωνία σε ποικίλα ακροατήρια σχετικά με τις ευκαιρίες απασχόλησης στο ΔΕΕ· σημειώνει ότι καταβλήθηκε σημαντική προσπάθεια για την προσέλκυση πολλών ταλαντούχων νέων από διαφορετικά κράτη μέλη μέσω του προγράμματος πρακτικής άσκησης του ΔΕΕ· καλεί το ΔΕΕ να εξετάσει κατά πόσον οι ασκούμενοι εκπροσωπούνται αναλογικά από όλα τα κράτη μέλη·</w:t>
      </w:r>
    </w:p>
    <w:p w:rsidR="006433A3" w:rsidRPr="00C8436B" w:rsidRDefault="00C8436B" w:rsidP="00C8436B">
      <w:pPr>
        <w:pStyle w:val="NormalHanging12a"/>
        <w:widowControl/>
        <w:ind w:left="570" w:hanging="570"/>
      </w:pPr>
      <w:r w:rsidRPr="00C8436B">
        <w:t>29.</w:t>
      </w:r>
      <w:r w:rsidRPr="00C8436B">
        <w:tab/>
      </w:r>
      <w:r w:rsidR="006433A3" w:rsidRPr="00C8436B">
        <w:t>καλεί το ΔΕΕ να προωθήσει ένα πολυγλωσσικό εργασιακό περιβάλλον, αναγνωρίζοντας τις δυνατότητές του να ενισχύσει τη δίκαιη κατανομή των εθνικοτήτων μεταξύ του προσωπικού του· καλεί όλα τα θεσμικά όργανα της ΕΕ να τηρούν και να διασφαλίζουν την αρχή της πολυγλωσσίας·</w:t>
      </w:r>
    </w:p>
    <w:p w:rsidR="006433A3" w:rsidRPr="00C8436B" w:rsidRDefault="00C8436B" w:rsidP="00C8436B">
      <w:pPr>
        <w:pStyle w:val="NormalHanging12a"/>
        <w:widowControl/>
        <w:ind w:left="570" w:hanging="570"/>
      </w:pPr>
      <w:r w:rsidRPr="00C8436B">
        <w:lastRenderedPageBreak/>
        <w:t>30.</w:t>
      </w:r>
      <w:r w:rsidRPr="00C8436B">
        <w:tab/>
      </w:r>
      <w:r w:rsidR="006433A3" w:rsidRPr="00C8436B">
        <w:t>εκφράζει την ικανοποίησή του για το έργο που επιτελέστηκε στο πλαίσιο της Διοργανικής Ομάδας Υψηλού Επιπέδου για την ενίσχυση της ελκυστικότητας του Λουξεμβούργου ως τόπου εργασίας για το προσωπικό· καλεί το ΔΕΕ να διατηρήσει και να ενισχύσει τη συνεργασία με άλλα θεσμικά όργανα που εδρεύουν στο Λουξεμβούργο σε διάφορες πρωτοβουλίες· σημειώνει με εκτίμηση ότι η αρμόδια για τον προϋπολογισμό αρχή ενέκρινε για το οικονομικό έτος 2025 τις αναγκαίες πιστώσεις προκειμένου να καταστεί δυνατή η χορήγηση επιδόματος στέγασης σε υπαλλήλους χαμηλότερων βαθμών, όπως συνέστησε η Διοργανική Ομάδα Υψηλού Επιπέδου· ζητεί να ενημερωθεί το Κοινοβούλιο σχετικά με την πρόοδο των εν λόγω πρωτοβουλιών που αποσκοπούν στη βελτίωση της ελκυστικότητας του Λουξεμβούργου ως τόπου εργασίας·</w:t>
      </w:r>
    </w:p>
    <w:p w:rsidR="006433A3" w:rsidRPr="00C8436B" w:rsidRDefault="00C8436B" w:rsidP="00C8436B">
      <w:pPr>
        <w:pStyle w:val="NormalHanging12a"/>
        <w:widowControl/>
        <w:ind w:left="570" w:hanging="570"/>
      </w:pPr>
      <w:r w:rsidRPr="00C8436B">
        <w:t>31.</w:t>
      </w:r>
      <w:r w:rsidRPr="00C8436B">
        <w:tab/>
      </w:r>
      <w:r w:rsidR="006433A3" w:rsidRPr="00C8436B">
        <w:t xml:space="preserve">σημειώνει ότι, το 2023, το ΔΕΕ υλοποίησε διάφορες πρωτοβουλίες για την προώθηση της σωματικής και ψυχικής ευεξίας του προσωπικού μέσω εξειδικευμένων εργαστηρίων και δραστηριοτήτων ευαισθητοποίησης· σημειώνει ότι το σύστημα τηλεργασίας, το οποίο τέθηκε σε ισχύ την 1η Μαΐου 2022, αξιολογήθηκε θετικά από τα διευθυντικά στελέχη, το 92 % των οποίων απάντησε ότι η παραγωγικότητα της τηλεργασίας του προσωπικού ήταν είτε ισοδύναμη είτε καλύτερη από ό,τι πριν από την ύπαρξη του συστήματος τηλεργασίας· σημειώνει ότι, με σκοπό την επίτευξη καλύτερης ισορροπίας μεταξύ επαγγελματικής και προσωπικής ζωής, το 2023 το ΔΕΕ ανανέωσε τη δυνατότητα του προσωπικού του να </w:t>
      </w:r>
      <w:proofErr w:type="spellStart"/>
      <w:r w:rsidR="006433A3" w:rsidRPr="00C8436B">
        <w:t>τηλεργάζεται</w:t>
      </w:r>
      <w:proofErr w:type="spellEnd"/>
      <w:r w:rsidR="006433A3" w:rsidRPr="00C8436B">
        <w:t xml:space="preserve"> από χώρες εκτός του τόπου υπηρεσίας έως και 10 ημέρες ετησίως, ιδίως κατά τη διάρκεια των δικαστικών διακοπών·</w:t>
      </w:r>
    </w:p>
    <w:p w:rsidR="006433A3" w:rsidRPr="00C8436B" w:rsidRDefault="00C8436B" w:rsidP="00C8436B">
      <w:pPr>
        <w:pStyle w:val="NormalHanging12a"/>
        <w:widowControl/>
        <w:ind w:left="570" w:hanging="570"/>
      </w:pPr>
      <w:r w:rsidRPr="00C8436B">
        <w:t>32.</w:t>
      </w:r>
      <w:r w:rsidRPr="00C8436B">
        <w:tab/>
      </w:r>
      <w:r w:rsidR="006433A3" w:rsidRPr="00C8436B">
        <w:t>εκφράζει την ικανοποίησή του για τις συνεχιζόμενες εκστρατείες ευαισθητοποίησης, ενημέρωσης και κατάρτισης που αποσκοπούν στην προώθηση της ένταξης, του αμοιβαίου σεβασμού, της συνεργασίας και της στήριξης των ατόμων με αναπηρία και των βοηθών τους·</w:t>
      </w:r>
    </w:p>
    <w:p w:rsidR="006433A3" w:rsidRPr="00C8436B" w:rsidRDefault="00C8436B" w:rsidP="00C8436B">
      <w:pPr>
        <w:pStyle w:val="NormalHanging12a"/>
        <w:widowControl/>
        <w:ind w:left="570" w:hanging="570"/>
      </w:pPr>
      <w:r w:rsidRPr="00C8436B">
        <w:t>33.</w:t>
      </w:r>
      <w:r w:rsidRPr="00C8436B">
        <w:tab/>
      </w:r>
      <w:r w:rsidR="006433A3" w:rsidRPr="00C8436B">
        <w:t xml:space="preserve">σημειώνει ότι ο αριθμός των εργάσιμων ημερών αναρρωτικής άδειας ήταν 20 198 το 2023, αριθμός που αντιστοιχεί σε μείωση κατά 14,78 % σε σύγκριση με το 2022· σημειώνει με ανησυχία ότι η ιατρική υπηρεσία ανέφερε 11 κρούσματα επαγγελματικής εξουθένωσης το 2023· εκφράζει την ικανοποίησή του για το γεγονός ότι το ΔΕΕ έχει προβεί σε ενδελεχή ανάλυση των διαγνωστικών εκθέσεων για τον εντοπισμό περιπτώσεων επαγγελματικής εξουθένωσης και έχει δώσει έμφαση σε προληπτικά μέτρα, ιδίως στην ενίσχυση της ομάδας των ιατρικών και κοινωνικών λειτουργών του, στην πρόληψη των ψυχοκοινωνικών κινδύνων στον χώρο εργασίας και στην καθιέρωση δραστηριοτήτων ευαισθητοποίησης της διοίκησης σχετικά με το δικαίωμα στην αποσύνδεση και τους κινδύνους των </w:t>
      </w:r>
      <w:proofErr w:type="spellStart"/>
      <w:r w:rsidR="006433A3" w:rsidRPr="00C8436B">
        <w:t>υπερεπιδόσεων</w:t>
      </w:r>
      <w:proofErr w:type="spellEnd"/>
      <w:r w:rsidR="006433A3" w:rsidRPr="00C8436B">
        <w:t>· ενθαρρύνει το ΔΕΕ να συνεχίσει να εστιάζει στο πρόβλημα αυτό, προκειμένου να αποφευχθούν περαιτέρω υποθέσεις που σχετίζονται με επαγγελματική εξουθένωση, καθώς και να ενημερώσει το Ευρωπαϊκό Κοινοβούλιο σχετικά με τα μέτρα που λαμβάνονται στο πλαίσιο αυτό·</w:t>
      </w:r>
    </w:p>
    <w:p w:rsidR="006433A3" w:rsidRPr="00C8436B" w:rsidRDefault="00C8436B" w:rsidP="00C8436B">
      <w:pPr>
        <w:pStyle w:val="NormalHanging12a"/>
        <w:widowControl/>
        <w:ind w:left="570" w:hanging="570"/>
      </w:pPr>
      <w:r w:rsidRPr="00C8436B">
        <w:t>34.</w:t>
      </w:r>
      <w:r w:rsidRPr="00C8436B">
        <w:tab/>
      </w:r>
      <w:r w:rsidR="006433A3" w:rsidRPr="00C8436B">
        <w:t xml:space="preserve">σημειώνει ότι το 2023 δρομολογήθηκε διοικητική έρευνα σχετικά με εικαζόμενη υπόθεση σεξουαλικής παρενόχλησης που αφορούσε μέλος του προσωπικού και ότι η υπόθεση αυτή περατώθηκε το 2024 με επιβολή ποινής· διαπιστώνει με ανησυχία ότι το 2023 υποβλήθηκε επίσης διαδικασία παροχής βοήθειας για εικαζόμενη παρενόχληση που αφορούσε δικαστή, αλλά δεν </w:t>
      </w:r>
      <w:proofErr w:type="spellStart"/>
      <w:r w:rsidR="006433A3" w:rsidRPr="00C8436B">
        <w:t>στοιχειοθετήθηκε</w:t>
      </w:r>
      <w:proofErr w:type="spellEnd"/>
      <w:r w:rsidR="006433A3" w:rsidRPr="00C8436B">
        <w:t xml:space="preserve"> παρενόχληση στην εν λόγω υπόθεση· σημειώνει ότι μια διυπηρεσιακή ομάδα εργασίας, η οποία συστάθηκε τον Μάρτιο του 2023, πριν από την κύρωση της Σύμβασης του Συμβουλίου της Ευρώπης για την πρόληψη και την καταπολέμηση της βίας κατά των γυναικών και της </w:t>
      </w:r>
      <w:r w:rsidR="006433A3" w:rsidRPr="00C8436B">
        <w:lastRenderedPageBreak/>
        <w:t>ενδοοικογενειακής βίας, εξέτασε τους κανόνες και τις διαδικασίες που ισχύουν στο ΔΕΕ για την πρόληψη της παρενόχλησης και διατύπωσε ορισμένες συστάσεις με σκοπό τη βελτίωση των εν λόγω κανόνων και διαδικασιών· ενθαρρύνει το ΔΕΕ να δώσει συνέχεια και να συνεχίσει να μην ανέχεται την παρενόχληση στον χώρο εργασίας, εισάγοντας υποχρεωτική κατάρτιση σχετικά με τις ασυνείδητες προκαταλήψεις και τα δεοντολογικά πρότυπα για όλους τους δικαστές και τους ανώτερους υπαλλήλους, ώστε να αποτρέπεται η κατάχρηση εξουσίας·</w:t>
      </w:r>
    </w:p>
    <w:p w:rsidR="006433A3" w:rsidRPr="00C8436B" w:rsidRDefault="006433A3" w:rsidP="00EB4FED">
      <w:pPr>
        <w:pStyle w:val="NormalHanging12a"/>
        <w:widowControl/>
        <w:rPr>
          <w:b/>
          <w:i/>
        </w:rPr>
      </w:pPr>
      <w:r w:rsidRPr="00C8436B">
        <w:rPr>
          <w:b/>
          <w:i/>
        </w:rPr>
        <w:t xml:space="preserve">Πλαίσιο δεοντολογίας </w:t>
      </w:r>
    </w:p>
    <w:p w:rsidR="006433A3" w:rsidRPr="00C8436B" w:rsidRDefault="00C8436B" w:rsidP="00C8436B">
      <w:pPr>
        <w:pStyle w:val="NormalHanging12a"/>
        <w:widowControl/>
        <w:ind w:left="570" w:hanging="570"/>
      </w:pPr>
      <w:r w:rsidRPr="00C8436B">
        <w:t>35.</w:t>
      </w:r>
      <w:r w:rsidRPr="00C8436B">
        <w:tab/>
      </w:r>
      <w:r w:rsidR="006433A3" w:rsidRPr="00C8436B">
        <w:t>σημειώνει με ικανοποίηση ότι, όπως ζητήθηκε σε προηγούμενες συστάσεις απαλλαγής, ο νέος κώδικας δεοντολογίας σχετικά με τα δικαιώματα και τις υποχρεώσεις των υπαλλήλων και του λοιπού προσωπικού του ΔΕΕ, ο οποίος αντικατοπτρίζει τις αξίες και τη δέσμευση του ΔΕΕ για τη δεοντολογία, καταρτίστηκε το 2023 και εγκρίθηκε τον Μάρτιο του 2024· σημειώνει ότι ο κώδικας δεοντολογίας περιλαμβάνει διατάξεις σχετικά με τη σύγκρουση συμφερόντων, το καθήκον πίστης, το καθήκον εμπιστευτικότητας και εχεμύθειας, τις εξωτερικές δραστηριότητες, τις επαγγελματικές δραστηριότητες μετά την αποχώρηση από την υπηρεσία και τις δημοσιεύσεις και ισχύει επίσης για τους αποσπασμένους εθνικούς εμπειρογνώμονες και τους ασκούμενους δικαστές που φιλοξενούνται στο πλαίσιο του Ευρωπαϊκού Δικτύου Κατάρτισης Δικαστικών· σημειώνει ότι, το 2023, διοργανώθηκαν δραστηριότητες ευαισθητοποίησης και ανανεωμένο πρόγραμμα κατάρτισης σχετικά με τον κώδικα δεοντολογίας για το προσωπικό και τα διευθυντικά στελέχη, με ιδιαίτερη έμφαση στους νεοπροσληφθέντες· ζητεί την υποχρεωτική κατάρτιση όλου του προσωπικού σε τακτική βάση και ζητεί να τηρείται ενήμερο το Κοινοβούλιο σχετικά με την εφαρμογή του κώδικα δεοντολογίας·</w:t>
      </w:r>
    </w:p>
    <w:p w:rsidR="006433A3" w:rsidRPr="00C8436B" w:rsidRDefault="00C8436B" w:rsidP="00C8436B">
      <w:pPr>
        <w:pStyle w:val="NormalHanging12a"/>
        <w:widowControl/>
        <w:ind w:left="570" w:hanging="570"/>
      </w:pPr>
      <w:r w:rsidRPr="00C8436B">
        <w:t>36.</w:t>
      </w:r>
      <w:r w:rsidRPr="00C8436B">
        <w:tab/>
      </w:r>
      <w:r w:rsidR="006433A3" w:rsidRPr="00C8436B">
        <w:t>σημειώνει ότι, πριν από την έναρξη ισχύος του κώδικα δεοντολογίας, αναφέρθηκαν και διεκπεραιώθηκαν δύο πιθανές περιπτώσεις σύγκρουσης συμφερόντων σύμφωνα με τις ισχύουσες διαδικασίες, με στόχο να διασφαλιστεί ότι τα νέα εμπλεκόμενα μέλη του προσωπικού δεν συμμετείχαν στη διαχείριση φακέλων που γνώριζαν από προηγούμενη θέση εργασίας·</w:t>
      </w:r>
    </w:p>
    <w:p w:rsidR="006433A3" w:rsidRPr="00C8436B" w:rsidRDefault="00C8436B" w:rsidP="00C8436B">
      <w:pPr>
        <w:pStyle w:val="NormalHanging12a"/>
        <w:widowControl/>
        <w:ind w:left="570" w:hanging="570"/>
      </w:pPr>
      <w:r w:rsidRPr="00C8436B">
        <w:t>37.</w:t>
      </w:r>
      <w:r w:rsidRPr="00C8436B">
        <w:tab/>
      </w:r>
      <w:r w:rsidR="006433A3" w:rsidRPr="00C8436B">
        <w:t xml:space="preserve">σημειώνει ότι, σε συνέχεια της έγκρισης του κώδικα δεοντολογίας για τα μέλη και τα πρώην μέλη του ΔΕΕ, η δήλωση συμφερόντων των μελών έχει δημοσιευθεί στο διαδίκτυο, ώστε να αποφευχθεί τυχόν σύγκρουση συμφερόντων κατά τον χειρισμό υποθέσεων· σημειώνει ότι το ΔΕΕ επανεξετάζει συνεχώς τους εσωτερικούς κανόνες του για το θέμα αυτό με σκοπό την επικαιροποίηση των εν λόγω κανόνων και τη διασφάλιση των υψηλότερων δυνατών προτύπων δεοντολογίας· καλεί το ΔΕΕ να συστήσει ανεξάρτητη επιτροπή δεοντολογίας για την εποπτεία της συμμόρφωσης με τον κώδικα δεοντολογίας και τη διερεύνηση πιθανών παραβιάσεων· ζητεί υποχρεωτική ετήσια κατάρτιση σε θέματα δεοντολογίας για όλο το προσωπικό του ΔΕΕ, συμπεριλαμβανομένων των δικαστών και των γενικών εισαγγελέων, προκειμένου να διαφυλαχθεί η ακεραιότητα του </w:t>
      </w:r>
      <w:r w:rsidR="00FF06D2" w:rsidRPr="00C8436B">
        <w:t>ΔΕΕ</w:t>
      </w:r>
      <w:r w:rsidR="006433A3" w:rsidRPr="00C8436B">
        <w:t>· ζητεί από το ΔΕΕ να ενημερώσει το Κοινοβούλιο σχετικά με τα αποτελέσματα οποιασδήποτε περαιτέρω αξιολόγησης της αποτελεσματικότητας του εν λόγω μέτρου που αποσκοπεί στην πρόληψη των συγκρούσεων συμφερόντων·</w:t>
      </w:r>
    </w:p>
    <w:p w:rsidR="006433A3" w:rsidRPr="00C8436B" w:rsidRDefault="00C8436B" w:rsidP="00C8436B">
      <w:pPr>
        <w:pStyle w:val="NormalHanging12a"/>
        <w:widowControl/>
        <w:ind w:left="570" w:hanging="570"/>
      </w:pPr>
      <w:r w:rsidRPr="00C8436B">
        <w:t>38.</w:t>
      </w:r>
      <w:r w:rsidRPr="00C8436B">
        <w:tab/>
      </w:r>
      <w:r w:rsidR="006433A3" w:rsidRPr="00C8436B">
        <w:t xml:space="preserve">εκφράζει την ικανοποίησή του για τη δημοσίευση των δηλώσεων συμφερόντων των μελών του ΔΕΕ, αλλά ζητεί τη θέσπιση τυποποιημένης διαδικασίας ελέγχου πριν από τον διορισμό για τον εντοπισμό και τον μετριασμό πιθανών συγκρούσεων </w:t>
      </w:r>
      <w:r w:rsidR="006433A3" w:rsidRPr="00C8436B">
        <w:lastRenderedPageBreak/>
        <w:t>συμφερόντων σε πρώιμο στάδιο· καλεί το Συμβούλιο να θεσπίσει διαφανείς κατευθυντήριες γραμμές για τα κράτη μέλη κατά τον διορισμό υποψηφίων για δικαστικές θέσεις στο ΔΕΕ·</w:t>
      </w:r>
    </w:p>
    <w:p w:rsidR="006433A3" w:rsidRPr="00C8436B" w:rsidRDefault="00C8436B" w:rsidP="00C8436B">
      <w:pPr>
        <w:pStyle w:val="NormalHanging12a"/>
        <w:widowControl/>
        <w:ind w:left="570" w:hanging="570"/>
      </w:pPr>
      <w:r w:rsidRPr="00C8436B">
        <w:t>39.</w:t>
      </w:r>
      <w:r w:rsidRPr="00C8436B">
        <w:tab/>
      </w:r>
      <w:r w:rsidR="006433A3" w:rsidRPr="00C8436B">
        <w:t xml:space="preserve">καλεί το ΔΕΕ να θεσπίσει μια υποχρεωτική πολιτική αποκλεισμού για τους δικαστές σε υποθέσεις στις οποίες έχουν προηγούμενη επαγγελματική σχέση με διαδίκους που παρίστανται ενώπιον του </w:t>
      </w:r>
      <w:r w:rsidR="00FF06D2" w:rsidRPr="00C8436B">
        <w:t>ΔΕΕ</w:t>
      </w:r>
      <w:r w:rsidR="006433A3" w:rsidRPr="00C8436B">
        <w:t>· ζητεί αυστηρότερο έλεγχο των συγκρούσεων συμφερόντων για τους δικαστές και τους υψηλόβαθμους υπαλλήλους, συμπεριλαμβανομένης της τακτικής επικαιροποίησης των απαιτήσεων δημοσιοποίησης οικονομικών στοιχείων· ζητεί τη δημοσίευση αποφάσεων αποκλεισμού σε πραγματικό χρόνο σε υποθέσεις στις οποίες οι δικαστές δηλώνουν σύγκρουση συμφερόντων, διασφαλίζοντας μεγαλύτερη διαφάνεια στη δικαστική διαδικασία και ενισχύοντας την εμπιστοσύνη του κοινού στην αμεροληψία και την ακεραιότητα του ΔΕΕ·</w:t>
      </w:r>
    </w:p>
    <w:p w:rsidR="006433A3" w:rsidRPr="00C8436B" w:rsidRDefault="00C8436B" w:rsidP="00C8436B">
      <w:pPr>
        <w:pStyle w:val="NormalHanging12a"/>
        <w:widowControl/>
        <w:ind w:left="570" w:hanging="570"/>
      </w:pPr>
      <w:r w:rsidRPr="00C8436B">
        <w:t>40.</w:t>
      </w:r>
      <w:r w:rsidRPr="00C8436B">
        <w:tab/>
      </w:r>
      <w:r w:rsidR="006433A3" w:rsidRPr="00C8436B">
        <w:t>σημειώνει ότι, το 2023, όλα τα μέλη του ΔΕΕ διέμεναν στο Λουξεμβούργο σύμφωνα με το άρθρο 14 του Οργανισμού·</w:t>
      </w:r>
    </w:p>
    <w:p w:rsidR="006433A3" w:rsidRPr="00C8436B" w:rsidRDefault="00C8436B" w:rsidP="00C8436B">
      <w:pPr>
        <w:pStyle w:val="NormalHanging12a"/>
        <w:widowControl/>
        <w:ind w:left="570" w:hanging="570"/>
      </w:pPr>
      <w:r w:rsidRPr="00C8436B">
        <w:t>41.</w:t>
      </w:r>
      <w:r w:rsidRPr="00C8436B">
        <w:tab/>
      </w:r>
      <w:r w:rsidR="006433A3" w:rsidRPr="00C8436B">
        <w:t>σημειώνει ότι ο κατάλογος των εξωτερικών δραστηριοτήτων που διεξάγονται από τα μέλη τόσο του Δικαστηρίου όσο και του Γενικού Δικαστηρίου έχει δημοσιευθεί στον ιστότοπο του ΔΕΕ από το 2018·</w:t>
      </w:r>
      <w:r w:rsidR="006433A3" w:rsidRPr="00C8436B">
        <w:rPr>
          <w:b/>
          <w:i/>
        </w:rPr>
        <w:t xml:space="preserve"> </w:t>
      </w:r>
      <w:r w:rsidR="006433A3" w:rsidRPr="00C8436B">
        <w:t>σημειώνει περαιτέρω ότι ο κατάλογος είναι δυσνόητος για το ευρύ κοινό και συνιστά την αναθεώρησή του προκειμένου να διασφαλιστεί μεγαλύτερη σαφήνεια και πληροφόρηση· σημειώνει ότι η προηγούμενη έγκριση από τη γενική συνέλευση του Δικαστηρίου ή από τη διάσκεψη ολομέλειας του Γενικού Δικαστηρίου χορηγείται μόνο όταν η εξωτερική δραστηριότητα είναι συμβατή με τις απαιτήσεις του κώδικα δεοντολογίας και με τις υποχρεώσεις των μελών να είναι διαθέσιμοι για δικαστικές δραστηριότητες· ζητεί από το ΔΕΕ να ενημερώσει την αρμόδια για την απαλλαγή αρχή σχετικά με τυχόν πρωτοβουλίες για τη βελτίωση της αναγνωσιμότητας των πληροφοριών που σχετίζονται με τις εξωτερικές δραστηριότητες, σύμφωνα με προηγούμενες συστάσεις απαλλαγής·</w:t>
      </w:r>
    </w:p>
    <w:p w:rsidR="006433A3" w:rsidRPr="00C8436B" w:rsidRDefault="00C8436B" w:rsidP="00C8436B">
      <w:pPr>
        <w:pStyle w:val="NormalHanging12a"/>
        <w:widowControl/>
        <w:ind w:left="570" w:hanging="570"/>
      </w:pPr>
      <w:r w:rsidRPr="00C8436B">
        <w:t>42.</w:t>
      </w:r>
      <w:r w:rsidRPr="00C8436B">
        <w:tab/>
      </w:r>
      <w:r w:rsidR="006433A3" w:rsidRPr="00C8436B">
        <w:t>σημειώνει ότι οι κανόνες που διέπουν τα ταξίδια, τις αποστολές και τη χρήση οδηγών και αυτοκινήτων των μελών, όπως επικαιροποιήθηκαν το 2021, προβλέπουν ότι βαρύνουν το ΔΕΕ μόνο οι δαπάνες λειτουργίας που προκύπτουν από τη χρήση αυτοκινήτου για σκοπούς που σχετίζονται με την εκτέλεση εντολής αποστολής ή την άσκηση της εντολής τους εντός ορίου 10 000 </w:t>
      </w:r>
      <w:proofErr w:type="spellStart"/>
      <w:r w:rsidR="006433A3" w:rsidRPr="00C8436B">
        <w:t>χλμ</w:t>
      </w:r>
      <w:proofErr w:type="spellEnd"/>
      <w:r w:rsidR="006433A3" w:rsidRPr="00C8436B">
        <w:t>· επαναλαμβάνει την άποψή του ότι η χρήση του στόλου αυτοκινήτων εκτός της αυστηρής εκτέλεσης των καθηκόντων των μελών του ΔΕΕ δεν θα πρέπει να πραγματοποιείται σε καμία περίπτωση· σημειώνει ότι το ΔΕΕ ανέφερε ότι συζητεί με άλλα θεσμικά όργανα προκειμένου να επιτύχει ένα εναρμονισμένο σύνολο κανόνων για τη χρήση επίσημων οχημάτων, με παράλληλο σεβασμό της αυτονομίας κάθε θεσμικού οργάνου· καλεί όλα τα θεσμικά όργανα της Ένωσης να συμφωνήσουν σε ένα ενιαίο σύστημα που θα εφαρμόζεται οριζόντια, το οποίο θα μειώσει τη σύγχυση και θα αυξήσει τη διαφάνεια και την αποτελεσματικότητα στη χρήση του δημόσιου χρήματος· ζητεί από το ΔΕΕ να τηρεί ενήμερο το Κοινοβούλιο για κάθε πρόοδο στο θέμα αυτό·</w:t>
      </w:r>
    </w:p>
    <w:p w:rsidR="006433A3" w:rsidRPr="00C8436B" w:rsidRDefault="00C8436B" w:rsidP="00C8436B">
      <w:pPr>
        <w:pStyle w:val="NormalHanging12a"/>
        <w:widowControl/>
        <w:ind w:left="570" w:hanging="570"/>
      </w:pPr>
      <w:r w:rsidRPr="00C8436B">
        <w:t>43.</w:t>
      </w:r>
      <w:r w:rsidRPr="00C8436B">
        <w:tab/>
      </w:r>
      <w:r w:rsidR="006433A3" w:rsidRPr="00C8436B">
        <w:t>σημειώνει ότι μια υπόθεση της OLAF, που αναφέρεται σε προηγούμενα ψηφίσματα απαλλαγής, η οποία αφορούσε τη συμπεριφορά μέλους του προσωπικού που θα μπορούσε να συνιστούσε σοβαρή παράλειψη συμμόρφωσης με τις υποχρεώσεις του, περατώθηκε το 2023· σημειώνει ότι το ΔΕΕ δεν γνωρίζει καμία νέα έρευνα ή σύσταση της OLAF το 2023·</w:t>
      </w:r>
    </w:p>
    <w:p w:rsidR="006433A3" w:rsidRPr="00C8436B" w:rsidRDefault="00C8436B" w:rsidP="00C8436B">
      <w:pPr>
        <w:pStyle w:val="NormalHanging12a"/>
        <w:widowControl/>
        <w:ind w:left="570" w:hanging="570"/>
      </w:pPr>
      <w:r w:rsidRPr="00C8436B">
        <w:lastRenderedPageBreak/>
        <w:t>44.</w:t>
      </w:r>
      <w:r w:rsidRPr="00C8436B">
        <w:tab/>
      </w:r>
      <w:r w:rsidR="006433A3" w:rsidRPr="00C8436B">
        <w:t>σημειώνει ότι το ΔΕΕ δεν ανέφερε περιπτώσεις απάτης, διαφθοράς ή κατάχρησης κονδυλίων της Ένωσης το 2023· σημειώνει ότι η στρατηγική του ΔΕΕ για την καταπολέμηση της απάτης αποτελεί αναπόσπαστο μέρος του ολοκληρωμένου πλαισίου εσωτερικού ελέγχου και διαχείρισης κινδύνων, με ιδιαίτερη έμφαση στους κινδύνους αθέμιτης δημοσιοποίησης πληροφοριών·</w:t>
      </w:r>
    </w:p>
    <w:p w:rsidR="006433A3" w:rsidRPr="00C8436B" w:rsidRDefault="006433A3" w:rsidP="00EB4FED">
      <w:pPr>
        <w:pStyle w:val="NormalHanging12a"/>
        <w:widowControl/>
        <w:rPr>
          <w:b/>
          <w:i/>
        </w:rPr>
      </w:pPr>
      <w:r w:rsidRPr="00C8436B">
        <w:rPr>
          <w:b/>
          <w:i/>
        </w:rPr>
        <w:t>Διαφάνεια και πρόσβαση των πολιτών στη δικαιοσύνη</w:t>
      </w:r>
    </w:p>
    <w:p w:rsidR="006433A3" w:rsidRPr="00C8436B" w:rsidRDefault="00C8436B" w:rsidP="00C8436B">
      <w:pPr>
        <w:pStyle w:val="NormalHanging12a"/>
        <w:widowControl/>
        <w:ind w:left="570" w:hanging="570"/>
      </w:pPr>
      <w:r w:rsidRPr="00C8436B">
        <w:t>45.</w:t>
      </w:r>
      <w:r w:rsidRPr="00C8436B">
        <w:tab/>
      </w:r>
      <w:r w:rsidR="006433A3" w:rsidRPr="00C8436B">
        <w:t>εκφράζει την ικανοποίησή του για τη δέσμευση του ΔΕΕ να ενισχύσει τη διαφάνεια, την πρόσβαση στη δικαιοσύνη και τον δημόσιο χαρακτήρα, συμβάλλοντας έτσι στην ενίσχυση της εμπιστοσύνης του κοινού στα θεσμικά όργανα της Ένωσης·</w:t>
      </w:r>
    </w:p>
    <w:p w:rsidR="006433A3" w:rsidRPr="00C8436B" w:rsidRDefault="00C8436B" w:rsidP="00C8436B">
      <w:pPr>
        <w:pStyle w:val="NormalHanging12a"/>
        <w:widowControl/>
        <w:ind w:left="570" w:hanging="570"/>
      </w:pPr>
      <w:r w:rsidRPr="00C8436B">
        <w:t>46.</w:t>
      </w:r>
      <w:r w:rsidRPr="00C8436B">
        <w:tab/>
      </w:r>
      <w:r w:rsidR="006433A3" w:rsidRPr="00C8436B">
        <w:t xml:space="preserve">σημειώνει ότι, το 2023, το ΔΕΕ ενοποίησε την υπηρεσία συνεχούς ροής για τις ακροάσεις του Δικαστηρίου και του Γενικού Δικαστηρίου στον ιστότοπο </w:t>
      </w:r>
      <w:proofErr w:type="spellStart"/>
      <w:r w:rsidR="006433A3" w:rsidRPr="00C8436B">
        <w:t>Curia</w:t>
      </w:r>
      <w:proofErr w:type="spellEnd"/>
      <w:r w:rsidR="006433A3" w:rsidRPr="00C8436B">
        <w:t xml:space="preserve">, διευκολύνοντας έτσι την πρόσβαση των πολιτών στις δικαστικές δραστηριότητες του ΔΕΕ· εκφράζει την ικανοποίησή του για τη βελτίωση του ιστοτόπου CVRIA, όσον αφορά τη δομή, τις λειτουργίες και το περιεχόμενό του· εκφράζει την ικανοποίησή του για το γεγονός ότι η έκδοση αποφάσεων του Δικαστηρίου, η ανάγνωση των γνωμοδοτήσεων των γενικών εισαγγελέων, οι ακροάσεις του τμήματος μείζονος συνθέσεως και ορισμένες ακροάσεις πενταμελών τμημάτων μεταδίδονται ζωντανά στον ιστότοπο </w:t>
      </w:r>
      <w:proofErr w:type="spellStart"/>
      <w:r w:rsidR="006433A3" w:rsidRPr="00C8436B">
        <w:t>Curia</w:t>
      </w:r>
      <w:proofErr w:type="spellEnd"/>
      <w:r w:rsidR="006433A3" w:rsidRPr="00C8436B">
        <w:t xml:space="preserve"> από το 2023· καλεί το ΔΕΕ να βελτιώσει περαιτέρω τη διαφάνεια με τη μετάδοση όλων των ακροάσεων </w:t>
      </w:r>
      <w:r w:rsidR="00FF06D2" w:rsidRPr="00C8436B">
        <w:t>τ</w:t>
      </w:r>
      <w:r w:rsidR="008D0D38" w:rsidRPr="00C8436B">
        <w:t>όσο του Δικαστηρίου όσο και του Γενικού Δικαστηρίου</w:t>
      </w:r>
      <w:r w:rsidR="006433A3" w:rsidRPr="00C8436B">
        <w:t xml:space="preserve"> στον </w:t>
      </w:r>
      <w:proofErr w:type="spellStart"/>
      <w:r w:rsidR="006433A3" w:rsidRPr="00C8436B">
        <w:t>ιστότοπό</w:t>
      </w:r>
      <w:proofErr w:type="spellEnd"/>
      <w:r w:rsidR="006433A3" w:rsidRPr="00C8436B">
        <w:t xml:space="preserve"> του και τη μόνιμη αποθήκευσή τους στο διαδίκτυο·</w:t>
      </w:r>
    </w:p>
    <w:p w:rsidR="006433A3" w:rsidRPr="00C8436B" w:rsidRDefault="00C8436B" w:rsidP="00C8436B">
      <w:pPr>
        <w:pStyle w:val="NormalHanging12a"/>
        <w:widowControl/>
        <w:ind w:left="570" w:hanging="570"/>
      </w:pPr>
      <w:r w:rsidRPr="00C8436B">
        <w:t>47.</w:t>
      </w:r>
      <w:r w:rsidRPr="00C8436B">
        <w:tab/>
      </w:r>
      <w:r w:rsidR="006433A3" w:rsidRPr="00C8436B">
        <w:t>εκφράζει την ικανοποίησή του για το γεγονός ότι, μετά τη μεταρρύθμιση του Οργανισμού του, το ΔΕΕ θα δημοσιεύει υπομνήματα ή γραπτές παρατηρήσεις που θα κατατίθενται στο πλαίσιο διαδικασίας έκδοσης προδικαστικής απόφασης μετά την περάτωση των εν λόγω διαδικασιών, εκτός από τις περιπτώσεις ένστασης κατά της δημοσίευσης του υπομνήματος ή της παρατήρησης ενός προσώπου· υπογραμμίζει ότι η δημοσίευση αυτή θα βελτιώσει τη διαφάνεια και την πρόσβαση των πολιτών στη δικαιοσύνη και καλεί το ΔΕΕ να δημοσιεύσει στον ιστότοπό του όλα τα έγγραφα που σχετίζονται με έναν φάκελο· καλεί το ΔΕΕ να εφαρμόσει διαδικασία που θα μπορούσε να χρησιμοποιηθεί από οποιοδήποτε πρόσωπο για την πρόσβαση στο σύνολο των εγγράφων που σχετίζονται με μια υπόθεση·</w:t>
      </w:r>
    </w:p>
    <w:p w:rsidR="006433A3" w:rsidRPr="00C8436B" w:rsidRDefault="00C8436B" w:rsidP="00C8436B">
      <w:pPr>
        <w:pStyle w:val="NormalHanging12a"/>
        <w:widowControl/>
        <w:ind w:left="570" w:hanging="570"/>
      </w:pPr>
      <w:r w:rsidRPr="00C8436B">
        <w:t>48.</w:t>
      </w:r>
      <w:r w:rsidRPr="00C8436B">
        <w:tab/>
      </w:r>
      <w:r w:rsidR="006433A3" w:rsidRPr="00C8436B">
        <w:t>σημειώνει ότι οι κανόνες σχετικά με τη χρήση βιντεοδιάσκεψης εγκρίθηκαν από το Γενικό Δικαστήριο τον Απρίλιο του 2023 και από το Δικαστήριο τον Σεπτέμβριο του 2024, σύμφωνα με τους οποίους ένας διάδικος μπορεί να ζητήσει τη χρήση βιντεοδιάσκεψης όταν η ασφάλεια ή άλλοι σοβαροί λόγοι εμποδίζουν τον εκπρόσωπο του εν λόγω διαδίκου να συμμετάσχει αυτοπροσώπως σε ακρόαση·</w:t>
      </w:r>
    </w:p>
    <w:p w:rsidR="006433A3" w:rsidRPr="00C8436B" w:rsidRDefault="00C8436B" w:rsidP="00C8436B">
      <w:pPr>
        <w:pStyle w:val="NormalHanging12a"/>
        <w:widowControl/>
        <w:ind w:left="570" w:hanging="570"/>
      </w:pPr>
      <w:r w:rsidRPr="00C8436B">
        <w:t>49.</w:t>
      </w:r>
      <w:r w:rsidRPr="00C8436B">
        <w:tab/>
      </w:r>
      <w:r w:rsidR="006433A3" w:rsidRPr="00C8436B">
        <w:t xml:space="preserve">σημειώνει ότι οι κανόνες που θεσπίστηκαν με την απόφαση του ΔΕΕ της 26ης Νοεμβρίου 2019 σχετικά με την πρόσβαση του κοινού σε έγγραφα που βρίσκονται στην κατοχή του ΔΕΕ κατά την άσκηση των διοικητικών καθηκόντων του δεν εφαρμόζονται στα δικαστικά έγγραφα στα οποία η πρόσβαση διέπεται από τον κανονισμό διαδικασίας </w:t>
      </w:r>
      <w:r w:rsidR="00FF06D2" w:rsidRPr="00C8436B">
        <w:t xml:space="preserve"> του Δικαστηρίου ή τον κανονισμό διαδικασίας του Γενικού Δικαστηρίου</w:t>
      </w:r>
      <w:r w:rsidR="006433A3" w:rsidRPr="00C8436B">
        <w:t>· σημειώνει ότι το ΔΕΕ καταχώρισε 21 αιτήσεις πρόσβασης του κοινού σε διοικητικά έγγραφα το 2023 και χορήγησε πρόσβαση σε διοικητικά έγγραφα σε 12 υποθέσεις· σημειώνει ότι η Ευρωπαία Διαμεσολαβήτρια δεν διαπίστωσε περιπτώσεις κακοδιοίκησης εκ μέρους του ΔΕΕ το 2023·</w:t>
      </w:r>
    </w:p>
    <w:p w:rsidR="006433A3" w:rsidRPr="00C8436B" w:rsidRDefault="00C8436B" w:rsidP="00C8436B">
      <w:pPr>
        <w:pStyle w:val="NormalHanging12a"/>
        <w:widowControl/>
        <w:ind w:left="570" w:hanging="570"/>
      </w:pPr>
      <w:r w:rsidRPr="00C8436B">
        <w:lastRenderedPageBreak/>
        <w:t>50.</w:t>
      </w:r>
      <w:r w:rsidRPr="00C8436B">
        <w:tab/>
      </w:r>
      <w:r w:rsidR="006433A3" w:rsidRPr="00C8436B">
        <w:t xml:space="preserve">καλεί το </w:t>
      </w:r>
      <w:r w:rsidR="008D0D38" w:rsidRPr="00C8436B">
        <w:t>Δ</w:t>
      </w:r>
      <w:r w:rsidR="008D0D38" w:rsidRPr="00C8436B">
        <w:rPr>
          <w:lang w:val="en-GB"/>
        </w:rPr>
        <w:t>EE</w:t>
      </w:r>
      <w:r w:rsidR="008D0D38" w:rsidRPr="00C8436B">
        <w:t xml:space="preserve"> </w:t>
      </w:r>
      <w:r w:rsidR="006433A3" w:rsidRPr="00C8436B">
        <w:t>να απλουστεύσει τη διαδικασία εύρεσης συγκεκριμένων αποφάσεων στο e-</w:t>
      </w:r>
      <w:proofErr w:type="spellStart"/>
      <w:r w:rsidR="006433A3" w:rsidRPr="00C8436B">
        <w:t>curia</w:t>
      </w:r>
      <w:proofErr w:type="spellEnd"/>
      <w:r w:rsidR="006433A3" w:rsidRPr="00C8436B">
        <w:t>· εκφράζει την ικανοποίησή του για τις προσπάθειες να καταστεί η διεπαφή πιο φιλική προς τον χρήστη και διαισθητική·</w:t>
      </w:r>
    </w:p>
    <w:p w:rsidR="006433A3" w:rsidRPr="00C8436B" w:rsidRDefault="006433A3" w:rsidP="00EB4FED">
      <w:pPr>
        <w:pStyle w:val="NormalHanging12a"/>
        <w:widowControl/>
        <w:rPr>
          <w:b/>
          <w:i/>
        </w:rPr>
      </w:pPr>
      <w:r w:rsidRPr="00C8436B">
        <w:rPr>
          <w:b/>
          <w:i/>
        </w:rPr>
        <w:t>Ψηφιοποίηση, κυβερνοασφάλεια και προστασία δεδομένων</w:t>
      </w:r>
    </w:p>
    <w:p w:rsidR="006433A3" w:rsidRPr="00C8436B" w:rsidRDefault="00C8436B" w:rsidP="00C8436B">
      <w:pPr>
        <w:pStyle w:val="NormalHanging12a"/>
        <w:widowControl/>
        <w:ind w:left="570" w:hanging="570"/>
      </w:pPr>
      <w:r w:rsidRPr="00C8436B">
        <w:t>51.</w:t>
      </w:r>
      <w:r w:rsidRPr="00C8436B">
        <w:tab/>
      </w:r>
      <w:r w:rsidR="006433A3" w:rsidRPr="00C8436B">
        <w:t>σημειώνει ότι, σε σύγκριση με το 2022, οι δαπάνες του προϋπολογισμού αυξήθηκαν κατά 10,9 % για έργα ΤΠ, κατά 13 % για εξοπλισμό ΤΠ, κατά 59 % για έργα κυβερνοασφάλειας και κατά 72 % για υπηρεσίες, άδειες και εξοπλισμό κυβερνοασφάλειας το 2023·</w:t>
      </w:r>
    </w:p>
    <w:p w:rsidR="006433A3" w:rsidRPr="00C8436B" w:rsidRDefault="00C8436B" w:rsidP="00C8436B">
      <w:pPr>
        <w:pStyle w:val="NormalHanging12a"/>
        <w:widowControl/>
        <w:ind w:left="570" w:hanging="570"/>
      </w:pPr>
      <w:r w:rsidRPr="00C8436B">
        <w:t>52.</w:t>
      </w:r>
      <w:r w:rsidRPr="00C8436B">
        <w:tab/>
      </w:r>
      <w:r w:rsidR="006433A3" w:rsidRPr="00C8436B">
        <w:t>σημειώνει ότι η υλοποίηση μεγάλων έργων ψηφιοποίησης στο πλαίσιο της στρατηγικής για τον ψηφιακό μετασχηματισμό παρέμεινε προτεραιότητα για το ΔΕΕ το 2023, όπως η ανάπτυξη του ολοκληρωμένου συστήματος διαχείρισης υποθέσεων (SIGA), η προώθηση της χρήσης της εφαρμογής e-</w:t>
      </w:r>
      <w:proofErr w:type="spellStart"/>
      <w:r w:rsidR="006433A3" w:rsidRPr="00C8436B">
        <w:t>Curia</w:t>
      </w:r>
      <w:proofErr w:type="spellEnd"/>
      <w:r w:rsidR="006433A3" w:rsidRPr="00C8436B">
        <w:t xml:space="preserve"> για την κατάθεση και την κοινοποίηση διαδικαστικών εγγράφων με ηλεκτρονικά μέσα, η έγκριση της ηλεκτρονικής υπογραφής και η έγκριση του ηλεκτρονικού συστήματος καταγραφής και διαχείρισης εγγράφων HAN/</w:t>
      </w:r>
      <w:proofErr w:type="spellStart"/>
      <w:r w:rsidR="006433A3" w:rsidRPr="00C8436B">
        <w:t>Ares</w:t>
      </w:r>
      <w:proofErr w:type="spellEnd"/>
      <w:r w:rsidR="006433A3" w:rsidRPr="00C8436B">
        <w:t>· σημειώνει ότι το ΔΕΕ παρακολουθεί την απόδοση των επενδύσεων σε έργα ψηφιοποίησης όσον αφορά το κόστος και την αποδοτικότητα των πόρων και ζητεί από το ΔΕΕ να τηρεί ενήμερη την αρμόδια για την απαλλαγή αρχή σχετικά με τα πορίσματά του στον εν λόγω τομέα·</w:t>
      </w:r>
    </w:p>
    <w:p w:rsidR="006433A3" w:rsidRPr="00C8436B" w:rsidRDefault="00C8436B" w:rsidP="00C8436B">
      <w:pPr>
        <w:pStyle w:val="NormalHanging12a"/>
        <w:widowControl/>
        <w:ind w:left="570" w:hanging="570"/>
      </w:pPr>
      <w:r w:rsidRPr="00C8436B">
        <w:t>53.</w:t>
      </w:r>
      <w:r w:rsidRPr="00C8436B">
        <w:tab/>
      </w:r>
      <w:r w:rsidR="006433A3" w:rsidRPr="00C8436B">
        <w:t xml:space="preserve">σημειώνει ότι, στο πλαίσιο της ολοκληρωμένης πρωτοβουλίας του για την αύξηση της προσβασιμότητας και της ένταξης των ευάλωτων ατόμων, το ΔΕΕ συνέχισε να εφαρμόζει την προσέγγιση της «προσβασιμότητας βάσει σχεδιασμού» για κάθε αλλαγή και εξέλιξη των συστημάτων ΤΠ του· σημειώνει ότι, μετά από έλεγχο του ιστότοπου </w:t>
      </w:r>
      <w:proofErr w:type="spellStart"/>
      <w:r w:rsidR="006433A3" w:rsidRPr="00C8436B">
        <w:t>Curia</w:t>
      </w:r>
      <w:proofErr w:type="spellEnd"/>
      <w:r w:rsidR="006433A3" w:rsidRPr="00C8436B">
        <w:t>, το ΔΕΕ άρχισε να βελτιώνει την προσβασιμότητα του ιστότοπου σε ευρύ φάσμα χρηστών, όπως άτομα με προβλήματα όρασης, προβλήματα ακοής ή μαθησιακές δυσκολίες·</w:t>
      </w:r>
    </w:p>
    <w:p w:rsidR="006433A3" w:rsidRPr="00C8436B" w:rsidRDefault="00C8436B" w:rsidP="00C8436B">
      <w:pPr>
        <w:pStyle w:val="NormalHanging12a"/>
        <w:widowControl/>
        <w:ind w:left="570" w:hanging="570"/>
        <w:rPr>
          <w:i/>
        </w:rPr>
      </w:pPr>
      <w:r w:rsidRPr="00C8436B">
        <w:t>54.</w:t>
      </w:r>
      <w:r w:rsidRPr="00C8436B">
        <w:tab/>
      </w:r>
      <w:r w:rsidR="006433A3" w:rsidRPr="00C8436B">
        <w:t xml:space="preserve">σημειώνει ότι το ΔΕΕ υλοποίησε διάφορα έργα που βασίζονται στην τεχνητή νοημοσύνη (ΤΝ), όπως η αυτοματοποίηση της ανάλυσης εγγράφων για παραπομπές στην ισχύουσα νομοθεσία και η συνδρομή στην επαλήθευση τιμολογίων μέσω ρομποτικών διαδικασιών και πρακτικών των ακροάσεων, σύμφωνα με τη νέα στρατηγική του για την ενσωμάτωση της ΤΝ που εγκρίθηκε τον Ιούνιο του 2023· υπογραμμίζει ότι είναι ζωτικής σημασίας η ΤΝ να χρησιμοποιείται κατά τρόπο που να διαφυλάσσει πλήρως την ανεξαρτησία, την ποιότητα και την ηρεμία των νομικών διαδικασιών, να λαμβάνει πλήρως υπόψη τα δεοντολογικά ζητήματα, καθώς και να χρησιμοποιείται υπό ανθρώπινο έλεγχο και εποπτεία και να επιτρέπει την ανθρώπινη παρέμβαση για την αποφυγή αρνητικών επιπτώσεων ή κινδύνων ή τη διακοπή του συστήματος εάν δεν έχει τις προβλεπόμενες επιδόσεις· σημειώνει ότι, στο πλαίσιο της εν λόγω στρατηγικής, το ΔΕΕ συγκρότησε διοικητικό συμβούλιο για την ΤΝ αποτελούμενο από μέλη του Δικαστηρίου και του Γενικού Δικαστηρίου για την εποπτεία των δεοντολογικών πτυχών της χρήσης της ΤΝ εντός του ΔΕΕ και τον καθορισμό σαφών ορίων για την εφαρμογή της· εκφράζει την ικανοποίησή του για τις κατευθυντήριες γραμμές του προσωπικού σχετικά με τη χρήση της ΤΝ που εξέδωσε το διοικητικό συμβούλιο· εκφράζει την ικανοποίησή του για τις πρωτοβουλίες που έχουν αναληφθεί για την αναβάθμιση των δεξιοτήτων των εργαζομένων όσον αφορά τις ψηφιακές ικανότητες μέσω της πορείας κατάρτισης που αναπτύχθηκε σε συνεργασία με τη διοργανική επιτροπή για τον ψηφιακό μετασχηματισμό (ΕΤΑ)· τονίζει ότι η ψηφιοποίηση της δικαιοσύνης και η υιοθέτηση αναδυόμενων τεχνολογιών, όπως η ΤΝ, </w:t>
      </w:r>
      <w:r w:rsidR="006433A3" w:rsidRPr="00C8436B">
        <w:lastRenderedPageBreak/>
        <w:t>θα προσφέρουν σημαντικά πλεονεκτήματα για την αποτελεσματική λειτουργία του Δ</w:t>
      </w:r>
      <w:r w:rsidR="008D0D38" w:rsidRPr="00C8436B">
        <w:rPr>
          <w:lang w:val="en-GB"/>
        </w:rPr>
        <w:t>EE</w:t>
      </w:r>
      <w:r w:rsidR="006433A3" w:rsidRPr="00C8436B">
        <w:t>· συνιστά, ωστόσο, στο Δ</w:t>
      </w:r>
      <w:r w:rsidR="008D0D38" w:rsidRPr="00C8436B">
        <w:rPr>
          <w:lang w:val="en-GB"/>
        </w:rPr>
        <w:t>EE</w:t>
      </w:r>
      <w:r w:rsidR="006433A3" w:rsidRPr="00C8436B">
        <w:t xml:space="preserve"> να προβλέψει τους σχετικούς κινδύνους κυβερνοασφάλειας και να ενισχύσει ακόμη περισσότερο τη συνεργασία του με τον Οργανισμό της ΕΕ για την Κυβερνοασφάλεια και τη CERT-ΕΕ·</w:t>
      </w:r>
    </w:p>
    <w:p w:rsidR="006433A3" w:rsidRPr="00C8436B" w:rsidRDefault="00C8436B" w:rsidP="00C8436B">
      <w:pPr>
        <w:pStyle w:val="NormalHanging12a"/>
        <w:widowControl/>
        <w:ind w:left="570" w:hanging="570"/>
      </w:pPr>
      <w:r w:rsidRPr="00C8436B">
        <w:t>55.</w:t>
      </w:r>
      <w:r w:rsidRPr="00C8436B">
        <w:tab/>
      </w:r>
      <w:r w:rsidR="006433A3" w:rsidRPr="00C8436B">
        <w:t xml:space="preserve">σημειώνει ότι το 2023 δεν κοινοποιήθηκαν έρευνες του ΕΕΠΔ στο ΔΕΕ· σημειώνει ότι, το 2023, ο ΕΕΠΔ δεν είχε απευθύνει καμία συγκεκριμένη σύσταση προς το ΔΕΕ σε συνέχεια της έρευνάς του σχετικά με τη χρήση υπηρεσιών υπολογιστικού νέφους από τις διαδικτυακές υπηρεσίες της </w:t>
      </w:r>
      <w:proofErr w:type="spellStart"/>
      <w:r w:rsidR="006433A3" w:rsidRPr="00C8436B">
        <w:t>Amazon</w:t>
      </w:r>
      <w:proofErr w:type="spellEnd"/>
      <w:r w:rsidR="006433A3" w:rsidRPr="00C8436B">
        <w:t>· σημειώνει ότι ο ΕΕΠΔ δημοσίευσε απόφαση το 2023 με την οποία επιβεβαιώνεται η συμμόρφωση της χρήσης υπηρεσιών βιντεοδιάσκεψης στο υπολογιστικό νέφος από το ΔΕΕ με τη νομοθεσία για την προστασία των δεδομένων· επαναλαμβάνει, ωστόσο, τις ανησυχίες του σχετικά με τη χρήση εξωτερικών υπηρεσιών υπολογιστικού νέφους, δεδομένων των αυξανόμενων απειλών για την κυβερνοασφάλεια και την ψηφιακή κυριαρχία·</w:t>
      </w:r>
    </w:p>
    <w:p w:rsidR="006433A3" w:rsidRPr="00C8436B" w:rsidRDefault="00C8436B" w:rsidP="00C8436B">
      <w:pPr>
        <w:pStyle w:val="NormalHanging12a"/>
        <w:widowControl/>
        <w:ind w:left="570" w:hanging="570"/>
      </w:pPr>
      <w:r w:rsidRPr="00C8436B">
        <w:t>56.</w:t>
      </w:r>
      <w:r w:rsidRPr="00C8436B">
        <w:tab/>
      </w:r>
      <w:r w:rsidR="006433A3" w:rsidRPr="00C8436B">
        <w:t>χαιρετίζει την έγκριση από το ΔΕΕ χάρτη πορείας για τον κυβερνοχώρο το 2023 και την ενίσχυση των επιχειρησιακών ικανοτήτων του στον τομέα της κυβερνοασφάλειας για την καλύτερη προστασία των συστημάτων του από τον αυξανόμενο αριθμό κυβερνοεπιθέσεων· υπογραμμίζει, επιπλέον, ότι μια ισχυρή στρατηγική κυβερνοασφάλειας αποτελεί ουσιαστικό εργαλείο για την καταπολέμηση των ξένων παρεμβάσεων που αποσκοπούν στην υπονόμευση της ακεραιότητας των ευρωπαϊκών θεσμικών οργάνων· σημειώνει ότι το ΔΕΕ έχει λάβει διάφορα μέτρα για την ενίσχυση της ετοιμότητας και της ικανότητάς του να ανακάμπτει από περιστατικά ασφάλειας στον κυβερνοχώρο, μεταξύ άλλων μέσω της συμμετοχής του στη διακυβέρνηση του διοργανικού συμβουλίου κυβερνοασφάλειας και μέσω συνδυασμού ελέγχων και εργαλείων κυβερνοασφάλειας σύμφωνα με τις συστάσεις της CERT-ΕΕ· σημειώνει ότι η αρμόδια για τον προϋπολογισμό αρχή ενέκρινε για το οικονομικό έτος 2025 τις αναγκαίες πιστώσεις για δύο πρόσθετες θέσεις προκειμένου να ενισχυθούν οι ικανότητες του προσωπικού του ΔΕΕ στον τομέα της κυβερνοασφάλειας·</w:t>
      </w:r>
    </w:p>
    <w:p w:rsidR="006433A3" w:rsidRPr="00C8436B" w:rsidRDefault="00C8436B" w:rsidP="00C8436B">
      <w:pPr>
        <w:pStyle w:val="NormalHanging12a"/>
        <w:widowControl/>
        <w:ind w:left="570" w:hanging="570"/>
      </w:pPr>
      <w:r w:rsidRPr="00C8436B">
        <w:t>57.</w:t>
      </w:r>
      <w:r w:rsidRPr="00C8436B">
        <w:tab/>
      </w:r>
      <w:r w:rsidR="006433A3" w:rsidRPr="00C8436B">
        <w:t xml:space="preserve">εκφράζει την ικανοποίησή του για τα μέτρα που έχουν ληφθεί, όπως οι έλεγχοι κυβερνοασφάλειας, η κατάρτιση του προσωπικού και τα πρωτόκολλα ταχείας αντιμετώπισης περιστατικών, για την προστασία των τεχνολογικών υποδομών του ΔΕΕ από κυβερνοαπειλές· τονίζει ότι η ψηφιοποίηση της δικαιοσύνης και η χρήση νέων τεχνολογιών, όπως η τεχνητή νοημοσύνη, θα αποφέρουν πολλά οφέλη όσον αφορά την ομαλή λειτουργία του ΔΕΕ, όμως ενέχει επίσης κινδύνους που το </w:t>
      </w:r>
      <w:r w:rsidR="00FF06D2" w:rsidRPr="00C8436B">
        <w:t xml:space="preserve">ΔΕΕ </w:t>
      </w:r>
      <w:r w:rsidR="006433A3" w:rsidRPr="00C8436B">
        <w:t>πρέπει να προσεγγίσει με προορατικό τρόπο και από τους οποίους πρέπει να προστατευθεί· προτείνει, στο πλαίσιο αυτό, να αναπτύξει το Δ</w:t>
      </w:r>
      <w:r w:rsidR="008D0D38" w:rsidRPr="00C8436B">
        <w:rPr>
          <w:lang w:val="en-GB"/>
        </w:rPr>
        <w:t>EE</w:t>
      </w:r>
      <w:r w:rsidR="006433A3" w:rsidRPr="00C8436B">
        <w:t xml:space="preserve"> στρατηγική για την ασφάλεια στον κυβερνοχώρο και να εντείνει τη συνεργασία με άλλα θεσμικά όργανα της ΕΕ, ιδίως με τον ENISA (τον Οργανισμό της ΕΕ για την Κυβερνοασφάλεια), για την πρόληψη κυβερνοεπιθέσεων, των οποίων ο αριθμός και η πολυπλοκότητα αυξάνονται εκθετικά στην Ευρώπη·</w:t>
      </w:r>
    </w:p>
    <w:p w:rsidR="006433A3" w:rsidRPr="00C8436B" w:rsidRDefault="00C8436B" w:rsidP="00C8436B">
      <w:pPr>
        <w:pStyle w:val="NormalHanging12a"/>
        <w:widowControl/>
        <w:ind w:left="570" w:hanging="570"/>
      </w:pPr>
      <w:r w:rsidRPr="00C8436B">
        <w:t>58.</w:t>
      </w:r>
      <w:r w:rsidRPr="00C8436B">
        <w:tab/>
      </w:r>
      <w:r w:rsidR="006433A3" w:rsidRPr="00C8436B">
        <w:t>χαιρετίζει την πρωτοβουλία για την απόδοση πλασματικών ονομασιών σε ανωνυμοποιημένες υποθέσεις, μέσω της χρήσης λογισμικού αυτοματοποιημένης δημιουργίας επωνύμων, προκειμένου να ενισχυθεί η προστασία των δεδομένων προσωπικού χαρακτήρα και να διευκολυνθεί ο εντοπισμός μεμονωμένων περιπτώσεων·</w:t>
      </w:r>
    </w:p>
    <w:p w:rsidR="006433A3" w:rsidRPr="00C8436B" w:rsidRDefault="00C8436B" w:rsidP="00C8436B">
      <w:pPr>
        <w:pStyle w:val="NormalHanging12a"/>
        <w:widowControl/>
        <w:ind w:left="570" w:hanging="570"/>
      </w:pPr>
      <w:r w:rsidRPr="00C8436B">
        <w:t>59.</w:t>
      </w:r>
      <w:r w:rsidRPr="00C8436B">
        <w:tab/>
      </w:r>
      <w:r w:rsidR="006433A3" w:rsidRPr="00C8436B">
        <w:t xml:space="preserve">σημειώνει με ικανοποίηση την τροποποίηση του Κανονισμού διαδικασίας του Γενικού Δικαστηρίου, με την οποία θα αποσαφηνιστούν και θα απλουστευθούν οι δικαστικές διαδικασίες, συμπεριλαμβανομένων της δυνατότητας χρήσης βιντεοδιάσκεψης για τις </w:t>
      </w:r>
      <w:r w:rsidR="006433A3" w:rsidRPr="00C8436B">
        <w:lastRenderedPageBreak/>
        <w:t>ακροαματικές διαδικασίες, της ηλεκτρονικής υπογραφής των αποφάσεων και του ορισμού πιλοτικών υποθέσεων·</w:t>
      </w:r>
    </w:p>
    <w:p w:rsidR="006433A3" w:rsidRPr="00C8436B" w:rsidRDefault="006433A3" w:rsidP="00EB4FED">
      <w:pPr>
        <w:pStyle w:val="NormalHanging12a"/>
        <w:widowControl/>
        <w:rPr>
          <w:b/>
          <w:i/>
        </w:rPr>
      </w:pPr>
      <w:r w:rsidRPr="00C8436B">
        <w:rPr>
          <w:b/>
          <w:i/>
        </w:rPr>
        <w:t>Κτίρια</w:t>
      </w:r>
    </w:p>
    <w:p w:rsidR="006433A3" w:rsidRPr="00C8436B" w:rsidRDefault="00C8436B" w:rsidP="00C8436B">
      <w:pPr>
        <w:pStyle w:val="NormalHanging12a"/>
        <w:widowControl/>
        <w:ind w:left="570" w:hanging="570"/>
      </w:pPr>
      <w:r w:rsidRPr="00C8436B">
        <w:t>60.</w:t>
      </w:r>
      <w:r w:rsidRPr="00C8436B">
        <w:tab/>
      </w:r>
      <w:r w:rsidR="006433A3" w:rsidRPr="00C8436B">
        <w:t xml:space="preserve">σημειώνει ότι, σε συνέχεια του </w:t>
      </w:r>
      <w:proofErr w:type="spellStart"/>
      <w:r w:rsidR="006433A3" w:rsidRPr="00C8436B">
        <w:t>διυπηρεσιακού</w:t>
      </w:r>
      <w:proofErr w:type="spellEnd"/>
      <w:r w:rsidR="006433A3" w:rsidRPr="00C8436B">
        <w:t xml:space="preserve"> προβληματισμού σχετικά με την αποδοτικότερη χρήση των εγκαταστάσεων του ΔΕΕ, ο οποίος ολοκληρώθηκε το 2023, δρομολογήθηκαν πιλοτικά έργα· σημειώνει ότι τα αποτελέσματα των εν λόγω έργων, σε συνδυασμό με άλλους παράγοντες, όπως οι περιβαλλοντικές και δημοσιονομικές πτυχές, η ποιότητα της δικαιοσύνης, η ευημερία στην εργασία, η ένταξη, η προσβασιμότητα και η ελκυστικότητα του ΔΕΕ, θα ληφθούν υπόψη στην τελική απόφαση σχετικά με τη χρήση των κτιρίων του ΔΕΕ· ζητεί να τηρείται ενήμερο το Κοινοβούλιο σχετικά με την εφαρμογή των εν λόγω συμπερασμάτων και τις συνέπειες για την οργάνωση του χώρου εργασίας·</w:t>
      </w:r>
    </w:p>
    <w:p w:rsidR="006433A3" w:rsidRPr="00C8436B" w:rsidRDefault="00C8436B" w:rsidP="00C8436B">
      <w:pPr>
        <w:pStyle w:val="NormalHanging12a"/>
        <w:widowControl/>
        <w:ind w:left="570" w:hanging="570"/>
      </w:pPr>
      <w:r w:rsidRPr="00C8436B">
        <w:t>61.</w:t>
      </w:r>
      <w:r w:rsidRPr="00C8436B">
        <w:tab/>
      </w:r>
      <w:r w:rsidR="006433A3" w:rsidRPr="00C8436B">
        <w:t>σημειώνει ότι, το 2023, το ΔΕΕ συνέχισε την ολοκληρωμένη πρωτοβουλία του για την αύξηση της προσβασιμότητας και της ένταξης των ατόμων με αναπηρία, με στόχο τη διασφάλιση της πρόσβασης στο ΔΕΕ, με φυσική ή εικονική παρουσία, για όλα τα άτομα, τους συμμετέχοντες σε διαδικασίες και τους επισκέπτες· σημειώνει περαιτέρω ότι, το 2023, το ΔΕΕ άρχισε να προβαίνει σε απογραφή των υποδομών του με σκοπό τη συμμόρφωση με τη νέα εθνική νομοθεσία για την προσβασιμότητα από την 1η</w:t>
      </w:r>
      <w:r w:rsidR="00EB4FED" w:rsidRPr="00C8436B">
        <w:t> </w:t>
      </w:r>
      <w:r w:rsidR="006433A3" w:rsidRPr="00C8436B">
        <w:t>Ιανουαρίου 2032· ζητεί να τηρείται ενήμερο το Κοινοβούλιο σχετικά με περαιτέρω πρωτοβουλίες σε αυτόν τον τομέα·</w:t>
      </w:r>
    </w:p>
    <w:p w:rsidR="006433A3" w:rsidRPr="00C8436B" w:rsidRDefault="006433A3" w:rsidP="00EB4FED">
      <w:pPr>
        <w:pStyle w:val="NormalHanging12a"/>
        <w:widowControl/>
        <w:rPr>
          <w:b/>
          <w:i/>
        </w:rPr>
      </w:pPr>
      <w:r w:rsidRPr="00C8436B">
        <w:rPr>
          <w:b/>
          <w:i/>
        </w:rPr>
        <w:t>Περιβάλλον και βιωσιμότητα</w:t>
      </w:r>
    </w:p>
    <w:p w:rsidR="006433A3" w:rsidRPr="00C8436B" w:rsidRDefault="00C8436B" w:rsidP="00C8436B">
      <w:pPr>
        <w:pStyle w:val="NormalHanging12a"/>
        <w:widowControl/>
        <w:ind w:left="570" w:hanging="570"/>
      </w:pPr>
      <w:r w:rsidRPr="00C8436B">
        <w:t>62.</w:t>
      </w:r>
      <w:r w:rsidRPr="00C8436B">
        <w:tab/>
      </w:r>
      <w:r w:rsidR="006433A3" w:rsidRPr="00C8436B">
        <w:t>σημειώνει με ικανοποίηση ότι, το 2023, το ΔΕΕ συνέχισε να μειώνει σημαντικά την κατανάλωση ενέργειας και το αποτύπωμα άνθρακα σε σύγκριση με το 2015, γεγονός που αποτελεί τη βάση για την εφαρμογή της στρατηγικής του ΔΕΕ για το σύστημα οικολογικής διαχείρισης και οικολογικού ελέγχου, χάρη στα μέτρα εξοικονόμησης ενέργειας και στη βελτιστοποίηση των υποδομών θέρμανσης, ψύξης και φωτισμού· σημειώνει ότι η κατανάλωση θέρμανσης μειώθηκε κατά 33,5 %, η ηλεκτρική ενέργεια κατά 28,7 %, το νερό κατά 20,1 %, το χαρτί γραφείου κατά 63 %, τα απόβλητα γραφείων και κυλικείων κατά 43 % και οι εκπομπές αερίων του θερμοκηπίου κατά 30,2 % το 2023 σε σύγκριση με το 2015· εκφράζει την ικανοποίησή του για το γεγονός ότι το ΔΕΕ εφάρμοσε κριτήρια για τις πράσινες δημόσιες συμβάσεις σε 10 προσκλήσεις υποβολής προσφορών άνω των 60 000 EUR· εκφράζει την ικανοποίησή του για τη δέσμευση του ΔΕΕ στο σύστημα οικολογικής διαχείρισης και οικολογικού ελέγχου (EMAS)· ενθαρρύνει το ΔΕΕ να συνεχίσει τις προσπάθειές του για τη μείωση των περιβαλλοντικών του επιπτώσεων, με μια στρατηγική για την επίτευξη ουδέτερου ισοζυγίου άνθρακα έως το 2035·</w:t>
      </w:r>
    </w:p>
    <w:p w:rsidR="006433A3" w:rsidRPr="00C8436B" w:rsidRDefault="00C8436B" w:rsidP="00C8436B">
      <w:pPr>
        <w:pStyle w:val="NormalHanging12a"/>
        <w:widowControl/>
        <w:ind w:left="570" w:hanging="570"/>
      </w:pPr>
      <w:r w:rsidRPr="00C8436B">
        <w:t>63.</w:t>
      </w:r>
      <w:r w:rsidRPr="00C8436B">
        <w:tab/>
      </w:r>
      <w:r w:rsidR="006433A3" w:rsidRPr="00C8436B">
        <w:t>εκφράζει την ικανοποίησή του για το γεγονός ότι το ΔΕΕ έχει αναλάβει διάφορες πρωτοβουλίες για τη στήριξη και την αύξηση της βιώσιμης κινητικότητας για το προσωπικό και τα μέλη του, συμπεριλαμβανομένων επιδοτήσεων για τις δημόσιες μεταφορές, επιδοτήσεων για αυτοεξυπηρετούμενο σύστημα ενοικίασης ποδηλάτων, βελτιωμένων εγκαταστάσεων στάθμευσης ποδηλάτων και βελτιωμένων εγκαταστάσεων για υβριδικά και ηλεκτρικά αυτοκίνητα·</w:t>
      </w:r>
    </w:p>
    <w:p w:rsidR="006433A3" w:rsidRPr="00C8436B" w:rsidRDefault="006433A3" w:rsidP="00EB4FED">
      <w:pPr>
        <w:pStyle w:val="NormalHanging12a"/>
        <w:widowControl/>
        <w:rPr>
          <w:b/>
          <w:i/>
        </w:rPr>
      </w:pPr>
      <w:r w:rsidRPr="00C8436B">
        <w:rPr>
          <w:b/>
          <w:i/>
        </w:rPr>
        <w:t>Διοργανική συνεργασία</w:t>
      </w:r>
    </w:p>
    <w:p w:rsidR="006433A3" w:rsidRPr="00C8436B" w:rsidRDefault="00C8436B" w:rsidP="00C8436B">
      <w:pPr>
        <w:pStyle w:val="NormalHanging12a"/>
        <w:widowControl/>
        <w:ind w:left="570" w:hanging="570"/>
      </w:pPr>
      <w:r w:rsidRPr="00C8436B">
        <w:lastRenderedPageBreak/>
        <w:t>64.</w:t>
      </w:r>
      <w:r w:rsidRPr="00C8436B">
        <w:tab/>
      </w:r>
      <w:r w:rsidR="006433A3" w:rsidRPr="00C8436B">
        <w:t>εκφράζει την ικανοποίησή του για τις δημοσιονομικές εξοικονομήσεις που επιτεύχθηκαν μέσω της συνεργασίας με άλλα θεσμικά όργανα και ιδίως τις κοινές εφαρμογές και υπηρεσίες φιλοξενίας που βασίζονται σε συμφωνίες επιπέδου υπηρεσιών με την Επιτροπή, καθώς και τη συμμετοχή σε διοργανικές διαδικασίες σύναψης συμβάσεων, οι οποίες επέτρεψαν στο ΔΕΕ να βελτιστοποιήσει το κόστος και τους πόρους·</w:t>
      </w:r>
    </w:p>
    <w:p w:rsidR="006433A3" w:rsidRPr="00C8436B" w:rsidRDefault="00C8436B" w:rsidP="00C8436B">
      <w:pPr>
        <w:pStyle w:val="NormalHanging12a"/>
        <w:widowControl/>
        <w:ind w:left="570" w:hanging="570"/>
      </w:pPr>
      <w:r w:rsidRPr="00C8436B">
        <w:t>65.</w:t>
      </w:r>
      <w:r w:rsidRPr="00C8436B">
        <w:tab/>
      </w:r>
      <w:r w:rsidR="006433A3" w:rsidRPr="00C8436B">
        <w:t xml:space="preserve">χαιρετίζει τις προσπάθειες του Ευρωπαϊκού Δικτύου Κατάρτισης Δικαστικών (ΕΔΚΔ) για την κατάρτιση εθνικών δικαστών σχετικά με το δίκαιο της ΕΕ· σημειώνει με ικανοποίηση ότι, σύμφωνα με τη δήλωση του ΔΕΕ με τίτλο «Στήριξη του Ευρωπαϊκού Δικτύου Κατάρτισης Δικαστικών (ΕΔΚΔ) για τη διαμόρφωση μιας βιώσιμης ευρωπαϊκής δικαστικής κουλτούρας», το ΔΕΕ και το ΕΔΚΔ επιδίωξαν να αυξήσουν την πολυμορφία των μακροχρόνια ασκουμένων το 2023, με απώτερο στόχο την αύξηση του αριθμού τους σε έναν ανά κράτος μέλος· σημειώνει ότι τα μέτρα που ελήφθησαν έχουν ήδη σημειώσει επιτυχία, δεδομένου ότι το ΔΕΕ έχει ασκούμενους από ορισμένα κράτη μέλη τα οποία προηγουμένως δεν συμμετείχαν ενεργά στο πρόγραμμα· σημειώνει ότι προσφέρθηκαν 15 θέσεις αμειβόμενης πρακτικής άσκησης για το έτος 2023-24· καλεί το ΔΕΕ να αναπτύξει περαιτέρω τις πρωτοβουλίες του για την ανταλλαγή γνώσεων, συμπεριλαμβανομένων κοινών βάσεων δεδομένων νομολογίας και εικονικών πλατφορμών συνεργασίας για την υποστήριξη των εθνικών δικαστηρίων σε πολύπλοκες νομικές ερμηνείες· </w:t>
      </w:r>
    </w:p>
    <w:p w:rsidR="006433A3" w:rsidRPr="00C8436B" w:rsidRDefault="00C8436B" w:rsidP="00C8436B">
      <w:pPr>
        <w:pStyle w:val="NormalHanging12a"/>
        <w:widowControl/>
        <w:ind w:left="570" w:hanging="570"/>
      </w:pPr>
      <w:r w:rsidRPr="00C8436B">
        <w:t>66.</w:t>
      </w:r>
      <w:r w:rsidRPr="00C8436B">
        <w:tab/>
      </w:r>
      <w:r w:rsidR="006433A3" w:rsidRPr="00C8436B">
        <w:t xml:space="preserve">υποστηρίζει ότι η πρακτική άσκηση θα πρέπει να αμείβεται σύμφωνα με το ψήφισμα του Ευρωπαϊκού Κοινοβουλίου της 14ης Ιουνίου 2023 για ποιοτικές θέσεις πρακτικής άσκησης στην Ένωση (2020/2005 INL), στο οποίο διατυπώνεται το αίτημα να αμείβονται όλοι οι ασκούμενοι στην Ευρώπη· εκφράζει την ικανοποίησή του για το γεγονός ότι επί του παρόντος όλοι οι ασκούμενοι στο ΔΕΕ λαμβάνουν επιχορήγηση κατά τη διάρκεια της διαμονής τους, κυρίως από το ΔΕΕ και, σε ορισμένες ειδικές περιπτώσεις, από άλλες πηγές· σημειώνει ότι το ΔΕΕ δέχεται μόνο λίγους ασκούμενους (λιγότερους από 10 ετησίως) που αμείβονται από άλλες πηγές και για σύντομα χρονικά διαστήματα (κατά μέσο όρο 2 μήνες)· εκφράζει την ικανοποίησή του για το γεγονός ότι, στις περιπτώσεις αυτές, η διοίκηση του ΔΕΕ ελέγχει προσεκτικά ότι οι εν λόγω ασκούμενοι λαμβάνουν επιχορήγηση, επίδομα ή αμοιβή για την εν λόγω πρακτική άσκηση, η οποία καταβάλλεται απευθείας από τον εργοδότη ή το ακαδημαϊκό τους ίδρυμα· </w:t>
      </w:r>
    </w:p>
    <w:p w:rsidR="006433A3" w:rsidRPr="00C8436B" w:rsidRDefault="00C8436B" w:rsidP="00C8436B">
      <w:pPr>
        <w:pStyle w:val="NormalHanging12a"/>
        <w:widowControl/>
        <w:ind w:left="570" w:hanging="570"/>
      </w:pPr>
      <w:r w:rsidRPr="00C8436B">
        <w:t>67.</w:t>
      </w:r>
      <w:r w:rsidRPr="00C8436B">
        <w:tab/>
      </w:r>
      <w:r w:rsidR="006433A3" w:rsidRPr="00C8436B">
        <w:t>εκτιμά το γεγονός ότι το ΔΕΕ συνεργάζεται πλήρως με την OLAF, το Ελεγκτικό Συνέδριο, τον ΕΕΠΔ και τον Ευρωπαίο Διαμεσολαβητή· σημειώνει ότι, το 2023, το ΔΕΕ συνέχισε να εργάζεται για τη διατήρηση του καθιερωμένου διαλόγου με τα εθνικά δικαστήρια, και ιδίως με τα συνταγματικά και ανώτατα δικαστήρια, και ότι το ΔΕΕ φιλοξένησε σειρά συνεδριάσεων, συμπεριλαμβανομένης της ετήσιας συνεδρίασης των εθνικών δικαστών· ενθαρρύνει τη βαθύτερη συνεργασία μεταξύ του ΔΕΕ και των εθνικών δικαστηρίων για την ενίσχυση της ομοιόμορφης εφαρμογής του δικαίου της Ένωσης· συνιστά τη θέσπιση μόνιμου προγράμματος δικαστικής ανταλλαγής για δικαστές από τα κράτη μέλη ώστε να συνεργάζονται με τους ομολόγους τους από το ΔΕΕ, προωθώντας βέλτιστες πρακτικές στην ερμηνεία του δικαίου της ΕΕ·</w:t>
      </w:r>
    </w:p>
    <w:p w:rsidR="006433A3" w:rsidRPr="00C8436B" w:rsidRDefault="006433A3" w:rsidP="00EB4FED">
      <w:pPr>
        <w:pStyle w:val="NormalHanging12a"/>
        <w:widowControl/>
        <w:rPr>
          <w:b/>
          <w:i/>
        </w:rPr>
      </w:pPr>
      <w:r w:rsidRPr="00C8436B">
        <w:rPr>
          <w:b/>
          <w:i/>
        </w:rPr>
        <w:t>Επικοινωνία</w:t>
      </w:r>
    </w:p>
    <w:p w:rsidR="006433A3" w:rsidRPr="00C8436B" w:rsidRDefault="00C8436B" w:rsidP="00C8436B">
      <w:pPr>
        <w:pStyle w:val="NormalHanging12a"/>
        <w:widowControl/>
        <w:ind w:left="570" w:hanging="570"/>
      </w:pPr>
      <w:r w:rsidRPr="00C8436B">
        <w:t>68.</w:t>
      </w:r>
      <w:r w:rsidRPr="00C8436B">
        <w:tab/>
      </w:r>
      <w:r w:rsidR="006433A3" w:rsidRPr="00C8436B">
        <w:t xml:space="preserve">σημειώνει ότι, το 2023, το ΔΕΕ ενίσχυσε τις προσπάθειές του για συνεργασία με τους πολίτες της Ένωσης, ενισχύοντας την απήχησή του στα μέσα κοινωνικής δικτύωσης· </w:t>
      </w:r>
      <w:r w:rsidR="006433A3" w:rsidRPr="00C8436B">
        <w:lastRenderedPageBreak/>
        <w:t xml:space="preserve">σημειώνει ότι, στο τέλος του 2023, ο αριθμός των συνδρομητών στον λογαριασμό LinkedIn του ΔΕΕ αυξήθηκε κατά 32 % και ο αριθμός των ακολούθων στους δύο λογαριασμούς του ΔΕΕ στο X (πρώην Twitter) κατά 9 %, ενώ οι θεάσεις στο κανάλι </w:t>
      </w:r>
      <w:proofErr w:type="spellStart"/>
      <w:r w:rsidR="006433A3" w:rsidRPr="00C8436B">
        <w:t>YouTube</w:t>
      </w:r>
      <w:proofErr w:type="spellEnd"/>
      <w:r w:rsidR="006433A3" w:rsidRPr="00C8436B">
        <w:t xml:space="preserve"> αυξήθηκαν κατά 84,96 % σε σύγκριση με το προηγούμενο έτος·</w:t>
      </w:r>
    </w:p>
    <w:p w:rsidR="006433A3" w:rsidRPr="00C8436B" w:rsidRDefault="00C8436B" w:rsidP="00C8436B">
      <w:pPr>
        <w:pStyle w:val="NormalHanging12a"/>
        <w:widowControl/>
        <w:ind w:left="570" w:hanging="570"/>
      </w:pPr>
      <w:r w:rsidRPr="00C8436B">
        <w:t>69.</w:t>
      </w:r>
      <w:r w:rsidRPr="00C8436B">
        <w:tab/>
      </w:r>
      <w:r w:rsidR="006433A3" w:rsidRPr="00C8436B">
        <w:t>εκφράζει την ικανοποίησή του για τις προσπάθειες του ΔΕΕ να ενισχύσει τη στρατηγική επικοινωνία και τη διαφάνεια ως προς τους πολίτες της Ένωσης σχετικά με τις δικαστικές δραστηριότητες του ΔΕΕ, ιδίως μέσω της διοργάνωσης ημέρας ελεύθερης προσέλευσης, της προσφοράς ειδικών εικονικών επισκέψεων για τους επισκέπτες, στις οποίες συμμετείχαν 800 σπουδαστές το 2023, και της επανεξέτασης της σύνταξης των δελτίων Τύπου και των διαδικτυακών εκδόσεών του σε προσβάσιμο ύφος, σχετικά με θέματα ενδιαφέροντος των μέσων ενημέρωσης ή με θέματα που έχουν αντίκτυπο στη ζωή των πολιτών.</w:t>
      </w:r>
    </w:p>
    <w:p w:rsidR="00E365E1" w:rsidRPr="00C8436B" w:rsidRDefault="00E365E1" w:rsidP="00EB4FED">
      <w:pPr>
        <w:pStyle w:val="NormalHanging12a"/>
        <w:widowControl/>
      </w:pPr>
    </w:p>
    <w:sectPr w:rsidR="00E365E1" w:rsidRPr="00C8436B" w:rsidSect="00E25C7F">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500D" w:rsidRPr="00E25C7F" w:rsidRDefault="0089500D">
      <w:r w:rsidRPr="00E25C7F">
        <w:separator/>
      </w:r>
    </w:p>
  </w:endnote>
  <w:endnote w:type="continuationSeparator" w:id="0">
    <w:p w:rsidR="0089500D" w:rsidRPr="00E25C7F" w:rsidRDefault="0089500D">
      <w:r w:rsidRPr="00E25C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33A3" w:rsidRPr="00E25C7F" w:rsidRDefault="006433A3" w:rsidP="00C36583">
    <w:pPr>
      <w:pStyle w:val="EPFooter"/>
    </w:pPr>
    <w:r w:rsidRPr="00E25C7F">
      <w:t>PE</w:t>
    </w:r>
    <w:r w:rsidRPr="00E25C7F">
      <w:rPr>
        <w:rStyle w:val="HideTWBExt"/>
      </w:rPr>
      <w:t>&lt;NoPE&gt;</w:t>
    </w:r>
    <w:r w:rsidRPr="00E25C7F">
      <w:t>764.996</w:t>
    </w:r>
    <w:r w:rsidRPr="00E25C7F">
      <w:rPr>
        <w:rStyle w:val="HideTWBExt"/>
      </w:rPr>
      <w:t>&lt;/NoPE&gt;&lt;Version&gt;</w:t>
    </w:r>
    <w:r w:rsidRPr="00E25C7F">
      <w:t>v04-00</w:t>
    </w:r>
    <w:r w:rsidRPr="00E25C7F">
      <w:rPr>
        <w:rStyle w:val="HideTWBExt"/>
      </w:rPr>
      <w:t>&lt;/Version&gt;</w:t>
    </w:r>
    <w:r w:rsidRPr="00E25C7F">
      <w:tab/>
    </w:r>
    <w:r w:rsidRPr="00E25C7F">
      <w:fldChar w:fldCharType="begin"/>
    </w:r>
    <w:r w:rsidRPr="00E25C7F">
      <w:instrText xml:space="preserve"> PAGE  \* MERGEFORMAT </w:instrText>
    </w:r>
    <w:r w:rsidRPr="00E25C7F">
      <w:fldChar w:fldCharType="separate"/>
    </w:r>
    <w:r w:rsidR="00E25C7F" w:rsidRPr="00E25C7F">
      <w:rPr>
        <w:noProof/>
      </w:rPr>
      <w:t>2</w:t>
    </w:r>
    <w:r w:rsidRPr="00E25C7F">
      <w:fldChar w:fldCharType="end"/>
    </w:r>
    <w:r w:rsidRPr="00E25C7F">
      <w:t>/</w:t>
    </w:r>
    <w:fldSimple w:instr=" NUMPAGES  \* MERGEFORMAT ">
      <w:r w:rsidR="00E25C7F" w:rsidRPr="00E25C7F">
        <w:rPr>
          <w:noProof/>
        </w:rPr>
        <w:t>3</w:t>
      </w:r>
    </w:fldSimple>
    <w:r w:rsidRPr="00E25C7F">
      <w:tab/>
    </w:r>
    <w:r w:rsidRPr="00E25C7F">
      <w:rPr>
        <w:rStyle w:val="HideTWBExt"/>
      </w:rPr>
      <w:t>&lt;PathFdR&gt;</w:t>
    </w:r>
    <w:r w:rsidRPr="00E25C7F">
      <w:t>RR\1318486EL.docx</w:t>
    </w:r>
    <w:r w:rsidRPr="00E25C7F">
      <w:rPr>
        <w:rStyle w:val="HideTWBExt"/>
      </w:rPr>
      <w:t>&lt;/PathFdR&gt;</w:t>
    </w:r>
  </w:p>
  <w:p w:rsidR="006433A3" w:rsidRPr="00E25C7F" w:rsidRDefault="006433A3" w:rsidP="00C36583">
    <w:pPr>
      <w:pStyle w:val="EPFooter2"/>
    </w:pPr>
    <w:r w:rsidRPr="00E25C7F">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33A3" w:rsidRPr="00E25C7F" w:rsidRDefault="006433A3" w:rsidP="00C36583">
    <w:pPr>
      <w:pStyle w:val="EPFooter"/>
    </w:pPr>
    <w:r w:rsidRPr="00E25C7F">
      <w:rPr>
        <w:rStyle w:val="HideTWBExt"/>
      </w:rPr>
      <w:t>&lt;PathFdR&gt;</w:t>
    </w:r>
    <w:r w:rsidRPr="00E25C7F">
      <w:t>RR\1318486EL.docx</w:t>
    </w:r>
    <w:r w:rsidRPr="00E25C7F">
      <w:rPr>
        <w:rStyle w:val="HideTWBExt"/>
      </w:rPr>
      <w:t>&lt;/PathFdR&gt;</w:t>
    </w:r>
    <w:r w:rsidRPr="00E25C7F">
      <w:tab/>
    </w:r>
    <w:r w:rsidRPr="00E25C7F">
      <w:tab/>
      <w:t>PE</w:t>
    </w:r>
    <w:r w:rsidRPr="00E25C7F">
      <w:rPr>
        <w:rStyle w:val="HideTWBExt"/>
      </w:rPr>
      <w:t>&lt;NoPE&gt;</w:t>
    </w:r>
    <w:r w:rsidRPr="00E25C7F">
      <w:t>764.996</w:t>
    </w:r>
    <w:r w:rsidRPr="00E25C7F">
      <w:rPr>
        <w:rStyle w:val="HideTWBExt"/>
      </w:rPr>
      <w:t>&lt;/NoPE&gt;&lt;Version&gt;</w:t>
    </w:r>
    <w:r w:rsidRPr="00E25C7F">
      <w:t>v04-00</w:t>
    </w:r>
    <w:r w:rsidRPr="00E25C7F">
      <w:rPr>
        <w:rStyle w:val="HideTWBExt"/>
      </w:rPr>
      <w:t>&lt;/Version&gt;</w:t>
    </w:r>
  </w:p>
  <w:p w:rsidR="006433A3" w:rsidRPr="00E25C7F" w:rsidRDefault="006433A3" w:rsidP="00C36583">
    <w:pPr>
      <w:pStyle w:val="EPFooter2"/>
    </w:pPr>
    <w:r w:rsidRPr="00E25C7F">
      <w:t>EL</w:t>
    </w:r>
    <w:r w:rsidRPr="00E25C7F">
      <w:tab/>
    </w:r>
    <w:r w:rsidRPr="00E25C7F">
      <w:rPr>
        <w:b w:val="0"/>
        <w:i/>
        <w:color w:val="C0C0C0"/>
        <w:sz w:val="22"/>
      </w:rPr>
      <w:t>Ενωμένη στην πολυμορφία</w:t>
    </w:r>
    <w:r w:rsidRPr="00E25C7F">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5C7F"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5C7F"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5C7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500D" w:rsidRPr="00E25C7F" w:rsidRDefault="0089500D">
      <w:r w:rsidRPr="00E25C7F">
        <w:separator/>
      </w:r>
    </w:p>
  </w:footnote>
  <w:footnote w:type="continuationSeparator" w:id="0">
    <w:p w:rsidR="0089500D" w:rsidRPr="00E25C7F" w:rsidRDefault="0089500D">
      <w:r w:rsidRPr="00E25C7F">
        <w:continuationSeparator/>
      </w:r>
    </w:p>
  </w:footnote>
  <w:footnote w:id="1">
    <w:p w:rsidR="006433A3" w:rsidRPr="00026AE3" w:rsidRDefault="006433A3" w:rsidP="00EB4FED">
      <w:pPr>
        <w:ind w:left="567" w:hanging="567"/>
        <w:rPr>
          <w:lang w:val="fi-FI"/>
        </w:rPr>
      </w:pPr>
      <w:r w:rsidRPr="00E25C7F">
        <w:rPr>
          <w:rStyle w:val="FootnoteReference"/>
        </w:rPr>
        <w:footnoteRef/>
      </w:r>
      <w:r w:rsidR="00E25C7F" w:rsidRPr="00026AE3">
        <w:rPr>
          <w:lang w:val="fi-FI"/>
        </w:rPr>
        <w:t xml:space="preserve"> </w:t>
      </w:r>
      <w:r w:rsidR="00E25C7F" w:rsidRPr="00026AE3">
        <w:rPr>
          <w:lang w:val="fi-FI"/>
        </w:rPr>
        <w:tab/>
      </w:r>
      <w:r w:rsidRPr="00026AE3">
        <w:rPr>
          <w:lang w:val="fi-FI"/>
        </w:rPr>
        <w:t xml:space="preserve">EE L 58 </w:t>
      </w:r>
      <w:r w:rsidRPr="00E25C7F">
        <w:t>της</w:t>
      </w:r>
      <w:r w:rsidRPr="00026AE3">
        <w:rPr>
          <w:lang w:val="fi-FI"/>
        </w:rPr>
        <w:t xml:space="preserve"> 23.2.2023, </w:t>
      </w:r>
      <w:r w:rsidRPr="00E25C7F">
        <w:t>σ</w:t>
      </w:r>
      <w:r w:rsidRPr="00026AE3">
        <w:rPr>
          <w:lang w:val="fi-FI"/>
        </w:rPr>
        <w:t xml:space="preserve">. 1, ELI: </w:t>
      </w:r>
      <w:hyperlink r:id="rId1" w:tooltip="Επιτρέπει πρόσβαση στο έγγραφο μέσω του ELI URI." w:history="1">
        <w:r w:rsidRPr="00026AE3">
          <w:rPr>
            <w:rStyle w:val="Hyperlink"/>
            <w:color w:val="337AB7"/>
            <w:shd w:val="clear" w:color="auto" w:fill="FFFFFF"/>
            <w:lang w:val="fi-FI"/>
          </w:rPr>
          <w:t>http://data.europa.eu/eli/budget/2023/1/oj</w:t>
        </w:r>
      </w:hyperlink>
      <w:r w:rsidRPr="00026AE3">
        <w:rPr>
          <w:rStyle w:val="Hyperlink"/>
          <w:shd w:val="clear" w:color="auto" w:fill="FFFFFF"/>
          <w:lang w:val="fi-FI"/>
        </w:rPr>
        <w:t>.</w:t>
      </w:r>
    </w:p>
  </w:footnote>
  <w:footnote w:id="2">
    <w:p w:rsidR="006433A3" w:rsidRPr="00026AE3" w:rsidRDefault="006433A3" w:rsidP="00EB4FED">
      <w:pPr>
        <w:pStyle w:val="FootnoteText"/>
        <w:spacing w:line="240" w:lineRule="auto"/>
        <w:ind w:left="567" w:hanging="567"/>
        <w:rPr>
          <w:sz w:val="24"/>
          <w:lang w:val="fi-FI"/>
        </w:rPr>
      </w:pPr>
      <w:r w:rsidRPr="00E25C7F">
        <w:rPr>
          <w:rStyle w:val="FootnoteReference"/>
          <w:sz w:val="24"/>
          <w:lang w:val="el-GR"/>
        </w:rPr>
        <w:footnoteRef/>
      </w:r>
      <w:r w:rsidR="00E25C7F" w:rsidRPr="00026AE3">
        <w:rPr>
          <w:sz w:val="24"/>
          <w:lang w:val="fi-FI"/>
        </w:rPr>
        <w:t xml:space="preserve"> </w:t>
      </w:r>
      <w:r w:rsidR="00E25C7F" w:rsidRPr="00026AE3">
        <w:rPr>
          <w:sz w:val="24"/>
          <w:lang w:val="fi-FI"/>
        </w:rPr>
        <w:tab/>
      </w:r>
      <w:r w:rsidRPr="00E25C7F">
        <w:rPr>
          <w:sz w:val="24"/>
          <w:lang w:val="el-GR"/>
        </w:rPr>
        <w:t>ΕΕ</w:t>
      </w:r>
      <w:r w:rsidRPr="00026AE3">
        <w:rPr>
          <w:sz w:val="24"/>
          <w:lang w:val="fi-FI"/>
        </w:rPr>
        <w:t xml:space="preserve"> C, C/2024/5462, 10.10.2024, ELI: </w:t>
      </w:r>
      <w:hyperlink r:id="rId2" w:history="1">
        <w:r w:rsidRPr="00026AE3">
          <w:rPr>
            <w:rStyle w:val="Hyperlink"/>
            <w:sz w:val="24"/>
            <w:lang w:val="fi-FI"/>
          </w:rPr>
          <w:t>http://data.europa.eu/eli/C/2024/5462/oj</w:t>
        </w:r>
      </w:hyperlink>
      <w:r w:rsidRPr="00026AE3">
        <w:rPr>
          <w:rStyle w:val="Hyperlink"/>
          <w:sz w:val="24"/>
          <w:shd w:val="clear" w:color="auto" w:fill="FFFFFF"/>
          <w:lang w:val="fi-FI"/>
        </w:rPr>
        <w:t>.</w:t>
      </w:r>
    </w:p>
  </w:footnote>
  <w:footnote w:id="3">
    <w:p w:rsidR="006433A3" w:rsidRPr="00026AE3" w:rsidRDefault="006433A3" w:rsidP="00EB4FED">
      <w:pPr>
        <w:pStyle w:val="FootnoteText"/>
        <w:spacing w:line="240" w:lineRule="auto"/>
        <w:ind w:left="567" w:hanging="567"/>
        <w:rPr>
          <w:sz w:val="24"/>
          <w:lang w:val="fi-FI"/>
        </w:rPr>
      </w:pPr>
      <w:r w:rsidRPr="00E25C7F">
        <w:rPr>
          <w:rStyle w:val="FootnoteReference"/>
          <w:sz w:val="24"/>
          <w:lang w:val="el-GR"/>
        </w:rPr>
        <w:footnoteRef/>
      </w:r>
      <w:r w:rsidR="00E25C7F" w:rsidRPr="00026AE3">
        <w:rPr>
          <w:sz w:val="24"/>
          <w:lang w:val="fi-FI"/>
        </w:rPr>
        <w:t xml:space="preserve"> </w:t>
      </w:r>
      <w:r w:rsidR="00E25C7F" w:rsidRPr="00026AE3">
        <w:rPr>
          <w:sz w:val="24"/>
          <w:lang w:val="fi-FI"/>
        </w:rPr>
        <w:tab/>
      </w:r>
      <w:r w:rsidRPr="00E25C7F">
        <w:rPr>
          <w:sz w:val="24"/>
          <w:lang w:val="el-GR"/>
        </w:rPr>
        <w:t>ΕΕ</w:t>
      </w:r>
      <w:r w:rsidRPr="00026AE3">
        <w:rPr>
          <w:sz w:val="24"/>
          <w:lang w:val="fi-FI"/>
        </w:rPr>
        <w:t xml:space="preserve"> C, C/2024/5882, 9.10.2024, ELI: </w:t>
      </w:r>
      <w:hyperlink r:id="rId3" w:history="1">
        <w:r w:rsidRPr="00026AE3">
          <w:rPr>
            <w:rStyle w:val="Hyperlink"/>
            <w:sz w:val="24"/>
            <w:lang w:val="fi-FI"/>
          </w:rPr>
          <w:t>http://data.europa.eu/eli/C/2024/5882/oj</w:t>
        </w:r>
      </w:hyperlink>
      <w:r w:rsidRPr="00026AE3">
        <w:rPr>
          <w:rStyle w:val="Hyperlink"/>
          <w:sz w:val="24"/>
          <w:shd w:val="clear" w:color="auto" w:fill="FFFFFF"/>
          <w:lang w:val="fi-FI"/>
        </w:rPr>
        <w:t>.</w:t>
      </w:r>
    </w:p>
  </w:footnote>
  <w:footnote w:id="4">
    <w:p w:rsidR="006433A3" w:rsidRPr="00026AE3" w:rsidRDefault="006433A3" w:rsidP="00EB4FED">
      <w:pPr>
        <w:pStyle w:val="FootnoteText"/>
        <w:spacing w:line="240" w:lineRule="auto"/>
        <w:ind w:left="567" w:hanging="567"/>
        <w:rPr>
          <w:sz w:val="24"/>
          <w:lang w:val="fi-FI"/>
        </w:rPr>
      </w:pPr>
      <w:r w:rsidRPr="00E25C7F">
        <w:rPr>
          <w:rStyle w:val="FootnoteReference"/>
          <w:sz w:val="24"/>
          <w:lang w:val="el-GR"/>
        </w:rPr>
        <w:footnoteRef/>
      </w:r>
      <w:r w:rsidR="00E25C7F" w:rsidRPr="00026AE3">
        <w:rPr>
          <w:sz w:val="24"/>
          <w:lang w:val="fi-FI"/>
        </w:rPr>
        <w:t xml:space="preserve"> </w:t>
      </w:r>
      <w:r w:rsidR="00E25C7F" w:rsidRPr="00026AE3">
        <w:rPr>
          <w:sz w:val="24"/>
          <w:lang w:val="fi-FI"/>
        </w:rPr>
        <w:tab/>
      </w:r>
      <w:r w:rsidRPr="00E25C7F">
        <w:rPr>
          <w:sz w:val="24"/>
          <w:lang w:val="el-GR"/>
        </w:rPr>
        <w:t>ΕΕ</w:t>
      </w:r>
      <w:r w:rsidRPr="00026AE3">
        <w:rPr>
          <w:sz w:val="24"/>
          <w:lang w:val="fi-FI"/>
        </w:rPr>
        <w:t xml:space="preserve"> C, C/2024/6041, 10.10.2024, ELI: </w:t>
      </w:r>
      <w:hyperlink r:id="rId4" w:history="1">
        <w:r w:rsidRPr="00026AE3">
          <w:rPr>
            <w:rStyle w:val="Hyperlink"/>
            <w:sz w:val="24"/>
            <w:lang w:val="fi-FI"/>
          </w:rPr>
          <w:t>http://data.europa.eu/eli/C/2024/6041/oj</w:t>
        </w:r>
      </w:hyperlink>
      <w:r w:rsidRPr="00026AE3">
        <w:rPr>
          <w:rStyle w:val="Hyperlink"/>
          <w:sz w:val="24"/>
          <w:shd w:val="clear" w:color="auto" w:fill="FFFFFF"/>
          <w:lang w:val="fi-FI"/>
        </w:rPr>
        <w:t>.</w:t>
      </w:r>
    </w:p>
  </w:footnote>
  <w:footnote w:id="5">
    <w:p w:rsidR="006433A3" w:rsidRPr="00E25C7F" w:rsidRDefault="006433A3" w:rsidP="00EB4FED">
      <w:pPr>
        <w:pStyle w:val="FootnoteText"/>
        <w:spacing w:line="240" w:lineRule="auto"/>
        <w:ind w:left="567" w:hanging="567"/>
        <w:rPr>
          <w:sz w:val="24"/>
          <w:lang w:val="el-GR"/>
        </w:rPr>
      </w:pPr>
      <w:r w:rsidRPr="00E25C7F">
        <w:rPr>
          <w:rStyle w:val="FootnoteReference"/>
          <w:sz w:val="24"/>
          <w:lang w:val="el-GR"/>
        </w:rPr>
        <w:footnoteRef/>
      </w:r>
      <w:r w:rsidR="00E25C7F" w:rsidRPr="00E25C7F">
        <w:rPr>
          <w:sz w:val="24"/>
          <w:lang w:val="el-GR"/>
        </w:rPr>
        <w:t xml:space="preserve"> </w:t>
      </w:r>
      <w:r w:rsidR="00E25C7F" w:rsidRPr="00E25C7F">
        <w:rPr>
          <w:sz w:val="24"/>
          <w:lang w:val="el-GR"/>
        </w:rPr>
        <w:tab/>
      </w:r>
      <w:r w:rsidRPr="00E25C7F">
        <w:rPr>
          <w:sz w:val="24"/>
          <w:lang w:val="el-GR"/>
        </w:rPr>
        <w:t xml:space="preserve">ΕΕ L 193 της 30.7.2018, σ. </w:t>
      </w:r>
      <w:r w:rsidRPr="00E25C7F">
        <w:rPr>
          <w:sz w:val="24"/>
          <w:lang w:val="el-GR"/>
        </w:rPr>
        <w:t xml:space="preserve">1, ELI: </w:t>
      </w:r>
      <w:hyperlink r:id="rId5" w:history="1">
        <w:r w:rsidRPr="00E25C7F">
          <w:rPr>
            <w:rStyle w:val="Hyperlink"/>
            <w:sz w:val="24"/>
            <w:lang w:val="el-GR"/>
          </w:rPr>
          <w:t>http://data.europa.eu/eli/reg/2018/1046/oj</w:t>
        </w:r>
      </w:hyperlink>
      <w:r w:rsidRPr="00E25C7F">
        <w:rPr>
          <w:rStyle w:val="Hyperlink"/>
          <w:sz w:val="24"/>
          <w:shd w:val="clear" w:color="auto" w:fill="FFFFFF"/>
          <w:lang w:val="el-GR"/>
        </w:rPr>
        <w:t>.</w:t>
      </w:r>
    </w:p>
  </w:footnote>
  <w:footnote w:id="6">
    <w:p w:rsidR="006433A3" w:rsidRPr="00026AE3" w:rsidRDefault="006433A3" w:rsidP="00EB4FED">
      <w:pPr>
        <w:pStyle w:val="FootnoteText"/>
        <w:spacing w:line="240" w:lineRule="auto"/>
        <w:ind w:left="567" w:hanging="567"/>
        <w:rPr>
          <w:sz w:val="24"/>
          <w:szCs w:val="24"/>
          <w:lang w:val="fi-FI"/>
        </w:rPr>
      </w:pPr>
      <w:r w:rsidRPr="00E25C7F">
        <w:rPr>
          <w:rStyle w:val="FootnoteReference"/>
          <w:sz w:val="24"/>
          <w:lang w:val="el-GR"/>
        </w:rPr>
        <w:footnoteRef/>
      </w:r>
      <w:r w:rsidR="00E25C7F" w:rsidRPr="00026AE3">
        <w:rPr>
          <w:sz w:val="24"/>
          <w:lang w:val="fi-FI"/>
        </w:rPr>
        <w:t xml:space="preserve"> </w:t>
      </w:r>
      <w:r w:rsidR="00E25C7F" w:rsidRPr="00026AE3">
        <w:rPr>
          <w:sz w:val="24"/>
          <w:lang w:val="fi-FI"/>
        </w:rPr>
        <w:tab/>
      </w:r>
      <w:r w:rsidRPr="00E25C7F">
        <w:rPr>
          <w:sz w:val="24"/>
          <w:lang w:val="el-GR"/>
        </w:rPr>
        <w:t>ΕΕ</w:t>
      </w:r>
      <w:r w:rsidRPr="00026AE3">
        <w:rPr>
          <w:sz w:val="24"/>
          <w:lang w:val="fi-FI"/>
        </w:rPr>
        <w:t xml:space="preserve"> L, 2024/2509, 26.9.2024, ELI: </w:t>
      </w:r>
      <w:hyperlink r:id="rId6" w:history="1">
        <w:r w:rsidRPr="00026AE3">
          <w:rPr>
            <w:rStyle w:val="Hyperlink"/>
            <w:sz w:val="24"/>
            <w:lang w:val="fi-FI"/>
          </w:rPr>
          <w:t>http://data.europa.eu/eli/reg/2024/2509/oj</w:t>
        </w:r>
      </w:hyperlink>
      <w:r w:rsidRPr="00026AE3">
        <w:rPr>
          <w:rStyle w:val="Hyperlink"/>
          <w:sz w:val="24"/>
          <w:shd w:val="clear" w:color="auto" w:fill="FFFFFF"/>
          <w:lang w:val="fi-FI"/>
        </w:rPr>
        <w:t>.</w:t>
      </w:r>
    </w:p>
  </w:footnote>
  <w:footnote w:id="7">
    <w:p w:rsidR="006433A3" w:rsidRPr="00E25C7F" w:rsidRDefault="006433A3" w:rsidP="00EB4FED">
      <w:pPr>
        <w:pStyle w:val="FootnoteText"/>
        <w:spacing w:line="240" w:lineRule="auto"/>
        <w:ind w:left="567" w:hanging="567"/>
        <w:rPr>
          <w:sz w:val="24"/>
          <w:lang w:val="el-GR"/>
        </w:rPr>
      </w:pPr>
      <w:r w:rsidRPr="00E25C7F">
        <w:rPr>
          <w:rStyle w:val="FootnoteReference"/>
          <w:sz w:val="24"/>
          <w:lang w:val="el-GR"/>
        </w:rPr>
        <w:footnoteRef/>
      </w:r>
      <w:r w:rsidR="00E25C7F" w:rsidRPr="00E25C7F">
        <w:rPr>
          <w:sz w:val="24"/>
          <w:lang w:val="el-GR"/>
        </w:rPr>
        <w:t xml:space="preserve"> </w:t>
      </w:r>
      <w:r w:rsidR="00E25C7F" w:rsidRPr="00E25C7F">
        <w:rPr>
          <w:sz w:val="24"/>
          <w:lang w:val="el-GR"/>
        </w:rPr>
        <w:tab/>
      </w:r>
      <w:r w:rsidRPr="00E25C7F">
        <w:rPr>
          <w:sz w:val="24"/>
          <w:lang w:val="el-GR"/>
        </w:rPr>
        <w:t xml:space="preserve">Κανονισμός (ΕΕ, Ευρατόμ) 2024/2019 του Ευρωπαϊκού Κοινοβουλίου και του Συμβουλίου, της 11ης Απριλίου 2024, για την τροποποίηση του πρωτοκόλλου αριθ. </w:t>
      </w:r>
      <w:r w:rsidRPr="00E25C7F">
        <w:rPr>
          <w:sz w:val="24"/>
          <w:lang w:val="el-GR"/>
        </w:rPr>
        <w:t xml:space="preserve">3 περί του Οργανισμού του Δικαστηρίου της Ευρωπαϊκής Ένωσης </w:t>
      </w:r>
      <w:r w:rsidR="00EB4FED">
        <w:rPr>
          <w:sz w:val="24"/>
          <w:lang w:val="el-GR"/>
        </w:rPr>
        <w:t>(</w:t>
      </w:r>
      <w:r w:rsidRPr="00E25C7F">
        <w:rPr>
          <w:sz w:val="24"/>
          <w:lang w:val="el-GR"/>
        </w:rPr>
        <w:t xml:space="preserve">ΕΕ L, 2024/2019, 12.8.2024, ELI: </w:t>
      </w:r>
      <w:hyperlink r:id="rId7" w:history="1">
        <w:r w:rsidRPr="00E25C7F">
          <w:rPr>
            <w:rStyle w:val="Hyperlink"/>
            <w:sz w:val="24"/>
            <w:lang w:val="el-GR"/>
          </w:rPr>
          <w:t>http://data.europa.eu/eli/reg/2024/2019/oj</w:t>
        </w:r>
      </w:hyperlink>
      <w:r w:rsidR="00EB4FED">
        <w:rPr>
          <w:rStyle w:val="Hyperlink"/>
          <w:sz w:val="24"/>
          <w:lang w:val="el-GR"/>
        </w:rPr>
        <w:t>)</w:t>
      </w:r>
      <w:r w:rsidRPr="00E25C7F">
        <w:rPr>
          <w:rStyle w:val="Hyperlink"/>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5C7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5C7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5C7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1C67BC0"/>
    <w:multiLevelType w:val="hybridMultilevel"/>
    <w:tmpl w:val="3B56A25A"/>
    <w:lvl w:ilvl="0" w:tplc="D326E0BE">
      <w:start w:val="1"/>
      <w:numFmt w:val="decimal"/>
      <w:lvlText w:val="%1."/>
      <w:lvlJc w:val="left"/>
      <w:pPr>
        <w:ind w:left="570" w:hanging="570"/>
      </w:pPr>
      <w:rPr>
        <w:rFonts w:hint="default"/>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2"/>
  </w:num>
  <w:num w:numId="3">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7"/>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50/2025"/>
    <w:docVar w:name="dvlangue" w:val="EL"/>
    <w:docVar w:name="dvnumam" w:val="0"/>
    <w:docVar w:name="dvpe" w:val="764.996"/>
    <w:docVar w:name="dvrapporteur" w:val="Εισηγητής: "/>
    <w:docVar w:name="dvtitre" w:val="Απόφαση του Ευρωπαϊκού Κοινοβουλίου σχετικά με την απαλλαγή όσον αφορά την εκτέλεση του γενικού προϋπολογισμού της Ευρωπαϊκής Ένωσης για το οικονομικό έτος 2023, τμήμα IV – Δικαστήριο(2024/2022(DEC))"/>
  </w:docVars>
  <w:rsids>
    <w:rsidRoot w:val="0089500D"/>
    <w:rsid w:val="00002272"/>
    <w:rsid w:val="00026AE3"/>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433A3"/>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500D"/>
    <w:rsid w:val="008C2AC6"/>
    <w:rsid w:val="008D0D38"/>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436B"/>
    <w:rsid w:val="00C941CB"/>
    <w:rsid w:val="00CC2357"/>
    <w:rsid w:val="00CF071A"/>
    <w:rsid w:val="00D058B8"/>
    <w:rsid w:val="00D56C11"/>
    <w:rsid w:val="00D834A0"/>
    <w:rsid w:val="00D872DF"/>
    <w:rsid w:val="00D91E21"/>
    <w:rsid w:val="00DA7FCD"/>
    <w:rsid w:val="00E25C7F"/>
    <w:rsid w:val="00E365E1"/>
    <w:rsid w:val="00E820A4"/>
    <w:rsid w:val="00EB006A"/>
    <w:rsid w:val="00EB4772"/>
    <w:rsid w:val="00EB4FED"/>
    <w:rsid w:val="00ED169E"/>
    <w:rsid w:val="00ED4235"/>
    <w:rsid w:val="00EE40C8"/>
    <w:rsid w:val="00F04346"/>
    <w:rsid w:val="00F075DC"/>
    <w:rsid w:val="00F149E9"/>
    <w:rsid w:val="00F5134D"/>
    <w:rsid w:val="00F74202"/>
    <w:rsid w:val="00F87713"/>
    <w:rsid w:val="00FB4360"/>
    <w:rsid w:val="00FD0C70"/>
    <w:rsid w:val="00FF06D2"/>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0478F17-E32D-4CA3-BA25-2A95F374F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433A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433A3"/>
    <w:pPr>
      <w:spacing w:before="480" w:after="240"/>
    </w:pPr>
  </w:style>
  <w:style w:type="paragraph" w:customStyle="1" w:styleId="PageHeading">
    <w:name w:val="PageHeading"/>
    <w:basedOn w:val="Normal"/>
    <w:rsid w:val="006433A3"/>
    <w:pPr>
      <w:keepNext/>
      <w:spacing w:after="480"/>
      <w:jc w:val="center"/>
    </w:pPr>
    <w:rPr>
      <w:rFonts w:ascii="Arial" w:hAnsi="Arial" w:cs="Arial"/>
      <w:b/>
    </w:rPr>
  </w:style>
  <w:style w:type="paragraph" w:customStyle="1" w:styleId="NormalBold">
    <w:name w:val="NormalBold"/>
    <w:basedOn w:val="Normal"/>
    <w:rsid w:val="006433A3"/>
    <w:rPr>
      <w:b/>
    </w:rPr>
  </w:style>
  <w:style w:type="paragraph" w:customStyle="1" w:styleId="NormalHanging12a">
    <w:name w:val="NormalHanging12a"/>
    <w:basedOn w:val="Normal"/>
    <w:link w:val="NormalHanging12aChar"/>
    <w:qFormat/>
    <w:rsid w:val="006433A3"/>
    <w:pPr>
      <w:spacing w:after="240"/>
      <w:ind w:left="567" w:hanging="567"/>
    </w:pPr>
  </w:style>
  <w:style w:type="paragraph" w:styleId="Header">
    <w:name w:val="header"/>
    <w:basedOn w:val="Normal"/>
    <w:link w:val="HeaderChar"/>
    <w:rsid w:val="006433A3"/>
    <w:pPr>
      <w:tabs>
        <w:tab w:val="center" w:pos="4513"/>
        <w:tab w:val="right" w:pos="9026"/>
      </w:tabs>
    </w:pPr>
  </w:style>
  <w:style w:type="character" w:customStyle="1" w:styleId="HeaderChar">
    <w:name w:val="Header Char"/>
    <w:basedOn w:val="DefaultParagraphFont"/>
    <w:link w:val="Header"/>
    <w:rsid w:val="006433A3"/>
    <w:rPr>
      <w:sz w:val="24"/>
      <w:lang w:val="el-GR"/>
    </w:rPr>
  </w:style>
  <w:style w:type="paragraph" w:customStyle="1" w:styleId="EPFooter">
    <w:name w:val="EPFooter"/>
    <w:basedOn w:val="Normal"/>
    <w:rsid w:val="006433A3"/>
    <w:pPr>
      <w:tabs>
        <w:tab w:val="center" w:pos="4535"/>
        <w:tab w:val="right" w:pos="9071"/>
      </w:tabs>
      <w:spacing w:before="240" w:after="240"/>
    </w:pPr>
    <w:rPr>
      <w:color w:val="010000"/>
      <w:sz w:val="22"/>
    </w:rPr>
  </w:style>
  <w:style w:type="character" w:styleId="Hyperlink">
    <w:name w:val="Hyperlink"/>
    <w:basedOn w:val="DefaultParagraphFont"/>
    <w:rsid w:val="006433A3"/>
    <w:rPr>
      <w:color w:val="0563C1" w:themeColor="hyperlink"/>
      <w:u w:val="single"/>
    </w:rPr>
  </w:style>
  <w:style w:type="character" w:customStyle="1" w:styleId="NormalHanging12aChar">
    <w:name w:val="NormalHanging12a Char"/>
    <w:basedOn w:val="DefaultParagraphFont"/>
    <w:link w:val="NormalHanging12a"/>
    <w:locked/>
    <w:rsid w:val="006433A3"/>
    <w:rPr>
      <w:sz w:val="24"/>
      <w:lang w:val="el-GR"/>
    </w:rPr>
  </w:style>
  <w:style w:type="character" w:customStyle="1" w:styleId="PageHeadingNotTOCChar">
    <w:name w:val="PageHeadingNotTOC Char"/>
    <w:basedOn w:val="DefaultParagraphFont"/>
    <w:link w:val="PageHeadingNotTOC"/>
    <w:locked/>
    <w:rsid w:val="006433A3"/>
    <w:rPr>
      <w:rFonts w:ascii="Arial" w:hAnsi="Arial" w:cs="Arial"/>
      <w:b/>
      <w:sz w:val="24"/>
    </w:rPr>
  </w:style>
  <w:style w:type="paragraph" w:customStyle="1" w:styleId="Normal12a">
    <w:name w:val="Normal12a"/>
    <w:basedOn w:val="Normal"/>
    <w:rsid w:val="006433A3"/>
    <w:pPr>
      <w:spacing w:after="240"/>
    </w:pPr>
  </w:style>
  <w:style w:type="paragraph" w:customStyle="1" w:styleId="PageHeadingNotTOC">
    <w:name w:val="PageHeadingNotTOC"/>
    <w:basedOn w:val="Normal"/>
    <w:link w:val="PageHeadingNotTOCChar"/>
    <w:rsid w:val="006433A3"/>
    <w:pPr>
      <w:keepNext/>
      <w:spacing w:after="480"/>
      <w:jc w:val="center"/>
    </w:pPr>
    <w:rPr>
      <w:rFonts w:ascii="Arial" w:hAnsi="Arial" w:cs="Arial"/>
      <w:b/>
      <w:lang w:val="en-GB"/>
    </w:rPr>
  </w:style>
  <w:style w:type="paragraph" w:styleId="BodyText">
    <w:name w:val="Body Text"/>
    <w:basedOn w:val="Normal"/>
    <w:link w:val="BodyTextChar"/>
    <w:uiPriority w:val="1"/>
    <w:unhideWhenUsed/>
    <w:qFormat/>
    <w:rsid w:val="006433A3"/>
    <w:pPr>
      <w:autoSpaceDE w:val="0"/>
      <w:autoSpaceDN w:val="0"/>
    </w:pPr>
    <w:rPr>
      <w:szCs w:val="24"/>
      <w:lang w:bidi="en-GB"/>
    </w:rPr>
  </w:style>
  <w:style w:type="character" w:customStyle="1" w:styleId="BodyTextChar">
    <w:name w:val="Body Text Char"/>
    <w:basedOn w:val="DefaultParagraphFont"/>
    <w:link w:val="BodyText"/>
    <w:uiPriority w:val="1"/>
    <w:rsid w:val="006433A3"/>
    <w:rPr>
      <w:sz w:val="24"/>
      <w:szCs w:val="24"/>
      <w:lang w:val="el-GR" w:bidi="en-GB"/>
    </w:rPr>
  </w:style>
  <w:style w:type="paragraph" w:styleId="ListParagraph">
    <w:name w:val="List Paragraph"/>
    <w:basedOn w:val="Normal"/>
    <w:uiPriority w:val="1"/>
    <w:qFormat/>
    <w:rsid w:val="006433A3"/>
    <w:pPr>
      <w:autoSpaceDE w:val="0"/>
      <w:autoSpaceDN w:val="0"/>
      <w:ind w:left="1382" w:right="962" w:hanging="426"/>
    </w:pPr>
    <w:rPr>
      <w:sz w:val="22"/>
      <w:szCs w:val="22"/>
      <w:lang w:bidi="en-GB"/>
    </w:rPr>
  </w:style>
  <w:style w:type="paragraph" w:customStyle="1" w:styleId="Normal24a">
    <w:name w:val="Normal24a"/>
    <w:basedOn w:val="Normal"/>
    <w:link w:val="Normal24aChar"/>
    <w:rsid w:val="006433A3"/>
    <w:pPr>
      <w:spacing w:after="480"/>
    </w:pPr>
  </w:style>
  <w:style w:type="character" w:customStyle="1" w:styleId="Normal24aChar">
    <w:name w:val="Normal24a Char"/>
    <w:basedOn w:val="DefaultParagraphFont"/>
    <w:link w:val="Normal24a"/>
    <w:rsid w:val="006433A3"/>
    <w:rPr>
      <w:sz w:val="24"/>
      <w:lang w:val="el-GR"/>
    </w:rPr>
  </w:style>
  <w:style w:type="paragraph" w:customStyle="1" w:styleId="NormalBoldCenter">
    <w:name w:val="NormalBoldCenter"/>
    <w:basedOn w:val="Normal"/>
    <w:rsid w:val="006433A3"/>
    <w:pPr>
      <w:jc w:val="center"/>
    </w:pPr>
    <w:rPr>
      <w:b/>
    </w:rPr>
  </w:style>
  <w:style w:type="paragraph" w:customStyle="1" w:styleId="Footprint12b">
    <w:name w:val="Footprint12b"/>
    <w:basedOn w:val="Normal"/>
    <w:rsid w:val="006433A3"/>
    <w:pPr>
      <w:spacing w:before="240"/>
    </w:pPr>
    <w:rPr>
      <w:szCs w:val="24"/>
    </w:rPr>
  </w:style>
  <w:style w:type="paragraph" w:customStyle="1" w:styleId="NormalSingle">
    <w:name w:val="NormalSingle"/>
    <w:basedOn w:val="Normal"/>
    <w:qFormat/>
    <w:rsid w:val="006433A3"/>
    <w:rPr>
      <w:szCs w:val="24"/>
    </w:rPr>
  </w:style>
  <w:style w:type="paragraph" w:styleId="BalloonText">
    <w:name w:val="Balloon Text"/>
    <w:basedOn w:val="Normal"/>
    <w:link w:val="BalloonTextChar"/>
    <w:rsid w:val="00EB4FED"/>
    <w:rPr>
      <w:rFonts w:ascii="Segoe UI" w:hAnsi="Segoe UI" w:cs="Segoe UI"/>
      <w:sz w:val="18"/>
      <w:szCs w:val="18"/>
    </w:rPr>
  </w:style>
  <w:style w:type="character" w:customStyle="1" w:styleId="BalloonTextChar">
    <w:name w:val="Balloon Text Char"/>
    <w:basedOn w:val="DefaultParagraphFont"/>
    <w:link w:val="BalloonText"/>
    <w:rsid w:val="00EB4FED"/>
    <w:rPr>
      <w:rFonts w:ascii="Segoe UI" w:hAnsi="Segoe UI" w:cs="Segoe UI"/>
      <w:sz w:val="18"/>
      <w:szCs w:val="18"/>
      <w:lang w:val="el-GR"/>
    </w:rPr>
  </w:style>
  <w:style w:type="paragraph" w:styleId="Footer">
    <w:name w:val="footer"/>
    <w:basedOn w:val="Normal"/>
    <w:link w:val="FooterChar"/>
    <w:rsid w:val="00EB4FED"/>
    <w:pPr>
      <w:tabs>
        <w:tab w:val="center" w:pos="4513"/>
        <w:tab w:val="right" w:pos="9026"/>
      </w:tabs>
    </w:pPr>
  </w:style>
  <w:style w:type="character" w:customStyle="1" w:styleId="FooterChar">
    <w:name w:val="Footer Char"/>
    <w:basedOn w:val="DefaultParagraphFont"/>
    <w:link w:val="Footer"/>
    <w:rsid w:val="00EB4FED"/>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7" Type="http://schemas.openxmlformats.org/officeDocument/2006/relationships/hyperlink" Target="http://data.europa.eu/eli/reg/2024/2019/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A6FFEE-216D-4E87-85DD-74D4081A17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7258</Words>
  <Characters>41674</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Amalia</dc:creator>
  <cp:keywords/>
  <cp:lastModifiedBy>Amalia</cp:lastModifiedBy>
  <cp:revision>2</cp:revision>
  <cp:lastPrinted>2004-11-19T15:42:00Z</cp:lastPrinted>
  <dcterms:created xsi:type="dcterms:W3CDTF">2025-05-07T14:39:00Z</dcterms:created>
  <dcterms:modified xsi:type="dcterms:W3CDTF">2025-05-07T14:39:00Z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A10-0050/2025</vt:lpwstr>
  </property>
  <property fmtid="{D5CDD505-2E9C-101B-9397-08002B2CF9AE}" pid="4" name="&lt;Type&gt;">
    <vt:lpwstr>RR</vt:lpwstr>
  </property>
</Properties>
</file>