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014A" w14:paraId="2462162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3DCD38" w14:textId="77777777" w:rsidR="00751A4A" w:rsidRPr="0079014A" w:rsidRDefault="005333EA" w:rsidP="0010095E">
            <w:pPr>
              <w:pStyle w:val="EPName"/>
            </w:pPr>
            <w:r w:rsidRPr="0079014A">
              <w:t>Europski parlament</w:t>
            </w:r>
          </w:p>
          <w:p w14:paraId="09F6A25B" w14:textId="77777777" w:rsidR="00751A4A" w:rsidRPr="0079014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014A">
              <w:t>2024</w:t>
            </w:r>
            <w:r w:rsidR="00817416" w:rsidRPr="0079014A">
              <w:t>-202</w:t>
            </w:r>
            <w:r w:rsidRPr="0079014A">
              <w:t>9</w:t>
            </w:r>
          </w:p>
        </w:tc>
        <w:tc>
          <w:tcPr>
            <w:tcW w:w="2268" w:type="dxa"/>
            <w:shd w:val="clear" w:color="auto" w:fill="auto"/>
          </w:tcPr>
          <w:p w14:paraId="55BF3BB3" w14:textId="77777777" w:rsidR="00751A4A" w:rsidRPr="0079014A" w:rsidRDefault="00187494" w:rsidP="0010095E">
            <w:pPr>
              <w:pStyle w:val="EPLogo"/>
            </w:pPr>
            <w:r w:rsidRPr="0079014A">
              <w:rPr>
                <w:noProof/>
                <w:lang w:val="en-GB" w:eastAsia="zh-CN"/>
              </w:rPr>
              <w:drawing>
                <wp:inline distT="0" distB="0" distL="0" distR="0" wp14:anchorId="67CFB4EA" wp14:editId="265C5DF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F96F26" w14:textId="77777777" w:rsidR="00D058B8" w:rsidRPr="0079014A" w:rsidRDefault="00D058B8" w:rsidP="004C5D52">
      <w:pPr>
        <w:pStyle w:val="LineTop"/>
      </w:pPr>
    </w:p>
    <w:p w14:paraId="3929E47D" w14:textId="77777777" w:rsidR="00680577" w:rsidRPr="0079014A" w:rsidRDefault="005333EA" w:rsidP="00680577">
      <w:pPr>
        <w:pStyle w:val="EPBodyTA1"/>
      </w:pPr>
      <w:r w:rsidRPr="0079014A">
        <w:t>USVOJENI TEKSTOVI</w:t>
      </w:r>
    </w:p>
    <w:p w14:paraId="172F6787" w14:textId="77777777" w:rsidR="00D058B8" w:rsidRPr="0079014A" w:rsidRDefault="00D058B8" w:rsidP="00D058B8">
      <w:pPr>
        <w:pStyle w:val="LineBottom"/>
      </w:pPr>
    </w:p>
    <w:p w14:paraId="10A370E6" w14:textId="77777777" w:rsidR="005333EA" w:rsidRPr="0079014A" w:rsidRDefault="00D25614" w:rsidP="005333EA">
      <w:pPr>
        <w:pStyle w:val="ATHeading1"/>
      </w:pPr>
      <w:bookmarkStart w:id="0" w:name="TANumber"/>
      <w:r>
        <w:t>P10_TA(2025)008</w:t>
      </w:r>
      <w:r w:rsidR="005333EA" w:rsidRPr="0079014A">
        <w:t>0</w:t>
      </w:r>
      <w:bookmarkEnd w:id="0"/>
    </w:p>
    <w:p w14:paraId="692EECA3" w14:textId="77777777" w:rsidR="005333EA" w:rsidRPr="0079014A" w:rsidRDefault="005333EA" w:rsidP="005333EA">
      <w:pPr>
        <w:pStyle w:val="ATHeading2"/>
      </w:pPr>
      <w:bookmarkStart w:id="1" w:name="title"/>
      <w:r w:rsidRPr="0079014A">
        <w:t>Razrješnica za 2023.: Opći proračun EU-a – Sud Europske unije</w:t>
      </w:r>
      <w:bookmarkEnd w:id="1"/>
    </w:p>
    <w:p w14:paraId="48391530" w14:textId="77777777" w:rsidR="005333EA" w:rsidRPr="0079014A" w:rsidRDefault="005333EA" w:rsidP="005333EA">
      <w:pPr>
        <w:rPr>
          <w:i/>
          <w:vanish/>
        </w:rPr>
      </w:pPr>
      <w:r w:rsidRPr="0079014A">
        <w:rPr>
          <w:i/>
        </w:rPr>
        <w:fldChar w:fldCharType="begin"/>
      </w:r>
      <w:r w:rsidRPr="0079014A">
        <w:rPr>
          <w:i/>
        </w:rPr>
        <w:instrText xml:space="preserve"> TC"(</w:instrText>
      </w:r>
      <w:bookmarkStart w:id="2" w:name="DocNumber"/>
      <w:r w:rsidRPr="0079014A">
        <w:rPr>
          <w:i/>
        </w:rPr>
        <w:instrText>A10-0050/2025</w:instrText>
      </w:r>
      <w:bookmarkEnd w:id="2"/>
      <w:r w:rsidRPr="0079014A">
        <w:rPr>
          <w:i/>
        </w:rPr>
        <w:instrText xml:space="preserve"> - Izvjestitelj: </w:instrText>
      </w:r>
      <w:proofErr w:type="spellStart"/>
      <w:r w:rsidRPr="0079014A">
        <w:rPr>
          <w:i/>
        </w:rPr>
        <w:instrText>Cristian</w:instrText>
      </w:r>
      <w:proofErr w:type="spellEnd"/>
      <w:r w:rsidRPr="0079014A">
        <w:rPr>
          <w:i/>
        </w:rPr>
        <w:instrText xml:space="preserve"> </w:instrText>
      </w:r>
      <w:proofErr w:type="spellStart"/>
      <w:r w:rsidRPr="0079014A">
        <w:rPr>
          <w:i/>
        </w:rPr>
        <w:instrText>Terheş</w:instrText>
      </w:r>
      <w:proofErr w:type="spellEnd"/>
      <w:r w:rsidRPr="0079014A">
        <w:rPr>
          <w:i/>
        </w:rPr>
        <w:instrText xml:space="preserve">)"\l3 \n&gt; \* MERGEFORMAT </w:instrText>
      </w:r>
      <w:r w:rsidRPr="0079014A">
        <w:rPr>
          <w:i/>
        </w:rPr>
        <w:fldChar w:fldCharType="end"/>
      </w:r>
    </w:p>
    <w:p w14:paraId="50EEA276" w14:textId="77777777" w:rsidR="005333EA" w:rsidRPr="0079014A" w:rsidRDefault="005333EA" w:rsidP="005333EA">
      <w:pPr>
        <w:rPr>
          <w:vanish/>
        </w:rPr>
      </w:pPr>
      <w:bookmarkStart w:id="3" w:name="Commission"/>
      <w:r w:rsidRPr="0079014A">
        <w:rPr>
          <w:vanish/>
        </w:rPr>
        <w:t>Odbor za proračunski nadzor</w:t>
      </w:r>
      <w:bookmarkEnd w:id="3"/>
    </w:p>
    <w:p w14:paraId="6DDB6267" w14:textId="77777777" w:rsidR="005333EA" w:rsidRPr="0079014A" w:rsidRDefault="005333EA" w:rsidP="005333EA">
      <w:pPr>
        <w:rPr>
          <w:vanish/>
        </w:rPr>
      </w:pPr>
      <w:bookmarkStart w:id="4" w:name="PE"/>
      <w:r w:rsidRPr="0079014A">
        <w:rPr>
          <w:vanish/>
        </w:rPr>
        <w:t>PE764.996</w:t>
      </w:r>
      <w:bookmarkEnd w:id="4"/>
    </w:p>
    <w:p w14:paraId="145B0BF2" w14:textId="77777777" w:rsidR="005333EA" w:rsidRPr="0079014A" w:rsidRDefault="0079014A" w:rsidP="005333EA">
      <w:pPr>
        <w:pStyle w:val="ATHeading3"/>
      </w:pPr>
      <w:bookmarkStart w:id="5" w:name="Sujet"/>
      <w:r>
        <w:t xml:space="preserve">1. </w:t>
      </w:r>
      <w:r w:rsidR="005333EA" w:rsidRPr="0079014A">
        <w:t>Od</w:t>
      </w:r>
      <w:r>
        <w:t>luka Europskog parlamenta od 7</w:t>
      </w:r>
      <w:r w:rsidR="005333EA" w:rsidRPr="0079014A">
        <w:t xml:space="preserve">. </w:t>
      </w:r>
      <w:r>
        <w:t xml:space="preserve">svibnja </w:t>
      </w:r>
      <w:r w:rsidR="005333EA" w:rsidRPr="0079014A">
        <w:t>2025. o razrješnici za izvršenje općeg proračuna Europske unije za financijsku godinu 2023., dio IV. – Sud Europske unije</w:t>
      </w:r>
      <w:bookmarkEnd w:id="5"/>
      <w:r w:rsidR="005333EA" w:rsidRPr="0079014A">
        <w:t xml:space="preserve"> </w:t>
      </w:r>
      <w:bookmarkStart w:id="6" w:name="References"/>
      <w:r w:rsidR="005333EA" w:rsidRPr="0079014A">
        <w:t>(2024/2022(DEC))</w:t>
      </w:r>
      <w:bookmarkEnd w:id="6"/>
    </w:p>
    <w:p w14:paraId="03E60694" w14:textId="77777777" w:rsidR="003F560B" w:rsidRDefault="003F560B" w:rsidP="003F560B">
      <w:pPr>
        <w:pStyle w:val="EPComma"/>
      </w:pPr>
      <w:bookmarkStart w:id="7" w:name="TextBodyBegin"/>
      <w:bookmarkEnd w:id="7"/>
      <w:r w:rsidRPr="0079014A">
        <w:rPr>
          <w:i/>
        </w:rPr>
        <w:t>Europski parlament</w:t>
      </w:r>
      <w:r w:rsidRPr="0079014A">
        <w:t>,</w:t>
      </w:r>
    </w:p>
    <w:p w14:paraId="6BBAE0AA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–</w:t>
      </w:r>
      <w:r w:rsidRPr="00786181">
        <w:rPr>
          <w:kern w:val="2"/>
          <w14:ligatures w14:val="standardContextual"/>
        </w:rPr>
        <w:tab/>
        <w:t>uzimajući u obzir opći proračun Europske unije za financijsku godinu 2023.</w:t>
      </w:r>
      <w:r w:rsidRPr="00786181">
        <w:rPr>
          <w:kern w:val="2"/>
          <w:vertAlign w:val="superscript"/>
          <w14:ligatures w14:val="standardContextual"/>
        </w:rPr>
        <w:footnoteReference w:id="1"/>
      </w:r>
      <w:r w:rsidRPr="00786181">
        <w:rPr>
          <w:kern w:val="2"/>
          <w14:ligatures w14:val="standardContextual"/>
        </w:rPr>
        <w:t>,</w:t>
      </w:r>
    </w:p>
    <w:p w14:paraId="7B49B8C3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–</w:t>
      </w:r>
      <w:r w:rsidRPr="00786181">
        <w:rPr>
          <w:kern w:val="2"/>
          <w14:ligatures w14:val="standardContextual"/>
        </w:rPr>
        <w:tab/>
        <w:t>uzimajući u obzir konsolidiranu godišnju računovodstvenu dokumentaciju Europske unije za financijsku godinu 2023. (COM(2024)0272 – C10</w:t>
      </w:r>
      <w:r w:rsidRPr="00786181">
        <w:rPr>
          <w:kern w:val="2"/>
          <w14:ligatures w14:val="standardContextual"/>
        </w:rPr>
        <w:noBreakHyphen/>
        <w:t>0070/2024)</w:t>
      </w:r>
      <w:r w:rsidRPr="00786181">
        <w:rPr>
          <w:kern w:val="2"/>
          <w:vertAlign w:val="superscript"/>
          <w14:ligatures w14:val="standardContextual"/>
        </w:rPr>
        <w:footnoteReference w:id="2"/>
      </w:r>
      <w:r w:rsidRPr="00786181">
        <w:rPr>
          <w:kern w:val="2"/>
          <w14:ligatures w14:val="standardContextual"/>
        </w:rPr>
        <w:t>,</w:t>
      </w:r>
    </w:p>
    <w:p w14:paraId="56421D54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–</w:t>
      </w:r>
      <w:r w:rsidRPr="00786181">
        <w:rPr>
          <w:kern w:val="2"/>
          <w14:ligatures w14:val="standardContextual"/>
        </w:rPr>
        <w:tab/>
        <w:t>uzimajući u obzir godišnje izvješće o radu Suda Europske unije za 2023. i njegovo godišnje izvješće o proračunskom i financijskom upravljanju za 2023.,</w:t>
      </w:r>
    </w:p>
    <w:p w14:paraId="416C0F89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–</w:t>
      </w:r>
      <w:r w:rsidRPr="00786181">
        <w:rPr>
          <w:kern w:val="2"/>
          <w14:ligatures w14:val="standardContextual"/>
        </w:rPr>
        <w:tab/>
        <w:t>uzimajući u obzir godišnje izvješće Revizorskog suda o izvršenju proračuna za financijsku godinu 2023., s odgovorima institucija</w:t>
      </w:r>
      <w:r w:rsidRPr="00786181">
        <w:rPr>
          <w:kern w:val="2"/>
          <w:vertAlign w:val="superscript"/>
          <w14:ligatures w14:val="standardContextual"/>
        </w:rPr>
        <w:footnoteReference w:id="3"/>
      </w:r>
      <w:r w:rsidRPr="00786181">
        <w:rPr>
          <w:kern w:val="2"/>
          <w14:ligatures w14:val="standardContextual"/>
        </w:rPr>
        <w:t>,</w:t>
      </w:r>
    </w:p>
    <w:p w14:paraId="699CC373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–</w:t>
      </w:r>
      <w:r w:rsidRPr="00786181">
        <w:rPr>
          <w:kern w:val="2"/>
          <w14:ligatures w14:val="standardContextual"/>
        </w:rPr>
        <w:tab/>
        <w:t>uzimajući u obzir izjavu o jamstvu</w:t>
      </w:r>
      <w:r w:rsidRPr="00786181">
        <w:rPr>
          <w:kern w:val="2"/>
          <w:vertAlign w:val="superscript"/>
          <w14:ligatures w14:val="standardContextual"/>
        </w:rPr>
        <w:footnoteReference w:id="4"/>
      </w:r>
      <w:r w:rsidRPr="00786181">
        <w:rPr>
          <w:kern w:val="2"/>
          <w14:ligatures w14:val="standardContextual"/>
        </w:rPr>
        <w:t xml:space="preserve"> u pogledu pouzdanosti računovodstvene dokumentacije te zakonitosti i pravilnosti temeljnih transakcija, koju je u skladu s člankom 287. Ugovora o funkcioniranju Europske unije Revizorski sud podnio za financijsku godinu 2023.,</w:t>
      </w:r>
    </w:p>
    <w:p w14:paraId="3E02F3F6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–</w:t>
      </w:r>
      <w:r w:rsidRPr="00786181">
        <w:rPr>
          <w:kern w:val="2"/>
          <w14:ligatures w14:val="standardContextual"/>
        </w:rPr>
        <w:tab/>
        <w:t>uzimajući u obzir članak 314. stavak 10. te članke 317., 318. i 319. Ugovora o funkcioniranju Europske unije,</w:t>
      </w:r>
    </w:p>
    <w:p w14:paraId="1255EE66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–</w:t>
      </w:r>
      <w:r w:rsidRPr="00786181">
        <w:rPr>
          <w:kern w:val="2"/>
          <w14:ligatures w14:val="standardContextual"/>
        </w:rPr>
        <w:tab/>
        <w:t xml:space="preserve">uzimajući u obzir Uredbu (EU, Euratom) 2018/1046 Europskog parlamenta i Vijeća od 18. srpnja 2018. o financijskim pravilima koja se primjenjuju na opći proračun Unije, o izmjeni uredaba (EU) br. 1296/2013, (EU) br. 1301/2013, (EU) br. 1303/2013, (EU) br. 1304/2013, (EU) br. 1309/2013, (EU) br. 1316/2013, (EU) br. 223/2014, (EU) br. </w:t>
      </w:r>
      <w:r w:rsidRPr="00786181">
        <w:rPr>
          <w:kern w:val="2"/>
          <w14:ligatures w14:val="standardContextual"/>
        </w:rPr>
        <w:lastRenderedPageBreak/>
        <w:t>283/2014 i Odluke br. 541/2014/EU te o stavljanju izvan snage Uredbe (EU, Euratom) br. 966/2012</w:t>
      </w:r>
      <w:r w:rsidRPr="00786181">
        <w:rPr>
          <w:kern w:val="2"/>
          <w:vertAlign w:val="superscript"/>
          <w14:ligatures w14:val="standardContextual"/>
        </w:rPr>
        <w:footnoteReference w:id="5"/>
      </w:r>
      <w:r w:rsidRPr="00786181">
        <w:rPr>
          <w:kern w:val="2"/>
          <w14:ligatures w14:val="standardContextual"/>
        </w:rPr>
        <w:t>, a posebno njezine članke 59., 118., 260., 261. i 262.,</w:t>
      </w:r>
    </w:p>
    <w:p w14:paraId="05A78438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–</w:t>
      </w:r>
      <w:r w:rsidRPr="00786181">
        <w:rPr>
          <w:kern w:val="2"/>
          <w14:ligatures w14:val="standardContextual"/>
        </w:rPr>
        <w:tab/>
        <w:t>uzimajući u obzir Uredbu (EU, Euratom) 2024/2509 Europskog parlamenta i Vijeća od 23. rujna 2024. o financijskim pravilima koja se primjenjuju na opći proračun Unije</w:t>
      </w:r>
      <w:r w:rsidRPr="00786181">
        <w:rPr>
          <w:kern w:val="2"/>
          <w:vertAlign w:val="superscript"/>
          <w14:ligatures w14:val="standardContextual"/>
        </w:rPr>
        <w:footnoteReference w:id="6"/>
      </w:r>
      <w:r w:rsidRPr="00786181">
        <w:rPr>
          <w:kern w:val="2"/>
          <w14:ligatures w14:val="standardContextual"/>
        </w:rPr>
        <w:t>, a posebno njezine članke 59., 118., 266., 267. i 268.,</w:t>
      </w:r>
    </w:p>
    <w:p w14:paraId="0687FE90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–</w:t>
      </w:r>
      <w:r w:rsidRPr="00786181">
        <w:rPr>
          <w:kern w:val="2"/>
          <w14:ligatures w14:val="standardContextual"/>
        </w:rPr>
        <w:tab/>
        <w:t>uzimajući u obzir članak 102. Poslovnika i Prilog V. Poslovniku,</w:t>
      </w:r>
    </w:p>
    <w:p w14:paraId="2A3D7FDA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–</w:t>
      </w:r>
      <w:r w:rsidRPr="00786181">
        <w:rPr>
          <w:kern w:val="2"/>
          <w14:ligatures w14:val="standardContextual"/>
        </w:rPr>
        <w:tab/>
        <w:t>uzimajući u obzir mišljenje Odbora za pravna pitanja,</w:t>
      </w:r>
    </w:p>
    <w:p w14:paraId="145EA81D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–</w:t>
      </w:r>
      <w:r w:rsidRPr="00786181">
        <w:rPr>
          <w:kern w:val="2"/>
          <w14:ligatures w14:val="standardContextual"/>
        </w:rPr>
        <w:tab/>
        <w:t>uzimajući u obzir izvješće Odbora za proračunski nadzor (A10</w:t>
      </w:r>
      <w:r w:rsidRPr="00786181">
        <w:rPr>
          <w:kern w:val="2"/>
          <w14:ligatures w14:val="standardContextual"/>
        </w:rPr>
        <w:noBreakHyphen/>
        <w:t>0050/2025),</w:t>
      </w:r>
    </w:p>
    <w:p w14:paraId="0E6412D1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1.</w:t>
      </w:r>
      <w:r w:rsidRPr="00786181">
        <w:rPr>
          <w:kern w:val="2"/>
          <w14:ligatures w14:val="standardContextual"/>
        </w:rPr>
        <w:tab/>
        <w:t>daje razrješnicu tajniku Suda Europske unije za izvršenje proračuna Suda Europske unije za financijsku godinu 2023;</w:t>
      </w:r>
    </w:p>
    <w:p w14:paraId="30328AD5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2.</w:t>
      </w:r>
      <w:r w:rsidRPr="00786181">
        <w:rPr>
          <w:kern w:val="2"/>
          <w14:ligatures w14:val="standardContextual"/>
        </w:rPr>
        <w:tab/>
        <w:t>iznosi svoje primjedbe u Rezoluciji u nastavku;</w:t>
      </w:r>
    </w:p>
    <w:p w14:paraId="1E04DBFB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3.</w:t>
      </w:r>
      <w:r w:rsidRPr="00786181">
        <w:rPr>
          <w:kern w:val="2"/>
          <w14:ligatures w14:val="standardContextual"/>
        </w:rPr>
        <w:tab/>
        <w:t xml:space="preserve">nalaže svojoj predsjednici da ovu Odluku i Rezoluciju, koja je njezin sastavni dio, proslijedi Sudu Europske unije, Vijeću, Komisiji, Europskom </w:t>
      </w:r>
      <w:proofErr w:type="spellStart"/>
      <w:r w:rsidRPr="00786181">
        <w:rPr>
          <w:kern w:val="2"/>
          <w14:ligatures w14:val="standardContextual"/>
        </w:rPr>
        <w:t>ombudsmanu</w:t>
      </w:r>
      <w:proofErr w:type="spellEnd"/>
      <w:r w:rsidRPr="00786181">
        <w:rPr>
          <w:kern w:val="2"/>
          <w14:ligatures w14:val="standardContextual"/>
        </w:rPr>
        <w:t xml:space="preserve">, Europskom nadzorniku za zaštitu podataka i Revizorskom sudu te da ih da na objavu u </w:t>
      </w:r>
      <w:r w:rsidRPr="00786181">
        <w:rPr>
          <w:i/>
          <w:kern w:val="2"/>
          <w14:ligatures w14:val="standardContextual"/>
        </w:rPr>
        <w:t>Službenom listu Europske unije</w:t>
      </w:r>
      <w:r w:rsidRPr="00786181">
        <w:rPr>
          <w:kern w:val="2"/>
          <w14:ligatures w14:val="standardContextual"/>
        </w:rPr>
        <w:t xml:space="preserve"> (serija L).</w:t>
      </w:r>
    </w:p>
    <w:p w14:paraId="3B77F46A" w14:textId="77777777" w:rsidR="00786181" w:rsidRPr="00786181" w:rsidRDefault="00786181" w:rsidP="00786181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786181" w:rsidRPr="00786181" w:rsidSect="00786181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3E8643F" w14:textId="77777777" w:rsidR="00786181" w:rsidRPr="00786181" w:rsidRDefault="00786181" w:rsidP="00786181">
      <w:pPr>
        <w:pStyle w:val="ATHeading3"/>
      </w:pPr>
      <w:r w:rsidRPr="00786181">
        <w:lastRenderedPageBreak/>
        <w:t>2. Rezolucija Europskog parlamenta od 7. svibnja 2025. s primjedbama koje su sastavni dio Odluke o razrješnici za izvršenje općeg proračuna Europske unije za financijsku godinu 2023., dio IV. – Sud Europske unije (2024/2022(DEC))</w:t>
      </w:r>
    </w:p>
    <w:p w14:paraId="055A8148" w14:textId="163A587D" w:rsidR="00786181" w:rsidRPr="00786181" w:rsidRDefault="00786181" w:rsidP="00786181">
      <w:pPr>
        <w:spacing w:before="480" w:after="240"/>
        <w:rPr>
          <w:iCs/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E</w:t>
      </w:r>
      <w:r w:rsidRPr="00786181">
        <w:rPr>
          <w:i/>
          <w:kern w:val="2"/>
          <w14:ligatures w14:val="standardContextual"/>
        </w:rPr>
        <w:t>uropski parlament</w:t>
      </w:r>
      <w:r w:rsidRPr="00786181">
        <w:rPr>
          <w:iCs/>
          <w:kern w:val="2"/>
          <w14:ligatures w14:val="standardContextual"/>
        </w:rPr>
        <w:t>,</w:t>
      </w:r>
    </w:p>
    <w:p w14:paraId="7C1E6A10" w14:textId="7A8731B8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9014A">
        <w:t>–</w:t>
      </w:r>
      <w:r w:rsidRPr="00786181">
        <w:rPr>
          <w:kern w:val="2"/>
          <w14:ligatures w14:val="standardContextual"/>
        </w:rPr>
        <w:tab/>
        <w:t>uzimajući u obzir svoju Odluku o razrješnici za izvršenje općeg proračuna Europske unije za financijsku godinu 2023., dio IV. – Sud Europske unije,</w:t>
      </w:r>
    </w:p>
    <w:p w14:paraId="35D7EFE2" w14:textId="2F8B47B2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9014A">
        <w:t>–</w:t>
      </w:r>
      <w:r w:rsidRPr="00786181">
        <w:rPr>
          <w:kern w:val="2"/>
          <w14:ligatures w14:val="standardContextual"/>
        </w:rPr>
        <w:tab/>
        <w:t>uzimajući u obzir članak 102. Poslovnika i Prilog V. Poslovniku,</w:t>
      </w:r>
    </w:p>
    <w:p w14:paraId="381A858C" w14:textId="0D4A483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9014A">
        <w:t>–</w:t>
      </w:r>
      <w:r w:rsidRPr="00786181">
        <w:rPr>
          <w:kern w:val="2"/>
          <w14:ligatures w14:val="standardContextual"/>
        </w:rPr>
        <w:tab/>
        <w:t>uzimajući u obzir mišljenje Odbora za pravna pitanja,</w:t>
      </w:r>
    </w:p>
    <w:p w14:paraId="6C821A88" w14:textId="75C12392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9014A">
        <w:t>–</w:t>
      </w:r>
      <w:r w:rsidRPr="00786181">
        <w:rPr>
          <w:kern w:val="2"/>
          <w14:ligatures w14:val="standardContextual"/>
        </w:rPr>
        <w:tab/>
        <w:t>uzimajući u obzir izvješće Odbora za proračunski nadzor (A10-0050/2025),</w:t>
      </w:r>
    </w:p>
    <w:p w14:paraId="5640C8F8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A.</w:t>
      </w:r>
      <w:r w:rsidRPr="00786181">
        <w:rPr>
          <w:kern w:val="2"/>
          <w14:ligatures w14:val="standardContextual"/>
        </w:rPr>
        <w:tab/>
        <w:t>budući da u okviru postupka davanja razrješnice tijelo nadležno za davanje razrješnice želi istaknuti da je posebno važno nastaviti jačati demokratski legitimitet institucija Unije s pomoću veće transparentnosti i odgovornosti te provedbom koncepta izrade proračuna utemeljenog na uspješnosti i dobrom upravljanju ljudskim resursima;</w:t>
      </w:r>
    </w:p>
    <w:p w14:paraId="0E6AABC9" w14:textId="77777777" w:rsidR="00786181" w:rsidRPr="00786181" w:rsidRDefault="00786181" w:rsidP="00786181">
      <w:pPr>
        <w:spacing w:after="240"/>
        <w:ind w:left="567" w:hanging="567"/>
        <w:rPr>
          <w:kern w:val="2"/>
          <w:u w:val="single"/>
          <w14:ligatures w14:val="standardContextual"/>
        </w:rPr>
      </w:pPr>
      <w:r w:rsidRPr="00786181">
        <w:rPr>
          <w:kern w:val="2"/>
          <w14:ligatures w14:val="standardContextual"/>
        </w:rPr>
        <w:t>B.</w:t>
      </w:r>
      <w:r w:rsidRPr="00786181">
        <w:rPr>
          <w:kern w:val="2"/>
          <w14:ligatures w14:val="standardContextual"/>
        </w:rPr>
        <w:tab/>
        <w:t>budući da je Sud Europske unije (Sud EU-a) pravosudna institucija Unije čija je zadaća osigurati poštovanje prava Unije i to nadziranjem ujednačenog tumačenja i primjene Ugovorâ te jamčenjem zakonitosti mjera koje donose institucije, tijela, uredi i agencije Unije;</w:t>
      </w:r>
    </w:p>
    <w:p w14:paraId="2D4D01C2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C.</w:t>
      </w:r>
      <w:r w:rsidRPr="00786181">
        <w:rPr>
          <w:kern w:val="2"/>
          <w14:ligatures w14:val="standardContextual"/>
        </w:rPr>
        <w:tab/>
        <w:t>budući da Sud EU-a pomaže u očuvanju vrijednosti Unije i svojom sudskom praksom radi na izgradnji Europe;</w:t>
      </w:r>
    </w:p>
    <w:p w14:paraId="7E492ABE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D.</w:t>
      </w:r>
      <w:r w:rsidRPr="00786181">
        <w:rPr>
          <w:kern w:val="2"/>
          <w14:ligatures w14:val="standardContextual"/>
        </w:rPr>
        <w:tab/>
        <w:t>budući da se Sud EU-a sastoji od dva suda: Suda i Općeg suda;</w:t>
      </w:r>
    </w:p>
    <w:p w14:paraId="57F9AEDD" w14:textId="0D7E7DB8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E.</w:t>
      </w:r>
      <w:r w:rsidRPr="00786181">
        <w:rPr>
          <w:kern w:val="2"/>
          <w14:ligatures w14:val="standardContextual"/>
        </w:rPr>
        <w:tab/>
        <w:t>budući da su Parlament i Vijeće 2024. izmijenili Protokol br. 3 o Statutu Suda Europske unije („Statut”)</w:t>
      </w:r>
      <w:r w:rsidRPr="00786181">
        <w:rPr>
          <w:kern w:val="2"/>
          <w:vertAlign w:val="superscript"/>
          <w14:ligatures w14:val="standardContextual"/>
        </w:rPr>
        <w:footnoteReference w:id="7"/>
      </w:r>
      <w:r w:rsidRPr="00786181">
        <w:rPr>
          <w:kern w:val="2"/>
          <w14:ligatures w14:val="standardContextual"/>
        </w:rPr>
        <w:t xml:space="preserve"> u pogledu prijenosa prethodnih odluka u određenim područjima u nadležnost Općeg suda;</w:t>
      </w:r>
    </w:p>
    <w:p w14:paraId="20B6273C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1.</w:t>
      </w:r>
      <w:r w:rsidRPr="00786181">
        <w:rPr>
          <w:kern w:val="2"/>
          <w14:ligatures w14:val="standardContextual"/>
        </w:rPr>
        <w:tab/>
        <w:t>konstatira da je proračun Suda EU-a obuhvaćen naslovom 7. VFO-a „Europska javna uprava”, koji je 2023. iznosio 12,3 milijardi EUR (što čini 6,4 % ukupnog proračuna Unije); konstatira da proračun Suda EU-a od oko 0,5 milijardi EUR predstavlja oko 3,9 % ukupnih administrativnih rashoda Unije;</w:t>
      </w:r>
    </w:p>
    <w:p w14:paraId="070BDF33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2.</w:t>
      </w:r>
      <w:r w:rsidRPr="00786181">
        <w:rPr>
          <w:kern w:val="2"/>
          <w14:ligatures w14:val="standardContextual"/>
        </w:rPr>
        <w:tab/>
        <w:t xml:space="preserve">konstatira da je Revizorski sud u godišnjem izvješću za financijsku godinu 2023. („izvješće Revizorskog suda”) ispitao uzorak od 70 transakcija pod naslovom „Uprava”, deset više nego što ih je ispitao za 2022.; Revizorski sud također navodi da administrativni rashodi obuhvaćaju rashode za ljudske resurse, uključujući rashode za mirovine, koji su 2023. činili oko 70 % ukupnih administrativnih rashoda, te rashode za zgrade, opremu, energiju, komunikacije i informacijsku tehnologiju te da njegov dugogodišnji rad upućuje na to da su ti rashodi općenito </w:t>
      </w:r>
      <w:proofErr w:type="spellStart"/>
      <w:r w:rsidRPr="00786181">
        <w:rPr>
          <w:kern w:val="2"/>
          <w14:ligatures w14:val="standardContextual"/>
        </w:rPr>
        <w:t>niskorizični</w:t>
      </w:r>
      <w:proofErr w:type="spellEnd"/>
      <w:r w:rsidRPr="00786181">
        <w:rPr>
          <w:kern w:val="2"/>
          <w14:ligatures w14:val="standardContextual"/>
        </w:rPr>
        <w:t>;</w:t>
      </w:r>
    </w:p>
    <w:p w14:paraId="6D7E560E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lastRenderedPageBreak/>
        <w:t>3.</w:t>
      </w:r>
      <w:r w:rsidRPr="00786181">
        <w:rPr>
          <w:kern w:val="2"/>
          <w14:ligatures w14:val="standardContextual"/>
        </w:rPr>
        <w:tab/>
        <w:t>konstatira da je 21 (30 %) od 70 transakcija sadržavalo pogreške, ali da Revizorski sud, na temelju pet kvantificiranih pogrešaka, procjenjuje da je stopa pogreške ispod praga značajnosti;</w:t>
      </w:r>
    </w:p>
    <w:p w14:paraId="22B84F93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4.</w:t>
      </w:r>
      <w:r w:rsidRPr="00786181">
        <w:rPr>
          <w:kern w:val="2"/>
          <w14:ligatures w14:val="standardContextual"/>
        </w:rPr>
        <w:tab/>
        <w:t>napominje da u izvješću Revizorskog suda nisu utvrđeni posebni problemi koji se odnose na Sud EU-a;</w:t>
      </w:r>
    </w:p>
    <w:p w14:paraId="13D170E1" w14:textId="77777777" w:rsidR="00786181" w:rsidRPr="00786181" w:rsidRDefault="00786181" w:rsidP="00786181">
      <w:pPr>
        <w:spacing w:after="240"/>
        <w:ind w:left="567" w:hanging="567"/>
        <w:rPr>
          <w:b/>
          <w:iCs/>
          <w:kern w:val="2"/>
          <w14:ligatures w14:val="standardContextual"/>
        </w:rPr>
      </w:pPr>
      <w:r w:rsidRPr="00786181">
        <w:rPr>
          <w:b/>
          <w:iCs/>
          <w:kern w:val="2"/>
          <w14:ligatures w14:val="standardContextual"/>
        </w:rPr>
        <w:t>Proračunsko i financijsko upravljanje</w:t>
      </w:r>
    </w:p>
    <w:p w14:paraId="64E41D3C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5.</w:t>
      </w:r>
      <w:r w:rsidRPr="00786181">
        <w:rPr>
          <w:kern w:val="2"/>
          <w14:ligatures w14:val="standardContextual"/>
        </w:rPr>
        <w:tab/>
        <w:t>napominje da je proračun dodijeljen Sudu EU-a 2023. iznosio 486 025 796 EUR, što je povećanje od 3,9 % u odnosu na 2022.; napominje da je to povećanje uglavnom bilo povezano s prilagodbama plaća predviđenima za 2023.; naglašava da je proračun Suda EU-a u osnovi administrativne prirode i da se oko 75 % odobrenih sredstava odnosi na rashode njegovih članova i njegova osoblja, a gotovo sva ostala sredstva odnose se na rashode za zgrade i informacijsku tehnologiju;</w:t>
      </w:r>
    </w:p>
    <w:p w14:paraId="1E427B2A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6.</w:t>
      </w:r>
      <w:r w:rsidRPr="00786181">
        <w:rPr>
          <w:kern w:val="2"/>
          <w14:ligatures w14:val="standardContextual"/>
        </w:rPr>
        <w:tab/>
        <w:t>napominje da je do kraja 2023. ukupna stopa izvršenja bila 97,72 %; napominje da je proračunskom tijelu podneseno pet prijenosa u skladu s člankom 29. Financijske uredbe kako bi se ojačale proračunske linije „Potrošnja energije”, „Kupnja, rad, servisiranje i održavanje opreme i softvera” te „zgrade” iz drugih proračunskih linija, uglavnom proračunske linije za osoblje „Primici od rada i naknade”; napominje da je ruska ratna agresija na Ukrajinu nastavila stvarati proračunski pritisak za Sud EU-a, među ostalim povećanjem inflacije i prilagodbama plaća, znatnim povećanjem troškova energije i troškova za niz roba i usluga;</w:t>
      </w:r>
    </w:p>
    <w:p w14:paraId="777BB11A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7.</w:t>
      </w:r>
      <w:r w:rsidRPr="00786181">
        <w:rPr>
          <w:kern w:val="2"/>
          <w14:ligatures w14:val="standardContextual"/>
        </w:rPr>
        <w:tab/>
        <w:t>sa zadovoljstvom konstatira da je dužnosnik za ovjeravanje na osnovi delegiranja ustvrdio da su dodijeljena sredstva iskorištena u svrhu za koju su namijenjena i u skladu s načelima dobrog financijskog upravljanja te da uspostavljeni postupci kontrole pružaju potrebna jamstva u pogledu zakonitosti i pravilnosti temeljnih transakcija;</w:t>
      </w:r>
    </w:p>
    <w:p w14:paraId="5F463126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8.</w:t>
      </w:r>
      <w:r w:rsidRPr="00786181">
        <w:rPr>
          <w:kern w:val="2"/>
          <w14:ligatures w14:val="standardContextual"/>
        </w:rPr>
        <w:tab/>
        <w:t>napominje da je prosječno vrijeme plaćanja 2023. iznosilo 23,1 dan, u usporedbi s 24,32 dana 2022.; poziva Sud EU-a da nastavi ulagati napore kako bi se skratilo vrijeme potrebno za plaćanje, posebno s obzirom na to da je 81 % računa 2023. zaprimljeno elektroničkim putem;</w:t>
      </w:r>
    </w:p>
    <w:p w14:paraId="22D85EA4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9.</w:t>
      </w:r>
      <w:r w:rsidRPr="00786181">
        <w:rPr>
          <w:kern w:val="2"/>
          <w14:ligatures w14:val="standardContextual"/>
        </w:rPr>
        <w:tab/>
        <w:t>napominje da se proračun za službena putovanja Suda EU-a u 2023. dodatno smanjio za 3,3 % u odnosu na 2022. te je 2023. iznosio 638 000 EUR za osoblje i članove; napominje da je iskorišteno 85,1 % odobrenih sredstava za službena putovanja 2023. u usporedbi s 2022. kada je, zbog stalnih ograničenja putovanja koja su se primjenjivala u to vrijeme, iskorišteno 46,6 %;</w:t>
      </w:r>
    </w:p>
    <w:p w14:paraId="61B37944" w14:textId="77777777" w:rsidR="00786181" w:rsidRPr="00786181" w:rsidRDefault="00786181" w:rsidP="00786181">
      <w:pPr>
        <w:spacing w:after="240"/>
        <w:ind w:left="567" w:hanging="567"/>
        <w:rPr>
          <w:b/>
          <w:iCs/>
          <w:kern w:val="2"/>
          <w14:ligatures w14:val="standardContextual"/>
        </w:rPr>
      </w:pPr>
      <w:r w:rsidRPr="00786181">
        <w:rPr>
          <w:b/>
          <w:iCs/>
          <w:kern w:val="2"/>
          <w14:ligatures w14:val="standardContextual"/>
        </w:rPr>
        <w:t>Unutarnje upravljanje, uspješnost i unutarnja kontrola</w:t>
      </w:r>
    </w:p>
    <w:p w14:paraId="3D400EAE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10.</w:t>
      </w:r>
      <w:r w:rsidRPr="00786181">
        <w:rPr>
          <w:kern w:val="2"/>
          <w14:ligatures w14:val="standardContextual"/>
        </w:rPr>
        <w:tab/>
        <w:t>prima na znanje važne korake koje je Sud EU-a poduzeo 2023. prema svojoj pravosudnoj reformi, što je dovelo do djelomičnog prijenosa nadležnosti za odlučivanje o prethodnim pitanjima sa Suda na Opći sud; napominje da je krajem 2023. postignut politički dogovor s Parlamentom i Vijećem radi izmjene Statuta Suda Europske unije i radi poboljšanja funkcioniranja Suda EU-a u okolnostima stalnog povećanja broja predmeta te složenosti i osjetljive prirode postavljenih pitanja; napominje da su nakon donošenja reforme 2024. donesena detaljna pravila i postupci kako bi se dovršila reforma i omogućila provedba novog regulatornog okvira od 1. listopada 2024.;</w:t>
      </w:r>
    </w:p>
    <w:p w14:paraId="5D7FEF0B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lastRenderedPageBreak/>
        <w:t>11.</w:t>
      </w:r>
      <w:r w:rsidRPr="00786181">
        <w:rPr>
          <w:kern w:val="2"/>
          <w14:ligatures w14:val="standardContextual"/>
        </w:rPr>
        <w:tab/>
        <w:t>napominje da je Sud 2023. donio presudu u pet predmeta o načelu nadređenosti, odnosno u četirima prethodnim postupcima koje su pokrenuli sudovi iz Njemačke, Irske, Poljske i Rumunjske, kao i u jednom postupku zbog povrede koji se odnosi na Poljsku; naglašava temeljnu važnost načela nadređenosti prava Unije, kojim se osigurava ujednačeno tumačenje i primjena prava Unije u svim državama članicama i štiti vladavina prava kao temeljna vrijednost Unije; odlučno ponovno potvrđuje da je nadređenost prava Unije temelj pravnog poretka Unije i ističe ključnu ulogu Suda EU-a u očuvanju vladavine prava diljem Unije; nadalje napominje da je Opći sud donio odluku u šest predmeta o mjerama za zaštitu proračuna Unije koje su donesene zbog povreda načela vladavine prava od strane mađarske vlade, koja sustavno ugrožava temeljne vrijednosti Unije; potiče Komisiju da poduzme odlučne provedbene mjere protiv svake države članice koja osporava ili ne poštuje obvezujuću prirodu presuda Suda EU-a; ističe da u slučajevima koji se odnose na istrage u vezi s proračunom Unije sva nadležna tijela moraju u potpunosti poštovati načela pravičnog postupka i temeljna prava;</w:t>
      </w:r>
    </w:p>
    <w:p w14:paraId="10025DEE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12.</w:t>
      </w:r>
      <w:r w:rsidRPr="00786181">
        <w:rPr>
          <w:kern w:val="2"/>
          <w14:ligatures w14:val="standardContextual"/>
        </w:rPr>
        <w:tab/>
        <w:t>napominje da se člankom 4. stavkom 2. Ugovora o Europskoj uniji predviđa da „Unija poštuje jednakost država članica pred Ugovorima, kao i njihove nacionalne identitete, koji su neodvojivo povezani s njihovim temeljnim političkim i ustavnim strukturama, uključujući regionalnu i lokalnu samoupravu. Ona poštuje njihove temeljne državne funkcije […]”;</w:t>
      </w:r>
    </w:p>
    <w:p w14:paraId="45DA1A46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13.</w:t>
      </w:r>
      <w:r w:rsidRPr="00786181">
        <w:rPr>
          <w:kern w:val="2"/>
          <w14:ligatures w14:val="standardContextual"/>
        </w:rPr>
        <w:tab/>
        <w:t>osuđuje sve nacionalne mjere ili zakonodavne postupke kojima se nastoji ugroziti kodifikacija i provedba presuda Suda Europske unije; poziva na uspostavu službenog mehanizma praćenja usklađenosti država članica s presudama Suda EU-a i, u okviru uvjetovanosti u pogledu vladavine prava, preporučuje povezivanje spomenute usklađenosti s isplatom sredstava EU-a;</w:t>
      </w:r>
    </w:p>
    <w:p w14:paraId="5B2ECCB7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14.</w:t>
      </w:r>
      <w:r w:rsidRPr="00786181">
        <w:rPr>
          <w:kern w:val="2"/>
          <w14:ligatures w14:val="standardContextual"/>
        </w:rPr>
        <w:tab/>
        <w:t>napominje da je Sudu 2023. podnesen 821 novi predmet, u usporedbi s 806 predmeta 2022., od čega su 63 % bili zahtjevi za prethodnu odluku, a 28,6 % žalbe protiv odluka Općeg suda; napominje da je Opći sud 2023. zabilježio znatno povećanje broja predmeta, s 1 271 novim predmetom, u usporedbi s 904 predmeta 2022., uključujući izniman niz od 404 spojena predmeta podnesena u listopadu 2023.; napominje da se 2023., kad je riječ o Općem sudu, 37 % novih predmeta, uključujući niz od 404 spojena predmeta, odnosilo na tužbe u području institucijskog prava, 24,3 % na tužbe povezane s intelektualnim vlasništvom, a 6 % na sporove između institucija Unije i njihova osoblja; napominje da je ukupan broj neriješenih predmeta i dalje stabilan u usporedbi s prethodnim godinama: uzimajući u obzir prethodno navedena 404 predmeta kao jedan predmet, krajem 2023. bilo je 2 587 neriješenih predmeta, u usporedbi s 2 585 predmeta krajem 2022. i 2541 predmetom krajem 2021.;</w:t>
      </w:r>
    </w:p>
    <w:p w14:paraId="2D7067CA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15.</w:t>
      </w:r>
      <w:r w:rsidRPr="00786181">
        <w:rPr>
          <w:kern w:val="2"/>
          <w14:ligatures w14:val="standardContextual"/>
        </w:rPr>
        <w:tab/>
        <w:t>konstatira da je Sud 2023. zaključio 783 predmeta, u usporedbi s 808 predmeta 2022., te da je Opći sud 2023. zaključio 904 predmeta, u usporedbi s 858 predmeta 2022.;</w:t>
      </w:r>
    </w:p>
    <w:p w14:paraId="4C4A8C05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16.</w:t>
      </w:r>
      <w:r w:rsidRPr="00786181">
        <w:rPr>
          <w:kern w:val="2"/>
          <w14:ligatures w14:val="standardContextual"/>
        </w:rPr>
        <w:tab/>
        <w:t>pozdravlja smanjenje prosječnog trajanja postupaka za predmete zaključene pred Sudom, pri čemu je 2023. ono iznosilo 16,1 mjeseci, dok je 2022. iznosilo 16,4 mjeseca; napominje da je prosječno trajanje predmeta koje je zaključio Opći sud bilo 18,2 mjeseca, u usporedbi sa 16,2 mjeseca 2022., što je Opći sud objasnio prirodom i s time povezanom složenosti postupaka u 2023.;</w:t>
      </w:r>
    </w:p>
    <w:p w14:paraId="62EA7B46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17.</w:t>
      </w:r>
      <w:r w:rsidRPr="00786181">
        <w:rPr>
          <w:kern w:val="2"/>
          <w14:ligatures w14:val="standardContextual"/>
        </w:rPr>
        <w:tab/>
        <w:t xml:space="preserve">prima na znanje smanjenje prosječnog vremena potrebnog za rješavanje izravnih tužbi </w:t>
      </w:r>
      <w:r w:rsidRPr="00786181">
        <w:rPr>
          <w:kern w:val="2"/>
          <w14:ligatures w14:val="standardContextual"/>
        </w:rPr>
        <w:lastRenderedPageBreak/>
        <w:t>pred Sudom (s 23,5 mjeseci 2022. na 20,8 mjeseci 2023.) i zahtjeva za prethodnu odluku (sa 17,3 mjeseca na 16,8 mjeseci); napominje da je, kad je riječ o postupcima pred Sudom, došlo do znatnog povećanja broja izravnih tužbi, posebno u području okoliša, te da su se predmeti upućeni Sudu na prethodnu odluku 2023. uglavnom odnosili na područje slobode, sigurnosti i pravde, kao i na oporezivanje, zaštitu potrošača i promet; napominje da je u pogledu postupaka pred Općim sudom došlo do povećanja broja predmeta u području intelektualnog vlasništva te ekonomske i monetarne politike, uključujući bankarstvo;</w:t>
      </w:r>
    </w:p>
    <w:p w14:paraId="58881601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18.</w:t>
      </w:r>
      <w:r w:rsidRPr="00786181">
        <w:rPr>
          <w:kern w:val="2"/>
          <w14:ligatures w14:val="standardContextual"/>
        </w:rPr>
        <w:tab/>
        <w:t>sa zadovoljstvom primjećuje visoku stopu upotrebe aplikacije e-</w:t>
      </w:r>
      <w:proofErr w:type="spellStart"/>
      <w:r w:rsidRPr="00786181">
        <w:rPr>
          <w:kern w:val="2"/>
          <w14:ligatures w14:val="standardContextual"/>
        </w:rPr>
        <w:t>Curia</w:t>
      </w:r>
      <w:proofErr w:type="spellEnd"/>
      <w:r w:rsidRPr="00786181">
        <w:rPr>
          <w:kern w:val="2"/>
          <w14:ligatures w14:val="standardContextual"/>
        </w:rPr>
        <w:t xml:space="preserve"> tijekom 2023. pri čemu su registrirana 10 502 korisnička računa: aplikacijom e-</w:t>
      </w:r>
      <w:proofErr w:type="spellStart"/>
      <w:r w:rsidRPr="00786181">
        <w:rPr>
          <w:kern w:val="2"/>
          <w14:ligatures w14:val="standardContextual"/>
        </w:rPr>
        <w:t>Curia</w:t>
      </w:r>
      <w:proofErr w:type="spellEnd"/>
      <w:r w:rsidRPr="00786181">
        <w:rPr>
          <w:kern w:val="2"/>
          <w14:ligatures w14:val="standardContextual"/>
        </w:rPr>
        <w:t xml:space="preserve"> Općem sudu podneseno je 94 % podnesaka, što je isto kao i 2022., dok se stopa upotrebe spomenute aplikacije na Sudu povećala na otprilike 89 %, u usporedbi s 87 % 2022.;</w:t>
      </w:r>
    </w:p>
    <w:p w14:paraId="77C0FB94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19.</w:t>
      </w:r>
      <w:r w:rsidRPr="00786181">
        <w:rPr>
          <w:kern w:val="2"/>
          <w14:ligatures w14:val="standardContextual"/>
        </w:rPr>
        <w:tab/>
        <w:t>cijeni napredak postignut u digitalizaciji sudske arhive kako bi se izradom digitalnog portala očuvali dokumenti za budući pristup te olakšala njihova dostupnost istraživačima i javnosti;</w:t>
      </w:r>
    </w:p>
    <w:p w14:paraId="41804717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20.</w:t>
      </w:r>
      <w:r w:rsidRPr="00786181">
        <w:rPr>
          <w:kern w:val="2"/>
          <w14:ligatures w14:val="standardContextual"/>
        </w:rPr>
        <w:tab/>
        <w:t>pozdravlja pristup koji je razvio Sud EU-a, a koji se temelji na uspješnosti i kojim se Sudu EU-a omogućuje da donosi odluke na temelju rezultata i razine ostvarenja svojih ciljeva, što se mjeri skupom pokazatelja radnog opterećenja i operativnih pokazatelja; napominje da ključni pokazatelji uspješnosti koje upotrebljava Sud EU-a obuhvaćaju širok raspon posebnih područja kojima se podupire pet ciljeva upravljanja koji se odnose na pravilno funkcioniranje Suda EU-a, digitalizaciju i tehnologije u nastajanju, otvorenost i transparentnost, višejezičnost i upravljanje ljudskim resursima;</w:t>
      </w:r>
    </w:p>
    <w:p w14:paraId="71340D9A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21.</w:t>
      </w:r>
      <w:r w:rsidRPr="00786181">
        <w:rPr>
          <w:kern w:val="2"/>
          <w14:ligatures w14:val="standardContextual"/>
        </w:rPr>
        <w:tab/>
        <w:t>napominje da je okvir unutarnje kontrole Suda EU-a bio predmet detaljne evaluacije u razdoblju od 2022. do 2023., kojom je potvrđena njegova solidnost; napominje da su u okviru te evaluacije prilagođeni krugovi financijske kontrole kako bi kontrole bile učinkovitije;</w:t>
      </w:r>
    </w:p>
    <w:p w14:paraId="74FABB63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22.</w:t>
      </w:r>
      <w:r w:rsidRPr="00786181">
        <w:rPr>
          <w:kern w:val="2"/>
          <w14:ligatures w14:val="standardContextual"/>
        </w:rPr>
        <w:tab/>
        <w:t xml:space="preserve">napominje da su se glavne unutarnje revizije provedene 2023. odnosile na rashode Suda EU-a za čišćenje zgrada, učinkovitost sustava unutarnje kontrole za zaštitu informatičke imovine Suda EU-a i postupke odabira osoblja; napominje da je unutarnjom revizijom provedena i studija o upotrebi umjetne inteligencije u području pravosuđa </w:t>
      </w:r>
      <w:bookmarkStart w:id="8" w:name="_bookmark0"/>
      <w:bookmarkEnd w:id="8"/>
      <w:r w:rsidRPr="00786181">
        <w:rPr>
          <w:kern w:val="2"/>
          <w14:ligatures w14:val="standardContextual"/>
        </w:rPr>
        <w:t>u vezi s provedbom „strategije za integraciju alata koji se temelje na umjetnoj inteligenciji u rad Suda EU-a”; napominje da su u mnogim slučajevima službe Suda EU-a poduzele mjere za provedbu preporuka unutarnje revizije prije službenog dovršetka unutarnjih revizija te da je unutarnji revizor te mjere smatrao zadovoljavajućima;</w:t>
      </w:r>
    </w:p>
    <w:p w14:paraId="51F3BB47" w14:textId="77777777" w:rsidR="00786181" w:rsidRPr="00786181" w:rsidRDefault="00786181" w:rsidP="00786181">
      <w:pPr>
        <w:spacing w:after="240"/>
        <w:ind w:left="567" w:hanging="567"/>
        <w:rPr>
          <w:b/>
          <w:iCs/>
          <w:kern w:val="2"/>
          <w14:ligatures w14:val="standardContextual"/>
        </w:rPr>
      </w:pPr>
      <w:r w:rsidRPr="00786181">
        <w:rPr>
          <w:b/>
          <w:iCs/>
          <w:kern w:val="2"/>
          <w14:ligatures w14:val="standardContextual"/>
        </w:rPr>
        <w:t>Ljudski resursi, jednakost i dobrobit osoblja</w:t>
      </w:r>
    </w:p>
    <w:p w14:paraId="0E646571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23.</w:t>
      </w:r>
      <w:r w:rsidRPr="00786181">
        <w:rPr>
          <w:kern w:val="2"/>
          <w14:ligatures w14:val="standardContextual"/>
        </w:rPr>
        <w:tab/>
        <w:t>napominje da je na kraju 2023. Sud EU-a zapošljavao 1 340 dužnosnika (58 %), 765 privremenih djelatnika (33 %) u skladu s člankom 2. točkama (a), (b) i (c) Uvjeta zaposlenja ostalih službenika EU-a i 198 ugovornih djelatnika (9 %); prima na znanje da je krajem 2023. stopa popunjenosti u planu radnih mjesta iznosila 97,11 %; nadalje napominje da je godišnja fluktuacija osoblja 2023. iznosila 7,8 %, što je posebno posljedica toga što je 20 % osoblja koje je napustilo Sud EU-a otišlo u mirovinu;</w:t>
      </w:r>
    </w:p>
    <w:p w14:paraId="3C9460F0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24.</w:t>
      </w:r>
      <w:r w:rsidRPr="00786181">
        <w:rPr>
          <w:kern w:val="2"/>
          <w14:ligatures w14:val="standardContextual"/>
        </w:rPr>
        <w:tab/>
        <w:t xml:space="preserve">konstatira da Sud čini 27 sudaca i 11 nezavisnih odvjetnika te da 2023. na dužnost nije stupio nijedan novi sudac ni nezavisni odvjetnik; nadalje, konstatira da Opći sud čine 54 </w:t>
      </w:r>
      <w:r w:rsidRPr="00786181">
        <w:rPr>
          <w:kern w:val="2"/>
          <w14:ligatures w14:val="standardContextual"/>
        </w:rPr>
        <w:lastRenderedPageBreak/>
        <w:t>suca i da je 2023. na dužnost stupilo dvoje novih sudaca, jedna žena i jedan muškarac; nadalje konstatira da je 2023. izabran novi tajnik Općeg suda;</w:t>
      </w:r>
    </w:p>
    <w:p w14:paraId="2357BC91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25.</w:t>
      </w:r>
      <w:r w:rsidRPr="00786181">
        <w:rPr>
          <w:kern w:val="2"/>
          <w14:ligatures w14:val="standardContextual"/>
        </w:rPr>
        <w:tab/>
        <w:t>pozdravlja detaljne odgovore Suda EU-a na upitnik Odbora Parlamenta za proračunski nadzor, dostavljene u okviru aktualnog postupka davanja razrješnice, posebno u pogledu raspodjele osoblja krajem 2023.;</w:t>
      </w:r>
      <w:r w:rsidRPr="00786181">
        <w:rPr>
          <w:b/>
          <w:i/>
          <w:kern w:val="2"/>
          <w14:ligatures w14:val="standardContextual"/>
        </w:rPr>
        <w:t xml:space="preserve"> </w:t>
      </w:r>
      <w:r w:rsidRPr="00786181">
        <w:rPr>
          <w:kern w:val="2"/>
          <w14:ligatures w14:val="standardContextual"/>
        </w:rPr>
        <w:t>napominje da je rodni sastav Suda i Općeg suda i dalje vrlo neuravnotežen; izražava zadovoljstvo zbog pisma predsjednika Općeg suda predsjedniku Konferencije predstavnika država članica iz 2024., u kojem se države članice pozivaju da pri imenovanju kandidata za zamjenu sudaca i nezavisnih odvjetnika uzmu u obzir potrebu za rodnom ravnotežom; poziva države članice da pri imenovanju kandidata u okviru zamjene sudaca vode računa o potrebi za rodnom ravnotežom;</w:t>
      </w:r>
    </w:p>
    <w:p w14:paraId="77E9D74C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26.</w:t>
      </w:r>
      <w:r w:rsidRPr="00786181">
        <w:rPr>
          <w:kern w:val="2"/>
          <w14:ligatures w14:val="standardContextual"/>
        </w:rPr>
        <w:tab/>
        <w:t>prima na znanje da su od 2 303 dužnosnika i djelatnika koji su radili krajem 2023. godine 61 % žene; pozdravlja činjenicu da je udio žena na administrativnim položajima 55 %, a posebno činjenicu da se na rukovodećim radnim mjestima udio povećao na 43 %, u usporedbi s 40 % 2022. i 2021., što potvrđuje uzlazni trend zabilježen od 2018. (41 % 2020., 39 % 2019. i 37,5 % 2018.); međutim, napominje da je zastupljenost žena bila najviša u platnim razredima asistenata, dok je na višim rukovodećim položajima bila najniža; poziva Sud EU-a da osigura veću zastupljenost žena na višim rukovodećim položajima i poduzme daljnje mjere za promicanje rodne ravnoteže na svim razinama;</w:t>
      </w:r>
      <w:r w:rsidRPr="00786181">
        <w:rPr>
          <w:color w:val="FF0000"/>
          <w:kern w:val="2"/>
          <w14:ligatures w14:val="standardContextual"/>
        </w:rPr>
        <w:t xml:space="preserve"> </w:t>
      </w:r>
      <w:r w:rsidRPr="00786181">
        <w:rPr>
          <w:kern w:val="2"/>
          <w14:ligatures w14:val="standardContextual"/>
        </w:rPr>
        <w:t>pozdravlja napore koje je Sud EU-a uložio u promicanje ravnopravnosti, uključenosti i raznolikosti, posebno u fazi zapošljavanja;</w:t>
      </w:r>
    </w:p>
    <w:p w14:paraId="60F56988" w14:textId="77777777" w:rsidR="00786181" w:rsidRPr="00786181" w:rsidRDefault="00786181" w:rsidP="00786181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27.</w:t>
      </w:r>
      <w:r w:rsidRPr="00786181">
        <w:rPr>
          <w:kern w:val="2"/>
          <w14:ligatures w14:val="standardContextual"/>
        </w:rPr>
        <w:tab/>
        <w:t>poziva Sud EU-a da objavi godišnje izvješće o rodu i raznolikosti u cilju transparentnosti rodne zastupljenosti na svim razinama institucije, uključujući suce, nezavisne odvjetnike i administrativno osoblje, te kako bi se predvidjele konkretne mjere za poboljšanje rodnog pariteta na višim položajima;</w:t>
      </w:r>
    </w:p>
    <w:p w14:paraId="41DE680A" w14:textId="77777777" w:rsidR="00786181" w:rsidRPr="00786181" w:rsidRDefault="00786181" w:rsidP="00786181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28.</w:t>
      </w:r>
      <w:r w:rsidRPr="00786181">
        <w:rPr>
          <w:kern w:val="2"/>
          <w14:ligatures w14:val="standardContextual"/>
        </w:rPr>
        <w:tab/>
        <w:t>pozdravlja činjenicu da su među osobljem Suda EU-a zastupljene sva državljanstva Unije, ali napominje da su određena državljanstva zastupljenija od drugih; pozdravlja stalne napore Suda EU-a 2023. u promicanju bolje geografske ravnoteže među svojim osobljem, posebno poticanjem vidljivosti i privlačnosti slobodnih radnih mjesta, stvaranjem i ponudom povoljnijih uvjeta zapošljavanja kako bi se privuklo privremeno osoblje iz određenih manje zastupljenih država članica i informiranjem raznolike publike o mogućnostima zapošljavanja na Sudu EU-a u 2023.; napominje da su u okviru programa stažiranja Suda EU-a uloženi znatni napori kako bi se privukli mnogi talentirani mladi iz različitih država članica; poziva Sud EU-a da ispita jesu li razmjerno zastupljeni stažisti iz svih država članica;</w:t>
      </w:r>
    </w:p>
    <w:p w14:paraId="0C4A151D" w14:textId="77777777" w:rsidR="00786181" w:rsidRPr="00786181" w:rsidRDefault="00786181" w:rsidP="00786181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29.</w:t>
      </w:r>
      <w:r w:rsidRPr="00786181">
        <w:rPr>
          <w:kern w:val="2"/>
          <w14:ligatures w14:val="standardContextual"/>
        </w:rPr>
        <w:tab/>
        <w:t>potiče Sud EU-a da promiče višejezično radno okruženje te prepoznaje njegov potencijal za poboljšanje pravedne raspodjele nacionalnosti među svojim osobljem; poziva sve institucije EU-a da poštuju i osiguraju načelo višejezičnosti;</w:t>
      </w:r>
    </w:p>
    <w:p w14:paraId="1118A5F9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30.</w:t>
      </w:r>
      <w:r w:rsidRPr="00786181">
        <w:rPr>
          <w:kern w:val="2"/>
          <w14:ligatures w14:val="standardContextual"/>
        </w:rPr>
        <w:tab/>
        <w:t xml:space="preserve">pozdravlja napore </w:t>
      </w:r>
      <w:proofErr w:type="spellStart"/>
      <w:r w:rsidRPr="00786181">
        <w:rPr>
          <w:kern w:val="2"/>
          <w14:ligatures w14:val="standardContextual"/>
        </w:rPr>
        <w:t>međuinstitucijske</w:t>
      </w:r>
      <w:proofErr w:type="spellEnd"/>
      <w:r w:rsidRPr="00786181">
        <w:rPr>
          <w:kern w:val="2"/>
          <w14:ligatures w14:val="standardContextual"/>
        </w:rPr>
        <w:t xml:space="preserve"> skupine na visokoj razini za povećanje privlačnosti Luksemburga kao mjesta rada za osoblje; poziva Sud EU-a da u okviru različitih inicijativa održava i poboljšava suradnju s drugim institucijama sa sjedištem u Luksemburgu; sa zadovoljstvom napominje da je proračunsko tijelo za financijsku godinu 2025. odobrilo potrebna odobrena sredstva kako bi se omogućila dodjela naknade za stanovanje osoblju nižih razreda, u skladu s preporukom </w:t>
      </w:r>
      <w:proofErr w:type="spellStart"/>
      <w:r w:rsidRPr="00786181">
        <w:rPr>
          <w:kern w:val="2"/>
          <w14:ligatures w14:val="standardContextual"/>
        </w:rPr>
        <w:t>međuinstitucijske</w:t>
      </w:r>
      <w:proofErr w:type="spellEnd"/>
      <w:r w:rsidRPr="00786181">
        <w:rPr>
          <w:kern w:val="2"/>
          <w14:ligatures w14:val="standardContextual"/>
        </w:rPr>
        <w:t xml:space="preserve"> skupine na visokoj razini; traži da Parlament bude obaviješten o napretku takvih </w:t>
      </w:r>
      <w:r w:rsidRPr="00786181">
        <w:rPr>
          <w:kern w:val="2"/>
          <w14:ligatures w14:val="standardContextual"/>
        </w:rPr>
        <w:lastRenderedPageBreak/>
        <w:t>inicijativa čiji je cilj povećati privlačnost Luksemburga kao mjesta rada;</w:t>
      </w:r>
    </w:p>
    <w:p w14:paraId="79A3E9EA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31.</w:t>
      </w:r>
      <w:r w:rsidRPr="00786181">
        <w:rPr>
          <w:kern w:val="2"/>
          <w14:ligatures w14:val="standardContextual"/>
        </w:rPr>
        <w:tab/>
        <w:t>napominje da je Sud EU-a 2023. proveo nekoliko inicijativa za promicanje fizičke i mentalne dobrobiti osoblja putem specijaliziranih radionica i aktivnosti za podizanje razine osviještenosti; napominje da su rukovoditelji pozitivno ocijenili program rada na daljinu, koji je stupio na snagu 1. svibnja 2022., među kojima je 92 % ispitanika odgovorilo da je produktivnost rada na daljinu jednaka ili bolja nego prije postojanja programa rada na daljinu; napominje da je Sud EU-a, u cilju postizanja bolje ravnoteže između poslovnog i privatnog života, 2023. obnovio mogućnost da njegovo osoblje radi na daljinu izvan mjesta rada do 10 dana godišnje, posebno tijekom sudskih praznika;</w:t>
      </w:r>
    </w:p>
    <w:p w14:paraId="2051B982" w14:textId="77777777" w:rsidR="00786181" w:rsidRPr="00786181" w:rsidRDefault="00786181" w:rsidP="00786181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32.</w:t>
      </w:r>
      <w:r w:rsidRPr="00786181">
        <w:rPr>
          <w:kern w:val="2"/>
          <w14:ligatures w14:val="standardContextual"/>
        </w:rPr>
        <w:tab/>
        <w:t>pozdravlja aktualne kampanje za podizanje razine osviještenosti, informiranje i osposobljavanje usmjerene na promicanje uključenosti, uzajamnog poštovanja, suradnje i potpore osobama s invaliditetom i njihovim pomagačima;</w:t>
      </w:r>
    </w:p>
    <w:p w14:paraId="7A4681AC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33.</w:t>
      </w:r>
      <w:r w:rsidRPr="00786181">
        <w:rPr>
          <w:kern w:val="2"/>
          <w14:ligatures w14:val="standardContextual"/>
        </w:rPr>
        <w:tab/>
        <w:t>napominje da je 2023. broj radnih dana bolovanja iznosio 20 198, što odgovara smanjenju od 14,78 % u odnosu na 2022.; sa zabrinutošću napominje da je zdravstvena služba 2023. prijavila 11 slučajeva sindroma izgaranja na poslu; pozdravlja temeljitu analizu dijagnostičkih izvješća koju je proveo Sud EU-a kako bi utvrdio slučajeve profesionalnog izgaranja na poslu te usredotočenost Suda EU-a na preventivne mjere, posebno na jačanje tima medicinskih i socijalnih radnika, prevenciju psihosocijalnih rizika na radnom mjestu i uvođenje aktivnosti podizanja razine osviještenosti rukovodećeg osoblja u pogledu prava na isključivanje i rizika koje donosi prekomjerna uspješnost; potiče Sud EU-a da se nastavi baviti tim problemom kako bi spriječio sve daljnje slučajeve povezane sa sindromom izgaranja na poslu te da obavijesti Parlament o mjerama poduzetima u tom pogledu;</w:t>
      </w:r>
    </w:p>
    <w:p w14:paraId="7DE98E54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34.</w:t>
      </w:r>
      <w:r w:rsidRPr="00786181">
        <w:rPr>
          <w:kern w:val="2"/>
          <w14:ligatures w14:val="standardContextual"/>
        </w:rPr>
        <w:tab/>
        <w:t>napominje da je 2023. pokrenuta administrativna istraga o navodnom slučaju seksualnog uznemiravanja člana osoblja i da je taj predmet zaključen 2024. sankcijom; izražava zabrinutost zbog toga što je 2023. pokrenut i postupak pomoći u slučaju navodnog uznemiravanja u vezi sa sucem, ali da u tom slučaju nije utvrđeno uznemiravanje; napominje da je međuresorna radna skupina, osnovana u ožujku 2023., dakle prije ratifikacije Konvencije Vijeća Europe o sprečavanju i borbi protiv nasilja nad ženama i nasilja u obitelji, ispitala pravila i postupke uspostavljene na Sudu EU-a za sprečavanje uznemiravanja i dala neke preporuke u cilju poboljšanja tih pravila i postupaka; potiče Sud EU-a da poduzme daljnje mjere i nastavi pokazivati da nema tolerancije prema uznemiravanju na radnom mjestu, i to uvođenjem obveznog tečaja o nesvjesnoj pristranosti i etičkim standardima za sve suce i više dužnosnike kako bi se spriječila zlouporaba moći;</w:t>
      </w:r>
    </w:p>
    <w:p w14:paraId="04062D9F" w14:textId="77777777" w:rsidR="00786181" w:rsidRPr="00786181" w:rsidRDefault="00786181" w:rsidP="00786181">
      <w:pPr>
        <w:spacing w:after="240"/>
        <w:ind w:left="567" w:hanging="567"/>
        <w:rPr>
          <w:b/>
          <w:iCs/>
          <w:kern w:val="2"/>
          <w14:ligatures w14:val="standardContextual"/>
        </w:rPr>
      </w:pPr>
      <w:r w:rsidRPr="00786181">
        <w:rPr>
          <w:b/>
          <w:iCs/>
          <w:kern w:val="2"/>
          <w14:ligatures w14:val="standardContextual"/>
        </w:rPr>
        <w:t>Etički okvir</w:t>
      </w:r>
    </w:p>
    <w:p w14:paraId="7C10DF09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35.</w:t>
      </w:r>
      <w:r w:rsidRPr="00786181">
        <w:rPr>
          <w:kern w:val="2"/>
          <w14:ligatures w14:val="standardContextual"/>
        </w:rPr>
        <w:tab/>
        <w:t xml:space="preserve">napominje da je u skladu s preporukama iz prethodne razrješnice tijekom 2023. sastavljen, a u ožujku 2024. donesen novi kodeks ponašanja o pravima i obvezama dužnosnika i ostalih službenika Suda EU-a, koji odražava vrijednosti i predanost Suda EU-a etici; napominje da kodeks ponašanja sadržava odredbe o sukobu interesa, dužnosti odanosti, dužnosti povjerljivosti i diskrecije, vanjskim aktivnostima, profesionalnim aktivnostima nakon odlaska iz službe i publikacijama te da se primjenjuje i na upućene nacionalne stručnjake i suci stažisti upućeni u okviru Europske mreže za pravosudno osposobljavanje; napominje da su 2023. organizirane aktivnosti za podizanje razine osviještenosti i nanovo osmišljeno osposobljavanje o kodeksu </w:t>
      </w:r>
      <w:r w:rsidRPr="00786181">
        <w:rPr>
          <w:kern w:val="2"/>
          <w14:ligatures w14:val="standardContextual"/>
        </w:rPr>
        <w:lastRenderedPageBreak/>
        <w:t>ponašanja za osoblje i rukovoditelje, s posebnim naglaskom na pridošlicama; poziva na redovito obvezno osposobljavanje za cjelokupno osoblje i traži da Parlament bude obaviješten o provedbi kodeksa ponašanja;</w:t>
      </w:r>
    </w:p>
    <w:p w14:paraId="2E4957E7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36.</w:t>
      </w:r>
      <w:r w:rsidRPr="00786181">
        <w:rPr>
          <w:kern w:val="2"/>
          <w14:ligatures w14:val="standardContextual"/>
        </w:rPr>
        <w:tab/>
        <w:t>napominje da su prije stupanja na snagu kodeksa ponašanja dva potencijalna slučaja sukoba interesa prijavljena i riješena u skladu s postojećim postupcima kako bi se osiguralo da dotični novi članovi osoblja nisu bili uključeni u upravljanje predmetima za koje su znali s prethodnog radnog mjesta;</w:t>
      </w:r>
    </w:p>
    <w:p w14:paraId="4EBE07AB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37.</w:t>
      </w:r>
      <w:r w:rsidRPr="00786181">
        <w:rPr>
          <w:kern w:val="2"/>
          <w14:ligatures w14:val="standardContextual"/>
        </w:rPr>
        <w:tab/>
        <w:t>napominje da je nakon donošenja kodeksa ponašanja za članove i bivše članove Suda EU-a izjava o financijskim interesima članova objavljena na internetu kako bi se izbjegao mogući sukob interesa u rješavanju predmeta; napominje da Sud EU-a stalno preispituje svoja interna pravila o tom pitanju kako bi ažurirao ta pravila i osigurao najviši mogući standard etičkog ponašanja; poziva Sud EU-a da osnuje neovisni etički odbor koji će nadgledati usklađenost s kodeksom ponašanja i istraživati moguće povrede; poziva na obvezan godišnji tečaj o etičkom ponašanju za cjelokupno osoblje Suda EU-a, uključujući suce i nezavisne odvjetnike, kako bi se očuvao integritet Suda; traži od Suda EU-a da obavijesti Parlament o rezultatima svake daljnje procjene učinkovitosti te mjere usmjerene na sprečavanje sukoba interesa;</w:t>
      </w:r>
    </w:p>
    <w:p w14:paraId="6B390149" w14:textId="77777777" w:rsidR="00786181" w:rsidRPr="00786181" w:rsidRDefault="00786181" w:rsidP="00786181">
      <w:pPr>
        <w:spacing w:after="240"/>
        <w:ind w:left="567" w:hanging="567"/>
        <w:rPr>
          <w:bCs/>
          <w:iCs/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38.</w:t>
      </w:r>
      <w:r w:rsidRPr="00786181">
        <w:rPr>
          <w:kern w:val="2"/>
          <w14:ligatures w14:val="standardContextual"/>
        </w:rPr>
        <w:tab/>
        <w:t>pozdravlja objavljivanje izjava o financijskim interesima članova Suda, ali poziva na uvođenje standardnog postupka provjere prije imenovanja kako bi se u ranoj fazi utvrdili i riješili mogući sukobi interesa; potiče Vijeće da uspostavi transparentne smjernice za države članice pri imenovanju kandidata za sudačke položaje na Sudu Europske unije;</w:t>
      </w:r>
    </w:p>
    <w:p w14:paraId="04F34961" w14:textId="77777777" w:rsidR="00786181" w:rsidRPr="00786181" w:rsidRDefault="00786181" w:rsidP="00786181">
      <w:pPr>
        <w:spacing w:after="240"/>
        <w:ind w:left="567" w:hanging="567"/>
        <w:rPr>
          <w:bCs/>
          <w:iCs/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39.</w:t>
      </w:r>
      <w:r w:rsidRPr="00786181">
        <w:rPr>
          <w:kern w:val="2"/>
          <w14:ligatures w14:val="standardContextual"/>
        </w:rPr>
        <w:tab/>
        <w:t>apelira na Sud EU-a da uvede obveznu politiku izuzeća za suce u predmetima u kojima su u prošlosti bili profesionalno povezani sa strankama koje se pojavljuju pred Sudom; poziva na strožu provjeru sukoba interesa za suce i visokorangirano osoblje, uključujući redovita ažuriranja zahtjeva za objavljivanje financijskih informacija; traži da se smjesta objavljuju odluke o izuzeću u slučajevima u kojima suci prijave sukob interesa, čime bi se osigurala veća transparentnost u sudskom postupku i povećalo povjerenje javnosti u nepristranost i integritet Suda EU-a;</w:t>
      </w:r>
    </w:p>
    <w:p w14:paraId="0452CB75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40.</w:t>
      </w:r>
      <w:r w:rsidRPr="00786181">
        <w:rPr>
          <w:kern w:val="2"/>
          <w14:ligatures w14:val="standardContextual"/>
        </w:rPr>
        <w:tab/>
        <w:t>napominje da su 2023. svi članovi Suda EU-a imali boravište u Luksemburgu u skladu s člankom 14. Statuta;</w:t>
      </w:r>
    </w:p>
    <w:p w14:paraId="77540A56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41.</w:t>
      </w:r>
      <w:r w:rsidRPr="00786181">
        <w:rPr>
          <w:kern w:val="2"/>
          <w14:ligatures w14:val="standardContextual"/>
        </w:rPr>
        <w:tab/>
        <w:t>napominje da se popis vanjskih aktivnosti koje obavljaju članovi Suda i Općeg suda objavljuje na internetskim stranicama Suda EU-a od 2018.;</w:t>
      </w:r>
      <w:r w:rsidRPr="00786181">
        <w:rPr>
          <w:b/>
          <w:i/>
          <w:kern w:val="2"/>
          <w14:ligatures w14:val="standardContextual"/>
        </w:rPr>
        <w:t xml:space="preserve"> </w:t>
      </w:r>
      <w:r w:rsidRPr="00786181">
        <w:rPr>
          <w:kern w:val="2"/>
          <w14:ligatures w14:val="standardContextual"/>
        </w:rPr>
        <w:t>nadalje, napominje da je taj popis teško čitljiv za širu javnost i preporučuje njegovu reviziju u cilju veće jasnoće i informativnosti; napominje da se prethodno odobrenje opće sjednice Suda ili plenarne konferencije Općeg suda daje samo ako je vanjska aktivnost u skladu sa zahtjevima kodeksa ponašanja i obvezama zastupnika da budu dostupni za sudske aktivnosti; traži od Suda EU-a da obavijesti tijelo nadležno za davanje razrješnice o svim inicijativama za poboljšanje čitljivosti informacija povezanih s vanjskim aktivnostima, u skladu s prethodnim preporukama iz razrješnice;</w:t>
      </w:r>
    </w:p>
    <w:p w14:paraId="6E1D8657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42.</w:t>
      </w:r>
      <w:r w:rsidRPr="00786181">
        <w:rPr>
          <w:kern w:val="2"/>
          <w14:ligatures w14:val="standardContextual"/>
        </w:rPr>
        <w:tab/>
        <w:t xml:space="preserve">napominje da se pravilima o putovanjima zastupnika, službenim putovanjima te korištenju vozača i automobila, kako su ažurirana 2021., predviđa da Sud EU-a snosi samo tekuće troškove koji proizlaze iz upotrebe automobila u svrhe povezane s izvršenjem putnog naloga ili izvršavanjem njegova mandata unutar ograničenja od </w:t>
      </w:r>
      <w:r w:rsidRPr="00786181">
        <w:rPr>
          <w:kern w:val="2"/>
          <w14:ligatures w14:val="standardContextual"/>
        </w:rPr>
        <w:lastRenderedPageBreak/>
        <w:t>10 000 km; ponavlja svoje mišljenje da se vozni park ne smije koristiti ni u kojim okolnostima osim za strogo izvršavanje dužnosti članova Suda EU-a, napominje da je Sud EU-a izvijestio da je proveo raspravu s drugim institucijama kako bi se utvrdio usklađeni skup pravila za upotrebu službenih vozila, poštujući pritom autonomiju svake institucije; poziva sve institucije Unije da postignu dogovor o jedinstvenom sustavu koji će se primjenjivati horizontalno, čime bi se smanjila zbunjenost i povećala transparentnost i učinkovitost u korištenju javnog novca; poziva Sud EU-a da izvještava Parlament o razvoju događaja u tom pogledu;</w:t>
      </w:r>
    </w:p>
    <w:p w14:paraId="7DB7B69B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43.</w:t>
      </w:r>
      <w:r w:rsidRPr="00786181">
        <w:rPr>
          <w:kern w:val="2"/>
          <w14:ligatures w14:val="standardContextual"/>
        </w:rPr>
        <w:tab/>
        <w:t>napominje da je predmet OLAF-a, naveden u prethodnim rezolucijama o razrješnici, koji se odnosio na ponašanje člana osoblja koje je možda predstavljalo ozbiljnu povredu dužnosti, zaključen 2023.; napominje da Sud EU-a nije upoznat ni s jednom novom istragom ili preporukom OLAF-a iz 2023.;</w:t>
      </w:r>
    </w:p>
    <w:p w14:paraId="0BE55405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44.</w:t>
      </w:r>
      <w:r w:rsidRPr="00786181">
        <w:rPr>
          <w:kern w:val="2"/>
          <w14:ligatures w14:val="standardContextual"/>
        </w:rPr>
        <w:tab/>
        <w:t>napominje da Sud EU-a 2023. nije prijavio nijedan slučaj prijevare, korupcije ili zlouporabe sredstava Unije; napominje da je strategija Suda EU-a za borbu protiv prijevara sastavni dio njegova integriranog okvira unutarnje kontrole i upravljanja rizicima, s posebnim naglaskom na rizicima od nepravilnog objavljivanja informacija;</w:t>
      </w:r>
    </w:p>
    <w:p w14:paraId="77D4F318" w14:textId="77777777" w:rsidR="00786181" w:rsidRPr="00786181" w:rsidRDefault="00786181" w:rsidP="00786181">
      <w:pPr>
        <w:spacing w:after="240"/>
        <w:ind w:left="567" w:hanging="567"/>
        <w:rPr>
          <w:b/>
          <w:iCs/>
          <w:kern w:val="2"/>
          <w14:ligatures w14:val="standardContextual"/>
        </w:rPr>
      </w:pPr>
      <w:r w:rsidRPr="00786181">
        <w:rPr>
          <w:b/>
          <w:iCs/>
          <w:kern w:val="2"/>
          <w14:ligatures w14:val="standardContextual"/>
        </w:rPr>
        <w:t>Transparentnost i pristup građana pravosuđu</w:t>
      </w:r>
    </w:p>
    <w:p w14:paraId="3F7ED129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45.</w:t>
      </w:r>
      <w:r w:rsidRPr="00786181">
        <w:rPr>
          <w:kern w:val="2"/>
          <w14:ligatures w14:val="standardContextual"/>
        </w:rPr>
        <w:tab/>
        <w:t>pozdravlja angažman Suda EU-a na povećanju transparentnosti, pristupa pravosuđu i otvorenosti javnosti, čime se doprinosi jačanju povjerenja javnosti u institucije Unije;</w:t>
      </w:r>
    </w:p>
    <w:p w14:paraId="7F2AEC08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46.</w:t>
      </w:r>
      <w:r w:rsidRPr="00786181">
        <w:rPr>
          <w:kern w:val="2"/>
          <w14:ligatures w14:val="standardContextual"/>
        </w:rPr>
        <w:tab/>
        <w:t xml:space="preserve">napominje da je Sud EU-a 2023. konsolidirao uslugu internetskog prijenosa za rasprave Suda i Općeg suda na internetskim stranicama </w:t>
      </w:r>
      <w:proofErr w:type="spellStart"/>
      <w:r w:rsidRPr="00786181">
        <w:rPr>
          <w:kern w:val="2"/>
          <w14:ligatures w14:val="standardContextual"/>
        </w:rPr>
        <w:t>Curia</w:t>
      </w:r>
      <w:proofErr w:type="spellEnd"/>
      <w:r w:rsidRPr="00786181">
        <w:rPr>
          <w:kern w:val="2"/>
          <w14:ligatures w14:val="standardContextual"/>
        </w:rPr>
        <w:t xml:space="preserve">, čime je građanima olakšao pristup sudskim aktivnostima Suda EU-a; pozdravlja poboljšanje internetske stranice </w:t>
      </w:r>
      <w:proofErr w:type="spellStart"/>
      <w:r w:rsidRPr="00786181">
        <w:rPr>
          <w:kern w:val="2"/>
          <w14:ligatures w14:val="standardContextual"/>
        </w:rPr>
        <w:t>Curia</w:t>
      </w:r>
      <w:proofErr w:type="spellEnd"/>
      <w:r w:rsidRPr="00786181">
        <w:rPr>
          <w:kern w:val="2"/>
          <w14:ligatures w14:val="standardContextual"/>
        </w:rPr>
        <w:t xml:space="preserve"> u pogledu njezine strukture, funkcionalnosti i sadržaja; pozdravlja činjenicu da se donošenje presuda Suda, čitanje mišljenja nezavisnih odvjetnika, rasprave velikog vijeća i određene rasprave vijeća od pet sudaca emitiraju uživo na internetskim stranicama </w:t>
      </w:r>
      <w:proofErr w:type="spellStart"/>
      <w:r w:rsidRPr="00786181">
        <w:rPr>
          <w:kern w:val="2"/>
          <w14:ligatures w14:val="standardContextual"/>
        </w:rPr>
        <w:t>Curia</w:t>
      </w:r>
      <w:proofErr w:type="spellEnd"/>
      <w:r w:rsidRPr="00786181">
        <w:rPr>
          <w:kern w:val="2"/>
          <w14:ligatures w14:val="standardContextual"/>
        </w:rPr>
        <w:t xml:space="preserve"> od 2023.; poziva Sud EU-a da dodatno poboljša transparentnost objavljivanjem svih rasprava Suda i Općeg suda na svojim internetskim stranicama i njihovim trajnim pohranjivanjem na internetu;</w:t>
      </w:r>
    </w:p>
    <w:p w14:paraId="2CADDC74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47.</w:t>
      </w:r>
      <w:r w:rsidRPr="00786181">
        <w:rPr>
          <w:kern w:val="2"/>
          <w14:ligatures w14:val="standardContextual"/>
        </w:rPr>
        <w:tab/>
        <w:t>pozdravlja činjenicu da će, nakon reforme Statuta, Sud EU-a objavljivati podneske ili pisana očitovanja podnesena u prethodnim postupcima nakon zaključenja takvih postupaka, osim u slučajevima prigovora na objavljivanje podneska ili očitovanja pojedinca; ističe da će se takvim objavljivanjem poboljšati transparentnost i pristup građana pravosuđu te poziva Sud EU-a da na svojim internetskim stranicama objavljuje sve dokumente povezane s određenim spisom; poziva Sud EU-a da predvidi postupak kojim bi se svaka osoba mogla koristiti za interni pristup svim dokumentima povezanima s predmetom;</w:t>
      </w:r>
    </w:p>
    <w:p w14:paraId="24EF1733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48.</w:t>
      </w:r>
      <w:r w:rsidRPr="00786181">
        <w:rPr>
          <w:kern w:val="2"/>
          <w14:ligatures w14:val="standardContextual"/>
        </w:rPr>
        <w:tab/>
        <w:t>napominje da je Opći sud u travnju 2023. donio pravila o videokonferencijama, dok ih je Sud donio u rujnu 2024., te da prema tim pravilima stranka može zatražiti videokonferenciju ako sigurnosni ili drugi ozbiljni razlozi sprečavaju zastupnika te stranke da osobno sudjeluje na raspravi;</w:t>
      </w:r>
    </w:p>
    <w:p w14:paraId="0359B6D4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49.</w:t>
      </w:r>
      <w:r w:rsidRPr="00786181">
        <w:rPr>
          <w:kern w:val="2"/>
          <w14:ligatures w14:val="standardContextual"/>
        </w:rPr>
        <w:tab/>
        <w:t xml:space="preserve">napominje da se pravila utvrđena Odlukom Suda EU-a od 26. studenoga 2019. o javnom pristupu dokumentima kojima Sud EU-a raspolaže u sklopu obavljanja svojih administrativnih zadaća ne primjenjuju na sudske dokumente za koje je pristup uređen </w:t>
      </w:r>
      <w:r w:rsidRPr="00786181">
        <w:rPr>
          <w:kern w:val="2"/>
          <w14:ligatures w14:val="standardContextual"/>
        </w:rPr>
        <w:lastRenderedPageBreak/>
        <w:t xml:space="preserve">Poslovnicima tih sudova; napominje da je Sud EU-a 2023. zabilježio 21 zahtjev za javni pristup administrativnim dokumentima te je odobrio pristup administrativnim dokumentima u 12 predmeta; napominje da Europski </w:t>
      </w:r>
      <w:proofErr w:type="spellStart"/>
      <w:r w:rsidRPr="00786181">
        <w:rPr>
          <w:kern w:val="2"/>
          <w14:ligatures w14:val="standardContextual"/>
        </w:rPr>
        <w:t>ombudsman</w:t>
      </w:r>
      <w:proofErr w:type="spellEnd"/>
      <w:r w:rsidRPr="00786181">
        <w:rPr>
          <w:kern w:val="2"/>
          <w14:ligatures w14:val="standardContextual"/>
        </w:rPr>
        <w:t xml:space="preserve"> 2023. nije pronašao slučajeve nepravilnosti u postupanju Suda EU-a;</w:t>
      </w:r>
    </w:p>
    <w:p w14:paraId="23C79871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50.</w:t>
      </w:r>
      <w:r w:rsidRPr="00786181">
        <w:rPr>
          <w:kern w:val="2"/>
          <w14:ligatures w14:val="standardContextual"/>
        </w:rPr>
        <w:tab/>
        <w:t>poziva Sud EU-a da pojednostavni postupak pronalaženja konkretnih presuda na e-</w:t>
      </w:r>
      <w:proofErr w:type="spellStart"/>
      <w:r w:rsidRPr="00786181">
        <w:rPr>
          <w:kern w:val="2"/>
          <w14:ligatures w14:val="standardContextual"/>
        </w:rPr>
        <w:t>Curiji</w:t>
      </w:r>
      <w:proofErr w:type="spellEnd"/>
      <w:r w:rsidRPr="00786181">
        <w:rPr>
          <w:kern w:val="2"/>
          <w14:ligatures w14:val="standardContextual"/>
        </w:rPr>
        <w:t>; pozdravlja trud uložen da se sučelje učini pristupačnijim i intuitivnijim;</w:t>
      </w:r>
    </w:p>
    <w:p w14:paraId="3B2FEE15" w14:textId="77777777" w:rsidR="00786181" w:rsidRPr="00786181" w:rsidRDefault="00786181" w:rsidP="00786181">
      <w:pPr>
        <w:spacing w:after="240"/>
        <w:ind w:left="567" w:hanging="567"/>
        <w:rPr>
          <w:b/>
          <w:iCs/>
          <w:kern w:val="2"/>
          <w14:ligatures w14:val="standardContextual"/>
        </w:rPr>
      </w:pPr>
      <w:r w:rsidRPr="00786181">
        <w:rPr>
          <w:b/>
          <w:iCs/>
          <w:kern w:val="2"/>
          <w14:ligatures w14:val="standardContextual"/>
        </w:rPr>
        <w:t>Digitalizacija, kibernetička sigurnost i zaštita podataka</w:t>
      </w:r>
    </w:p>
    <w:p w14:paraId="38CD7CF6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51.</w:t>
      </w:r>
      <w:r w:rsidRPr="00786181">
        <w:rPr>
          <w:kern w:val="2"/>
          <w14:ligatures w14:val="standardContextual"/>
        </w:rPr>
        <w:tab/>
        <w:t>napominje da su se 2023., u usporedbi s 2022., proračunski rashodi povećali za 10,9 % za informatičke projekte, za 13 % za informatičku opremu, za 59 % za projekte u području kibernetičke sigurnosti i za 72 % za usluge, licencije i opremu u području kibernetičke sigurnosti;</w:t>
      </w:r>
    </w:p>
    <w:p w14:paraId="3E3FC155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52.</w:t>
      </w:r>
      <w:r w:rsidRPr="00786181">
        <w:rPr>
          <w:kern w:val="2"/>
          <w14:ligatures w14:val="standardContextual"/>
        </w:rPr>
        <w:tab/>
        <w:t>napominje da je provedba velikih projekata digitalizacije u okviru strategije digitalne transformacije ostala prioritet Suda EU-a u 2023., primjerice razvoj integriranog sustava upravljanja predmetima (SIGA), promicanje upotrebe aplikacije e-</w:t>
      </w:r>
      <w:proofErr w:type="spellStart"/>
      <w:r w:rsidRPr="00786181">
        <w:rPr>
          <w:kern w:val="2"/>
          <w14:ligatures w14:val="standardContextual"/>
        </w:rPr>
        <w:t>Curia</w:t>
      </w:r>
      <w:proofErr w:type="spellEnd"/>
      <w:r w:rsidRPr="00786181">
        <w:rPr>
          <w:kern w:val="2"/>
          <w14:ligatures w14:val="standardContextual"/>
        </w:rPr>
        <w:t xml:space="preserve"> za podnošenje </w:t>
      </w:r>
      <w:proofErr w:type="spellStart"/>
      <w:r w:rsidRPr="00786181">
        <w:rPr>
          <w:kern w:val="2"/>
          <w14:ligatures w14:val="standardContextual"/>
        </w:rPr>
        <w:t>postupovnih</w:t>
      </w:r>
      <w:proofErr w:type="spellEnd"/>
      <w:r w:rsidRPr="00786181">
        <w:rPr>
          <w:kern w:val="2"/>
          <w14:ligatures w14:val="standardContextual"/>
        </w:rPr>
        <w:t xml:space="preserve"> dokumenata i obavješćivanje o njima elektroničkim putem, usvajanje e-potpisa i usvajanje elektroničkog sustava za evidenciju i upravljanje dokumentima HAN/Ares; napominje da Sud EU-a prati povrat ulaganja u projekte digitalizacije u smislu troškova i učinkovitosti resursa te traži od Suda EU-a da obavješćuje tijelo nadležno za davanje razrješnice o svojim nalazima u tom području;</w:t>
      </w:r>
    </w:p>
    <w:p w14:paraId="2EE8BD29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53.</w:t>
      </w:r>
      <w:r w:rsidRPr="00786181">
        <w:rPr>
          <w:kern w:val="2"/>
          <w14:ligatures w14:val="standardContextual"/>
        </w:rPr>
        <w:tab/>
        <w:t xml:space="preserve">napominje da je Sud EU-a, u okviru svoje sveobuhvatne inicijative za povećanje pristupačnosti i uključenosti za ranjive osobe, nastavio primjenjivati pristup „integrirane pristupačnosti” za sve promjene i razvoj svojih IT sustava; napominje da je Sud EU-a, nakon revizije internetskih stranica </w:t>
      </w:r>
      <w:proofErr w:type="spellStart"/>
      <w:r w:rsidRPr="00786181">
        <w:rPr>
          <w:kern w:val="2"/>
          <w14:ligatures w14:val="standardContextual"/>
        </w:rPr>
        <w:t>Curia</w:t>
      </w:r>
      <w:proofErr w:type="spellEnd"/>
      <w:r w:rsidRPr="00786181">
        <w:rPr>
          <w:kern w:val="2"/>
          <w14:ligatures w14:val="standardContextual"/>
        </w:rPr>
        <w:t>, počeo poboljšavati pristupačnost stranice širokom rasponu korisnika, kao što su osobe s oštećenjem vida, oštećenjem sluha ili poteškoćama u učenju;</w:t>
      </w:r>
    </w:p>
    <w:p w14:paraId="31AD9B39" w14:textId="77777777" w:rsidR="00786181" w:rsidRPr="00786181" w:rsidRDefault="00786181" w:rsidP="00786181">
      <w:pPr>
        <w:spacing w:after="240"/>
        <w:ind w:left="567" w:hanging="567"/>
        <w:rPr>
          <w:i/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54.</w:t>
      </w:r>
      <w:r w:rsidRPr="00786181">
        <w:rPr>
          <w:kern w:val="2"/>
          <w14:ligatures w14:val="standardContextual"/>
        </w:rPr>
        <w:tab/>
        <w:t xml:space="preserve">napominje da je Sud EU-a proveo nekoliko projekata koji se temelje na umjetnoj inteligenciji, kao što je automatizacija analize dokumenata za upućivanja na primjenjivo zakonodavstvo i pomoć pri provjeri računa putem robotskih procesa, kao i transkripcija rasprava, u skladu sa svojom novom strategijom integracije umjetne inteligencije donesenom u lipnju 2023.; naglašava da je od ključne važnosti da se umjetna inteligencija upotrebljava tako da se u potpunosti čuvaju neovisnost, kvaliteta i postojanost pravnih postupaka, da se u potpunosti uzimaju u obzir etička pitanja i da se koristi pod nadzorom i kontrolom čovjeka te da se omogući ljudska intervencija kako bi se izbjegle negativne posljedice ili rizici ili kako bi se sustav zaustavio ako ne funkcionira kako je predviđeno; napominje da je Sud EU-a u okviru te strategije osnovao upravni odbor za umjetnu inteligenciju sastavljen od članova Suda i Općeg suda kako bi nadzirao etičke aspekte upotrebe umjetne inteligencije unutar Suda EU-a i utvrdio jasne granice za njezinu primjenu; pozdravlja smjernice za osoblje o upotrebi umjetne inteligencije koje je izdao upravni odbor; pozdravlja postojeće inicijative za usavršavanje zaposlenika u području digitalnih kompetencija provedbom osposobljavanja osmišljenog u suradnji s </w:t>
      </w:r>
      <w:proofErr w:type="spellStart"/>
      <w:r w:rsidRPr="00786181">
        <w:rPr>
          <w:kern w:val="2"/>
          <w14:ligatures w14:val="standardContextual"/>
        </w:rPr>
        <w:t>Međuinstitucijskim</w:t>
      </w:r>
      <w:proofErr w:type="spellEnd"/>
      <w:r w:rsidRPr="00786181">
        <w:rPr>
          <w:kern w:val="2"/>
          <w14:ligatures w14:val="standardContextual"/>
        </w:rPr>
        <w:t xml:space="preserve"> odborom za digitalnu transformaciju (ETA); naglašava da će digitalizacija pravosuđa i usvajanje novih tehnologija kao što je umjetna inteligencija donijeti znatne prednosti za učinkovito funkcioniranje Suda EU-a; međutim, preporučuje da Sud EU-a predvidi povezane rizike u pogledu kibernetičke sigurnosti i dodatno ojača svoju suradnju s Agencijom EU-a za </w:t>
      </w:r>
      <w:proofErr w:type="spellStart"/>
      <w:r w:rsidRPr="00786181">
        <w:rPr>
          <w:kern w:val="2"/>
          <w14:ligatures w14:val="standardContextual"/>
        </w:rPr>
        <w:lastRenderedPageBreak/>
        <w:t>kibersigurnost</w:t>
      </w:r>
      <w:proofErr w:type="spellEnd"/>
      <w:r w:rsidRPr="00786181">
        <w:rPr>
          <w:kern w:val="2"/>
          <w14:ligatures w14:val="standardContextual"/>
        </w:rPr>
        <w:t xml:space="preserve"> i CERT-EU-om.</w:t>
      </w:r>
    </w:p>
    <w:p w14:paraId="6C289E90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55.</w:t>
      </w:r>
      <w:r w:rsidRPr="00786181">
        <w:rPr>
          <w:kern w:val="2"/>
          <w14:ligatures w14:val="standardContextual"/>
        </w:rPr>
        <w:tab/>
        <w:t xml:space="preserve">napominje da 2023. Sudu EU-a nisu dostavljeni nikakvi upiti Europskog nadzornika za zaštitu podataka (EDPS); napominje da EDPS 2023. nije uputio nikakve posebne preporuke Sudu EU-a nakon svoje istrage o upotrebi usluga računalstva u oblaku koje pruža društvo Amazon web </w:t>
      </w:r>
      <w:proofErr w:type="spellStart"/>
      <w:r w:rsidRPr="00786181">
        <w:rPr>
          <w:kern w:val="2"/>
          <w14:ligatures w14:val="standardContextual"/>
        </w:rPr>
        <w:t>services</w:t>
      </w:r>
      <w:proofErr w:type="spellEnd"/>
      <w:r w:rsidRPr="00786181">
        <w:rPr>
          <w:kern w:val="2"/>
          <w14:ligatures w14:val="standardContextual"/>
        </w:rPr>
        <w:t>; napominje da je EDPS 2023. objavio odluku kojom se potvrđuje da je upotreba usluga videokonferencije u oblaku na Sudu EU-a usklađena sa zakonodavstvom o zaštiti podataka; međutim, ponovno izražava zabrinutost zbog upotrebe vanjskih usluga računalstva u oblaku s obzirom na sve veće prijetnje kibernetičkoj sigurnosti i digitalnoj suverenosti;</w:t>
      </w:r>
    </w:p>
    <w:p w14:paraId="6D57F7BD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56.</w:t>
      </w:r>
      <w:r w:rsidRPr="00786181">
        <w:rPr>
          <w:kern w:val="2"/>
          <w14:ligatures w14:val="standardContextual"/>
        </w:rPr>
        <w:tab/>
        <w:t xml:space="preserve">pozdravlja činjenicu da je Sud EU-a 2023. donio plan za kibernetičku sigurnost i ojačao svoje operativne kapacitete za kibernetičku sigurnost kako bi bolje zaštitio svoje sustave od sve većeg broja kibernetičkih napada; nadalje, ističe da je snažna strategija za kibernetičku sigurnost ključan alat za borbu protiv vanjskog upletanja čiji je cilj ugroziti integritet europskih institucija; napominje da je Sud EU-a poduzeo razne mjere za jačanje svoje pripravnosti i sposobnosti oporavka od sigurnosnih incidenata u području kibernetičke sigurnosti, među ostalim sudjelovanjem u upravljanju </w:t>
      </w:r>
      <w:proofErr w:type="spellStart"/>
      <w:r w:rsidRPr="00786181">
        <w:rPr>
          <w:kern w:val="2"/>
          <w14:ligatures w14:val="standardContextual"/>
        </w:rPr>
        <w:t>Međuinstitucijskim</w:t>
      </w:r>
      <w:proofErr w:type="spellEnd"/>
      <w:r w:rsidRPr="00786181">
        <w:rPr>
          <w:kern w:val="2"/>
          <w14:ligatures w14:val="standardContextual"/>
        </w:rPr>
        <w:t xml:space="preserve"> odborom za kibernetičku sigurnost i kombinacijom kontrola kibernetičke sigurnosti i alata u skladu s preporukama CERT-EU-a; napominje da je proračunsko tijelo za financijsku godinu 2025. odobrilo potrebna odobrena sredstva za dva dodatna radna mjesta kako bi se ojačali kapaciteti osoblja Suda EU-a u području kibernetičke sigurnosti;</w:t>
      </w:r>
    </w:p>
    <w:p w14:paraId="62C8108F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57.</w:t>
      </w:r>
      <w:r w:rsidRPr="00786181">
        <w:rPr>
          <w:kern w:val="2"/>
          <w14:ligatures w14:val="standardContextual"/>
        </w:rPr>
        <w:tab/>
        <w:t>pozdravlja poduzete mjere, kao što su revizije kibernetičke sigurnosti, osposobljavanje osoblja i protokoli za brzi odgovor na incidente, kako bi se tehnološka infrastruktura Suda EU-a zaštitila od kibernetičkih prijetnji; naglašava da će digitalizacija pravosuđa i upotreba novih tehnologija kao što je umjetna inteligencija donijeti brojne koristi u pogledu neometanog rada Suda EU-a, ali i rizike koje Sud treba spriječiti i od kojih se treba zaštititi; u tom pogledu predlaže da Sud EU-a razvije strategiju za kibernetičku sigurnost i pojača suradnju s drugim institucijama EU-a, posebno s ENISA-om (Agencija EU-a za kibernetičku sigurnost), u sprečavanju kibernetičkih napada, čiji broj i složenost eksponencijalno rastu u Europi;</w:t>
      </w:r>
    </w:p>
    <w:p w14:paraId="30302461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58.</w:t>
      </w:r>
      <w:r w:rsidRPr="00786181">
        <w:rPr>
          <w:kern w:val="2"/>
          <w14:ligatures w14:val="standardContextual"/>
        </w:rPr>
        <w:tab/>
        <w:t>pozdravlja inicijativu za dodjeljivanje fiktivnih imena anonimnim slučajevima upotrebom računalnog automatskog generatora imena kako bi se ojačala zaštita osobnih podataka i olakšala identifikacija pojedinačnih slučajeva;</w:t>
      </w:r>
    </w:p>
    <w:p w14:paraId="41F05C54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59.</w:t>
      </w:r>
      <w:r w:rsidRPr="00786181">
        <w:rPr>
          <w:kern w:val="2"/>
          <w14:ligatures w14:val="standardContextual"/>
        </w:rPr>
        <w:tab/>
        <w:t>sa zadovoljstvom prima na znanje izmjenu Poslovnika Općeg suda kojom će se pojasniti i pojednostavniti sudski postupci, uključujući mogućnost upotrebe videokonferencija za rasprave, elektroničko potpisivanje odluka i određivanje pilot-predmeta;</w:t>
      </w:r>
    </w:p>
    <w:p w14:paraId="3D12DA1B" w14:textId="77777777" w:rsidR="00786181" w:rsidRPr="00786181" w:rsidRDefault="00786181" w:rsidP="00786181">
      <w:pPr>
        <w:spacing w:after="240"/>
        <w:ind w:left="567" w:hanging="567"/>
        <w:rPr>
          <w:b/>
          <w:iCs/>
          <w:kern w:val="2"/>
          <w14:ligatures w14:val="standardContextual"/>
        </w:rPr>
      </w:pPr>
      <w:r w:rsidRPr="00786181">
        <w:rPr>
          <w:b/>
          <w:iCs/>
          <w:kern w:val="2"/>
          <w14:ligatures w14:val="standardContextual"/>
        </w:rPr>
        <w:t>Zgrade</w:t>
      </w:r>
    </w:p>
    <w:p w14:paraId="1746249D" w14:textId="77777777" w:rsidR="00786181" w:rsidRPr="00786181" w:rsidRDefault="00786181" w:rsidP="00786181">
      <w:pPr>
        <w:spacing w:before="240"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60.</w:t>
      </w:r>
      <w:r w:rsidRPr="00786181">
        <w:rPr>
          <w:kern w:val="2"/>
          <w14:ligatures w14:val="standardContextual"/>
        </w:rPr>
        <w:tab/>
        <w:t xml:space="preserve">napominje da su na temelju razmatranja o najučinkovitijem korištenju prostora Suda EU-a, u kojem je sudjelovalo više službi i koje je zaključeno 2023., pokrenuti pilot-projekti; napominje da će se rezultati tih projekata, zajedno s drugim čimbenicima, kao što su okolišni i proračunski aspekti, kvaliteta pravosuđa, dobrobit na radnom mjestu, uključenost, pristupačnost i privlačnost Suda EU-a uzeti u obzir u konačnoj odluci o upotrebi zgrada Suda EU-a; traži da Parlament bude obaviješten o provedbi tih </w:t>
      </w:r>
      <w:r w:rsidRPr="00786181">
        <w:rPr>
          <w:kern w:val="2"/>
          <w14:ligatures w14:val="standardContextual"/>
        </w:rPr>
        <w:lastRenderedPageBreak/>
        <w:t>zaključaka i posljedicama za organizaciju radnog prostora;</w:t>
      </w:r>
    </w:p>
    <w:p w14:paraId="78F7569A" w14:textId="77777777" w:rsidR="00786181" w:rsidRPr="00786181" w:rsidRDefault="00786181" w:rsidP="00786181">
      <w:pPr>
        <w:spacing w:before="240"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61.</w:t>
      </w:r>
      <w:r w:rsidRPr="00786181">
        <w:rPr>
          <w:kern w:val="2"/>
          <w14:ligatures w14:val="standardContextual"/>
        </w:rPr>
        <w:tab/>
        <w:t>napominje da je Sud EU-a 2023. nastavio sa svojom sveobuhvatnom inicijativom za povećanje pristupačnosti i uključenosti za osobe s invaliditetom kako bi se svim pojedincima, sudionicima u postupku i posjetiteljima zajamčio fizički ili virtualni pristup Sudu EU-a; nadalje napominje da je Sud EU-a 2023. počeo sastavljati popis svoje infrastrukture kako bi se uskladio s novim nacionalnim zakonodavstvom o pristupačnosti od 1. siječnja 2032.; traži da Parlament bude obaviješten o daljnjim inicijativama u tom području;</w:t>
      </w:r>
    </w:p>
    <w:p w14:paraId="43C23B4B" w14:textId="77777777" w:rsidR="00786181" w:rsidRPr="00786181" w:rsidRDefault="00786181" w:rsidP="00786181">
      <w:pPr>
        <w:spacing w:after="240"/>
        <w:ind w:left="567" w:hanging="567"/>
        <w:rPr>
          <w:b/>
          <w:iCs/>
          <w:kern w:val="2"/>
          <w14:ligatures w14:val="standardContextual"/>
        </w:rPr>
      </w:pPr>
      <w:r w:rsidRPr="00786181">
        <w:rPr>
          <w:b/>
          <w:iCs/>
          <w:kern w:val="2"/>
          <w14:ligatures w14:val="standardContextual"/>
        </w:rPr>
        <w:t>Okoliš i održivost</w:t>
      </w:r>
    </w:p>
    <w:p w14:paraId="0D699513" w14:textId="77777777" w:rsidR="00786181" w:rsidRPr="00786181" w:rsidRDefault="00786181" w:rsidP="00786181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62.</w:t>
      </w:r>
      <w:r w:rsidRPr="00786181">
        <w:rPr>
          <w:kern w:val="2"/>
          <w14:ligatures w14:val="standardContextual"/>
        </w:rPr>
        <w:tab/>
        <w:t>napominje da je Sud EU-a 2023. nastavio znatno smanjivati svoju potrošnju energije i ugljični otisak u usporedbi s 2015. godinom koja je polazna crta za provedbu strategije sustava upravljanja okolišem i neovisnog ocjenjivanja Suda EU-a, zahvaljujući mjerama uštede energije i optimizaciji njegove infrastrukture za grijanje, hlađenje i rasvjetu; napominje da je 2023. u odnosu na 2015. potrošnja toplinske energije smanjena za 33,5 %, električne energije za 28,7 %, vode za 20,1 %, uredskog papira za 63 %, te je uredski otpad i otpad iz kantine smanjen za 43 %, dok su emisije stakleničkih plinova smanjene za 30,2 %; pozdravlja činjenicu da je Sud EU-a primijenio kriterije zelene javne nabave u 10 poziva na podnošenje ponuda čija je vrijednost veća od 60 000 EUR; pozdravlja predanost Suda EU-a sustavu upravljanja okolišem i neovisnog ocjenjivanja (EMAS); potiče Sud EU-a da nastavi ulagati napore u smanjenje svojeg utjecaja na okoliš strategijom za postizanje ugljične neutralnosti do 2035.</w:t>
      </w:r>
    </w:p>
    <w:p w14:paraId="2688B1CD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63.</w:t>
      </w:r>
      <w:r w:rsidRPr="00786181">
        <w:rPr>
          <w:kern w:val="2"/>
          <w14:ligatures w14:val="standardContextual"/>
        </w:rPr>
        <w:tab/>
        <w:t xml:space="preserve">pozdravlja činjenicu da je Sud EU-a poduzeo nekoliko inicijativa za poticanje i povećanje održive mobilnosti za svoje osoblje i članove, uključujući subvencije za javni prijevoz, subvencije za </w:t>
      </w:r>
      <w:proofErr w:type="spellStart"/>
      <w:r w:rsidRPr="00786181">
        <w:rPr>
          <w:kern w:val="2"/>
          <w14:ligatures w14:val="standardContextual"/>
        </w:rPr>
        <w:t>samoposlužne</w:t>
      </w:r>
      <w:proofErr w:type="spellEnd"/>
      <w:r w:rsidRPr="00786181">
        <w:rPr>
          <w:kern w:val="2"/>
          <w14:ligatures w14:val="standardContextual"/>
        </w:rPr>
        <w:t xml:space="preserve"> bicikle, poboljšana parkirališta za bicikle i poboljšane objekte za hibridne i električne automobile;</w:t>
      </w:r>
    </w:p>
    <w:p w14:paraId="6519CC47" w14:textId="77777777" w:rsidR="00786181" w:rsidRPr="00786181" w:rsidRDefault="00786181" w:rsidP="00786181">
      <w:pPr>
        <w:spacing w:after="240"/>
        <w:ind w:left="567" w:hanging="567"/>
        <w:rPr>
          <w:b/>
          <w:iCs/>
          <w:kern w:val="2"/>
          <w14:ligatures w14:val="standardContextual"/>
        </w:rPr>
      </w:pPr>
      <w:proofErr w:type="spellStart"/>
      <w:r w:rsidRPr="00786181">
        <w:rPr>
          <w:b/>
          <w:iCs/>
          <w:kern w:val="2"/>
          <w14:ligatures w14:val="standardContextual"/>
        </w:rPr>
        <w:t>Međuinstitucijska</w:t>
      </w:r>
      <w:proofErr w:type="spellEnd"/>
      <w:r w:rsidRPr="00786181">
        <w:rPr>
          <w:b/>
          <w:iCs/>
          <w:kern w:val="2"/>
          <w14:ligatures w14:val="standardContextual"/>
        </w:rPr>
        <w:t xml:space="preserve"> suradnja</w:t>
      </w:r>
    </w:p>
    <w:p w14:paraId="29BEB296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64.</w:t>
      </w:r>
      <w:r w:rsidRPr="00786181">
        <w:rPr>
          <w:kern w:val="2"/>
          <w14:ligatures w14:val="standardContextual"/>
        </w:rPr>
        <w:tab/>
        <w:t xml:space="preserve">pozdravlja proračunske uštede ostvarene suradnjom s drugim institucijama, a posebno zajedničkim aplikacijama i uslugama smještaja na poslužitelju na temelju sporazuma na razini službi s Komisijom, kao i sudjelovanjem u </w:t>
      </w:r>
      <w:proofErr w:type="spellStart"/>
      <w:r w:rsidRPr="00786181">
        <w:rPr>
          <w:kern w:val="2"/>
          <w14:ligatures w14:val="standardContextual"/>
        </w:rPr>
        <w:t>međuinstitucijskim</w:t>
      </w:r>
      <w:proofErr w:type="spellEnd"/>
      <w:r w:rsidRPr="00786181">
        <w:rPr>
          <w:kern w:val="2"/>
          <w14:ligatures w14:val="standardContextual"/>
        </w:rPr>
        <w:t xml:space="preserve"> postupcima javne nabave, što je Sudu EU-a omogućilo da optimizira troškove i resurse;</w:t>
      </w:r>
    </w:p>
    <w:p w14:paraId="13D5E276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65.</w:t>
      </w:r>
      <w:r w:rsidRPr="00786181">
        <w:rPr>
          <w:kern w:val="2"/>
          <w14:ligatures w14:val="standardContextual"/>
        </w:rPr>
        <w:tab/>
        <w:t>pozdravlja trud Europske mreže za pravosudno osposobljavanje (EJTN) u osposobljavanju nacionalnih sudaca o pravu EU-a; sa zadovoljstvom napominje da su, u skladu s izjavom Suda EU-a naslovljenom „Potpora EJTN-u u oblikovanju održive europske pravosudne kulture”, Sud EU-a i EJTN 2023. nastojali povećati raznolikost dugoročnih stažista kako bi se njihov broj u konačnici povećao na jedan po državi članici; napominje da su poduzete mjere već bile uspješne jer Sud EU-a ima stažiste iz nekih država članica koji prethodno nisu aktivno sudjelovale u tom programu; napominje da je za 2023. i 2024. ponuđeno 15 plaćenih stažiranja; poziva Sud da dodatno razvije svoje inicijative za razmjenu znanja, uključujući zajedničke baze podataka o sudskoj praksi i virtualne platforme za suradnju kako bi se nacionalnim sudovima pružila potpora u složenim pravnim tumačenjima;</w:t>
      </w:r>
    </w:p>
    <w:p w14:paraId="0F5D84AA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66.</w:t>
      </w:r>
      <w:r w:rsidRPr="00786181">
        <w:rPr>
          <w:kern w:val="2"/>
          <w14:ligatures w14:val="standardContextual"/>
        </w:rPr>
        <w:tab/>
        <w:t xml:space="preserve">ističe da bi stažiranja trebala biti plaćena, u skladu s Rezolucijom Europskog parlamenta od 14. lipnja 2023. o kvalitetnim pripravništvima u Uniji (2020/2005(INL)), u kojoj se </w:t>
      </w:r>
      <w:r w:rsidRPr="00786181">
        <w:rPr>
          <w:kern w:val="2"/>
          <w14:ligatures w14:val="standardContextual"/>
        </w:rPr>
        <w:lastRenderedPageBreak/>
        <w:t>poziva na to da sva pripravništva u Europi budu plaćena; pozdravlja činjenicu da trenutačno svi stažisti primaju naknadu tijekom boravka, uglavnom od strane Suda EU-a i, u nekim posebnim slučajevima, iz drugih izvora; prima na znanje da Sud EU-a prihvaća malen broj stažista (manje od 10 godišnje) plaćenih iz drugih izvora, i to na kratka razdoblja (u prosjeku dva mjeseca); pozdravlja činjenicu da u takvim slučajevima uprava Suda EU-a pažljivo provjerava primaju li ti stažisti naknadu ili stipendiju za to stažiranje, koje izravno plaća njihov poslodavac ili akademska ustanova;</w:t>
      </w:r>
    </w:p>
    <w:p w14:paraId="11B71F4A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67.</w:t>
      </w:r>
      <w:r w:rsidRPr="00786181">
        <w:rPr>
          <w:kern w:val="2"/>
          <w14:ligatures w14:val="standardContextual"/>
        </w:rPr>
        <w:tab/>
        <w:t xml:space="preserve">cijeni to što Sud EU-a u potpunosti surađuje s OLAF-om, Revizorskim sudom, Europskim nadzornikom za zaštitu podataka i Europskim </w:t>
      </w:r>
      <w:proofErr w:type="spellStart"/>
      <w:r w:rsidRPr="00786181">
        <w:rPr>
          <w:kern w:val="2"/>
          <w14:ligatures w14:val="standardContextual"/>
        </w:rPr>
        <w:t>ombudsmanom</w:t>
      </w:r>
      <w:proofErr w:type="spellEnd"/>
      <w:r w:rsidRPr="00786181">
        <w:rPr>
          <w:kern w:val="2"/>
          <w14:ligatures w14:val="standardContextual"/>
        </w:rPr>
        <w:t>; napominje da je Sud EU-a 2023. nastavio raditi na održavanju uspostavljenog dijaloga s nacionalnim sudovima, a posebno s ustavnim i vrhovnim sudovima, te da je Sud EU-a bio domaćin niza sastanaka, uključujući godišnji sastanak nacionalnih sudaca; potiče dublju suradnju između Suda EU-a i nacionalnih sudova kako bi se osnažila ujednačena primjena prava Unije; preporučuje uspostavu trajnog programa pravosudne razmjene za suce iz država članica u cilju suradnje s kolegama iz Suda EU-a, čime bi se poticale najbolje prakse u tumačenju prava EU-a;</w:t>
      </w:r>
    </w:p>
    <w:p w14:paraId="39380FD5" w14:textId="77777777" w:rsidR="00786181" w:rsidRPr="00786181" w:rsidRDefault="00786181" w:rsidP="00786181">
      <w:pPr>
        <w:spacing w:after="240"/>
        <w:ind w:left="567" w:hanging="567"/>
        <w:rPr>
          <w:b/>
          <w:iCs/>
          <w:kern w:val="2"/>
          <w14:ligatures w14:val="standardContextual"/>
        </w:rPr>
      </w:pPr>
      <w:r w:rsidRPr="00786181">
        <w:rPr>
          <w:b/>
          <w:iCs/>
          <w:kern w:val="2"/>
          <w14:ligatures w14:val="standardContextual"/>
        </w:rPr>
        <w:t>Komunikacija</w:t>
      </w:r>
    </w:p>
    <w:p w14:paraId="36C42FD4" w14:textId="77777777" w:rsidR="00786181" w:rsidRPr="00786181" w:rsidRDefault="00786181" w:rsidP="00786181">
      <w:pPr>
        <w:spacing w:after="240"/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68.</w:t>
      </w:r>
      <w:r w:rsidRPr="00786181">
        <w:rPr>
          <w:kern w:val="2"/>
          <w14:ligatures w14:val="standardContextual"/>
        </w:rPr>
        <w:tab/>
        <w:t>napominje da je Sud EU-a 2023. pojačao svoje napore u pogledu suradnje s građanima Unije boljim informiranjem na društvenim mrežama; napominje da se krajem 2023. broj pretplatnika na račun Suda EU-a na LinkedInu povećao za 32 %, a broj pratitelja na dvama računima Suda EU-a na X-u (bivši Twitter) za 9 %, dok su se pregledi na njegovu kanalu na YouTubeu povećala za 84,96 % u odnosu na prethodnu godinu;</w:t>
      </w:r>
    </w:p>
    <w:p w14:paraId="1F6B9C81" w14:textId="77777777" w:rsidR="00786181" w:rsidRPr="00786181" w:rsidRDefault="00786181" w:rsidP="00786181">
      <w:pPr>
        <w:ind w:left="567" w:hanging="567"/>
        <w:rPr>
          <w:kern w:val="2"/>
          <w14:ligatures w14:val="standardContextual"/>
        </w:rPr>
      </w:pPr>
      <w:r w:rsidRPr="00786181">
        <w:rPr>
          <w:kern w:val="2"/>
          <w14:ligatures w14:val="standardContextual"/>
        </w:rPr>
        <w:t>69.</w:t>
      </w:r>
      <w:r w:rsidRPr="00786181">
        <w:rPr>
          <w:kern w:val="2"/>
          <w14:ligatures w14:val="standardContextual"/>
        </w:rPr>
        <w:tab/>
        <w:t>pozdravlja napore Suda EU-a da poboljša stratešku komunikaciju i transparentnost u odnosima s građanima Unije u pogledu pravosudnih aktivnosti Suda EU-a, posebno organizacijom dana otvorenih vrata, ponudom za posjetitelje, posebno posebnim virtualnim posjetima, u kojima je 2023. sudjelovalo 800 učenika, te promjenom načina sastavljanja njegovih priopćenja za medije i internetskih publikacija kako bi imali pristupačan stil i sadržavali teme od medijskog interesa ili teme važne za živote građana.</w:t>
      </w:r>
    </w:p>
    <w:p w14:paraId="24349CD9" w14:textId="77777777" w:rsidR="00786181" w:rsidRPr="0079014A" w:rsidRDefault="00786181" w:rsidP="003F560B">
      <w:pPr>
        <w:pStyle w:val="EPComma"/>
      </w:pPr>
    </w:p>
    <w:sectPr w:rsidR="00786181" w:rsidRPr="0079014A" w:rsidSect="007308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68A95" w14:textId="77777777" w:rsidR="005333EA" w:rsidRPr="007308E3" w:rsidRDefault="005333EA">
      <w:r w:rsidRPr="007308E3">
        <w:separator/>
      </w:r>
    </w:p>
  </w:endnote>
  <w:endnote w:type="continuationSeparator" w:id="0">
    <w:p w14:paraId="4BF36019" w14:textId="77777777" w:rsidR="005333EA" w:rsidRPr="007308E3" w:rsidRDefault="005333EA">
      <w:r w:rsidRPr="007308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07260" w14:textId="77777777" w:rsidR="00064002" w:rsidRPr="007308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4EDD6" w14:textId="77777777" w:rsidR="00064002" w:rsidRPr="007308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56EE7" w14:textId="77777777" w:rsidR="00064002" w:rsidRPr="007308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B382B" w14:textId="77777777" w:rsidR="005333EA" w:rsidRPr="007308E3" w:rsidRDefault="005333EA">
      <w:r w:rsidRPr="007308E3">
        <w:separator/>
      </w:r>
    </w:p>
  </w:footnote>
  <w:footnote w:type="continuationSeparator" w:id="0">
    <w:p w14:paraId="6FF3ED64" w14:textId="77777777" w:rsidR="005333EA" w:rsidRPr="007308E3" w:rsidRDefault="005333EA">
      <w:r w:rsidRPr="007308E3">
        <w:continuationSeparator/>
      </w:r>
    </w:p>
  </w:footnote>
  <w:footnote w:id="1">
    <w:p w14:paraId="38B2FDFC" w14:textId="77777777" w:rsidR="00786181" w:rsidRPr="00256096" w:rsidRDefault="00786181" w:rsidP="00786181">
      <w:pPr>
        <w:pStyle w:val="FootnoteText"/>
        <w:ind w:left="567" w:hanging="567"/>
        <w:rPr>
          <w:sz w:val="24"/>
          <w:szCs w:val="24"/>
          <w:lang w:val="hr-HR"/>
        </w:rPr>
      </w:pPr>
      <w:r w:rsidRPr="00256096">
        <w:rPr>
          <w:rStyle w:val="FootnoteReference"/>
          <w:sz w:val="24"/>
          <w:szCs w:val="24"/>
          <w:lang w:val="hr-HR"/>
        </w:rPr>
        <w:footnoteRef/>
      </w:r>
      <w:r w:rsidRPr="00256096">
        <w:rPr>
          <w:sz w:val="24"/>
          <w:szCs w:val="24"/>
          <w:lang w:val="hr-HR"/>
        </w:rPr>
        <w:t xml:space="preserve"> </w:t>
      </w:r>
      <w:r w:rsidRPr="00256096">
        <w:rPr>
          <w:sz w:val="24"/>
          <w:szCs w:val="24"/>
          <w:lang w:val="hr-HR"/>
        </w:rPr>
        <w:tab/>
        <w:t xml:space="preserve">SL L 58, 23.2.2023., str. 1., ELI: </w:t>
      </w:r>
      <w:hyperlink r:id="rId1" w:tooltip="Omogućuje pristup tom dokumentu putem identifikatora ELI URI." w:history="1">
        <w:r w:rsidRPr="00256096">
          <w:rPr>
            <w:rStyle w:val="Hyperlink1"/>
            <w:color w:val="337AB7"/>
            <w:sz w:val="24"/>
            <w:szCs w:val="24"/>
            <w:shd w:val="clear" w:color="auto" w:fill="FFFFFF"/>
            <w:lang w:val="fi-FI"/>
          </w:rPr>
          <w:t>http://data.europa.eu/eli/budget/2023/1/oj</w:t>
        </w:r>
      </w:hyperlink>
      <w:r w:rsidRPr="00256096">
        <w:rPr>
          <w:sz w:val="24"/>
          <w:szCs w:val="24"/>
          <w:lang w:val="hr-HR"/>
        </w:rPr>
        <w:t>.</w:t>
      </w:r>
    </w:p>
  </w:footnote>
  <w:footnote w:id="2">
    <w:p w14:paraId="45C68317" w14:textId="77777777" w:rsidR="00786181" w:rsidRPr="00256096" w:rsidRDefault="00786181" w:rsidP="00786181">
      <w:pPr>
        <w:pStyle w:val="FootnoteText"/>
        <w:ind w:left="567" w:hanging="567"/>
        <w:rPr>
          <w:sz w:val="24"/>
          <w:szCs w:val="24"/>
          <w:lang w:val="hr-HR"/>
        </w:rPr>
      </w:pPr>
      <w:r w:rsidRPr="00256096">
        <w:rPr>
          <w:rStyle w:val="FootnoteReference"/>
          <w:sz w:val="24"/>
          <w:szCs w:val="24"/>
          <w:lang w:val="hr-HR"/>
        </w:rPr>
        <w:footnoteRef/>
      </w:r>
      <w:r w:rsidRPr="00256096">
        <w:rPr>
          <w:sz w:val="24"/>
          <w:szCs w:val="24"/>
          <w:lang w:val="hr-HR"/>
        </w:rPr>
        <w:t xml:space="preserve"> </w:t>
      </w:r>
      <w:r w:rsidRPr="00256096">
        <w:rPr>
          <w:sz w:val="24"/>
          <w:szCs w:val="24"/>
          <w:lang w:val="hr-HR"/>
        </w:rPr>
        <w:tab/>
      </w:r>
      <w:r w:rsidRPr="00256096">
        <w:rPr>
          <w:sz w:val="24"/>
          <w:szCs w:val="24"/>
          <w:lang w:val="hr-HR"/>
        </w:rPr>
        <w:t xml:space="preserve">SL C, C/2024/5462, 10.10.2024., ELI: </w:t>
      </w:r>
      <w:hyperlink r:id="rId2" w:history="1">
        <w:r w:rsidRPr="00256096">
          <w:rPr>
            <w:rStyle w:val="Hyperlink1"/>
            <w:sz w:val="24"/>
            <w:szCs w:val="24"/>
            <w:lang w:val="fi-FI"/>
          </w:rPr>
          <w:t>http://data.europa.eu/eli/C/2024/5462/oj</w:t>
        </w:r>
      </w:hyperlink>
      <w:r w:rsidRPr="00256096">
        <w:rPr>
          <w:sz w:val="24"/>
          <w:szCs w:val="24"/>
          <w:lang w:val="hr-HR"/>
        </w:rPr>
        <w:t>.</w:t>
      </w:r>
    </w:p>
  </w:footnote>
  <w:footnote w:id="3">
    <w:p w14:paraId="6B9FDB53" w14:textId="77777777" w:rsidR="00786181" w:rsidRPr="00256096" w:rsidRDefault="00786181" w:rsidP="00786181">
      <w:pPr>
        <w:pStyle w:val="FootnoteText"/>
        <w:ind w:left="567" w:hanging="567"/>
        <w:rPr>
          <w:sz w:val="24"/>
          <w:szCs w:val="24"/>
          <w:lang w:val="hr-HR"/>
        </w:rPr>
      </w:pPr>
      <w:r w:rsidRPr="00256096">
        <w:rPr>
          <w:rStyle w:val="FootnoteReference"/>
          <w:sz w:val="24"/>
          <w:szCs w:val="24"/>
          <w:lang w:val="hr-HR"/>
        </w:rPr>
        <w:footnoteRef/>
      </w:r>
      <w:r w:rsidRPr="00256096">
        <w:rPr>
          <w:sz w:val="24"/>
          <w:szCs w:val="24"/>
          <w:lang w:val="hr-HR"/>
        </w:rPr>
        <w:t xml:space="preserve"> </w:t>
      </w:r>
      <w:r w:rsidRPr="00256096">
        <w:rPr>
          <w:sz w:val="24"/>
          <w:szCs w:val="24"/>
          <w:lang w:val="hr-HR"/>
        </w:rPr>
        <w:tab/>
      </w:r>
      <w:r w:rsidRPr="00256096">
        <w:rPr>
          <w:sz w:val="24"/>
          <w:szCs w:val="24"/>
          <w:lang w:val="hr-HR"/>
        </w:rPr>
        <w:t xml:space="preserve">SL C, C/2024/5882, 9.10.2024., ELI: </w:t>
      </w:r>
      <w:hyperlink r:id="rId3" w:history="1">
        <w:r w:rsidRPr="00256096">
          <w:rPr>
            <w:rStyle w:val="Hyperlink1"/>
            <w:sz w:val="24"/>
            <w:szCs w:val="24"/>
            <w:lang w:val="fi-FI"/>
          </w:rPr>
          <w:t>http://data.europa.eu/eli/C/2024/5882/oj</w:t>
        </w:r>
      </w:hyperlink>
      <w:r w:rsidRPr="00256096">
        <w:rPr>
          <w:sz w:val="24"/>
          <w:szCs w:val="24"/>
          <w:lang w:val="hr-HR"/>
        </w:rPr>
        <w:t>.</w:t>
      </w:r>
    </w:p>
  </w:footnote>
  <w:footnote w:id="4">
    <w:p w14:paraId="6EADF46A" w14:textId="77777777" w:rsidR="00786181" w:rsidRPr="00256096" w:rsidRDefault="00786181" w:rsidP="00786181">
      <w:pPr>
        <w:pStyle w:val="FootnoteText"/>
        <w:ind w:left="567" w:hanging="567"/>
        <w:rPr>
          <w:sz w:val="24"/>
          <w:szCs w:val="24"/>
          <w:lang w:val="hr-HR"/>
        </w:rPr>
      </w:pPr>
      <w:r w:rsidRPr="00256096">
        <w:rPr>
          <w:rStyle w:val="FootnoteReference"/>
          <w:sz w:val="24"/>
          <w:szCs w:val="24"/>
          <w:lang w:val="hr-HR"/>
        </w:rPr>
        <w:footnoteRef/>
      </w:r>
      <w:r w:rsidRPr="00256096">
        <w:rPr>
          <w:sz w:val="24"/>
          <w:szCs w:val="24"/>
          <w:lang w:val="hr-HR"/>
        </w:rPr>
        <w:t xml:space="preserve"> </w:t>
      </w:r>
      <w:r w:rsidRPr="00256096">
        <w:rPr>
          <w:sz w:val="24"/>
          <w:szCs w:val="24"/>
          <w:lang w:val="hr-HR"/>
        </w:rPr>
        <w:tab/>
      </w:r>
      <w:r w:rsidRPr="00256096">
        <w:rPr>
          <w:sz w:val="24"/>
          <w:szCs w:val="24"/>
          <w:lang w:val="hr-HR"/>
        </w:rPr>
        <w:t xml:space="preserve">SL C, C/2024/6041, 10.10.2024., ELI: </w:t>
      </w:r>
      <w:hyperlink r:id="rId4" w:history="1">
        <w:r w:rsidRPr="00256096">
          <w:rPr>
            <w:rStyle w:val="Hyperlink1"/>
            <w:sz w:val="24"/>
            <w:szCs w:val="24"/>
            <w:lang w:val="fi-FI"/>
          </w:rPr>
          <w:t>http://data.europa.eu/eli/C/2024/6041/oj</w:t>
        </w:r>
      </w:hyperlink>
      <w:r w:rsidRPr="00256096">
        <w:rPr>
          <w:sz w:val="24"/>
          <w:szCs w:val="24"/>
          <w:lang w:val="hr-HR"/>
        </w:rPr>
        <w:t>.</w:t>
      </w:r>
    </w:p>
  </w:footnote>
  <w:footnote w:id="5">
    <w:p w14:paraId="22866AB0" w14:textId="77777777" w:rsidR="00786181" w:rsidRPr="00256096" w:rsidRDefault="00786181" w:rsidP="00786181">
      <w:pPr>
        <w:pStyle w:val="FootnoteText"/>
        <w:ind w:left="567" w:hanging="567"/>
        <w:rPr>
          <w:sz w:val="24"/>
          <w:szCs w:val="24"/>
          <w:lang w:val="hr-HR"/>
        </w:rPr>
      </w:pPr>
      <w:r w:rsidRPr="00256096">
        <w:rPr>
          <w:rStyle w:val="FootnoteReference"/>
          <w:sz w:val="24"/>
          <w:szCs w:val="24"/>
          <w:lang w:val="hr-HR"/>
        </w:rPr>
        <w:footnoteRef/>
      </w:r>
      <w:r w:rsidRPr="00256096">
        <w:rPr>
          <w:sz w:val="24"/>
          <w:szCs w:val="24"/>
          <w:lang w:val="hr-HR"/>
        </w:rPr>
        <w:t xml:space="preserve"> </w:t>
      </w:r>
      <w:r w:rsidRPr="00256096">
        <w:rPr>
          <w:sz w:val="24"/>
          <w:szCs w:val="24"/>
          <w:lang w:val="hr-HR"/>
        </w:rPr>
        <w:tab/>
      </w:r>
      <w:r w:rsidRPr="00256096">
        <w:rPr>
          <w:sz w:val="24"/>
          <w:szCs w:val="24"/>
          <w:lang w:val="hr-HR"/>
        </w:rPr>
        <w:t xml:space="preserve">SL L 193, 30.7.2018., str. 1., ELI: </w:t>
      </w:r>
      <w:hyperlink r:id="rId5" w:history="1">
        <w:r w:rsidRPr="00256096">
          <w:rPr>
            <w:rStyle w:val="Hyperlink1"/>
            <w:sz w:val="24"/>
            <w:szCs w:val="24"/>
            <w:lang w:val="fi-FI"/>
          </w:rPr>
          <w:t>http://data.europa.eu/eli/reg/2018/1046/oj</w:t>
        </w:r>
      </w:hyperlink>
      <w:r w:rsidRPr="00256096">
        <w:rPr>
          <w:sz w:val="24"/>
          <w:szCs w:val="24"/>
          <w:lang w:val="hr-HR"/>
        </w:rPr>
        <w:t>.</w:t>
      </w:r>
    </w:p>
  </w:footnote>
  <w:footnote w:id="6">
    <w:p w14:paraId="19B7B63C" w14:textId="77777777" w:rsidR="00786181" w:rsidRPr="00256096" w:rsidRDefault="00786181" w:rsidP="00786181">
      <w:pPr>
        <w:pStyle w:val="FootnoteText"/>
        <w:ind w:left="567" w:hanging="567"/>
        <w:rPr>
          <w:sz w:val="24"/>
          <w:szCs w:val="24"/>
          <w:lang w:val="hr-HR"/>
        </w:rPr>
      </w:pPr>
      <w:r w:rsidRPr="00256096">
        <w:rPr>
          <w:rStyle w:val="FootnoteReference"/>
          <w:sz w:val="24"/>
          <w:szCs w:val="24"/>
          <w:lang w:val="hr-HR"/>
        </w:rPr>
        <w:footnoteRef/>
      </w:r>
      <w:r w:rsidRPr="00256096">
        <w:rPr>
          <w:sz w:val="24"/>
          <w:szCs w:val="24"/>
          <w:lang w:val="hr-HR"/>
        </w:rPr>
        <w:t xml:space="preserve"> </w:t>
      </w:r>
      <w:r w:rsidRPr="00256096">
        <w:rPr>
          <w:sz w:val="24"/>
          <w:szCs w:val="24"/>
          <w:lang w:val="hr-HR"/>
        </w:rPr>
        <w:tab/>
      </w:r>
      <w:r w:rsidRPr="00256096">
        <w:rPr>
          <w:sz w:val="24"/>
          <w:szCs w:val="24"/>
          <w:lang w:val="hr-HR"/>
        </w:rPr>
        <w:t xml:space="preserve">SL L, 2024/2509, 26.9.2024., ELI: </w:t>
      </w:r>
      <w:hyperlink r:id="rId6" w:history="1">
        <w:r w:rsidRPr="00256096">
          <w:rPr>
            <w:rStyle w:val="Hyperlink1"/>
            <w:sz w:val="24"/>
            <w:szCs w:val="24"/>
            <w:lang w:val="fi-FI"/>
          </w:rPr>
          <w:t>http://data.europa.eu/eli/reg/2024/2509/oj</w:t>
        </w:r>
      </w:hyperlink>
      <w:r w:rsidRPr="00256096">
        <w:rPr>
          <w:sz w:val="24"/>
          <w:szCs w:val="24"/>
          <w:lang w:val="hr-HR"/>
        </w:rPr>
        <w:t>.</w:t>
      </w:r>
    </w:p>
  </w:footnote>
  <w:footnote w:id="7">
    <w:p w14:paraId="37D6DC89" w14:textId="77777777" w:rsidR="00786181" w:rsidRPr="00256096" w:rsidRDefault="00786181" w:rsidP="00786181">
      <w:pPr>
        <w:pStyle w:val="FootnoteText"/>
        <w:ind w:left="567" w:hanging="567"/>
        <w:rPr>
          <w:sz w:val="24"/>
          <w:szCs w:val="24"/>
          <w:lang w:val="hr-HR"/>
        </w:rPr>
      </w:pPr>
      <w:r w:rsidRPr="00256096">
        <w:rPr>
          <w:rStyle w:val="FootnoteReference"/>
          <w:sz w:val="24"/>
          <w:szCs w:val="24"/>
          <w:lang w:val="hr-HR"/>
        </w:rPr>
        <w:footnoteRef/>
      </w:r>
      <w:r w:rsidRPr="00256096">
        <w:rPr>
          <w:sz w:val="24"/>
          <w:szCs w:val="24"/>
          <w:lang w:val="hr-HR"/>
        </w:rPr>
        <w:tab/>
      </w:r>
      <w:r w:rsidRPr="00256096">
        <w:rPr>
          <w:sz w:val="24"/>
          <w:szCs w:val="24"/>
          <w:lang w:val="hr-HR"/>
        </w:rPr>
        <w:t xml:space="preserve">Uredba (EU, Euratom) 2024/2019 Europskog parlamenta i Vijeća od 11. travnja 2024. o izmjeni Protokola br. 3 o Statutu Suda Europske unije (SL L 2024/2019, 12.8.2024., ELI: </w:t>
      </w:r>
      <w:hyperlink r:id="rId7" w:history="1">
        <w:r w:rsidRPr="00256096">
          <w:rPr>
            <w:rStyle w:val="Hyperlink1"/>
            <w:sz w:val="24"/>
            <w:szCs w:val="24"/>
            <w:lang w:val="hr-HR"/>
          </w:rPr>
          <w:t>http://data.europa.eu/eli/reg/2024/2019/oj</w:t>
        </w:r>
      </w:hyperlink>
      <w:r w:rsidRPr="00256096">
        <w:rPr>
          <w:rStyle w:val="Hyperlink1"/>
          <w:sz w:val="24"/>
          <w:szCs w:val="24"/>
          <w:lang w:val="hr-HR"/>
        </w:rPr>
        <w:t>)</w:t>
      </w:r>
      <w:r w:rsidRPr="00256096">
        <w:rPr>
          <w:sz w:val="24"/>
          <w:szCs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5E50C" w14:textId="77777777" w:rsidR="00064002" w:rsidRPr="007308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C062A" w14:textId="77777777" w:rsidR="00064002" w:rsidRPr="007308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C9B0A" w14:textId="77777777" w:rsidR="00064002" w:rsidRPr="007308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1401462">
    <w:abstractNumId w:val="9"/>
  </w:num>
  <w:num w:numId="2" w16cid:durableId="1947958825">
    <w:abstractNumId w:val="9"/>
  </w:num>
  <w:num w:numId="3" w16cid:durableId="25564341">
    <w:abstractNumId w:val="7"/>
  </w:num>
  <w:num w:numId="4" w16cid:durableId="1200505765">
    <w:abstractNumId w:val="7"/>
  </w:num>
  <w:num w:numId="5" w16cid:durableId="1999991741">
    <w:abstractNumId w:val="6"/>
  </w:num>
  <w:num w:numId="6" w16cid:durableId="17197965">
    <w:abstractNumId w:val="6"/>
  </w:num>
  <w:num w:numId="7" w16cid:durableId="1595625072">
    <w:abstractNumId w:val="5"/>
  </w:num>
  <w:num w:numId="8" w16cid:durableId="1670475843">
    <w:abstractNumId w:val="5"/>
  </w:num>
  <w:num w:numId="9" w16cid:durableId="724914529">
    <w:abstractNumId w:val="4"/>
  </w:num>
  <w:num w:numId="10" w16cid:durableId="272978041">
    <w:abstractNumId w:val="4"/>
  </w:num>
  <w:num w:numId="11" w16cid:durableId="385380378">
    <w:abstractNumId w:val="8"/>
  </w:num>
  <w:num w:numId="12" w16cid:durableId="526256737">
    <w:abstractNumId w:val="8"/>
  </w:num>
  <w:num w:numId="13" w16cid:durableId="17437531">
    <w:abstractNumId w:val="3"/>
  </w:num>
  <w:num w:numId="14" w16cid:durableId="1328436533">
    <w:abstractNumId w:val="3"/>
  </w:num>
  <w:num w:numId="15" w16cid:durableId="6517440">
    <w:abstractNumId w:val="2"/>
  </w:num>
  <w:num w:numId="16" w16cid:durableId="1141071768">
    <w:abstractNumId w:val="2"/>
  </w:num>
  <w:num w:numId="17" w16cid:durableId="1897357585">
    <w:abstractNumId w:val="1"/>
  </w:num>
  <w:num w:numId="18" w16cid:durableId="2036760414">
    <w:abstractNumId w:val="1"/>
  </w:num>
  <w:num w:numId="19" w16cid:durableId="377750862">
    <w:abstractNumId w:val="0"/>
  </w:num>
  <w:num w:numId="20" w16cid:durableId="2090882545">
    <w:abstractNumId w:val="0"/>
  </w:num>
  <w:num w:numId="21" w16cid:durableId="898902833">
    <w:abstractNumId w:val="9"/>
  </w:num>
  <w:num w:numId="22" w16cid:durableId="673727755">
    <w:abstractNumId w:val="7"/>
  </w:num>
  <w:num w:numId="23" w16cid:durableId="1252661967">
    <w:abstractNumId w:val="6"/>
  </w:num>
  <w:num w:numId="24" w16cid:durableId="1636905877">
    <w:abstractNumId w:val="5"/>
  </w:num>
  <w:num w:numId="25" w16cid:durableId="313800075">
    <w:abstractNumId w:val="4"/>
  </w:num>
  <w:num w:numId="26" w16cid:durableId="468665154">
    <w:abstractNumId w:val="8"/>
  </w:num>
  <w:num w:numId="27" w16cid:durableId="271279293">
    <w:abstractNumId w:val="3"/>
  </w:num>
  <w:num w:numId="28" w16cid:durableId="1966345247">
    <w:abstractNumId w:val="2"/>
  </w:num>
  <w:num w:numId="29" w16cid:durableId="421217677">
    <w:abstractNumId w:val="1"/>
  </w:num>
  <w:num w:numId="30" w16cid:durableId="2110661036">
    <w:abstractNumId w:val="0"/>
  </w:num>
  <w:num w:numId="31" w16cid:durableId="742072024">
    <w:abstractNumId w:val="9"/>
  </w:num>
  <w:num w:numId="32" w16cid:durableId="2136561156">
    <w:abstractNumId w:val="7"/>
  </w:num>
  <w:num w:numId="33" w16cid:durableId="307436305">
    <w:abstractNumId w:val="6"/>
  </w:num>
  <w:num w:numId="34" w16cid:durableId="299844698">
    <w:abstractNumId w:val="5"/>
  </w:num>
  <w:num w:numId="35" w16cid:durableId="1022972188">
    <w:abstractNumId w:val="4"/>
  </w:num>
  <w:num w:numId="36" w16cid:durableId="1029406067">
    <w:abstractNumId w:val="8"/>
  </w:num>
  <w:num w:numId="37" w16cid:durableId="1617836585">
    <w:abstractNumId w:val="3"/>
  </w:num>
  <w:num w:numId="38" w16cid:durableId="1279603518">
    <w:abstractNumId w:val="2"/>
  </w:num>
  <w:num w:numId="39" w16cid:durableId="1049761019">
    <w:abstractNumId w:val="1"/>
  </w:num>
  <w:num w:numId="40" w16cid:durableId="840924397">
    <w:abstractNumId w:val="0"/>
  </w:num>
  <w:num w:numId="41" w16cid:durableId="735124744">
    <w:abstractNumId w:val="10"/>
  </w:num>
  <w:num w:numId="42" w16cid:durableId="1866673377">
    <w:abstractNumId w:val="10"/>
  </w:num>
  <w:num w:numId="43" w16cid:durableId="577256062">
    <w:abstractNumId w:val="10"/>
  </w:num>
  <w:num w:numId="44" w16cid:durableId="16884069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0/2025"/>
    <w:docVar w:name="dvlangue" w:val="HR"/>
    <w:docVar w:name="dvnumam" w:val="0"/>
    <w:docVar w:name="dvpe" w:val="764.996"/>
    <w:docVar w:name="dvrapporteur" w:val="Izvjestitelj: "/>
    <w:docVar w:name="dvtitre" w:val="Odluka Europskog parlamenta od .... 2025. o razrješnici za izvršenje općeg proračuna Europske unije za financijsku godinu 2023., dio IV. – Sud Europske unije(2024/2022(DEC))"/>
  </w:docVars>
  <w:rsids>
    <w:rsidRoot w:val="005333E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346A"/>
    <w:rsid w:val="00246D6D"/>
    <w:rsid w:val="00256096"/>
    <w:rsid w:val="00265C8C"/>
    <w:rsid w:val="002767FF"/>
    <w:rsid w:val="002A7409"/>
    <w:rsid w:val="002B18FE"/>
    <w:rsid w:val="002B5493"/>
    <w:rsid w:val="00343214"/>
    <w:rsid w:val="00361C00"/>
    <w:rsid w:val="00370DE3"/>
    <w:rsid w:val="00395FA1"/>
    <w:rsid w:val="003E15D4"/>
    <w:rsid w:val="003F560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3EA"/>
    <w:rsid w:val="00545827"/>
    <w:rsid w:val="00560270"/>
    <w:rsid w:val="005C2568"/>
    <w:rsid w:val="005F1B17"/>
    <w:rsid w:val="006037C0"/>
    <w:rsid w:val="006631B6"/>
    <w:rsid w:val="00680577"/>
    <w:rsid w:val="006F74FA"/>
    <w:rsid w:val="007308E3"/>
    <w:rsid w:val="00731ADD"/>
    <w:rsid w:val="00734777"/>
    <w:rsid w:val="00747932"/>
    <w:rsid w:val="00751A4A"/>
    <w:rsid w:val="00756632"/>
    <w:rsid w:val="00762C74"/>
    <w:rsid w:val="00786181"/>
    <w:rsid w:val="00786EC0"/>
    <w:rsid w:val="0079014A"/>
    <w:rsid w:val="007D1690"/>
    <w:rsid w:val="007E22AD"/>
    <w:rsid w:val="007E465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7BEB"/>
    <w:rsid w:val="00D25614"/>
    <w:rsid w:val="00D31ED1"/>
    <w:rsid w:val="00D56C11"/>
    <w:rsid w:val="00D834A0"/>
    <w:rsid w:val="00D872DF"/>
    <w:rsid w:val="00D91E21"/>
    <w:rsid w:val="00DA7FCD"/>
    <w:rsid w:val="00E365E1"/>
    <w:rsid w:val="00E820A4"/>
    <w:rsid w:val="00EB006A"/>
    <w:rsid w:val="00EB177F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3519C3"/>
  <w15:chartTrackingRefBased/>
  <w15:docId w15:val="{7DD89DE7-54A3-40DB-BE2F-F91C03FD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F560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F560B"/>
    <w:pPr>
      <w:spacing w:before="480" w:after="240"/>
    </w:pPr>
  </w:style>
  <w:style w:type="paragraph" w:customStyle="1" w:styleId="PageHeading">
    <w:name w:val="PageHeading"/>
    <w:basedOn w:val="Normal"/>
    <w:rsid w:val="003F560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F560B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3F560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F56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F560B"/>
    <w:rPr>
      <w:sz w:val="24"/>
      <w:lang w:val="hr-HR"/>
    </w:rPr>
  </w:style>
  <w:style w:type="paragraph" w:customStyle="1" w:styleId="EPFooter">
    <w:name w:val="EPFooter"/>
    <w:basedOn w:val="Normal"/>
    <w:rsid w:val="003F560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3F560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3F560B"/>
    <w:rPr>
      <w:sz w:val="24"/>
      <w:lang w:val="hr-HR"/>
    </w:rPr>
  </w:style>
  <w:style w:type="paragraph" w:styleId="Footer">
    <w:name w:val="footer"/>
    <w:basedOn w:val="Normal"/>
    <w:link w:val="FooterChar"/>
    <w:rsid w:val="007901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9014A"/>
    <w:rPr>
      <w:sz w:val="24"/>
      <w:lang w:val="hr-HR"/>
    </w:rPr>
  </w:style>
  <w:style w:type="paragraph" w:styleId="BalloonText">
    <w:name w:val="Balloon Text"/>
    <w:basedOn w:val="Normal"/>
    <w:link w:val="BalloonTextChar"/>
    <w:rsid w:val="00246D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46D6D"/>
    <w:rPr>
      <w:rFonts w:ascii="Segoe UI" w:hAnsi="Segoe UI" w:cs="Segoe UI"/>
      <w:sz w:val="18"/>
      <w:szCs w:val="18"/>
      <w:lang w:val="hr-HR"/>
    </w:rPr>
  </w:style>
  <w:style w:type="character" w:styleId="FollowedHyperlink">
    <w:name w:val="FollowedHyperlink"/>
    <w:basedOn w:val="DefaultParagraphFont"/>
    <w:rsid w:val="00D25614"/>
    <w:rPr>
      <w:color w:val="954F72" w:themeColor="followedHyperlink"/>
      <w:u w:val="single"/>
    </w:rPr>
  </w:style>
  <w:style w:type="character" w:customStyle="1" w:styleId="Hyperlink1">
    <w:name w:val="Hyperlink1"/>
    <w:basedOn w:val="DefaultParagraphFont"/>
    <w:rsid w:val="00786181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7861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6181"/>
    <w:pPr>
      <w:widowControl/>
      <w:jc w:val="both"/>
    </w:pPr>
    <w:rPr>
      <w:rFonts w:eastAsia="Aptos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6181"/>
    <w:rPr>
      <w:rFonts w:eastAsia="Aptos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5882/oj" TargetMode="External"/><Relationship Id="rId7" Type="http://schemas.openxmlformats.org/officeDocument/2006/relationships/hyperlink" Target="http://data.europa.eu/eli/reg/2024/2019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4/6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CDE97-1BF4-40AB-B07D-234600362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6023</Words>
  <Characters>35410</Characters>
  <Application>Microsoft Office Word</Application>
  <DocSecurity>0</DocSecurity>
  <Lines>295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2025-12-05T12:13:00Z</dcterms:created>
  <dcterms:modified xsi:type="dcterms:W3CDTF">2025-12-05T12:13:00Z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P10_TA(2025)0080_</vt:lpwstr>
  </property>
  <property fmtid="{D5CDD505-2E9C-101B-9397-08002B2CF9AE}" pid="4" name="&lt;Type&gt;">
    <vt:lpwstr>RR</vt:lpwstr>
  </property>
</Properties>
</file>