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F44FA" w:rsidRPr="00697F67" w14:paraId="0E3BC35D" w14:textId="77777777" w:rsidTr="000327AA">
        <w:trPr>
          <w:trHeight w:hRule="exact" w:val="1418"/>
        </w:trPr>
        <w:tc>
          <w:tcPr>
            <w:tcW w:w="6804" w:type="dxa"/>
            <w:shd w:val="clear" w:color="auto" w:fill="auto"/>
            <w:vAlign w:val="center"/>
          </w:tcPr>
          <w:p w14:paraId="65EFDA65" w14:textId="77777777" w:rsidR="006F44FA" w:rsidRPr="00697F67" w:rsidRDefault="006F44FA" w:rsidP="000327AA">
            <w:pPr>
              <w:pStyle w:val="EPName"/>
            </w:pPr>
            <w:r w:rsidRPr="00697F67">
              <w:t>Európai Parlament</w:t>
            </w:r>
          </w:p>
          <w:p w14:paraId="3D9A50FF" w14:textId="77777777" w:rsidR="006F44FA" w:rsidRPr="00697F67" w:rsidRDefault="006F44FA" w:rsidP="000327AA">
            <w:pPr>
              <w:pStyle w:val="EPTerm"/>
              <w:rPr>
                <w:rStyle w:val="HideTWBExt"/>
                <w:rFonts w:eastAsiaTheme="majorEastAsia"/>
                <w:vanish w:val="0"/>
              </w:rPr>
            </w:pPr>
            <w:r w:rsidRPr="00697F67">
              <w:t>2024-2029</w:t>
            </w:r>
          </w:p>
        </w:tc>
        <w:tc>
          <w:tcPr>
            <w:tcW w:w="2268" w:type="dxa"/>
            <w:shd w:val="clear" w:color="auto" w:fill="auto"/>
          </w:tcPr>
          <w:p w14:paraId="64222D96" w14:textId="77777777" w:rsidR="006F44FA" w:rsidRPr="00697F67" w:rsidRDefault="006F44FA" w:rsidP="000327AA">
            <w:pPr>
              <w:pStyle w:val="EPLogo"/>
            </w:pPr>
            <w:r w:rsidRPr="00697F67">
              <w:rPr>
                <w:noProof/>
                <w:lang w:val="en-GB"/>
              </w:rPr>
              <w:drawing>
                <wp:inline distT="0" distB="0" distL="0" distR="0" wp14:anchorId="0B182961" wp14:editId="38F82C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C28188" w14:textId="77777777" w:rsidR="006F44FA" w:rsidRPr="00697F67" w:rsidRDefault="006F44FA" w:rsidP="006F44FA">
      <w:pPr>
        <w:pStyle w:val="LineTop"/>
      </w:pPr>
    </w:p>
    <w:p w14:paraId="31F00178" w14:textId="77777777" w:rsidR="006F44FA" w:rsidRPr="00697F67" w:rsidRDefault="006F44FA" w:rsidP="006F44FA">
      <w:pPr>
        <w:pStyle w:val="EPBodyTA1"/>
      </w:pPr>
      <w:r w:rsidRPr="00697F67">
        <w:t>ELFOGADOTT SZÖVEGEK</w:t>
      </w:r>
    </w:p>
    <w:p w14:paraId="5F7521DF" w14:textId="77777777" w:rsidR="006F44FA" w:rsidRPr="00697F67" w:rsidRDefault="006F44FA" w:rsidP="006F44FA">
      <w:pPr>
        <w:pStyle w:val="LineBottom"/>
      </w:pPr>
    </w:p>
    <w:p w14:paraId="2BA15A94" w14:textId="77777777" w:rsidR="006F44FA" w:rsidRPr="00697F67" w:rsidRDefault="006F44FA" w:rsidP="006F44FA">
      <w:pPr>
        <w:pStyle w:val="ATHeading1"/>
      </w:pPr>
      <w:bookmarkStart w:id="0" w:name="TANumber"/>
      <w:r w:rsidRPr="00697F67">
        <w:t>P10_</w:t>
      </w:r>
      <w:proofErr w:type="gramStart"/>
      <w:r w:rsidRPr="00697F67">
        <w:t>TA(</w:t>
      </w:r>
      <w:proofErr w:type="gramEnd"/>
      <w:r w:rsidRPr="00697F67">
        <w:t>2025)0080</w:t>
      </w:r>
      <w:bookmarkEnd w:id="0"/>
    </w:p>
    <w:p w14:paraId="681CAF30" w14:textId="77777777" w:rsidR="006F44FA" w:rsidRPr="00697F67" w:rsidRDefault="006F44FA" w:rsidP="006F44FA">
      <w:pPr>
        <w:pStyle w:val="ATHeading2"/>
      </w:pPr>
      <w:bookmarkStart w:id="1" w:name="title"/>
      <w:r w:rsidRPr="00697F67">
        <w:t>2023. évi mentesítés: Az EU általános költségvetése – Az Európai Unió Bírósága</w:t>
      </w:r>
      <w:bookmarkEnd w:id="1"/>
    </w:p>
    <w:p w14:paraId="2F79B2F5" w14:textId="77777777" w:rsidR="006F44FA" w:rsidRPr="00697F67" w:rsidRDefault="006F44FA" w:rsidP="006F44FA">
      <w:pPr>
        <w:rPr>
          <w:i/>
          <w:vanish/>
          <w:lang w:val="hu-HU"/>
        </w:rPr>
      </w:pPr>
      <w:r w:rsidRPr="00697F67">
        <w:rPr>
          <w:i/>
        </w:rPr>
        <w:fldChar w:fldCharType="begin"/>
      </w:r>
      <w:r w:rsidRPr="00697F67">
        <w:rPr>
          <w:i/>
          <w:lang w:val="hu-HU"/>
        </w:rPr>
        <w:instrText xml:space="preserve"> TC"(</w:instrText>
      </w:r>
      <w:bookmarkStart w:id="2" w:name="DocNumber"/>
      <w:r w:rsidRPr="00697F67">
        <w:rPr>
          <w:i/>
          <w:lang w:val="hu-HU"/>
        </w:rPr>
        <w:instrText>A10-0050/2025</w:instrText>
      </w:r>
      <w:bookmarkEnd w:id="2"/>
      <w:r w:rsidRPr="00697F67">
        <w:rPr>
          <w:i/>
          <w:lang w:val="hu-HU"/>
        </w:rPr>
        <w:instrText xml:space="preserve"> - Előadó: </w:instrText>
      </w:r>
      <w:proofErr w:type="spellStart"/>
      <w:r w:rsidRPr="00697F67">
        <w:rPr>
          <w:i/>
          <w:lang w:val="hu-HU"/>
        </w:rPr>
        <w:instrText>Cristian</w:instrText>
      </w:r>
      <w:proofErr w:type="spellEnd"/>
      <w:r w:rsidRPr="00697F67">
        <w:rPr>
          <w:i/>
          <w:lang w:val="hu-HU"/>
        </w:rPr>
        <w:instrText xml:space="preserve"> </w:instrText>
      </w:r>
      <w:proofErr w:type="spellStart"/>
      <w:r w:rsidRPr="00697F67">
        <w:rPr>
          <w:i/>
          <w:lang w:val="hu-HU"/>
        </w:rPr>
        <w:instrText>Terheş</w:instrText>
      </w:r>
      <w:proofErr w:type="spellEnd"/>
      <w:r w:rsidRPr="00697F67">
        <w:rPr>
          <w:i/>
          <w:lang w:val="hu-HU"/>
        </w:rPr>
        <w:instrText xml:space="preserve">)"\l3 \n&gt; \* MERGEFORMAT </w:instrText>
      </w:r>
      <w:r w:rsidRPr="00697F67">
        <w:rPr>
          <w:i/>
        </w:rPr>
        <w:fldChar w:fldCharType="end"/>
      </w:r>
    </w:p>
    <w:p w14:paraId="6AD337C5" w14:textId="77777777" w:rsidR="006F44FA" w:rsidRPr="00697F67" w:rsidRDefault="006F44FA" w:rsidP="006F44FA">
      <w:pPr>
        <w:rPr>
          <w:vanish/>
          <w:lang w:val="hu-HU"/>
        </w:rPr>
      </w:pPr>
      <w:bookmarkStart w:id="3" w:name="Commission"/>
      <w:r w:rsidRPr="00697F67">
        <w:rPr>
          <w:vanish/>
          <w:lang w:val="hu-HU"/>
        </w:rPr>
        <w:t>Költségvetési Ellenőrző Bizottság</w:t>
      </w:r>
      <w:bookmarkEnd w:id="3"/>
    </w:p>
    <w:p w14:paraId="440F6771" w14:textId="77777777" w:rsidR="006F44FA" w:rsidRPr="00697F67" w:rsidRDefault="006F44FA" w:rsidP="006F44FA">
      <w:pPr>
        <w:rPr>
          <w:vanish/>
          <w:lang w:val="hu-HU"/>
        </w:rPr>
      </w:pPr>
      <w:bookmarkStart w:id="4" w:name="PE"/>
      <w:r w:rsidRPr="00697F67">
        <w:rPr>
          <w:vanish/>
          <w:lang w:val="hu-HU"/>
        </w:rPr>
        <w:t>PE764.996</w:t>
      </w:r>
      <w:bookmarkEnd w:id="4"/>
    </w:p>
    <w:p w14:paraId="1E004307" w14:textId="77777777" w:rsidR="006F44FA" w:rsidRPr="00697F67" w:rsidRDefault="006F44FA" w:rsidP="006F44FA">
      <w:pPr>
        <w:pStyle w:val="ATHeading3"/>
      </w:pPr>
      <w:bookmarkStart w:id="5" w:name="Sujet"/>
      <w:r w:rsidRPr="00697F67">
        <w:t>1. Az Európai Parlament 2025. május 7-i határozata az Európai Unió 2023. évi pénzügyi évre szóló általános költségvetésének végrehajtására vonatkozó mentesítésről, IV. szakasz – az Európai Unió Bíróság</w:t>
      </w:r>
      <w:bookmarkEnd w:id="5"/>
      <w:r w:rsidRPr="00697F67">
        <w:t xml:space="preserve">a </w:t>
      </w:r>
      <w:bookmarkStart w:id="6" w:name="References"/>
      <w:r w:rsidRPr="00697F67">
        <w:t>(2024/2022(DEC))</w:t>
      </w:r>
      <w:bookmarkEnd w:id="6"/>
    </w:p>
    <w:p w14:paraId="530856C4" w14:textId="77777777" w:rsidR="0017341F" w:rsidRPr="00697F67" w:rsidRDefault="0017341F" w:rsidP="0017341F">
      <w:pPr>
        <w:pStyle w:val="EPComma"/>
        <w:spacing w:before="360"/>
      </w:pPr>
      <w:r w:rsidRPr="00697F67">
        <w:rPr>
          <w:i/>
        </w:rPr>
        <w:t>Az Európai Parlament,</w:t>
      </w:r>
    </w:p>
    <w:p w14:paraId="746F60D8"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az Európai Unió 2023. évi pénzügyi évre vonatkozó általános költségvetésére</w:t>
      </w:r>
      <w:r w:rsidRPr="00697F67">
        <w:rPr>
          <w:rFonts w:eastAsia="Times New Roman"/>
          <w:szCs w:val="20"/>
          <w:vertAlign w:val="superscript"/>
          <w:lang w:val="hu-HU" w:eastAsia="en-GB"/>
        </w:rPr>
        <w:footnoteReference w:id="1"/>
      </w:r>
      <w:r w:rsidRPr="00697F67">
        <w:rPr>
          <w:rFonts w:eastAsia="Times New Roman"/>
          <w:szCs w:val="20"/>
          <w:lang w:val="hu-HU" w:eastAsia="en-GB"/>
        </w:rPr>
        <w:t>,</w:t>
      </w:r>
    </w:p>
    <w:p w14:paraId="6FE33E85"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az Európai Unió 2023. évi pénzügyi évre vonatkozó összevont éves beszámolójára (</w:t>
      </w:r>
      <w:proofErr w:type="gramStart"/>
      <w:r w:rsidRPr="00697F67">
        <w:rPr>
          <w:rFonts w:eastAsia="Times New Roman"/>
          <w:szCs w:val="20"/>
          <w:lang w:val="hu-HU" w:eastAsia="en-GB"/>
        </w:rPr>
        <w:t>COM(</w:t>
      </w:r>
      <w:proofErr w:type="gramEnd"/>
      <w:r w:rsidRPr="00697F67">
        <w:rPr>
          <w:rFonts w:eastAsia="Times New Roman"/>
          <w:szCs w:val="20"/>
          <w:lang w:val="hu-HU" w:eastAsia="en-GB"/>
        </w:rPr>
        <w:t>2024)0272 – C10</w:t>
      </w:r>
      <w:r w:rsidRPr="00697F67">
        <w:rPr>
          <w:rFonts w:eastAsia="Times New Roman"/>
          <w:szCs w:val="20"/>
          <w:lang w:val="hu-HU" w:eastAsia="en-GB"/>
        </w:rPr>
        <w:noBreakHyphen/>
        <w:t>0070/2024)</w:t>
      </w:r>
      <w:r w:rsidRPr="00697F67">
        <w:rPr>
          <w:rFonts w:eastAsia="Times New Roman"/>
          <w:szCs w:val="20"/>
          <w:vertAlign w:val="superscript"/>
          <w:lang w:val="hu-HU" w:eastAsia="en-GB"/>
        </w:rPr>
        <w:footnoteReference w:id="2"/>
      </w:r>
      <w:r w:rsidRPr="00697F67">
        <w:rPr>
          <w:rFonts w:eastAsia="Times New Roman"/>
          <w:szCs w:val="20"/>
          <w:lang w:val="hu-HU" w:eastAsia="en-GB"/>
        </w:rPr>
        <w:t>,</w:t>
      </w:r>
    </w:p>
    <w:p w14:paraId="7BE25E7D"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az Európai Unió Bíróságának 2023. évi tevékenységi jelentésére, valamint a 2023. évi pénzügyi évre vonatkozó, költségvetési és pénzgazdálkodásról szóló jelentésére,</w:t>
      </w:r>
    </w:p>
    <w:p w14:paraId="364FCA16"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 Számvevőszéknek a 2023. évi pénzügyi év költségvetésének végrehajtásáról szóló éves jelentésére, az intézmények válaszaival együtt</w:t>
      </w:r>
      <w:r w:rsidRPr="00697F67">
        <w:rPr>
          <w:rFonts w:eastAsia="Times New Roman"/>
          <w:szCs w:val="20"/>
          <w:vertAlign w:val="superscript"/>
          <w:lang w:val="hu-HU" w:eastAsia="en-GB"/>
        </w:rPr>
        <w:footnoteReference w:id="3"/>
      </w:r>
      <w:r w:rsidRPr="00697F67">
        <w:rPr>
          <w:rFonts w:eastAsia="Times New Roman"/>
          <w:szCs w:val="20"/>
          <w:lang w:val="hu-HU" w:eastAsia="en-GB"/>
        </w:rPr>
        <w:t>,</w:t>
      </w:r>
    </w:p>
    <w:p w14:paraId="2E087E64"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697F67">
        <w:rPr>
          <w:rFonts w:eastAsia="Times New Roman"/>
          <w:szCs w:val="20"/>
          <w:vertAlign w:val="superscript"/>
          <w:lang w:val="hu-HU" w:eastAsia="en-GB"/>
        </w:rPr>
        <w:footnoteReference w:id="4"/>
      </w:r>
      <w:r w:rsidRPr="00697F67">
        <w:rPr>
          <w:rFonts w:eastAsia="Times New Roman"/>
          <w:szCs w:val="20"/>
          <w:lang w:val="hu-HU" w:eastAsia="en-GB"/>
        </w:rPr>
        <w:t>,</w:t>
      </w:r>
    </w:p>
    <w:p w14:paraId="16E59859"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az Európai Unió működéséről szóló szerződés 314. cikkének (10) bekezdésére, valamint 317., 318. és 319. cikkére,</w:t>
      </w:r>
    </w:p>
    <w:p w14:paraId="011255E5"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 xml:space="preserve">tekintettel az Unió általános költségvetésére alkalmazandó pénzügyi szabályokról, az 1296/2013/EU, az 1301/2013/EU, az 1303/2013/EU, az 1304/2013/EU, az </w:t>
      </w:r>
      <w:r w:rsidRPr="00697F67">
        <w:rPr>
          <w:rFonts w:eastAsia="Times New Roman"/>
          <w:szCs w:val="20"/>
          <w:lang w:val="hu-HU" w:eastAsia="en-GB"/>
        </w:rPr>
        <w:lastRenderedPageBreak/>
        <w:t>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697F67">
        <w:rPr>
          <w:rFonts w:eastAsia="Times New Roman"/>
          <w:szCs w:val="20"/>
          <w:vertAlign w:val="superscript"/>
          <w:lang w:val="hu-HU" w:eastAsia="en-GB"/>
        </w:rPr>
        <w:footnoteReference w:id="5"/>
      </w:r>
      <w:r w:rsidRPr="00697F67">
        <w:rPr>
          <w:rFonts w:eastAsia="Times New Roman"/>
          <w:szCs w:val="20"/>
          <w:lang w:val="hu-HU" w:eastAsia="en-GB"/>
        </w:rPr>
        <w:t xml:space="preserve"> és különösen annak 59., 118., 260., 261. és 262. cikkére,</w:t>
      </w:r>
    </w:p>
    <w:p w14:paraId="3775D136" w14:textId="77777777" w:rsidR="009243B4" w:rsidRPr="00697F67" w:rsidRDefault="009243B4" w:rsidP="000753D2">
      <w:pPr>
        <w:spacing w:after="240"/>
        <w:ind w:left="567" w:hanging="567"/>
        <w:jc w:val="left"/>
        <w:rPr>
          <w:rFonts w:eastAsia="Times New Roman"/>
          <w:lang w:val="hu-HU" w:eastAsia="en-GB"/>
        </w:rPr>
      </w:pPr>
      <w:r w:rsidRPr="00697F67">
        <w:rPr>
          <w:rFonts w:eastAsia="Times New Roman"/>
          <w:szCs w:val="20"/>
          <w:lang w:val="hu-HU" w:eastAsia="en-GB"/>
        </w:rPr>
        <w:t>–</w:t>
      </w:r>
      <w:r w:rsidRPr="00697F67">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697F67">
        <w:rPr>
          <w:rFonts w:eastAsia="Times New Roman"/>
          <w:szCs w:val="20"/>
          <w:vertAlign w:val="superscript"/>
          <w:lang w:val="hu-HU" w:eastAsia="en-GB"/>
        </w:rPr>
        <w:footnoteReference w:id="6"/>
      </w:r>
      <w:r w:rsidRPr="00697F67">
        <w:rPr>
          <w:rFonts w:eastAsia="Times New Roman"/>
          <w:szCs w:val="20"/>
          <w:lang w:val="hu-HU" w:eastAsia="en-GB"/>
        </w:rPr>
        <w:t xml:space="preserve"> és különösen annak 59., 118., 266., 267. és 268. cikkére,</w:t>
      </w:r>
    </w:p>
    <w:p w14:paraId="3DE7E61A"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eljárási szabályzata 102. cikkére és V. mellékletére,</w:t>
      </w:r>
    </w:p>
    <w:p w14:paraId="04733E74"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 Jogi Bizottság véleményére,</w:t>
      </w:r>
    </w:p>
    <w:p w14:paraId="542F94CC"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 Költségvetési Ellenőrző Bizottság jelentésére (A10-0050/2025),</w:t>
      </w:r>
    </w:p>
    <w:p w14:paraId="406C39D7"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1.</w:t>
      </w:r>
      <w:r w:rsidRPr="00697F67">
        <w:rPr>
          <w:rFonts w:eastAsia="Times New Roman"/>
          <w:szCs w:val="20"/>
          <w:lang w:val="hu-HU" w:eastAsia="en-GB"/>
        </w:rPr>
        <w:tab/>
        <w:t>mentesítést ad a Bíróság hivatalvezetője számára az Európai Unió Bírósága 2023. évi pénzügyi évre szóló költségvetésének végrehajtására vonatkozóan;</w:t>
      </w:r>
    </w:p>
    <w:p w14:paraId="12F3BDE2"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2.</w:t>
      </w:r>
      <w:r w:rsidRPr="00697F67">
        <w:rPr>
          <w:rFonts w:eastAsia="Times New Roman"/>
          <w:szCs w:val="20"/>
          <w:lang w:val="hu-HU" w:eastAsia="en-GB"/>
        </w:rPr>
        <w:tab/>
        <w:t>megjegyzéseit a mellékelt állásfoglalásban foglalja össze;</w:t>
      </w:r>
    </w:p>
    <w:p w14:paraId="2BC8333C" w14:textId="77777777" w:rsidR="009243B4" w:rsidRPr="00697F67" w:rsidRDefault="009243B4" w:rsidP="000753D2">
      <w:pPr>
        <w:spacing w:after="240"/>
        <w:ind w:left="567" w:hanging="567"/>
        <w:jc w:val="left"/>
        <w:rPr>
          <w:rFonts w:eastAsia="Times New Roman"/>
          <w:szCs w:val="20"/>
          <w:lang w:val="hu-HU" w:eastAsia="en-GB"/>
        </w:rPr>
      </w:pPr>
      <w:r w:rsidRPr="00697F67">
        <w:rPr>
          <w:rFonts w:eastAsia="Times New Roman"/>
          <w:szCs w:val="20"/>
          <w:lang w:val="hu-HU" w:eastAsia="en-GB"/>
        </w:rPr>
        <w:t>3.</w:t>
      </w:r>
      <w:r w:rsidRPr="00697F67">
        <w:rPr>
          <w:rFonts w:eastAsia="Times New Roman"/>
          <w:szCs w:val="20"/>
          <w:lang w:val="hu-HU" w:eastAsia="en-GB"/>
        </w:rPr>
        <w:tab/>
        <w:t xml:space="preserve">utasítja elnökét, hogy továbbítsa ezt a határozatot, valamint az annak szerves részét képező állásfoglalást az Európai Unió Bíróságának, a Tanácsnak, a Bizottságnak, az európai ombudsmannak, az európai adatvédelmi biztosnak és a Számvevőszéknek, és gondoskodjon az </w:t>
      </w:r>
      <w:r w:rsidRPr="00697F67">
        <w:rPr>
          <w:rFonts w:eastAsia="Times New Roman"/>
          <w:i/>
          <w:szCs w:val="20"/>
          <w:lang w:val="hu-HU" w:eastAsia="en-GB"/>
        </w:rPr>
        <w:t>Európai Unió Hivatalos Lapjában</w:t>
      </w:r>
      <w:r w:rsidRPr="00697F67">
        <w:rPr>
          <w:rFonts w:eastAsia="Times New Roman"/>
          <w:szCs w:val="20"/>
          <w:lang w:val="hu-HU" w:eastAsia="en-GB"/>
        </w:rPr>
        <w:t xml:space="preserve"> (L sorozat) való közzétételükről.</w:t>
      </w:r>
    </w:p>
    <w:p w14:paraId="1EE2886E" w14:textId="77777777" w:rsidR="009243B4" w:rsidRPr="00697F67" w:rsidRDefault="009243B4">
      <w:pPr>
        <w:rPr>
          <w:lang w:val="hu-HU"/>
        </w:rPr>
        <w:sectPr w:rsidR="009243B4" w:rsidRPr="00697F67">
          <w:footnotePr>
            <w:numRestart w:val="eachSect"/>
          </w:footnotePr>
          <w:pgSz w:w="11906" w:h="16838"/>
          <w:pgMar w:top="1440" w:right="1440" w:bottom="1440" w:left="1440" w:header="708" w:footer="708" w:gutter="0"/>
          <w:cols w:space="708"/>
          <w:docGrid w:linePitch="360"/>
        </w:sectPr>
      </w:pPr>
    </w:p>
    <w:p w14:paraId="580E99CB" w14:textId="77777777" w:rsidR="00411F47" w:rsidRPr="00697F67" w:rsidRDefault="00411F47" w:rsidP="006F44FA">
      <w:pPr>
        <w:pStyle w:val="ATHeading3"/>
      </w:pPr>
      <w:r w:rsidRPr="00697F67">
        <w:lastRenderedPageBreak/>
        <w:t>2. Az Európai Parlament 2025. május 7-i állásfoglalása az Európai Unió 2023. évi pénzügyi évre szóló általános költségvetésének végrehajtására vonatkozó mentesítésről szóló határozat szerves részét képező megjegyzésekkel, IV. szakasz – az Európai Unió Bírósága (2024/2022(DEC))</w:t>
      </w:r>
    </w:p>
    <w:p w14:paraId="422CD10F" w14:textId="77777777" w:rsidR="0017341F" w:rsidRPr="00697F67" w:rsidRDefault="0017341F" w:rsidP="006F44FA">
      <w:pPr>
        <w:pStyle w:val="EPComma"/>
        <w:spacing w:before="360"/>
      </w:pPr>
      <w:r w:rsidRPr="00697F67">
        <w:rPr>
          <w:i/>
        </w:rPr>
        <w:t>Az Európai Parlament,</w:t>
      </w:r>
    </w:p>
    <w:p w14:paraId="236246A2"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az Európai Unió 2023. évi pénzügyi évre szóló általános költségvetésének végrehajtására vonatkozó mentesítésről szóló határozatára, IV. szakasz – az Európai Unió Bírósága,</w:t>
      </w:r>
    </w:p>
    <w:p w14:paraId="0C3C7AC3"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eljárási szabályzata 102. cikkére és V. mellékletére,</w:t>
      </w:r>
    </w:p>
    <w:p w14:paraId="073E5061"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 Jogi Bizottság véleményére,</w:t>
      </w:r>
    </w:p>
    <w:p w14:paraId="7C9E3BED"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w:t>
      </w:r>
      <w:r w:rsidRPr="00697F67">
        <w:rPr>
          <w:rFonts w:eastAsia="Times New Roman"/>
          <w:szCs w:val="20"/>
          <w:lang w:val="hu-HU" w:eastAsia="en-GB"/>
        </w:rPr>
        <w:tab/>
        <w:t>tekintettel a Költségvetési Ellenőrző Bizottság jelentésére (A10-0050/2025),</w:t>
      </w:r>
    </w:p>
    <w:p w14:paraId="5D6DF71F"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A.</w:t>
      </w:r>
      <w:r w:rsidRPr="00697F67">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5EAE3C32" w14:textId="77777777" w:rsidR="009243B4" w:rsidRPr="00697F67" w:rsidRDefault="009243B4" w:rsidP="00F501A5">
      <w:pPr>
        <w:spacing w:after="240"/>
        <w:ind w:left="567" w:hanging="567"/>
        <w:jc w:val="left"/>
        <w:rPr>
          <w:rFonts w:eastAsia="Times New Roman"/>
          <w:szCs w:val="20"/>
          <w:u w:val="single"/>
          <w:lang w:val="hu-HU" w:eastAsia="en-GB"/>
        </w:rPr>
      </w:pPr>
      <w:r w:rsidRPr="00697F67">
        <w:rPr>
          <w:rFonts w:eastAsia="Times New Roman"/>
          <w:szCs w:val="20"/>
          <w:lang w:val="hu-HU" w:eastAsia="en-GB"/>
        </w:rPr>
        <w:t>B.</w:t>
      </w:r>
      <w:r w:rsidRPr="00697F67">
        <w:rPr>
          <w:rFonts w:eastAsia="Times New Roman"/>
          <w:szCs w:val="20"/>
          <w:lang w:val="hu-HU" w:eastAsia="en-GB"/>
        </w:rPr>
        <w:tab/>
        <w:t>mivel az Európai Unió Bírósága (EUB) az Unió igazságszolgáltatási intézménye, amelynek feladata az uniós jog betartásának biztosítása a Szerződések egységes értelmezésének és alkalmazásának felügyelete, valamint az uniós intézmények, szervek, hivatalok és ügynökségek által elfogadott intézkedések jogszerűségének biztosítása révén;</w:t>
      </w:r>
    </w:p>
    <w:p w14:paraId="5D48457F"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C.</w:t>
      </w:r>
      <w:r w:rsidRPr="00697F67">
        <w:rPr>
          <w:rFonts w:eastAsia="Times New Roman"/>
          <w:szCs w:val="20"/>
          <w:lang w:val="hu-HU" w:eastAsia="en-GB"/>
        </w:rPr>
        <w:tab/>
        <w:t>mivel az EUB hozzájárul az Unió értékeinek megőrzéséhez, és ítélkezési gyakorlatán keresztül Európa építésén dolgozik;</w:t>
      </w:r>
    </w:p>
    <w:p w14:paraId="389EF23A"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D.</w:t>
      </w:r>
      <w:r w:rsidRPr="00697F67">
        <w:rPr>
          <w:rFonts w:eastAsia="Times New Roman"/>
          <w:szCs w:val="20"/>
          <w:lang w:val="hu-HU" w:eastAsia="en-GB"/>
        </w:rPr>
        <w:tab/>
        <w:t>mivel az EUB két bíróságból áll, amelyek a Bíróság és a Törvényszék;</w:t>
      </w:r>
    </w:p>
    <w:p w14:paraId="44BF73C9"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E.</w:t>
      </w:r>
      <w:r w:rsidRPr="00697F67">
        <w:rPr>
          <w:rFonts w:eastAsia="Times New Roman"/>
          <w:szCs w:val="20"/>
          <w:lang w:val="hu-HU" w:eastAsia="en-GB"/>
        </w:rPr>
        <w:tab/>
        <w:t>mivel a Parlament és a Tanács 2024-ben módosította az EUB alapokmányáról szóló 3. jegyzőkönyvet </w:t>
      </w:r>
      <w:r w:rsidRPr="00697F67">
        <w:rPr>
          <w:rFonts w:eastAsia="Times New Roman"/>
          <w:szCs w:val="20"/>
          <w:vertAlign w:val="superscript"/>
          <w:lang w:val="hu-HU" w:eastAsia="en-GB"/>
        </w:rPr>
        <w:footnoteReference w:id="7"/>
      </w:r>
      <w:r w:rsidRPr="00697F67">
        <w:rPr>
          <w:rFonts w:eastAsia="Times New Roman"/>
          <w:szCs w:val="20"/>
          <w:lang w:val="hu-HU" w:eastAsia="en-GB"/>
        </w:rPr>
        <w:t xml:space="preserve"> (a továbbiakban: az alapokmány) az egyes területeken hozott előzetes döntéseknek a Törvényszék hatáskörébe történő áthelyezése tekintetében;</w:t>
      </w:r>
    </w:p>
    <w:p w14:paraId="7FC9C241"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w:t>
      </w:r>
      <w:r w:rsidRPr="00697F67">
        <w:rPr>
          <w:rFonts w:eastAsia="Times New Roman"/>
          <w:szCs w:val="20"/>
          <w:lang w:val="hu-HU" w:eastAsia="en-GB"/>
        </w:rPr>
        <w:tab/>
        <w:t>megjegyzi, hogy az EUB költségvetése a többéves pénzügyi keret „Európai közigazgatás” elnevezésű 7. fejezetéhez tartozik, amely 2023-ben 12,3 milliárd EUR összeget tett ki (ami a teljes uniós költségvetés 6,4 %-</w:t>
      </w:r>
      <w:proofErr w:type="spellStart"/>
      <w:r w:rsidRPr="00697F67">
        <w:rPr>
          <w:rFonts w:eastAsia="Times New Roman"/>
          <w:szCs w:val="20"/>
          <w:lang w:val="hu-HU" w:eastAsia="en-GB"/>
        </w:rPr>
        <w:t>ának</w:t>
      </w:r>
      <w:proofErr w:type="spellEnd"/>
      <w:r w:rsidRPr="00697F67">
        <w:rPr>
          <w:rFonts w:eastAsia="Times New Roman"/>
          <w:szCs w:val="20"/>
          <w:lang w:val="hu-HU" w:eastAsia="en-GB"/>
        </w:rPr>
        <w:t xml:space="preserve"> felel meg); megjegyzi, hogy az EUB mintegy 0,5 milliárd EUR összegű költségvetése az Unió teljes igazgatási kiadásának mintegy 3,9 %-át teszi ki;</w:t>
      </w:r>
    </w:p>
    <w:p w14:paraId="7A2E287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w:t>
      </w:r>
      <w:r w:rsidRPr="00697F67">
        <w:rPr>
          <w:rFonts w:eastAsia="Times New Roman"/>
          <w:szCs w:val="20"/>
          <w:lang w:val="hu-HU" w:eastAsia="en-GB"/>
        </w:rPr>
        <w:tab/>
        <w:t xml:space="preserve">megjegyzi, hogy a Számvevőszék (a továbbiakban: Számvevőszék) a 2023. évi pénzügyi évre vonatkozó éves jelentésében (a továbbiakban: számvevőszéki jelentés) az „Igazgatás” fejezeten belül egy 70 ügyletből álló mintát vizsgált, ami tízzel több, </w:t>
      </w:r>
      <w:r w:rsidRPr="00697F67">
        <w:rPr>
          <w:rFonts w:eastAsia="Times New Roman"/>
          <w:szCs w:val="20"/>
          <w:lang w:val="hu-HU" w:eastAsia="en-GB"/>
        </w:rPr>
        <w:lastRenderedPageBreak/>
        <w:t>mint amennyit 2022-ben vizsgált; a Számvevőszék megjegyzi továbbá, hogy az igazgatási kiadások magukban foglalják a humánerőforrásokkal kapcsolatos kiadásokat, beleértve a nyugdíjakkal kapcsolatos kiadásokat is, amelyek 2023-ben az összes igazgatási kiadás mintegy 70 %-át tették ki, valamint az épületekre, berendezésekre, energiára, kommunikációra és információtechnológiára fordított kiadásokat, és hogy az évek során végzett munkája azt jelzi, hogy összességében ez a kiadás alacsony kockázatú;</w:t>
      </w:r>
    </w:p>
    <w:p w14:paraId="57D2D942"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w:t>
      </w:r>
      <w:r w:rsidRPr="00697F67">
        <w:rPr>
          <w:rFonts w:eastAsia="Times New Roman"/>
          <w:szCs w:val="20"/>
          <w:lang w:val="hu-HU" w:eastAsia="en-GB"/>
        </w:rPr>
        <w:tab/>
        <w:t>megjegyzi, hogy a 70 tranzakcióból 21 (30 %) tartalmazott hibákat, de a Számvevőszék a számszerűsített öt hiba alapján úgy becsüli, hogy a hibaszint a lényegességi küszöb alatt van;</w:t>
      </w:r>
    </w:p>
    <w:p w14:paraId="4EE5A13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w:t>
      </w:r>
      <w:r w:rsidRPr="00697F67">
        <w:rPr>
          <w:rFonts w:eastAsia="Times New Roman"/>
          <w:szCs w:val="20"/>
          <w:lang w:val="hu-HU" w:eastAsia="en-GB"/>
        </w:rPr>
        <w:tab/>
        <w:t>megjegyzi, hogy a számvevőszéki jelentés nem tárt fel konkrét problémát az EUB-t illetően;</w:t>
      </w:r>
    </w:p>
    <w:p w14:paraId="5A6614C4"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Költségvetési és pénzgazdálkodás</w:t>
      </w:r>
    </w:p>
    <w:p w14:paraId="19378AFB"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w:t>
      </w:r>
      <w:r w:rsidRPr="00697F67">
        <w:rPr>
          <w:rFonts w:eastAsia="Times New Roman"/>
          <w:szCs w:val="20"/>
          <w:lang w:val="hu-HU" w:eastAsia="en-GB"/>
        </w:rPr>
        <w:tab/>
        <w:t>megjegyzi, hogy az EUB számára 2023-ban elkülönített költségvetés 486 025 796 EUR volt, ami a 2022-höz képest 3,9 %-os növekedést jelent; megjegyzi, hogy ez a növekedés főként a 2023-ra előre jelzett bérkiigazításokhoz kapcsolódott; hangsúlyozza, hogy az EUB költségvetése alapvetően igazgatási jellegű, és az előirányzatok mintegy 75 %-a tagjaira és a személyzetre, a fennmaradó rész pedig szinte teljes egészében az épületekkel és az informatikával kapcsolatos kiadásokra vonatkozik;</w:t>
      </w:r>
    </w:p>
    <w:p w14:paraId="02DB889E"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w:t>
      </w:r>
      <w:r w:rsidRPr="00697F67">
        <w:rPr>
          <w:rFonts w:eastAsia="Times New Roman"/>
          <w:szCs w:val="20"/>
          <w:lang w:val="hu-HU" w:eastAsia="en-GB"/>
        </w:rPr>
        <w:tab/>
        <w:t>megállapítja, hogy a költségvetés teljes végrehajtási aránya 2023 végére 97,72 %-os volt; megjegyzi, hogy a költségvetési rendelet 29. cikkével összhangban öt átcsoportosítást nyújtottak be a költségvetési hatósághoz az „Energiafogyasztás”, „Berendezések és szoftverek beszerzése, szervizelése és karbantartása”, valamint az „Épületek” költségvetési sorok megerősítése érdekében más költségvetési sorokból, főként a „Bérek és juttatások” költségvetési sorból; megjegyzi, hogy Oroszország Ukrajna elleni agresszív háborúja továbbra is költségvetési nyomást gyakorolt az EUB-</w:t>
      </w:r>
      <w:proofErr w:type="spellStart"/>
      <w:r w:rsidRPr="00697F67">
        <w:rPr>
          <w:rFonts w:eastAsia="Times New Roman"/>
          <w:szCs w:val="20"/>
          <w:lang w:val="hu-HU" w:eastAsia="en-GB"/>
        </w:rPr>
        <w:t>ra</w:t>
      </w:r>
      <w:proofErr w:type="spellEnd"/>
      <w:r w:rsidRPr="00697F67">
        <w:rPr>
          <w:rFonts w:eastAsia="Times New Roman"/>
          <w:szCs w:val="20"/>
          <w:lang w:val="hu-HU" w:eastAsia="en-GB"/>
        </w:rPr>
        <w:t>, többek között a növekvő infláció és bérkiigazítások, valamint számos áru és szolgáltatás energiaköltségeinek és költségeinek erőteljes növekedése révén;</w:t>
      </w:r>
    </w:p>
    <w:p w14:paraId="3B14C92D"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7.</w:t>
      </w:r>
      <w:r w:rsidRPr="00697F67">
        <w:rPr>
          <w:rFonts w:eastAsia="Times New Roman"/>
          <w:szCs w:val="20"/>
          <w:lang w:val="hu-HU" w:eastAsia="en-GB"/>
        </w:rPr>
        <w:tab/>
        <w:t>megelégedéssel veszi tudomásul, hogy a megbízott, engedélyezésre jogosult tisztviselő kijelentette, hogy az elkülönített forrásokat a tervezett célra és a hatékony és eredményes pénzgazdálkodás elvével összhangban használták fel, és hogy az alkalmazott ellenőrzési eljárások biztosították a szükséges garanciákat az alapul szolgáló ügyletek jogszerűsége és szabályszerűsége tekintetében;</w:t>
      </w:r>
    </w:p>
    <w:p w14:paraId="27768A89"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8.</w:t>
      </w:r>
      <w:r w:rsidRPr="00697F67">
        <w:rPr>
          <w:rFonts w:eastAsia="Times New Roman"/>
          <w:szCs w:val="20"/>
          <w:lang w:val="hu-HU" w:eastAsia="en-GB"/>
        </w:rPr>
        <w:tab/>
        <w:t>megjegyzi, hogy a kifizetések átlagos ideje a 2022. évi 24,32 nappal szemben 2023-ban 23,1 nap volt; felhívja az EUB-t, hogy folytassa a kifizetési idő csökkentésére irányuló erőfeszítéseit, különös tekintettel arra, hogy 2023-ban a számlák 81 %-a elektronikus úton érkezett be;</w:t>
      </w:r>
    </w:p>
    <w:p w14:paraId="09AD6351"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9.</w:t>
      </w:r>
      <w:r w:rsidRPr="00697F67">
        <w:rPr>
          <w:rFonts w:eastAsia="Times New Roman"/>
          <w:szCs w:val="20"/>
          <w:lang w:val="hu-HU" w:eastAsia="en-GB"/>
        </w:rPr>
        <w:tab/>
        <w:t>megjegyzi, hogy az EUB kiküldetési költségvetése, amely 2023-ban mind a személyzet, mind a tagok tekintetében 638 000 EUR volt, 2023-ban 3,3 %-kal csökkent 2022-höz képest; megjegyzi, hogy 2023-ban a kiküldetésekre vonatkozó előirányzatok 85,1 %-át használták fel, szemben a 2022. évi 46,6 %-kal, az akkori tartós utazási korlátozások miatt;</w:t>
      </w:r>
    </w:p>
    <w:p w14:paraId="5BC7E115"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lastRenderedPageBreak/>
        <w:t>Belső irányítás, teljesítmény és belső kontroll</w:t>
      </w:r>
    </w:p>
    <w:p w14:paraId="1E12C77C"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10.</w:t>
      </w:r>
      <w:r w:rsidRPr="00697F67">
        <w:rPr>
          <w:rFonts w:eastAsia="Times New Roman"/>
          <w:szCs w:val="20"/>
          <w:lang w:val="hu-HU" w:eastAsia="en-GB"/>
        </w:rPr>
        <w:tab/>
        <w:t>tudomásul veszi az EUB által 2023-ban az igazságszolgáltatási reformja felé tett jelentős lépéseket, amelyek a Bíróság előzetes döntéshozatalára vonatkozó hatáskörének a Törvényszékre való részleges átruházásához vezettek; megjegyzi, hogy 2023 végén politikai megállapodás született a Parlamenttel és a Tanáccsal az EUB alapokmányának módosítása és az EUB működésének javítása céljából, tekintettel az ügyek számának folyamatos növekedésére, valamint a feltett kérdések összetettségére és érzékeny jellegére; megjegyzi, hogy a reform 2024-es elfogadását követően részletes szabályokat és eljárásokat fogadtak el a reform befejezése és az új szabályozási keret 2024. október 1-jétől történő végrehajtásának lehetővé tétele érdekében;</w:t>
      </w:r>
    </w:p>
    <w:p w14:paraId="517BA641"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11.</w:t>
      </w:r>
      <w:r w:rsidRPr="00697F67">
        <w:rPr>
          <w:rFonts w:eastAsia="Times New Roman"/>
          <w:szCs w:val="20"/>
          <w:lang w:val="hu-HU" w:eastAsia="en-GB"/>
        </w:rPr>
        <w:tab/>
        <w:t>megjegyzi, hogy 2023-ban a Bíróság öt, a németországi, írországi, lengyelországi és romániai bíróságok által indított előzetes döntéshozatali eljárással összefüggésben az elsőbbség elvével kapcsolatos ügyben, valamint egy Lengyelországot érintő kötelezettségszegési ügyben hozott ítéletet; hangsúlyozza, hogy alapvetően fontos az uniós jog elsőbbségének elve, amely biztosítja az uniós jog egységes értelmezését és alkalmazását valamennyi tagállamban, és védi a jogállamiságot mint az Unió alapvető értékét; határozottan megerősíti, hogy az uniós jog elsőbbsége az uniós jogrend sarokköve, és kiemeli, hogy az EUB-</w:t>
      </w:r>
      <w:proofErr w:type="spellStart"/>
      <w:r w:rsidRPr="00697F67">
        <w:rPr>
          <w:rFonts w:eastAsia="Times New Roman"/>
          <w:szCs w:val="20"/>
          <w:lang w:val="hu-HU" w:eastAsia="en-GB"/>
        </w:rPr>
        <w:t>nak</w:t>
      </w:r>
      <w:proofErr w:type="spellEnd"/>
      <w:r w:rsidRPr="00697F67">
        <w:rPr>
          <w:rFonts w:eastAsia="Times New Roman"/>
          <w:szCs w:val="20"/>
          <w:lang w:val="hu-HU" w:eastAsia="en-GB"/>
        </w:rPr>
        <w:t xml:space="preserve"> meghatározó szerepe van a jogállamiság Unió-szerte történő fenntartásában; megjegyzi továbbá, hogy a Törvényszék hat ügyben hozott ítéletet az uniós költségvetés védelmét szolgáló intézkedésekkel kapcsolatban, amelyek a magyar kormány által elkövetett, az Unió alapvető értékeit módszeresen aláásó jogállamisági jogsértésekre irányultak; sürgeti a Bizottságot, hogy hozzon határozott végrehajtási intézkedéseket minden olyan tagállammal szemben, amely megkérdőjelezi vagy figyelmen kívül hagyja az EUB ítéleteinek kötelező jellegét; kiemeli, hogy az uniós költségvetés vizsgálatával kapcsolatos ügyekben valamennyi illetékes hatóságnak teljes mértékben tiszteletben kell tartania a jogszerű eljárás elvét és az alapvető jogokat;</w:t>
      </w:r>
    </w:p>
    <w:p w14:paraId="0FA5ED06"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12.</w:t>
      </w:r>
      <w:r w:rsidRPr="00697F67">
        <w:rPr>
          <w:rFonts w:eastAsia="Times New Roman"/>
          <w:szCs w:val="20"/>
          <w:lang w:val="hu-HU" w:eastAsia="en-GB"/>
        </w:rPr>
        <w:tab/>
        <w:t>megjegyzi, hogy az Európai Unióról szóló szerződés 4. cikkének (2) bekezdése kimondja, hogy „Az Unió tiszteletben tartja a tagállamoknak a Szerződések előtti egyenlőségét, valamint nemzeti identitását, amely elválaszthatatlan része azok alapvető politikai és alkotmányos berendezkedésének, ideértve a regionális és helyi önkormányzatokat is. Tiszteletben tartja az alapvető állami funkciókat […]”;</w:t>
      </w:r>
    </w:p>
    <w:p w14:paraId="6B82B7C0"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13.</w:t>
      </w:r>
      <w:r w:rsidRPr="00697F67">
        <w:rPr>
          <w:rFonts w:eastAsia="Times New Roman"/>
          <w:szCs w:val="20"/>
          <w:lang w:val="hu-HU" w:eastAsia="en-GB"/>
        </w:rPr>
        <w:tab/>
        <w:t xml:space="preserve">elítél minden olyan nemzeti intézkedést vagy jogalkotási fellépést, amelynek célja az EUB-ítéletek kodifikációjának és végrehajtásának aláásása; egy hivatalos </w:t>
      </w:r>
      <w:proofErr w:type="spellStart"/>
      <w:r w:rsidRPr="00697F67">
        <w:rPr>
          <w:rFonts w:eastAsia="Times New Roman"/>
          <w:szCs w:val="20"/>
          <w:lang w:val="hu-HU" w:eastAsia="en-GB"/>
        </w:rPr>
        <w:t>nyomonkövetési</w:t>
      </w:r>
      <w:proofErr w:type="spellEnd"/>
      <w:r w:rsidRPr="00697F67">
        <w:rPr>
          <w:rFonts w:eastAsia="Times New Roman"/>
          <w:szCs w:val="20"/>
          <w:lang w:val="hu-HU" w:eastAsia="en-GB"/>
        </w:rPr>
        <w:t xml:space="preserve"> mechanizmus létrehozását szorgalmazza az EUB ítéleteinek való tagállami megfelelés nyomon követésére, és javasolja, hogy a jogállamisági feltételrendszer keretében kössék e megfeleléshez az uniós finanszírozás folyósítását;</w:t>
      </w:r>
    </w:p>
    <w:p w14:paraId="10D01FEA"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14.</w:t>
      </w:r>
      <w:r w:rsidRPr="00697F67">
        <w:rPr>
          <w:rFonts w:eastAsia="Times New Roman"/>
          <w:szCs w:val="20"/>
          <w:lang w:val="hu-HU" w:eastAsia="en-GB"/>
        </w:rPr>
        <w:tab/>
        <w:t xml:space="preserve">megjegyzi, hogy 2023-ban 821 új ügyet nyújtottak be a Bírósághoz, szemben a 2022. évi 806 üggyel, és ezek 63 %-a előzetes döntéshozatal iránti kérelem, 28,6 %-a pedig a Törvényszék határozatai elleni fellebbezés volt; megjegyzi, hogy a Törvényszéknél jelentősen nőtt az ügyek száma: 2023-ban 1 271 új ügy volt, szemben a 2022. évi 904 új üggyel, beleértve a 2023 októberében benyújtott 404 közös ügyből álló kivételes sorozatot is; megjegyzi továbbá, hogy 2023-ben a Törvényszék esetében az új ügyek 37 %-a, köztük a 2023 októberében benyújtott 404 közös ügyből álló kivételes sorozat is az intézményi joggal, 24,3 %-a </w:t>
      </w:r>
      <w:proofErr w:type="spellStart"/>
      <w:r w:rsidRPr="00697F67">
        <w:rPr>
          <w:rFonts w:eastAsia="Times New Roman"/>
          <w:szCs w:val="20"/>
          <w:lang w:val="hu-HU" w:eastAsia="en-GB"/>
        </w:rPr>
        <w:t>a</w:t>
      </w:r>
      <w:proofErr w:type="spellEnd"/>
      <w:r w:rsidRPr="00697F67">
        <w:rPr>
          <w:rFonts w:eastAsia="Times New Roman"/>
          <w:szCs w:val="20"/>
          <w:lang w:val="hu-HU" w:eastAsia="en-GB"/>
        </w:rPr>
        <w:t xml:space="preserve"> szellemi tulajdonnal kapcsolatos keresetet, 6 %-a pedig az uniós intézmények és </w:t>
      </w:r>
      <w:proofErr w:type="spellStart"/>
      <w:r w:rsidRPr="00697F67">
        <w:rPr>
          <w:rFonts w:eastAsia="Times New Roman"/>
          <w:szCs w:val="20"/>
          <w:lang w:val="hu-HU" w:eastAsia="en-GB"/>
        </w:rPr>
        <w:t>alkalmazottaik</w:t>
      </w:r>
      <w:proofErr w:type="spellEnd"/>
      <w:r w:rsidRPr="00697F67">
        <w:rPr>
          <w:rFonts w:eastAsia="Times New Roman"/>
          <w:szCs w:val="20"/>
          <w:lang w:val="hu-HU" w:eastAsia="en-GB"/>
        </w:rPr>
        <w:t xml:space="preserve"> közötti jogvitát érintett; sürgeti a </w:t>
      </w:r>
      <w:r w:rsidRPr="00697F67">
        <w:rPr>
          <w:rFonts w:eastAsia="Times New Roman"/>
          <w:szCs w:val="20"/>
          <w:lang w:val="hu-HU" w:eastAsia="en-GB"/>
        </w:rPr>
        <w:lastRenderedPageBreak/>
        <w:t>Bizottságot, hogy hozzon határozott végrehajtási intézkedéseket minden olyan tagállammal szemben, amely megkérdőjelezi vagy figyelmen kívül hagyja az EUB ítéleteinek kötelező jellegét; a fent említett 404 ügyet egyetlen ügyként figyelembe véve 2023 végén 2587 ügy volt folyamatban, szemben a 2022 végi 2 585 üggyel és a 2021. év végi 2 541 üggyel;</w:t>
      </w:r>
    </w:p>
    <w:p w14:paraId="1B64FB7F"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15.</w:t>
      </w:r>
      <w:r w:rsidRPr="00697F67">
        <w:rPr>
          <w:rFonts w:eastAsia="Times New Roman"/>
          <w:szCs w:val="20"/>
          <w:lang w:val="hu-HU" w:eastAsia="en-GB"/>
        </w:rPr>
        <w:tab/>
        <w:t>megjegyzi, hogy a Bíróság 2023-ban 783 ügyet zárt le, szemben a 2022. évi 808 üggyel, és hogy a Törvényszék 2023-ban 904 ügyet zárt le, szemben a 2022. évi 858 üggyel;</w:t>
      </w:r>
    </w:p>
    <w:p w14:paraId="0C11066A"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16.</w:t>
      </w:r>
      <w:r w:rsidRPr="00697F67">
        <w:rPr>
          <w:rFonts w:eastAsia="Times New Roman"/>
          <w:szCs w:val="20"/>
          <w:lang w:val="hu-HU" w:eastAsia="en-GB"/>
        </w:rPr>
        <w:tab/>
        <w:t>üdvözli, hogy a Bíróság előtt lezárt ügyek esetében csökkent az eljárások átlagos időtartama, az eljárások átlagos hossza 2023-ban 16,1 hónap volt, a 2022. évi 16,4 hónappal szemben; megjegyzi, hogy a Törvényszék által lezárt ügyek átlagos időtartama 18,2 hónap volt, szemben a 2022. évi 16,2 hónappal, amit a Törvényszék a 2023-ban lefolytatott eljárások jellegével és összetettségével magyarázott;</w:t>
      </w:r>
    </w:p>
    <w:p w14:paraId="042FCABB"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17.</w:t>
      </w:r>
      <w:r w:rsidRPr="00697F67">
        <w:rPr>
          <w:rFonts w:eastAsia="Times New Roman"/>
          <w:szCs w:val="20"/>
          <w:lang w:val="hu-HU" w:eastAsia="en-GB"/>
        </w:rPr>
        <w:tab/>
        <w:t>megjegyzi, hogy a közvetlen keresetek és az előzetes döntéshozatal iránti kérelmek Bíróság előtti elbírálásának átlagos időtartama csökkent (a 2022. évi 23,5 hónapról 2023-ban 20,8 hónapra, illetve 17,3 hónapról 16,8 hónapra); megjegyzi, hogy a Bíróság előtti jogvitákat illetően jelentősen nőtt a közvetlen keresetek száma, különösen a környezetvédelem területén, és hogy a Bíróság elé 2023-ban előzetes döntéshozatalra előterjesztett kérdések elsősorban a szabadságon, a biztonságon és a jog érvényesülésén alapuló térségre vonatkoztak, amelyet az adózás, a fogyasztóvédelem és a közlekedés témaköre követett; megjegyzi, hogy a Törvényszék előtti jogvitákat illetően nőtt az ügyek száma a szellemi tulajdonjog, valamint a gazdasági és monetáris politika területén, beleértve a banki ügyeket is;</w:t>
      </w:r>
    </w:p>
    <w:p w14:paraId="3881209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18.</w:t>
      </w:r>
      <w:r w:rsidRPr="00697F67">
        <w:rPr>
          <w:rFonts w:eastAsia="Times New Roman"/>
          <w:szCs w:val="20"/>
          <w:lang w:val="hu-HU" w:eastAsia="en-GB"/>
        </w:rPr>
        <w:tab/>
        <w:t>megelégedéssel veszi tudomásul, hogy 2023-ban 10 502 e-</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-fiók létrehozásával magas volt az e-</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felhasználási aránya: a Törvényszékhez beérkezett keresetek 94 %-át az e-</w:t>
      </w:r>
      <w:proofErr w:type="spellStart"/>
      <w:r w:rsidRPr="00697F67">
        <w:rPr>
          <w:rFonts w:eastAsia="Times New Roman"/>
          <w:szCs w:val="20"/>
          <w:lang w:val="hu-HU" w:eastAsia="en-GB"/>
        </w:rPr>
        <w:t>Curián</w:t>
      </w:r>
      <w:proofErr w:type="spellEnd"/>
      <w:r w:rsidRPr="00697F67">
        <w:rPr>
          <w:rFonts w:eastAsia="Times New Roman"/>
          <w:szCs w:val="20"/>
          <w:lang w:val="hu-HU" w:eastAsia="en-GB"/>
        </w:rPr>
        <w:t xml:space="preserve"> keresztül nyújtották be, ami megegyezik a 2022-es adattal, míg az e-</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felhasználási aránya a Bíróságon körülbelül 89 %-</w:t>
      </w:r>
      <w:proofErr w:type="spellStart"/>
      <w:r w:rsidRPr="00697F67">
        <w:rPr>
          <w:rFonts w:eastAsia="Times New Roman"/>
          <w:szCs w:val="20"/>
          <w:lang w:val="hu-HU" w:eastAsia="en-GB"/>
        </w:rPr>
        <w:t>ra</w:t>
      </w:r>
      <w:proofErr w:type="spellEnd"/>
      <w:r w:rsidRPr="00697F67">
        <w:rPr>
          <w:rFonts w:eastAsia="Times New Roman"/>
          <w:szCs w:val="20"/>
          <w:lang w:val="hu-HU" w:eastAsia="en-GB"/>
        </w:rPr>
        <w:t xml:space="preserve"> nőtt, szemben a 2022. évi 87 %-kal;</w:t>
      </w:r>
    </w:p>
    <w:p w14:paraId="4CCBB3E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19.</w:t>
      </w:r>
      <w:r w:rsidRPr="00697F67">
        <w:rPr>
          <w:rFonts w:eastAsia="Times New Roman"/>
          <w:szCs w:val="20"/>
          <w:lang w:val="hu-HU" w:eastAsia="en-GB"/>
        </w:rPr>
        <w:tab/>
        <w:t>nagyra értékeli az igazságügyi archívum digitalizálása terén elért eredményeket, amelyek révén a dokumentumok egy digitális portálon keresztül megőrizhetővé válnak jövőbeli konzultációk céljából, megkönnyítve a kutatók és a nyilvánosság hozzáférését;</w:t>
      </w:r>
    </w:p>
    <w:p w14:paraId="3DC121C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20.</w:t>
      </w:r>
      <w:r w:rsidRPr="00697F67">
        <w:rPr>
          <w:rFonts w:eastAsia="Times New Roman"/>
          <w:szCs w:val="20"/>
          <w:lang w:val="hu-HU" w:eastAsia="en-GB"/>
        </w:rPr>
        <w:tab/>
        <w:t>üdvözli az EUB által kidolgozott teljesítményalapú megközelítést, amely lehetővé teszi az EUB számára, hogy az elért teljesítményen és a célkitűzések munkateher- és operatív mutatókkal mért megvalósítási szintjén alapuló döntéseket hozzon; megjegyzi, hogy az EUB által használt fő teljesítménymutatók az EUB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w:t>
      </w:r>
    </w:p>
    <w:p w14:paraId="35396AA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21.</w:t>
      </w:r>
      <w:r w:rsidRPr="00697F67">
        <w:rPr>
          <w:rFonts w:eastAsia="Times New Roman"/>
          <w:szCs w:val="20"/>
          <w:lang w:val="hu-HU" w:eastAsia="en-GB"/>
        </w:rPr>
        <w:tab/>
        <w:t>megjegyzi, hogy az EUB belsőkontroll-keretét 2022–2023-ban mélyreható értékelésnek vetették alá, amely megerősítette annak megbízhatóságát; megjegyzi, hogy ezen értékelés részeként a pénzügyi ellenőrzési folyamatokat kiigazították az ellenőrzések hatékonyabbá tétele érdekében;</w:t>
      </w:r>
    </w:p>
    <w:p w14:paraId="76BCFAE1"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lastRenderedPageBreak/>
        <w:t>22.</w:t>
      </w:r>
      <w:r w:rsidRPr="00697F67">
        <w:rPr>
          <w:rFonts w:eastAsia="Times New Roman"/>
          <w:szCs w:val="20"/>
          <w:lang w:val="hu-HU" w:eastAsia="en-GB"/>
        </w:rPr>
        <w:tab/>
        <w:t>megjegyzi, hogy a 2023-ban elvégzett fő belső ellenőrzések az EUB épülettakarítással kapcsolatos kiadásaira, az EUB informatikai eszközeinek védelmét szolgáló belső kontrollrendszer hatékonyságára és a személyzet kiválasztási eljárásaira vonatkoztak; megjegyzi, hogy egy belső ellenőrzés tanulmányt is készítettek a mesterséges intelligencia igazságszolgáltatásban</w:t>
      </w:r>
      <w:bookmarkStart w:id="7" w:name="_bookmark0"/>
      <w:bookmarkEnd w:id="7"/>
      <w:r w:rsidRPr="00697F67">
        <w:rPr>
          <w:rFonts w:eastAsia="Times New Roman"/>
          <w:szCs w:val="20"/>
          <w:lang w:val="hu-HU" w:eastAsia="en-GB"/>
        </w:rPr>
        <w:t xml:space="preserve"> való alkalmazásáról „a mesterséges intelligencián alapuló eszközöknek az EUB működésébe történő integrálására irányuló stratégia” végrehajtásával kapcsolatban; megjegyzi, hogy az EUB szolgálatai sok esetben a belső ellenőrzések hivatalos véglegesítése előtt intézkedéseket hoztak a belső ellenőrzési ajánlások végrehajtása érdekében, és hogy ezeket az intézkedéseket a belső ellenőr kielégítőnek ítélte;</w:t>
      </w:r>
    </w:p>
    <w:p w14:paraId="4AF179C1"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Emberi erőforrások, egyenlőség és a személyzet jólléte</w:t>
      </w:r>
    </w:p>
    <w:p w14:paraId="2CD8D03C"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23.</w:t>
      </w:r>
      <w:r w:rsidRPr="00697F67">
        <w:rPr>
          <w:rFonts w:eastAsia="Times New Roman"/>
          <w:szCs w:val="20"/>
          <w:lang w:val="hu-HU" w:eastAsia="en-GB"/>
        </w:rPr>
        <w:tab/>
        <w:t xml:space="preserve">megjegyzi, hogy 2023 végén az EUB 1 340 tisztviselőt (58 %), 765 ideiglenes alkalmazottat (33 %) foglalkoztatott az EU egyéb </w:t>
      </w:r>
      <w:proofErr w:type="spellStart"/>
      <w:r w:rsidRPr="00697F67">
        <w:rPr>
          <w:rFonts w:eastAsia="Times New Roman"/>
          <w:szCs w:val="20"/>
          <w:lang w:val="hu-HU" w:eastAsia="en-GB"/>
        </w:rPr>
        <w:t>alkalmazottaira</w:t>
      </w:r>
      <w:proofErr w:type="spellEnd"/>
      <w:r w:rsidRPr="00697F67">
        <w:rPr>
          <w:rFonts w:eastAsia="Times New Roman"/>
          <w:szCs w:val="20"/>
          <w:lang w:val="hu-HU" w:eastAsia="en-GB"/>
        </w:rPr>
        <w:t xml:space="preserve"> vonatkozó alkalmazási feltételek 2. cikkének a), b) és c) pontja alapján, valamint 198 szerződéses alkalmazottat (9 %); megjegyzi, hogy 2023 végén a létszámterv betöltöttségi aránya 97,11 % volt; megjegyzi továbbá, hogy a személyzet éves fluktuációja 2023-ban 7,8 % volt, és ennek 20 %-át az EUB-</w:t>
      </w:r>
      <w:proofErr w:type="spellStart"/>
      <w:r w:rsidRPr="00697F67">
        <w:rPr>
          <w:rFonts w:eastAsia="Times New Roman"/>
          <w:szCs w:val="20"/>
          <w:lang w:val="hu-HU" w:eastAsia="en-GB"/>
        </w:rPr>
        <w:t>ból</w:t>
      </w:r>
      <w:proofErr w:type="spellEnd"/>
      <w:r w:rsidRPr="00697F67">
        <w:rPr>
          <w:rFonts w:eastAsia="Times New Roman"/>
          <w:szCs w:val="20"/>
          <w:lang w:val="hu-HU" w:eastAsia="en-GB"/>
        </w:rPr>
        <w:t xml:space="preserve"> nyugdíjba vonult személyzet tette ki;</w:t>
      </w:r>
    </w:p>
    <w:p w14:paraId="14B94F96"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24.</w:t>
      </w:r>
      <w:r w:rsidRPr="00697F67">
        <w:rPr>
          <w:rFonts w:eastAsia="Times New Roman"/>
          <w:szCs w:val="20"/>
          <w:lang w:val="hu-HU" w:eastAsia="en-GB"/>
        </w:rPr>
        <w:tab/>
        <w:t>megjegyzi, hogy a Bíróság 27 bíróból és 11 főtanácsnokból áll, és 2023-ban egyetlen új bíró vagy főtanácsnok sem lépett hivatalba; megjegyzi továbbá, hogy a Törvényszék 54 bíróból áll, és hogy 2023-ban két új bíró lépett hivatalba, egy nő és egy férfi; megjegyzi továbbá, hogy 2023-ban megválasztották a Törvényszék új hivatalvezetőjét;</w:t>
      </w:r>
    </w:p>
    <w:p w14:paraId="242EF367"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25.</w:t>
      </w:r>
      <w:r w:rsidRPr="00697F67">
        <w:rPr>
          <w:rFonts w:eastAsia="Times New Roman"/>
          <w:szCs w:val="20"/>
          <w:lang w:val="hu-HU" w:eastAsia="en-GB"/>
        </w:rPr>
        <w:tab/>
        <w:t>üdvözli az EUB által a Parlament Költségvetési Ellenőrző Bizottságának kérdőívére a jelenlegi mentesítési eljárás részeként adott részletes válaszokat, különös tekintettel a munkatársak 2023 végi megoszlására;</w:t>
      </w:r>
      <w:r w:rsidRPr="00697F67">
        <w:rPr>
          <w:rFonts w:eastAsia="Times New Roman"/>
          <w:b/>
          <w:i/>
          <w:szCs w:val="20"/>
          <w:lang w:val="hu-HU" w:eastAsia="en-GB"/>
        </w:rPr>
        <w:t xml:space="preserve"> </w:t>
      </w:r>
      <w:r w:rsidRPr="00697F67">
        <w:rPr>
          <w:rFonts w:eastAsia="Times New Roman"/>
          <w:szCs w:val="20"/>
          <w:lang w:val="hu-HU" w:eastAsia="en-GB"/>
        </w:rPr>
        <w:t xml:space="preserve">megjegyzi,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és főtanácsnokok helyettesítésére jelölt személyek jelölése során vegyék figyelembe a nemek közötti egyensúly szükségességét; felhívja a tagállamokat, hogy vegyék figyelembe a nemek közötti egyensúly szükségességét, amikor jelölteket jelölnek a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pótlása céljából;</w:t>
      </w:r>
    </w:p>
    <w:p w14:paraId="383C7BF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26.</w:t>
      </w:r>
      <w:r w:rsidRPr="00697F67">
        <w:rPr>
          <w:rFonts w:eastAsia="Times New Roman"/>
          <w:szCs w:val="20"/>
          <w:lang w:val="hu-HU" w:eastAsia="en-GB"/>
        </w:rPr>
        <w:tab/>
        <w:t>megjegyzi, hogy a 2023 végén állományban lévő 2303 tisztviselő és alkalmazott 61 %-a volt nő; üdvözli, hogy az adminisztratív pozíciókban a nők aránya 55 %, és különösen azt, hogy arányuk a vezető pozíciókban a 2022-es és 2021-es 40 %-</w:t>
      </w:r>
      <w:proofErr w:type="spellStart"/>
      <w:r w:rsidRPr="00697F67">
        <w:rPr>
          <w:rFonts w:eastAsia="Times New Roman"/>
          <w:szCs w:val="20"/>
          <w:lang w:val="hu-HU" w:eastAsia="en-GB"/>
        </w:rPr>
        <w:t>ról</w:t>
      </w:r>
      <w:proofErr w:type="spellEnd"/>
      <w:r w:rsidRPr="00697F67">
        <w:rPr>
          <w:rFonts w:eastAsia="Times New Roman"/>
          <w:szCs w:val="20"/>
          <w:lang w:val="hu-HU" w:eastAsia="en-GB"/>
        </w:rPr>
        <w:t xml:space="preserve"> 43 %-</w:t>
      </w:r>
      <w:proofErr w:type="spellStart"/>
      <w:r w:rsidRPr="00697F67">
        <w:rPr>
          <w:rFonts w:eastAsia="Times New Roman"/>
          <w:szCs w:val="20"/>
          <w:lang w:val="hu-HU" w:eastAsia="en-GB"/>
        </w:rPr>
        <w:t>ra</w:t>
      </w:r>
      <w:proofErr w:type="spellEnd"/>
      <w:r w:rsidRPr="00697F67">
        <w:rPr>
          <w:rFonts w:eastAsia="Times New Roman"/>
          <w:szCs w:val="20"/>
          <w:lang w:val="hu-HU" w:eastAsia="en-GB"/>
        </w:rPr>
        <w:t xml:space="preserve"> emelkedett, ami megerősíti a 2018 óta megfigyelhető növekedési tendenciát (2020-ban 41 %, 2019-ben 39 %, 2018-ban pedig 37,5 % volt); megjegyzi, hogy a nők aránya az asszisztensi besorolási fokozatokban volt a legmagasabb, míg a felsővezetői pozíciókban a legalacsonyabb; felhívja az EUB-t, hogy biztosítsa a nők nagyobb arányú képviseletét a felsővezetői pozíciókban, és tegyen további intézkedéseket a nemek közötti egyensúly valamennyi szinten történő előmozdítása érdekében;</w:t>
      </w:r>
      <w:r w:rsidRPr="00697F67">
        <w:rPr>
          <w:rFonts w:eastAsia="Times New Roman"/>
          <w:color w:val="FF0000"/>
          <w:szCs w:val="20"/>
          <w:lang w:val="hu-HU" w:eastAsia="en-GB"/>
        </w:rPr>
        <w:t xml:space="preserve"> </w:t>
      </w:r>
      <w:r w:rsidRPr="00697F67">
        <w:rPr>
          <w:rFonts w:eastAsia="Times New Roman"/>
          <w:szCs w:val="20"/>
          <w:lang w:val="hu-HU" w:eastAsia="en-GB"/>
        </w:rPr>
        <w:t>üdvözli az EUB által az egyenlőség, a befogadás és a sokszínűség érdekében tett erőfeszítéseket, különösen a munkaerő-felvétel szakaszában;</w:t>
      </w:r>
    </w:p>
    <w:p w14:paraId="036C08B3"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27.</w:t>
      </w:r>
      <w:r w:rsidRPr="00697F67">
        <w:rPr>
          <w:rFonts w:eastAsia="Times New Roman"/>
          <w:szCs w:val="20"/>
          <w:lang w:val="hu-HU" w:eastAsia="en-GB"/>
        </w:rPr>
        <w:tab/>
        <w:t xml:space="preserve">felhívja az EUB-t, hogy tegyen közzé a nemek szerinti megoszlásról szóló éves jelentést annak érdekében, hogy átláthatóságot biztosítson a nemeknek az intézmény minden szintjén megvalósuló képviselete tekintetében, beleértve a </w:t>
      </w:r>
      <w:proofErr w:type="spellStart"/>
      <w:r w:rsidRPr="00697F67">
        <w:rPr>
          <w:rFonts w:eastAsia="Times New Roman"/>
          <w:szCs w:val="20"/>
          <w:lang w:val="hu-HU" w:eastAsia="en-GB"/>
        </w:rPr>
        <w:t>bírákat</w:t>
      </w:r>
      <w:proofErr w:type="spellEnd"/>
      <w:r w:rsidRPr="00697F67">
        <w:rPr>
          <w:rFonts w:eastAsia="Times New Roman"/>
          <w:szCs w:val="20"/>
          <w:lang w:val="hu-HU" w:eastAsia="en-GB"/>
        </w:rPr>
        <w:t xml:space="preserve">, a </w:t>
      </w:r>
      <w:r w:rsidRPr="00697F67">
        <w:rPr>
          <w:rFonts w:eastAsia="Times New Roman"/>
          <w:szCs w:val="20"/>
          <w:lang w:val="hu-HU" w:eastAsia="en-GB"/>
        </w:rPr>
        <w:lastRenderedPageBreak/>
        <w:t xml:space="preserve">főtanácsnokokat és az adminisztratív személyzetet, </w:t>
      </w:r>
      <w:proofErr w:type="gramStart"/>
      <w:r w:rsidRPr="00697F67">
        <w:rPr>
          <w:rFonts w:eastAsia="Times New Roman"/>
          <w:szCs w:val="20"/>
          <w:lang w:val="hu-HU" w:eastAsia="en-GB"/>
        </w:rPr>
        <w:t>valamint</w:t>
      </w:r>
      <w:proofErr w:type="gramEnd"/>
      <w:r w:rsidRPr="00697F67">
        <w:rPr>
          <w:rFonts w:eastAsia="Times New Roman"/>
          <w:szCs w:val="20"/>
          <w:lang w:val="hu-HU" w:eastAsia="en-GB"/>
        </w:rPr>
        <w:t xml:space="preserve"> hogy írjon elő konkrét intézkedéseket a nemek közötti számbeli egyenlőség javítására a vezető pozíciókban;</w:t>
      </w:r>
    </w:p>
    <w:p w14:paraId="62967253"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28.</w:t>
      </w:r>
      <w:r w:rsidRPr="00697F67">
        <w:rPr>
          <w:rFonts w:eastAsia="Times New Roman"/>
          <w:szCs w:val="20"/>
          <w:lang w:val="hu-HU" w:eastAsia="en-GB"/>
        </w:rPr>
        <w:tab/>
        <w:t xml:space="preserve">üdvözli, hogy az EUB személyzetében valamennyi uniós nemzetiség képviselteti magát, de megjegyzi, hogy egyes állampolgárságok felülreprezentáltak; üdvözli, hogy az EUB folytatta a személyzetén belüli jobb földrajzi egyensúly előmozdítására irányuló erőfeszítéseit, különösen azáltal, hogy növelte az állásajánlatok láthatóságát és </w:t>
      </w:r>
      <w:proofErr w:type="spellStart"/>
      <w:r w:rsidRPr="00697F67">
        <w:rPr>
          <w:rFonts w:eastAsia="Times New Roman"/>
          <w:szCs w:val="20"/>
          <w:lang w:val="hu-HU" w:eastAsia="en-GB"/>
        </w:rPr>
        <w:t>vonzerejét</w:t>
      </w:r>
      <w:proofErr w:type="spellEnd"/>
      <w:r w:rsidRPr="00697F67">
        <w:rPr>
          <w:rFonts w:eastAsia="Times New Roman"/>
          <w:szCs w:val="20"/>
          <w:lang w:val="hu-HU" w:eastAsia="en-GB"/>
        </w:rPr>
        <w:t>, kedvezőbb munkakörülményeket teremtett és kínált, hogy egyes kevésbé reprezentált tagállamokból ideiglenes alkalmazottakat vonzzon, és széles körben kommunikáljon a különböző célközönségekkel az EUB álláslehetőségeiről; megjegyzi, hogy az EUB gyakornoki programja révén jelentős erőfeszítéseket tettek annak érdekében, hogy számos tehetséges fiatalt vonzzanak különböző tagállamokból; felkéri az EUB-t, hogy vizsgálja meg, hogy a gyakornokok minden tagállamból megfelelő arányban képviseltetik-e magukat;</w:t>
      </w:r>
    </w:p>
    <w:p w14:paraId="40ACB5F1"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29.</w:t>
      </w:r>
      <w:r w:rsidRPr="00697F67">
        <w:rPr>
          <w:rFonts w:eastAsia="Times New Roman"/>
          <w:szCs w:val="20"/>
          <w:lang w:val="hu-HU" w:eastAsia="en-GB"/>
        </w:rPr>
        <w:tab/>
        <w:t>sürgeti az EUB-t, hogy mozdítsa elő a többnyelvű munkakörnyezetet, elismerve, hogy az elősegítheti a nemzetiségek közötti méltányos eloszlást munkatársainak körében; felhívja az összes uniós intézményt, hogy tartsák fenn és biztosítsák a többnyelvűség elvét;</w:t>
      </w:r>
    </w:p>
    <w:p w14:paraId="3CCCA59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30.</w:t>
      </w:r>
      <w:r w:rsidRPr="00697F67">
        <w:rPr>
          <w:rFonts w:eastAsia="Times New Roman"/>
          <w:szCs w:val="20"/>
          <w:lang w:val="hu-HU" w:eastAsia="en-GB"/>
        </w:rPr>
        <w:tab/>
        <w:t xml:space="preserve">üdvözli a Luxemburg személyzeti </w:t>
      </w:r>
      <w:proofErr w:type="spellStart"/>
      <w:r w:rsidRPr="00697F67">
        <w:rPr>
          <w:rFonts w:eastAsia="Times New Roman"/>
          <w:szCs w:val="20"/>
          <w:lang w:val="hu-HU" w:eastAsia="en-GB"/>
        </w:rPr>
        <w:t>vonzerejének</w:t>
      </w:r>
      <w:proofErr w:type="spellEnd"/>
      <w:r w:rsidRPr="00697F67">
        <w:rPr>
          <w:rFonts w:eastAsia="Times New Roman"/>
          <w:szCs w:val="20"/>
          <w:lang w:val="hu-HU" w:eastAsia="en-GB"/>
        </w:rPr>
        <w:t xml:space="preserve"> növelésével foglalkozó magas szintű intézményközi csoportban végzett munkát; felhívja az EUB-t, hogy különböző kezdeményezések keretében tartsa fenn és fokozza az együttműködést más luxemburgi székhelyű intézményekkel; elismeréssel jegyzi meg, hogy a költségvetési hatóság jóváhagyta a 2025. évi pénzügyi évre vonatkozó, ahhoz szükséges előirányzatokat, hogy a magas szintű intézményközi csoport ajánlásának megfelelően az alacsonyabb besorolási fokozatú alkalmazottak lakhatási támogatásban részesülhessenek; kéri, hogy tájékoztassák a Parlamentet azon kezdeményezések előrehaladásáról, amelyek célja Luxemburg mint munkahely </w:t>
      </w:r>
      <w:proofErr w:type="spellStart"/>
      <w:r w:rsidRPr="00697F67">
        <w:rPr>
          <w:rFonts w:eastAsia="Times New Roman"/>
          <w:szCs w:val="20"/>
          <w:lang w:val="hu-HU" w:eastAsia="en-GB"/>
        </w:rPr>
        <w:t>vonzerejének</w:t>
      </w:r>
      <w:proofErr w:type="spellEnd"/>
      <w:r w:rsidRPr="00697F67">
        <w:rPr>
          <w:rFonts w:eastAsia="Times New Roman"/>
          <w:szCs w:val="20"/>
          <w:lang w:val="hu-HU" w:eastAsia="en-GB"/>
        </w:rPr>
        <w:t xml:space="preserve"> növelése;</w:t>
      </w:r>
    </w:p>
    <w:p w14:paraId="11F92677"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31.</w:t>
      </w:r>
      <w:r w:rsidRPr="00697F67">
        <w:rPr>
          <w:rFonts w:eastAsia="Times New Roman"/>
          <w:szCs w:val="20"/>
          <w:lang w:val="hu-HU" w:eastAsia="en-GB"/>
        </w:rPr>
        <w:tab/>
        <w:t>megjegyzi, hogy 2023-ban az EUB számos kezdeményezést hajtott végre a személyzet fizikai és mentális jóllétének speciális munkaértekezletek és figyelemfelkeltő tevékenységek révén történő előmozdítása érdekében; megjegyzi, hogy a 2022. május 1-jén hatályba lépett távmunkarendszert a vezetők pozitívan értékelték, hiszen 92 %-</w:t>
      </w:r>
      <w:proofErr w:type="spellStart"/>
      <w:r w:rsidRPr="00697F67">
        <w:rPr>
          <w:rFonts w:eastAsia="Times New Roman"/>
          <w:szCs w:val="20"/>
          <w:lang w:val="hu-HU" w:eastAsia="en-GB"/>
        </w:rPr>
        <w:t>uk</w:t>
      </w:r>
      <w:proofErr w:type="spellEnd"/>
      <w:r w:rsidRPr="00697F67">
        <w:rPr>
          <w:rFonts w:eastAsia="Times New Roman"/>
          <w:szCs w:val="20"/>
          <w:lang w:val="hu-HU" w:eastAsia="en-GB"/>
        </w:rPr>
        <w:t xml:space="preserve"> azt válaszolta, hogy a személyzet távmunkájának termelékenysége egyenértékű vagy jobb volt, mint a távmunkarendszer létrehozása előtt; megjegyzi, hogy a munka és a magánélet közötti jobb egyensúly elérése érdekében az EUB 2023-ban megújította annak lehetőségét, hogy személyzete évente legfeljebb 10 napot dolgozzon az alkalmazási helyen kívülről, különösen a bírósági szünetek idején;</w:t>
      </w:r>
    </w:p>
    <w:p w14:paraId="1E4554D6"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32.</w:t>
      </w:r>
      <w:r w:rsidRPr="00697F67">
        <w:rPr>
          <w:rFonts w:eastAsia="Times New Roman"/>
          <w:szCs w:val="20"/>
          <w:lang w:val="hu-HU" w:eastAsia="en-GB"/>
        </w:rPr>
        <w:tab/>
        <w:t>üdvözli a folyamatban lévő figyelemfelkeltő, tájékoztató és képzési kampányokat, amelyek célja a befogadás, a kölcsönös tisztelet, az együttműködés, valamint a fogyatékossággal élő személyek és segítőik támogatásának előmozdítása;</w:t>
      </w:r>
    </w:p>
    <w:p w14:paraId="64D452A8"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33.</w:t>
      </w:r>
      <w:r w:rsidRPr="00697F67">
        <w:rPr>
          <w:rFonts w:eastAsia="Times New Roman"/>
          <w:szCs w:val="20"/>
          <w:lang w:val="hu-HU" w:eastAsia="en-GB"/>
        </w:rPr>
        <w:tab/>
        <w:t xml:space="preserve">megjegyzi, hogy a betegszabadságban töltött munkanapok száma 2023-ban 20 198 volt, ami 2022-höz képest 14,78 %-os csökkenésnek felel meg; aggodalommal állapítja meg, hogy az orvosi szolgálat 2023-ban 11 kiégési esetről számolt be; üdvözli, hogy az EUB alaposan elemezte a diagnosztikai jelentéseket a munkahelyi kiégés eseteinek azonosítása érdekében, és a megelőző intézkedésekre összpontosított, különösen az egészségügyi és szociális munkások csoportjának megerősítésére, a munkahelyi </w:t>
      </w:r>
      <w:proofErr w:type="spellStart"/>
      <w:r w:rsidRPr="00697F67">
        <w:rPr>
          <w:rFonts w:eastAsia="Times New Roman"/>
          <w:szCs w:val="20"/>
          <w:lang w:val="hu-HU" w:eastAsia="en-GB"/>
        </w:rPr>
        <w:t>pszichoszociális</w:t>
      </w:r>
      <w:proofErr w:type="spellEnd"/>
      <w:r w:rsidRPr="00697F67">
        <w:rPr>
          <w:rFonts w:eastAsia="Times New Roman"/>
          <w:szCs w:val="20"/>
          <w:lang w:val="hu-HU" w:eastAsia="en-GB"/>
        </w:rPr>
        <w:t xml:space="preserve"> kockázatok megelőzésére, valamint a lecsatlakozáshoz való jogra és a </w:t>
      </w:r>
      <w:r w:rsidRPr="00697F67">
        <w:rPr>
          <w:rFonts w:eastAsia="Times New Roman"/>
          <w:szCs w:val="20"/>
          <w:lang w:val="hu-HU" w:eastAsia="en-GB"/>
        </w:rPr>
        <w:lastRenderedPageBreak/>
        <w:t>túlteljesítés kockázataira vonatkozó, a vezetőségnek szóló figyelemfelkeltő tevékenységek bevezetésére; ösztönzi az EUB-t, hogy továbbra is összpontosítson erre a problémára a kiégéssel kapcsolatos esetek megelőzése érdekében, és tájékoztassa a Parlamentet az e tekintetben hozott intézkedésekről;</w:t>
      </w:r>
    </w:p>
    <w:p w14:paraId="4073EAB9"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34.</w:t>
      </w:r>
      <w:r w:rsidRPr="00697F67">
        <w:rPr>
          <w:rFonts w:eastAsia="Times New Roman"/>
          <w:szCs w:val="20"/>
          <w:lang w:val="hu-HU" w:eastAsia="en-GB"/>
        </w:rPr>
        <w:tab/>
        <w:t>megjegyzi, hogy 2023-ban adminisztratív vizsgálatot indítottak a személyzet egy tagját érintő állítólagos szexuális zaklatással kapcsolatban, és hogy ezt az ügyet 2024-ben szankcióval lezárták; aggodalmának ad hangot amiatt, hogy 2023-ban egy bírót érintő állítólagos zaklatással kapcsolatos segítségnyújtási eljárást is elindítottak, de abban az ügyben nem állapítottak meg zaklatást; megjegyzi, hogy ezért az Európa Tanácsnak a nőkkel szembeni erőszak és a kapcsolati erőszak elleni küzdelemről és azok megelőzéséről szóló egyezményének ratifikálása előtt 2023 márciusában létrehozott szolgálatközi munkacsoport megvizsgálta az EUB-ban a zaklatások megelőzése érdekében alkalmazott szabályokat és eljárásokat, és ajánlásokat fogalmazott meg e szabályok és eljárások javítása érdekében; ösztönzi az EUB-t, hogy figyeljen oda a kérdésre, és továbbra is a zéró tolerancia elvét alkalmazza a munkahelyi zaklatással szemben oly módon, hogy a hatalommal való visszaélés megelőzése érdekében valamennyi bíró és vezető tisztviselő számára kötelező képzést vezet be a nem tudatos elfogultság és az etikai normák tárgyában;</w:t>
      </w:r>
    </w:p>
    <w:p w14:paraId="3A008011"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Etikai keret</w:t>
      </w:r>
    </w:p>
    <w:p w14:paraId="403DE33E"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35.</w:t>
      </w:r>
      <w:r w:rsidRPr="00697F67">
        <w:rPr>
          <w:rFonts w:eastAsia="Times New Roman"/>
          <w:szCs w:val="20"/>
          <w:lang w:val="hu-HU" w:eastAsia="en-GB"/>
        </w:rPr>
        <w:tab/>
        <w:t>megelégedéssel nyugtázza, hogy a korábbi mentesítési ajánlásokban kérteknek megfelelően 2023-ban kidolgozták és 2024 márciusában elfogadták az EUB tisztviselőinek és egyéb alkalmazottainak jogaira és kötelezettségeire vonatkozó, az EUB értékeit és etikai elkötelezettségét tükröző új magatartási kódexet;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és az Európai Igazságügyi Képzési Hálózat keretében kihelyezett nemzeti szakértőkre és bírósági titkárokra is vonatkozik; megjegyzi, hogy 2023-ban tudatosságnövelő tevékenységeket és megújított képzéseket szerveztek a személyzet és a vezetők számára a magatartási kódexről, különös tekintettel az újonnan érkezőkre; rendszeres jelleggel kötelező képzést szorgalmaz a teljes személyzet számára, és kéri, hogy a Parlamentet folyamatosan tájékoztassák a magatartási kódex végrehajtásáról;</w:t>
      </w:r>
    </w:p>
    <w:p w14:paraId="21439DEA"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36.</w:t>
      </w:r>
      <w:r w:rsidRPr="00697F67">
        <w:rPr>
          <w:rFonts w:eastAsia="Times New Roman"/>
          <w:szCs w:val="20"/>
          <w:lang w:val="hu-HU" w:eastAsia="en-GB"/>
        </w:rPr>
        <w:tab/>
        <w:t>megjegyzi, hogy a magatartási kódex hatálybalépése előtt két lehetséges összeférhetetlenségi esetet jelentettek be és kezeltek a hatályos eljárásoknak megfelelően annak biztosítása érdekében, hogy az érintett új alkalmazottak ne vehessenek részt olyan ügyek kezelésében, amelyekről tudomásuk volt egy korábbi munkahelyükről;</w:t>
      </w:r>
    </w:p>
    <w:p w14:paraId="3A0DCC10"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37.</w:t>
      </w:r>
      <w:r w:rsidRPr="00697F67">
        <w:rPr>
          <w:rFonts w:eastAsia="Times New Roman"/>
          <w:szCs w:val="20"/>
          <w:lang w:val="hu-HU" w:eastAsia="en-GB"/>
        </w:rPr>
        <w:tab/>
        <w:t xml:space="preserve">megjegyzi, hogy az EUB tagjaira és volt tagjaira vonatkozó magatartási kódex elfogadását követően a tagok érdekeltségi nyilatkozatát online közzétették az ügyek kezelése során felmerülő esetleges összeférhetetlenségek elkerülése érdekében; megjegyzi, hogy az EUB folyamatosan újraértékeli az e kérdésre vonatkozó belső szabályait annak érdekében, hogy naprakésszé tegye ezeket a szabályokat, és biztosítsa az etikus magatartás lehető legmagasabb szintű normáit; felhívja az EUB-t, hogy hozzon létre független etikai bizottságot a magatartási kódex betartásának felügyelete és az esetleges jogsértések kivizsgálása érdekében; szorgalmazza, hogy az EUB teljes </w:t>
      </w:r>
      <w:r w:rsidRPr="00697F67">
        <w:rPr>
          <w:rFonts w:eastAsia="Times New Roman"/>
          <w:szCs w:val="20"/>
          <w:lang w:val="hu-HU" w:eastAsia="en-GB"/>
        </w:rPr>
        <w:lastRenderedPageBreak/>
        <w:t xml:space="preserve">személyzete, köztük a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és főtanácsnokok is részesüljenek kötelező éves etikai képzésben az EUB integritásának megőrzése érdekében; kéri az EUB-t, hogy tájékoztassa a Parlamentet az összeférhetetlenség megelőzését célzó ezen intézkedés hatékonyságára vonatkozó további értékelések eredményeiről;</w:t>
      </w:r>
    </w:p>
    <w:p w14:paraId="3E5A422D"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38.</w:t>
      </w:r>
      <w:r w:rsidRPr="00697F67">
        <w:rPr>
          <w:rFonts w:eastAsia="Times New Roman"/>
          <w:szCs w:val="20"/>
          <w:lang w:val="hu-HU" w:eastAsia="en-GB"/>
        </w:rPr>
        <w:tab/>
        <w:t>üdvözli, hogy közzétették az EUB tagjainak érdekeltségi nyilatkozatait, de a lehetséges összeférhetetlenségek korai szakaszban történő azonosítása és enyhítése érdekében kéri egy kinevezést megelőző szabványos átvilágítási eljárás bevezetését; sürgeti a Tanácsot, hogy dolgozzon ki átlátható iránymutatásokat a tagállamok számára az EUB bírói tisztségeire jelölt személyek jelölése tekintetében;</w:t>
      </w:r>
    </w:p>
    <w:p w14:paraId="27A99350"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39.</w:t>
      </w:r>
      <w:r w:rsidRPr="00697F67">
        <w:rPr>
          <w:rFonts w:eastAsia="Times New Roman"/>
          <w:szCs w:val="20"/>
          <w:lang w:val="hu-HU" w:eastAsia="en-GB"/>
        </w:rPr>
        <w:tab/>
        <w:t xml:space="preserve">sürgeti az EUB-t, hogy vezessen be kötelező kizárási politikát a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számára azokban az esetekben, amikor korábban szakmai kapcsolatban álltak az EUB előtt megjelenő peres felekkel; szigorúbb összeférhetetlenségi átvilágításra szólít fel a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és a személyzet magas rangú tagjai esetében, beleértve a pénzügyi közzétételi követelmények rendszeres frissítését is; kéri a kizárásról szóló határozatok valós idejű közzétételét azokban az esetekben, amikor a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összeférhetetlenséget jelentenek be, nagyobb átláthatóságot biztosítva a bírósági eljárás során, és megerősítve a nyilvánosságnak az EUB </w:t>
      </w:r>
      <w:proofErr w:type="spellStart"/>
      <w:r w:rsidRPr="00697F67">
        <w:rPr>
          <w:rFonts w:eastAsia="Times New Roman"/>
          <w:szCs w:val="20"/>
          <w:lang w:val="hu-HU" w:eastAsia="en-GB"/>
        </w:rPr>
        <w:t>pártatlanságába</w:t>
      </w:r>
      <w:proofErr w:type="spellEnd"/>
      <w:r w:rsidRPr="00697F67">
        <w:rPr>
          <w:rFonts w:eastAsia="Times New Roman"/>
          <w:szCs w:val="20"/>
          <w:lang w:val="hu-HU" w:eastAsia="en-GB"/>
        </w:rPr>
        <w:t xml:space="preserve"> és feddhetetlenségébe vetett bizalmát;</w:t>
      </w:r>
    </w:p>
    <w:p w14:paraId="2F852B2C"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40.</w:t>
      </w:r>
      <w:r w:rsidRPr="00697F67">
        <w:rPr>
          <w:rFonts w:eastAsia="Times New Roman"/>
          <w:szCs w:val="20"/>
          <w:lang w:val="hu-HU" w:eastAsia="en-GB"/>
        </w:rPr>
        <w:tab/>
        <w:t>megjegyzi, hogy 2023-ban az EUB valamennyi tagja a statútum 14. cikkével összhangban Luxemburgban rendelkezett lakóhellyel;</w:t>
      </w:r>
    </w:p>
    <w:p w14:paraId="22D5F8EC"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41.</w:t>
      </w:r>
      <w:r w:rsidRPr="00697F67">
        <w:rPr>
          <w:rFonts w:eastAsia="Times New Roman"/>
          <w:szCs w:val="20"/>
          <w:lang w:val="hu-HU" w:eastAsia="en-GB"/>
        </w:rPr>
        <w:tab/>
        <w:t>megjegyzi, hogy a Bíróság és a Törvényszék tagjai által végzett külső tevékenységek listáját 2018 óta teszik közzé az EUB honlapján;</w:t>
      </w:r>
      <w:r w:rsidRPr="00697F67">
        <w:rPr>
          <w:rFonts w:eastAsia="Times New Roman"/>
          <w:b/>
          <w:i/>
          <w:szCs w:val="20"/>
          <w:lang w:val="hu-HU" w:eastAsia="en-GB"/>
        </w:rPr>
        <w:t xml:space="preserve"> </w:t>
      </w:r>
      <w:r w:rsidRPr="00697F67">
        <w:rPr>
          <w:rFonts w:eastAsia="Times New Roman"/>
          <w:szCs w:val="20"/>
          <w:lang w:val="hu-HU" w:eastAsia="en-GB"/>
        </w:rPr>
        <w:t>megjegyzi továbbá, hogy a lista nehezen olvasható a nyilvánosság számára, és javasolja annak felülvizsgálatát az egyértelműség és informatív jelleg növelése érdekében; megjegyzi, hogy a Bíróság közgyűlése vagy a Törvényszék plenáris konferenciája csak akkor ad előzetes engedélyt, ha a külső tevékenység összeegyeztethető a magatartási kódex követelményeivel és azzal a kötelezettséggel, hogy a tagoknak az igazságszolgáltatási tevékenységek céljából rendelkezésre kell állniuk; kéri az EUB-t, hogy a korábbi mentesítési ajánlásokkal összhangban tájékoztassa a mentesítésért felelős hatóságot minden olyan kezdeményezésről, amelynek célja a külső tevékenységekkel kapcsolatos információk olvashatóságának javítása;</w:t>
      </w:r>
    </w:p>
    <w:p w14:paraId="05BB499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42.</w:t>
      </w:r>
      <w:r w:rsidRPr="00697F67">
        <w:rPr>
          <w:rFonts w:eastAsia="Times New Roman"/>
          <w:szCs w:val="20"/>
          <w:lang w:val="hu-HU" w:eastAsia="en-GB"/>
        </w:rPr>
        <w:tab/>
        <w:t>megjegyzi, hogy a képviselők utazásaira, kiküldetéseire, valamint a járművezetők és gépkocsik használatára vonatkozó, 2021-ben aktualizált szabályok úgy rendelkeznek, hogy az EUB csak a gépjármű kiküldetési megbízás végrehajtásával vagy a mandátum gyakorlásával kapcsolatos célokra történő használatából eredő üzemeltetési költségeit viseli, 10 000 km-es kereten belül; megismétli azon véleményét, hogy a gépjárműparknak az EUB tagjai feladatainak szigorú teljesítésén kívüli használatára semmilyen körülmények között nem kerülhet sor, megjegyzi, hogy az EUB arról számolt be, hogy megbeszéléseket folytat más intézményekkel a szolgálati járművek használatára vonatkozó harmonizált szabályrendszer kialakítása érdekében, tiszteletben tartva az egyes intézmények autonómiáját; felkéri az uniós intézményeket, hogy állapodjanak meg egy horizontálisan alkalmazandó egységes rendszerről, amely csökkentené a félreértéseket, és növelné a közpénzek felhasználásának átláthatóságát és hatékonyságát; kéri az EUB-t, hogy folyamatosan tájékoztassa a Parlamentet az ügy fejleményeiről;</w:t>
      </w:r>
    </w:p>
    <w:p w14:paraId="7D02966B"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lastRenderedPageBreak/>
        <w:t>43.</w:t>
      </w:r>
      <w:r w:rsidRPr="00697F67">
        <w:rPr>
          <w:rFonts w:eastAsia="Times New Roman"/>
          <w:szCs w:val="20"/>
          <w:lang w:val="hu-HU" w:eastAsia="en-GB"/>
        </w:rPr>
        <w:tab/>
        <w:t>megjegyzi, hogy 2023-ban lezártak egy, a korábbi mentesítési állásfoglalásokban említett OLAF-ügyet, amely a személyzet egy tagjának olyan magatartásával foglalkozott, amely súlyos kötelezettségszegésnek minősülhetett volna; megjegyzi, hogy az EUB-</w:t>
      </w:r>
      <w:proofErr w:type="spellStart"/>
      <w:r w:rsidRPr="00697F67">
        <w:rPr>
          <w:rFonts w:eastAsia="Times New Roman"/>
          <w:szCs w:val="20"/>
          <w:lang w:val="hu-HU" w:eastAsia="en-GB"/>
        </w:rPr>
        <w:t>nak</w:t>
      </w:r>
      <w:proofErr w:type="spellEnd"/>
      <w:r w:rsidRPr="00697F67">
        <w:rPr>
          <w:rFonts w:eastAsia="Times New Roman"/>
          <w:szCs w:val="20"/>
          <w:lang w:val="hu-HU" w:eastAsia="en-GB"/>
        </w:rPr>
        <w:t xml:space="preserve"> nincs tudomása új OLAF-vizsgálatról vagy -ajánlásról 2023-ban;</w:t>
      </w:r>
    </w:p>
    <w:p w14:paraId="67517709"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44.</w:t>
      </w:r>
      <w:r w:rsidRPr="00697F67">
        <w:rPr>
          <w:rFonts w:eastAsia="Times New Roman"/>
          <w:szCs w:val="20"/>
          <w:lang w:val="hu-HU" w:eastAsia="en-GB"/>
        </w:rPr>
        <w:tab/>
        <w:t>megjegyzi, hogy az EUB 2023-ban nem jelentett csalást, korrupciót vagy az uniós forrásokkal való visszaélést; megjegyzi, hogy az EUB csalás elleni stratégiája szerves részét képezi integrált belső ellenőrzési és kockázatkezelési keretének, különös tekintettel az információk helytelen közzétételének kockázataira;</w:t>
      </w:r>
    </w:p>
    <w:p w14:paraId="3B509153"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Átláthatóság és a polgárok igazságszolgáltatáshoz való hozzáférése</w:t>
      </w:r>
    </w:p>
    <w:p w14:paraId="1CE3FD10"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45.</w:t>
      </w:r>
      <w:r w:rsidRPr="00697F67">
        <w:rPr>
          <w:rFonts w:eastAsia="Times New Roman"/>
          <w:szCs w:val="20"/>
          <w:lang w:val="hu-HU" w:eastAsia="en-GB"/>
        </w:rPr>
        <w:tab/>
        <w:t>üdvözli, hogy az EUB elkötelezett az átláthatóság, az igazságszolgáltatáshoz való hozzáférés és a nyilvános előtti nyitottság fokozása mellett, hozzájárulva ezáltal az uniós intézményekbe vetett közbizalom erősítéséhez;</w:t>
      </w:r>
    </w:p>
    <w:p w14:paraId="71701578"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46.</w:t>
      </w:r>
      <w:r w:rsidRPr="00697F67">
        <w:rPr>
          <w:rFonts w:eastAsia="Times New Roman"/>
          <w:szCs w:val="20"/>
          <w:lang w:val="hu-HU" w:eastAsia="en-GB"/>
        </w:rPr>
        <w:tab/>
        <w:t xml:space="preserve">megjegyzi, hogy 2023-ban az EUB megszilárdította a Bíróság és a Törvényszék tárgyalásaira vonatkozó streaming szolgáltatást a </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honlapon, megkönnyítve ezáltal a polgárok hozzáférését az EUB igazságszolgáltatási tevékenységeihez; üdvözli a CVRIA weboldal szerkezetében, funkcióiban és tartalmában bekövetkezett javulást; üdvözli, hogy a Bíróság ítéleteinek kihirdetését, a főtanácsnoki indítványok felolvasását, a nagytanács tárgyalásait és az öt bíróval eljáró tanácsok egyes meghallgatásait 2023 óta élőben közvetítik a </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honlapon; felhívja az EUB-t, hogy javítsa tovább az átláthatóságot azáltal, hogy honlapján közzéteszi a Bíróság és a Törvényszék valamennyi tárgyalását, és azokat folyamatosan online tárolja;</w:t>
      </w:r>
    </w:p>
    <w:p w14:paraId="73F48172"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47.</w:t>
      </w:r>
      <w:r w:rsidRPr="00697F67">
        <w:rPr>
          <w:rFonts w:eastAsia="Times New Roman"/>
          <w:szCs w:val="20"/>
          <w:lang w:val="hu-HU" w:eastAsia="en-GB"/>
        </w:rPr>
        <w:tab/>
        <w:t>üdvözli, hogy alapokmányának reformját követően az EUB az ilyen eljárások lezárását követően közzéteszi az előzetes döntéshozatali eljárásokban benyújtott beadványokat vagy írásbeli észrevételeket, kivéve azokat az eseteket, amikor kifogást emelnek valamely személy beadványának vagy észrevételének közzétételével szemben; hangsúlyozza, hogy ez a közzététel javítani fogja az átláthatóságot és az igazságszolgáltatáshoz való hozzáférést a polgárok számára, és felhívja a Bíróságot, hogy honlapján tegye közzé az adott aktával kapcsolatos valamennyi dokumentumot; felhívja az EUB-t, hogy vezessen be olyan eljárást, amelyet bárki alkalmazhat az üggyel kapcsolatos valamennyi dokumentumhoz való házon belüli hozzáférésre;</w:t>
      </w:r>
    </w:p>
    <w:p w14:paraId="0616DF2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48.</w:t>
      </w:r>
      <w:r w:rsidRPr="00697F67">
        <w:rPr>
          <w:rFonts w:eastAsia="Times New Roman"/>
          <w:szCs w:val="20"/>
          <w:lang w:val="hu-HU" w:eastAsia="en-GB"/>
        </w:rPr>
        <w:tab/>
        <w:t>megjegyzi, hogy a videokonferencia használatára vonatkozó szabályokat a Törvényszék 2023 áprilisában, a Bíróság pedig 2024 szeptemberében fogadta el, amelyek szerint a felek kérhetik videokonferencia használatát, amennyiben biztonsági vagy egyéb komoly okok akadályozzák az adott fél képviselőjét abban, hogy személyesen részt vegyen a meghallgatáson;</w:t>
      </w:r>
    </w:p>
    <w:p w14:paraId="367B0AC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49.</w:t>
      </w:r>
      <w:r w:rsidRPr="00697F67">
        <w:rPr>
          <w:rFonts w:eastAsia="Times New Roman"/>
          <w:szCs w:val="20"/>
          <w:lang w:val="hu-HU" w:eastAsia="en-GB"/>
        </w:rPr>
        <w:tab/>
        <w:t>megjegyzi, hogy az EUB 2019. november 26-i, az EUB igazgatási feladatainak ellátása során birtokában lévő dokumentumokhoz való nyilvános hozzáférésről szóló határozatában megállapított szabályok nem alkalmazandók azokra a bírósági dokumentumokra, amelyek tekintetében a hozzáférést a Bíróság eljárási szabályzata vagy a Törvényszék eljárási szabályzata szabályozza; megjegyzi, hogy az EUB 2023-ban 21, adminisztratív dokumentumokhoz való nyilvános hozzáférés iránti kérelmet vett nyilvántartásba, és 12 esetben biztosított hozzáférést az adminisztratív dokumentumokhoz; megjegyzi, hogy az európai ombudsman 2023-ban nem talált hivatali visszásságot az EUB részéről;</w:t>
      </w:r>
    </w:p>
    <w:p w14:paraId="2959053A"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lastRenderedPageBreak/>
        <w:t>50.</w:t>
      </w:r>
      <w:r w:rsidRPr="00697F67">
        <w:rPr>
          <w:rFonts w:eastAsia="Times New Roman"/>
          <w:szCs w:val="20"/>
          <w:lang w:val="hu-HU" w:eastAsia="en-GB"/>
        </w:rPr>
        <w:tab/>
        <w:t>felkéri az EUB-t, hogy egyszerűsítse a konkrét ítéletek e-</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oldalon való megkeresésének folyamatát; üdvözli az annak érdekében tett erőfeszítéseket, hogy az interfész </w:t>
      </w:r>
      <w:proofErr w:type="spellStart"/>
      <w:r w:rsidRPr="00697F67">
        <w:rPr>
          <w:rFonts w:eastAsia="Times New Roman"/>
          <w:szCs w:val="20"/>
          <w:lang w:val="hu-HU" w:eastAsia="en-GB"/>
        </w:rPr>
        <w:t>ügyfélbarátabbá</w:t>
      </w:r>
      <w:proofErr w:type="spellEnd"/>
      <w:r w:rsidRPr="00697F67">
        <w:rPr>
          <w:rFonts w:eastAsia="Times New Roman"/>
          <w:szCs w:val="20"/>
          <w:lang w:val="hu-HU" w:eastAsia="en-GB"/>
        </w:rPr>
        <w:t xml:space="preserve"> és intuitívabbá váljon;</w:t>
      </w:r>
    </w:p>
    <w:p w14:paraId="572A5DDB"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 xml:space="preserve">Digitalizáció, </w:t>
      </w:r>
      <w:proofErr w:type="spellStart"/>
      <w:r w:rsidRPr="00697F67">
        <w:rPr>
          <w:rFonts w:eastAsia="Times New Roman"/>
          <w:b/>
          <w:i/>
          <w:szCs w:val="20"/>
          <w:lang w:val="hu-HU" w:eastAsia="en-GB"/>
        </w:rPr>
        <w:t>kiberbiztonság</w:t>
      </w:r>
      <w:proofErr w:type="spellEnd"/>
      <w:r w:rsidRPr="00697F67">
        <w:rPr>
          <w:rFonts w:eastAsia="Times New Roman"/>
          <w:b/>
          <w:i/>
          <w:szCs w:val="20"/>
          <w:lang w:val="hu-HU" w:eastAsia="en-GB"/>
        </w:rPr>
        <w:t xml:space="preserve"> és adatvédelem</w:t>
      </w:r>
    </w:p>
    <w:p w14:paraId="0F5F87F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51.</w:t>
      </w:r>
      <w:r w:rsidRPr="00697F67">
        <w:rPr>
          <w:rFonts w:eastAsia="Times New Roman"/>
          <w:szCs w:val="20"/>
          <w:lang w:val="hu-HU" w:eastAsia="en-GB"/>
        </w:rPr>
        <w:tab/>
        <w:t xml:space="preserve">megjegyzi, hogy 2022-höz képest a költségvetési kiadások 2023-ban 10,9 %-kal nőttek az informatikai projektek, 13 %-kal az informatikai berendezések, 59 %-kal a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projektek és 72 %-kal a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szolgáltatások, engedélyek és berendezések esetében;</w:t>
      </w:r>
    </w:p>
    <w:p w14:paraId="5EEF7CF9"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52.</w:t>
      </w:r>
      <w:r w:rsidRPr="00697F67">
        <w:rPr>
          <w:rFonts w:eastAsia="Times New Roman"/>
          <w:szCs w:val="20"/>
          <w:lang w:val="hu-HU" w:eastAsia="en-GB"/>
        </w:rPr>
        <w:tab/>
        <w:t>megjegyzi, hogy a digitális átalakulási stratégia keretében a nagyszabású digitalizációs projektek végrehajtása 2023-ban is prioritás maradt az EUB számára, például az integrált ügyviteli rendszer (SIGA) fejlesztése, az e-</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alkalmazás használatának előmozdítása az eljárási dokumentumok elektronikus úton történő benyújtására és bejelentésére, az e-aláírás elfogadása, valamint a HAN/</w:t>
      </w:r>
      <w:proofErr w:type="spellStart"/>
      <w:r w:rsidRPr="00697F67">
        <w:rPr>
          <w:rFonts w:eastAsia="Times New Roman"/>
          <w:szCs w:val="20"/>
          <w:lang w:val="hu-HU" w:eastAsia="en-GB"/>
        </w:rPr>
        <w:t>Ares</w:t>
      </w:r>
      <w:proofErr w:type="spellEnd"/>
      <w:r w:rsidRPr="00697F67">
        <w:rPr>
          <w:rFonts w:eastAsia="Times New Roman"/>
          <w:szCs w:val="20"/>
          <w:lang w:val="hu-HU" w:eastAsia="en-GB"/>
        </w:rPr>
        <w:t xml:space="preserve"> elektronikus dokumentum-nyilvántartási és -kezelési rendszer bevezetése; megjegyzi, hogy az EUB a költségek és az erőforrás-hatékonyság tekintetében nyomon követi a digitalizációs projektekbe történő beruházások megtérülését, és kéri az EUB-t, hogy folyamatosan tájékoztassa a mentesítésért felelős hatóságot az e területre vonatkozó megállapításairól;</w:t>
      </w:r>
    </w:p>
    <w:p w14:paraId="249A346D"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53.</w:t>
      </w:r>
      <w:r w:rsidRPr="00697F67">
        <w:rPr>
          <w:rFonts w:eastAsia="Times New Roman"/>
          <w:szCs w:val="20"/>
          <w:lang w:val="hu-HU" w:eastAsia="en-GB"/>
        </w:rPr>
        <w:tab/>
        <w:t xml:space="preserve">megjegyzi, hogy a kiszolgáltatott helyzetben lévő személyek hozzáférésének és befogadásának javítására irányuló átfogó kezdeményezésének részeként az EUB folytatta a „beépített akadálymentesség” megközelítés alkalmazását informatikai rendszereinek bármilyen változása és fejlesztése tekintetében; megjegyzi, hogy a </w:t>
      </w:r>
      <w:proofErr w:type="spellStart"/>
      <w:r w:rsidRPr="00697F67">
        <w:rPr>
          <w:rFonts w:eastAsia="Times New Roman"/>
          <w:szCs w:val="20"/>
          <w:lang w:val="hu-HU" w:eastAsia="en-GB"/>
        </w:rPr>
        <w:t>Curia</w:t>
      </w:r>
      <w:proofErr w:type="spellEnd"/>
      <w:r w:rsidRPr="00697F67">
        <w:rPr>
          <w:rFonts w:eastAsia="Times New Roman"/>
          <w:szCs w:val="20"/>
          <w:lang w:val="hu-HU" w:eastAsia="en-GB"/>
        </w:rPr>
        <w:t xml:space="preserve"> weboldal ellenőrzését követően az EUB megkezdte a honlap hozzáférhetőségének javítását a felhasználók széles köre, például a látássérültek, a hallássérültek vagy a tanulási fogyatékossággal élők számára;</w:t>
      </w:r>
    </w:p>
    <w:p w14:paraId="4AD9F684" w14:textId="77777777" w:rsidR="009243B4" w:rsidRPr="00697F67" w:rsidRDefault="009243B4" w:rsidP="00F501A5">
      <w:pPr>
        <w:spacing w:after="240"/>
        <w:ind w:left="567" w:hanging="567"/>
        <w:jc w:val="left"/>
        <w:rPr>
          <w:rFonts w:eastAsia="Times New Roman"/>
          <w:i/>
          <w:szCs w:val="20"/>
          <w:lang w:val="hu-HU" w:eastAsia="en-GB"/>
        </w:rPr>
      </w:pPr>
      <w:r w:rsidRPr="00697F67">
        <w:rPr>
          <w:rFonts w:eastAsia="Times New Roman"/>
          <w:szCs w:val="20"/>
          <w:lang w:val="hu-HU" w:eastAsia="en-GB"/>
        </w:rPr>
        <w:t>54.</w:t>
      </w:r>
      <w:r w:rsidRPr="00697F67">
        <w:rPr>
          <w:rFonts w:eastAsia="Times New Roman"/>
          <w:szCs w:val="20"/>
          <w:lang w:val="hu-HU" w:eastAsia="en-GB"/>
        </w:rPr>
        <w:tab/>
        <w:t xml:space="preserve">megjegyzi, hogy az EUB számos, mesterséges intelligencián (MI) alapuló projektet hajtott végre, például a dokumentumelemzés automatizálását az alkalmazandó jogszabályokra való hivatkozások érdekében, valamint segítségnyújtást a számlák </w:t>
      </w:r>
      <w:proofErr w:type="spellStart"/>
      <w:r w:rsidRPr="00697F67">
        <w:rPr>
          <w:rFonts w:eastAsia="Times New Roman"/>
          <w:szCs w:val="20"/>
          <w:lang w:val="hu-HU" w:eastAsia="en-GB"/>
        </w:rPr>
        <w:t>robotizált</w:t>
      </w:r>
      <w:proofErr w:type="spellEnd"/>
      <w:r w:rsidRPr="00697F67">
        <w:rPr>
          <w:rFonts w:eastAsia="Times New Roman"/>
          <w:szCs w:val="20"/>
          <w:lang w:val="hu-HU" w:eastAsia="en-GB"/>
        </w:rPr>
        <w:t xml:space="preserve"> folyamatok révén történő ellenőrzéséhez és a tárgyalások átírását, összhangban a 2023 júniusában elfogadott új MI-integrációs stratégiájával; hangsúlyozza, hogy alapvető fontosságú, hogy az MI-t olyan módon használják, amely teljes mértékben megőrzi a jogi eljárások függetlenségét, minőségét és tisztaságát, teljes mértékben figyelembe veszi az etikai kérdéseket, és alapvető fontosságú, hogy emberi felügyelet alatt használják, lehetővé téve az emberi beavatkozást a negatív következmények vagy kockázatok elkerülése érdekében, vagy a rendszer leállítását, ha az nem a tervek szerint működik; megjegyzi, hogy e stratégia részeként az EUB létrehozott egy MI-vel foglalkozó igazgatótanácsot, amely bírósági és törvényszéki tagokból áll, hogy felügyelje a mesterséges intelligencia EUB-n belüli használatának etikai szempontjait, és egyértelmű határokat határozzon meg annak alkalmazása tekintetében; üdvözli az igazgatótanács által a mesterséges intelligencia használatáról kiadott személyzeti iránymutatásokat; üdvözli a munkavállalók digitális kompetenciákkal kapcsolatos továbbképzésére irányuló kezdeményezéseket a digitális átalakulással foglalkozó intézményközi bizottsággal (ETA) együttműködésben kidolgozott képzési pálya révén; hangsúlyozza, hogy az igazságszolgáltatás digitalizációja és a kialakulóban lévő technológiák, például a mesterséges intelligencia bevezetése jelentős előnyökkel fog járni az EUB hatékony működése szempontjából; javasolja azonban, hogy az EUB jelezze előre a kapcsolódó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w:t>
      </w:r>
      <w:r w:rsidRPr="00697F67">
        <w:rPr>
          <w:rFonts w:eastAsia="Times New Roman"/>
          <w:szCs w:val="20"/>
          <w:lang w:val="hu-HU" w:eastAsia="en-GB"/>
        </w:rPr>
        <w:lastRenderedPageBreak/>
        <w:t xml:space="preserve">kockázatokat, és még jobban erősítse meg együttműködését az Európai Uniós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Ügynökséggel és a CERT-EU-</w:t>
      </w:r>
      <w:proofErr w:type="spellStart"/>
      <w:r w:rsidRPr="00697F67">
        <w:rPr>
          <w:rFonts w:eastAsia="Times New Roman"/>
          <w:szCs w:val="20"/>
          <w:lang w:val="hu-HU" w:eastAsia="en-GB"/>
        </w:rPr>
        <w:t>val</w:t>
      </w:r>
      <w:proofErr w:type="spellEnd"/>
      <w:r w:rsidRPr="00697F67">
        <w:rPr>
          <w:rFonts w:eastAsia="Times New Roman"/>
          <w:szCs w:val="20"/>
          <w:lang w:val="hu-HU" w:eastAsia="en-GB"/>
        </w:rPr>
        <w:t>;</w:t>
      </w:r>
    </w:p>
    <w:p w14:paraId="26D2F348"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55.</w:t>
      </w:r>
      <w:r w:rsidRPr="00697F67">
        <w:rPr>
          <w:rFonts w:eastAsia="Times New Roman"/>
          <w:szCs w:val="20"/>
          <w:lang w:val="hu-HU" w:eastAsia="en-GB"/>
        </w:rPr>
        <w:tab/>
        <w:t xml:space="preserve">megjegyzi, hogy az EUB 2023-ban nem kapott értesítést európai adatvédelmi biztosi vizsgálatról; megjegyzi, hogy 2023-ban az európai adatvédelmi biztos nem intézett konkrét ajánlást az EUB-hoz az Amazon webes szolgáltatásai által kínált felhőalapú szolgáltatások használatára vonatkozó vizsgálatát követően; megjegyzi, hogy az európai adatvédelmi biztos 2023-ban határozatot tett közzé, amelyben megerősítette, hogy a felhőalapú videokonferencia-szolgáltatások EUB általi használata megfelel az adatvédelmi jogszabályoknak; megismétli azonban a külső felhőszolgáltatások használatával kapcsolatos aggályait, tekintettel a </w:t>
      </w:r>
      <w:proofErr w:type="spellStart"/>
      <w:r w:rsidRPr="00697F67">
        <w:rPr>
          <w:rFonts w:eastAsia="Times New Roman"/>
          <w:szCs w:val="20"/>
          <w:lang w:val="hu-HU" w:eastAsia="en-GB"/>
        </w:rPr>
        <w:t>kiberbiztonsággal</w:t>
      </w:r>
      <w:proofErr w:type="spellEnd"/>
      <w:r w:rsidRPr="00697F67">
        <w:rPr>
          <w:rFonts w:eastAsia="Times New Roman"/>
          <w:szCs w:val="20"/>
          <w:lang w:val="hu-HU" w:eastAsia="en-GB"/>
        </w:rPr>
        <w:t xml:space="preserve"> és a digitális szuverenitással kapcsolatos fenyegetések fokozódására;</w:t>
      </w:r>
    </w:p>
    <w:p w14:paraId="05CBD60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56.</w:t>
      </w:r>
      <w:r w:rsidRPr="00697F67">
        <w:rPr>
          <w:rFonts w:eastAsia="Times New Roman"/>
          <w:szCs w:val="20"/>
          <w:lang w:val="hu-HU" w:eastAsia="en-GB"/>
        </w:rPr>
        <w:tab/>
        <w:t xml:space="preserve">üdvözli, hogy az EUB 2023-ban </w:t>
      </w:r>
      <w:proofErr w:type="spellStart"/>
      <w:r w:rsidRPr="00697F67">
        <w:rPr>
          <w:rFonts w:eastAsia="Times New Roman"/>
          <w:szCs w:val="20"/>
          <w:lang w:val="hu-HU" w:eastAsia="en-GB"/>
        </w:rPr>
        <w:t>kiberütemtervet</w:t>
      </w:r>
      <w:proofErr w:type="spellEnd"/>
      <w:r w:rsidRPr="00697F67">
        <w:rPr>
          <w:rFonts w:eastAsia="Times New Roman"/>
          <w:szCs w:val="20"/>
          <w:lang w:val="hu-HU" w:eastAsia="en-GB"/>
        </w:rPr>
        <w:t xml:space="preserve"> fogadott el, és megerősítette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operatív képességeit annak érdekében, hogy jobban megvédje rendszereit a növekvő számú </w:t>
      </w:r>
      <w:proofErr w:type="spellStart"/>
      <w:r w:rsidRPr="00697F67">
        <w:rPr>
          <w:rFonts w:eastAsia="Times New Roman"/>
          <w:szCs w:val="20"/>
          <w:lang w:val="hu-HU" w:eastAsia="en-GB"/>
        </w:rPr>
        <w:t>kibertámadásokkal</w:t>
      </w:r>
      <w:proofErr w:type="spellEnd"/>
      <w:r w:rsidRPr="00697F67">
        <w:rPr>
          <w:rFonts w:eastAsia="Times New Roman"/>
          <w:szCs w:val="20"/>
          <w:lang w:val="hu-HU" w:eastAsia="en-GB"/>
        </w:rPr>
        <w:t xml:space="preserve"> szemben; hangsúlyozza továbbá, hogy a szilárd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stratégia alapvető eszköz az európai intézmények integritásának aláásását célzó külföldi beavatkozások elleni küzdelemben; megjegyzi, hogy az EUB különböző intézkedéseket hozott annak érdekében, hogy megerősítse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felkészültségét és a biztonsági eseményekből való kilábalásra való képességét, többek között az Intézményközi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Testület irányításában való részvétele, valamint a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ellenőrzések és eszközök kombinációja révén, a CERT-EU ajánlásaival összhangban; megjegyzi, hogy a költségvetési hatóság a 2025. évi pénzügyi évre jóváhagyta a szükséges előirányzatokat két további álláshelyre az EUB </w:t>
      </w:r>
      <w:proofErr w:type="spellStart"/>
      <w:r w:rsidRPr="00697F67">
        <w:rPr>
          <w:rFonts w:eastAsia="Times New Roman"/>
          <w:szCs w:val="20"/>
          <w:lang w:val="hu-HU" w:eastAsia="en-GB"/>
        </w:rPr>
        <w:t>kiberbiztonsággal</w:t>
      </w:r>
      <w:proofErr w:type="spellEnd"/>
      <w:r w:rsidRPr="00697F67">
        <w:rPr>
          <w:rFonts w:eastAsia="Times New Roman"/>
          <w:szCs w:val="20"/>
          <w:lang w:val="hu-HU" w:eastAsia="en-GB"/>
        </w:rPr>
        <w:t xml:space="preserve"> kapcsolatos személyzeti kapacitásának megerősítése érdekében;</w:t>
      </w:r>
    </w:p>
    <w:p w14:paraId="77DE2E8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57.</w:t>
      </w:r>
      <w:r w:rsidRPr="00697F67">
        <w:rPr>
          <w:rFonts w:eastAsia="Times New Roman"/>
          <w:szCs w:val="20"/>
          <w:lang w:val="hu-HU" w:eastAsia="en-GB"/>
        </w:rPr>
        <w:tab/>
        <w:t xml:space="preserve">nagyra értékeli az EUB technológiai infrastruktúrájának </w:t>
      </w:r>
      <w:proofErr w:type="spellStart"/>
      <w:r w:rsidRPr="00697F67">
        <w:rPr>
          <w:rFonts w:eastAsia="Times New Roman"/>
          <w:szCs w:val="20"/>
          <w:lang w:val="hu-HU" w:eastAsia="en-GB"/>
        </w:rPr>
        <w:t>kiberfenyegetésekkel</w:t>
      </w:r>
      <w:proofErr w:type="spellEnd"/>
      <w:r w:rsidRPr="00697F67">
        <w:rPr>
          <w:rFonts w:eastAsia="Times New Roman"/>
          <w:szCs w:val="20"/>
          <w:lang w:val="hu-HU" w:eastAsia="en-GB"/>
        </w:rPr>
        <w:t xml:space="preserve"> szembeni védelme érdekében hozott intézkedéseket, például a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ellenőrzéseket, a személyzet képzését és az incidensekre vonatkozó gyorsreagálási protokollokat; hangsúlyozza, hogy az igazságszolgáltatás digitalizációja és az új technológiák, például a mesterséges intelligencia használata számos előnnyel jár az EUB működése szempontjából, ugyanakkor olyan kockázatokkal jár, amelyeket a Bíróságnak meg kell előznie, és amelyekkel szemben védekeznie kell; e tekintetben javasolja, hogy az EUB dolgozzon ki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stratégiát, és fokozza az együttműködést más uniós intézményekkel, különösen az ENISA-</w:t>
      </w:r>
      <w:proofErr w:type="spellStart"/>
      <w:r w:rsidRPr="00697F67">
        <w:rPr>
          <w:rFonts w:eastAsia="Times New Roman"/>
          <w:szCs w:val="20"/>
          <w:lang w:val="hu-HU" w:eastAsia="en-GB"/>
        </w:rPr>
        <w:t>val</w:t>
      </w:r>
      <w:proofErr w:type="spellEnd"/>
      <w:r w:rsidRPr="00697F67">
        <w:rPr>
          <w:rFonts w:eastAsia="Times New Roman"/>
          <w:szCs w:val="20"/>
          <w:lang w:val="hu-HU" w:eastAsia="en-GB"/>
        </w:rPr>
        <w:t xml:space="preserve"> (az Európai Uniós </w:t>
      </w:r>
      <w:proofErr w:type="spellStart"/>
      <w:r w:rsidRPr="00697F67">
        <w:rPr>
          <w:rFonts w:eastAsia="Times New Roman"/>
          <w:szCs w:val="20"/>
          <w:lang w:val="hu-HU" w:eastAsia="en-GB"/>
        </w:rPr>
        <w:t>Kiberbiztonsági</w:t>
      </w:r>
      <w:proofErr w:type="spellEnd"/>
      <w:r w:rsidRPr="00697F67">
        <w:rPr>
          <w:rFonts w:eastAsia="Times New Roman"/>
          <w:szCs w:val="20"/>
          <w:lang w:val="hu-HU" w:eastAsia="en-GB"/>
        </w:rPr>
        <w:t xml:space="preserve"> Ügynökséggel) az olyan </w:t>
      </w:r>
      <w:proofErr w:type="spellStart"/>
      <w:r w:rsidRPr="00697F67">
        <w:rPr>
          <w:rFonts w:eastAsia="Times New Roman"/>
          <w:szCs w:val="20"/>
          <w:lang w:val="hu-HU" w:eastAsia="en-GB"/>
        </w:rPr>
        <w:t>kibertámadások</w:t>
      </w:r>
      <w:proofErr w:type="spellEnd"/>
      <w:r w:rsidRPr="00697F67">
        <w:rPr>
          <w:rFonts w:eastAsia="Times New Roman"/>
          <w:szCs w:val="20"/>
          <w:lang w:val="hu-HU" w:eastAsia="en-GB"/>
        </w:rPr>
        <w:t xml:space="preserve"> megelőzése terén, amelyek száma és kifinomultsága exponenciálisan növekszik Európában;</w:t>
      </w:r>
    </w:p>
    <w:p w14:paraId="21AB80B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58.</w:t>
      </w:r>
      <w:r w:rsidRPr="00697F67">
        <w:rPr>
          <w:rFonts w:eastAsia="Times New Roman"/>
          <w:szCs w:val="20"/>
          <w:lang w:val="hu-HU" w:eastAsia="en-GB"/>
        </w:rPr>
        <w:tab/>
        <w:t xml:space="preserve">üdvözli azt a kezdeményezést, hogy a személyes adatok védelmének megerősítése és az egyedi esetek azonosításának megkönnyítése érdekében automatizált számítógépes névgenerátor segítségével fiktív neveket rendeljenek az </w:t>
      </w:r>
      <w:proofErr w:type="spellStart"/>
      <w:r w:rsidRPr="00697F67">
        <w:rPr>
          <w:rFonts w:eastAsia="Times New Roman"/>
          <w:szCs w:val="20"/>
          <w:lang w:val="hu-HU" w:eastAsia="en-GB"/>
        </w:rPr>
        <w:t>anonimizált</w:t>
      </w:r>
      <w:proofErr w:type="spellEnd"/>
      <w:r w:rsidRPr="00697F67">
        <w:rPr>
          <w:rFonts w:eastAsia="Times New Roman"/>
          <w:szCs w:val="20"/>
          <w:lang w:val="hu-HU" w:eastAsia="en-GB"/>
        </w:rPr>
        <w:t xml:space="preserve"> ügyekhez;</w:t>
      </w:r>
    </w:p>
    <w:p w14:paraId="4B7551E1"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59.</w:t>
      </w:r>
      <w:r w:rsidRPr="00697F67">
        <w:rPr>
          <w:rFonts w:eastAsia="Times New Roman"/>
          <w:szCs w:val="20"/>
          <w:lang w:val="hu-HU" w:eastAsia="en-GB"/>
        </w:rPr>
        <w:tab/>
        <w:t>elégedetten veszi tudomásul a Törvényszék eljárási szabályzatának módosítását, amely egyértelműsíti és egyszerűsíti a bírósági eljárásokat, beleértve a videokonferencia alkalmazásának lehetőségét a meghallgatások során, a határozatok elektronikus aláírását és a kísérleti ügyek kijelölését;</w:t>
      </w:r>
    </w:p>
    <w:p w14:paraId="6ED3126E"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Épületek</w:t>
      </w:r>
    </w:p>
    <w:p w14:paraId="3277032B"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60.</w:t>
      </w:r>
      <w:r w:rsidRPr="00697F67">
        <w:rPr>
          <w:rFonts w:eastAsia="Times New Roman"/>
          <w:szCs w:val="20"/>
          <w:lang w:val="hu-HU" w:eastAsia="en-GB"/>
        </w:rPr>
        <w:tab/>
        <w:t xml:space="preserve">megjegyzi, hogy az EUB helyiségeinek leghatékonyabb használatáról szóló, szolgálatok közötti eszmecserét követően 2023-ban kísérleti projekteket indítottak; </w:t>
      </w:r>
      <w:r w:rsidRPr="00697F67">
        <w:rPr>
          <w:rFonts w:eastAsia="Times New Roman"/>
          <w:szCs w:val="20"/>
          <w:lang w:val="hu-HU" w:eastAsia="en-GB"/>
        </w:rPr>
        <w:lastRenderedPageBreak/>
        <w:t xml:space="preserve">megjegyzi, hogy e projektek eredményeit más tényezőkkel, például a környezeti és költségvetési szempontokkal, az igazságszolgáltatás minőségével, a munkahelyi jólléttel, a befogadással, a hozzáférhetőséggel és az EUB </w:t>
      </w:r>
      <w:proofErr w:type="spellStart"/>
      <w:r w:rsidRPr="00697F67">
        <w:rPr>
          <w:rFonts w:eastAsia="Times New Roman"/>
          <w:szCs w:val="20"/>
          <w:lang w:val="hu-HU" w:eastAsia="en-GB"/>
        </w:rPr>
        <w:t>vonzerejével</w:t>
      </w:r>
      <w:proofErr w:type="spellEnd"/>
      <w:r w:rsidRPr="00697F67">
        <w:rPr>
          <w:rFonts w:eastAsia="Times New Roman"/>
          <w:szCs w:val="20"/>
          <w:lang w:val="hu-HU" w:eastAsia="en-GB"/>
        </w:rPr>
        <w:t xml:space="preserve"> együtt figyelembe fogják venni az EUB épületeinek használatáról szóló végső döntés során; kéri, hogy a Parlamentet folyamatosan tájékoztassák e következtetések végrehajtásáról és a munkaterület szervezésére gyakorolt következményekről;</w:t>
      </w:r>
    </w:p>
    <w:p w14:paraId="1AC1502E"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61.</w:t>
      </w:r>
      <w:r w:rsidRPr="00697F67">
        <w:rPr>
          <w:rFonts w:eastAsia="Times New Roman"/>
          <w:szCs w:val="20"/>
          <w:lang w:val="hu-HU" w:eastAsia="en-GB"/>
        </w:rPr>
        <w:tab/>
        <w:t>megjegyzi, hogy 2023-ban az EUB folytatta az akadálymentesítésre és a fogyatékossággal élő személyek befogadásának javítására irányuló átfogó kezdeményezését azzal a céllal, hogy biztosítsa az EUB-hoz való fizikai vagy virtuális hozzáférést valamennyi egyén, az eljárások résztvevői és a látogatók számára; megjegyzi továbbá, hogy 2023-ban az EUB megkezdte infrastruktúrájának leltározását annak érdekében, hogy 2032. január 1-jétől megfeleljen az új nemzeti akadálymentesítési jogszabályoknak; kéri, hogy a Parlamentet folyamatosan tájékoztassák az e területre vonatkozó további kezdeményezésekről;</w:t>
      </w:r>
    </w:p>
    <w:p w14:paraId="052DBA19"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Környezetvédelem és fenntarthatóság</w:t>
      </w:r>
    </w:p>
    <w:p w14:paraId="46490C33"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szCs w:val="20"/>
          <w:lang w:val="hu-HU" w:eastAsia="en-GB"/>
        </w:rPr>
        <w:t>62.</w:t>
      </w:r>
      <w:r w:rsidRPr="00697F67">
        <w:rPr>
          <w:rFonts w:eastAsia="Times New Roman"/>
          <w:szCs w:val="20"/>
          <w:lang w:val="hu-HU" w:eastAsia="en-GB"/>
        </w:rPr>
        <w:tab/>
        <w:t>megelégedéssel nyugtázza, hogy 2023-ban az EUB 2015-höz képest továbbra is jelentősen csökkentette energiafogyasztását és szénlábnyomát, ami az EUB környezetvédelmi vezetési és ellenőrzési stratégiája végrehajtásának kiindulási alapja, köszönhetően az energiatakarékossági intézkedéseknek, valamint fűtési, hűtési és világítási infrastruktúrája optimalizálásának; megjegyzi, hogy a fűtési fogyasztás 33,5 %-kal, a villamosenergia-fogyasztás 28,7 %-kal, a vízfogyasztás 20,1 %-kal, az irodai papírfogyasztás 63 %-kal, az irodai és étkezdei hulladék 43 %-kal, az üvegházhatásúgáz-kibocsátás pedig 30,2 %-kal csökkent 2023-ra 2015-höz képest; üdvözli, hogy az EUB tíz, 60 000 EUR-t meghaladó összegű ajánlati felhívásban alkalmazott zöld közbeszerzési kritériumokat; üdvözli, hogy az EUB elkötelezte magát a környezetvédelmi vezetési és hitelesítési rendszer (EMAS) mellett; ösztönzi az EUB-t, hogy folytassa a környezeti hatásának csökkentésére irányuló erőfeszítéseit, és dolgozzon ki stratégiát a karbonsemlegesség 2035-ig történő elérésére;</w:t>
      </w:r>
    </w:p>
    <w:p w14:paraId="7B65E66D"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63.</w:t>
      </w:r>
      <w:r w:rsidRPr="00697F67">
        <w:rPr>
          <w:rFonts w:eastAsia="Times New Roman"/>
          <w:szCs w:val="20"/>
          <w:lang w:val="hu-HU" w:eastAsia="en-GB"/>
        </w:rPr>
        <w:tab/>
        <w:t>üdvözli, hogy az EUB számos kezdeményezést tett a személyzet és a tagok fenntartható mobilitásának támogatása és növelése érdekében, beleértve a tömegközlekedési támogatásokat, az önkiszolgáló kerékpárok támogatását, a jobb kerékpárparkoló létesítményeket, valamint a hibrid és elektromos autók számára nyújtott jobb létesítményeket;</w:t>
      </w:r>
    </w:p>
    <w:p w14:paraId="0F45E501"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Intézményközi együttműködés</w:t>
      </w:r>
    </w:p>
    <w:p w14:paraId="076EFF27"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64.</w:t>
      </w:r>
      <w:r w:rsidRPr="00697F67">
        <w:rPr>
          <w:rFonts w:eastAsia="Times New Roman"/>
          <w:szCs w:val="20"/>
          <w:lang w:val="hu-HU" w:eastAsia="en-GB"/>
        </w:rPr>
        <w:tab/>
        <w:t>üdvözli a más intézményekkel való együttműködés révén elért költségvetési megtakarításokat, különösen a Bizottsággal kötött, szolgáltatási szintre vonatkozó megállapodásokon alapuló megosztott alkalmazásokat és tárhelyszolgáltatásokat, valamint az intézményközi közbeszerzési eljárásokban való részvételt, amelyek lehetővé tették az EUB számára a költségek és az erőforrások optimalizálását;</w:t>
      </w:r>
    </w:p>
    <w:p w14:paraId="483F3FF4"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65.</w:t>
      </w:r>
      <w:r w:rsidRPr="00697F67">
        <w:rPr>
          <w:rFonts w:eastAsia="Times New Roman"/>
          <w:szCs w:val="20"/>
          <w:lang w:val="hu-HU" w:eastAsia="en-GB"/>
        </w:rPr>
        <w:tab/>
        <w:t xml:space="preserve">üdvözli az Európai Igazságügyi Képzési Hálózatnak (EJTN) a nemzeti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uniós jog tárgyában történő képzésére irányuló erőfeszítéseit; elismeréssel jegyzi meg, hogy az EUB „Az EJTN támogatása a fenntartható európai igazságügyi kultúra alakításában” című nyilatkozatával összhangban az EUB és az EJTN 2023-ban arra törekedett, hogy növelje a hosszú távú gyakornokok sokféleségét azzal a céllal, hogy végső soron </w:t>
      </w:r>
      <w:r w:rsidRPr="00697F67">
        <w:rPr>
          <w:rFonts w:eastAsia="Times New Roman"/>
          <w:szCs w:val="20"/>
          <w:lang w:val="hu-HU" w:eastAsia="en-GB"/>
        </w:rPr>
        <w:lastRenderedPageBreak/>
        <w:t>tagállamonként egy főre növelje a gyakornokok számát; megjegyzi, hogy a meghozott intézkedések máris sikeresek, mivel az EUB néhány olyan tagállamból is fogadott gyakornokokat, amelyek korábban nem vettek részt aktívan a programban; megjegyzi, hogy a 2023–24-es évben 15 fizetett gyakornoki álláslehetőséget ajánlottak fel; felhívja az EUB-t, hogy fejlessze tovább tudásmegosztási kezdeményezéseit, beleértve a ítélkezési gyakorlat közös adatbázisait és a nemzeti bíróságok összetett jogi értelmezések során történő támogatását célzó virtuális együttműködési platformokat;</w:t>
      </w:r>
    </w:p>
    <w:p w14:paraId="3D8543BD"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66.</w:t>
      </w:r>
      <w:r w:rsidRPr="00697F67">
        <w:rPr>
          <w:rFonts w:eastAsia="Times New Roman"/>
          <w:szCs w:val="20"/>
          <w:lang w:val="hu-HU" w:eastAsia="en-GB"/>
        </w:rPr>
        <w:tab/>
        <w:t>hangsúlyozza, hogy az Unióban folytatott minőségi szakmai gyakorlatokról szóló, 2023. június 14-i európai parlamenti állásfoglalással (2020/2005 INL) összhangban, amely szorgalmazza, hogy Európában minden szakmai gyakorlat fizetett legyen, a szakmai gyakorlatban résztvevőket javadalmazásban kell részesíteni; üdvözli, hogy jelenleg az EUB valamennyi gyakornoka a tartózkodása alatt támogatást kap, főként az EUB-</w:t>
      </w:r>
      <w:proofErr w:type="spellStart"/>
      <w:r w:rsidRPr="00697F67">
        <w:rPr>
          <w:rFonts w:eastAsia="Times New Roman"/>
          <w:szCs w:val="20"/>
          <w:lang w:val="hu-HU" w:eastAsia="en-GB"/>
        </w:rPr>
        <w:t>tól</w:t>
      </w:r>
      <w:proofErr w:type="spellEnd"/>
      <w:r w:rsidRPr="00697F67">
        <w:rPr>
          <w:rFonts w:eastAsia="Times New Roman"/>
          <w:szCs w:val="20"/>
          <w:lang w:val="hu-HU" w:eastAsia="en-GB"/>
        </w:rPr>
        <w:t xml:space="preserve"> és egyes konkrét esetekben más forrásokból; megállapítja, hogy az EUB csak néhány gyakornokot fogad be (évente kevesebb mint 10 főt), akiket más forrásokból fizetnek, rövid időszakokra (átlagosan 2 hónapra); üdvözli, hogy ilyen esetekben az EUB igazgatása gondosan ellenőrzi, hogy ezek a gyakornokok kapnak-e támogatást, juttatást vagy javadalmazást erre a szakmai gyakorlatra, amelyet közvetlenül a munkáltatójuk vagy felsőoktatási intézményük fizet;</w:t>
      </w:r>
    </w:p>
    <w:p w14:paraId="3C848A2B"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67.</w:t>
      </w:r>
      <w:r w:rsidRPr="00697F67">
        <w:rPr>
          <w:rFonts w:eastAsia="Times New Roman"/>
          <w:szCs w:val="20"/>
          <w:lang w:val="hu-HU" w:eastAsia="en-GB"/>
        </w:rPr>
        <w:tab/>
        <w:t xml:space="preserve">nagyra értékeli, hogy az EUB teljes mértékben együttműködik az OLAF-fal, a Számvevőszékkel, az európai adatvédelmi biztossal és az európai ombudsmannal; megjegyzi, hogy 2023-ban az EUB folytatta a nemzeti bíróságokkal, különösen az alkotmánybíróságokkal és a legfelsőbb bíróságokkal kialakított párbeszéd fenntartására irányuló munkát, és hogy az EUB számos ülésnek adott otthont, többek között a nemzeti </w:t>
      </w:r>
      <w:proofErr w:type="spellStart"/>
      <w:r w:rsidRPr="00697F67">
        <w:rPr>
          <w:rFonts w:eastAsia="Times New Roman"/>
          <w:szCs w:val="20"/>
          <w:lang w:val="hu-HU" w:eastAsia="en-GB"/>
        </w:rPr>
        <w:t>bírák</w:t>
      </w:r>
      <w:proofErr w:type="spellEnd"/>
      <w:r w:rsidRPr="00697F67">
        <w:rPr>
          <w:rFonts w:eastAsia="Times New Roman"/>
          <w:szCs w:val="20"/>
          <w:lang w:val="hu-HU" w:eastAsia="en-GB"/>
        </w:rPr>
        <w:t xml:space="preserve"> éves ülésének; ösztönzi az EUB és a nemzeti bíróságok közötti szorosabb együttműködést az uniós jog egységes alkalmazásának megerősítése érdekében; állandó jellegű igazságügyi csereprogram létrehozását ajánlja a tagállamok </w:t>
      </w:r>
      <w:proofErr w:type="spellStart"/>
      <w:r w:rsidRPr="00697F67">
        <w:rPr>
          <w:rFonts w:eastAsia="Times New Roman"/>
          <w:szCs w:val="20"/>
          <w:lang w:val="hu-HU" w:eastAsia="en-GB"/>
        </w:rPr>
        <w:t>bírái</w:t>
      </w:r>
      <w:proofErr w:type="spellEnd"/>
      <w:r w:rsidRPr="00697F67">
        <w:rPr>
          <w:rFonts w:eastAsia="Times New Roman"/>
          <w:szCs w:val="20"/>
          <w:lang w:val="hu-HU" w:eastAsia="en-GB"/>
        </w:rPr>
        <w:t xml:space="preserve"> számára, hogy együtt dolgozhassanak az EUB-</w:t>
      </w:r>
      <w:proofErr w:type="spellStart"/>
      <w:r w:rsidRPr="00697F67">
        <w:rPr>
          <w:rFonts w:eastAsia="Times New Roman"/>
          <w:szCs w:val="20"/>
          <w:lang w:val="hu-HU" w:eastAsia="en-GB"/>
        </w:rPr>
        <w:t>nál</w:t>
      </w:r>
      <w:proofErr w:type="spellEnd"/>
      <w:r w:rsidRPr="00697F67">
        <w:rPr>
          <w:rFonts w:eastAsia="Times New Roman"/>
          <w:szCs w:val="20"/>
          <w:lang w:val="hu-HU" w:eastAsia="en-GB"/>
        </w:rPr>
        <w:t xml:space="preserve"> dolgozó partnereikkel, előmozdítva az uniós jog értelmezésével kapcsolatos bevált gyakorlatokat;</w:t>
      </w:r>
    </w:p>
    <w:p w14:paraId="43B56BA9" w14:textId="77777777" w:rsidR="009243B4" w:rsidRPr="00697F67" w:rsidRDefault="009243B4" w:rsidP="00F501A5">
      <w:pPr>
        <w:spacing w:after="240"/>
        <w:ind w:left="567" w:hanging="567"/>
        <w:jc w:val="left"/>
        <w:rPr>
          <w:rFonts w:eastAsia="Times New Roman"/>
          <w:b/>
          <w:i/>
          <w:szCs w:val="20"/>
          <w:lang w:val="hu-HU" w:eastAsia="en-GB"/>
        </w:rPr>
      </w:pPr>
      <w:r w:rsidRPr="00697F67">
        <w:rPr>
          <w:rFonts w:eastAsia="Times New Roman"/>
          <w:b/>
          <w:i/>
          <w:szCs w:val="20"/>
          <w:lang w:val="hu-HU" w:eastAsia="en-GB"/>
        </w:rPr>
        <w:t>Kommunikáció</w:t>
      </w:r>
    </w:p>
    <w:p w14:paraId="21F01CA5" w14:textId="77777777" w:rsidR="009243B4" w:rsidRPr="00697F6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68.</w:t>
      </w:r>
      <w:r w:rsidRPr="00697F67">
        <w:rPr>
          <w:rFonts w:eastAsia="Times New Roman"/>
          <w:szCs w:val="20"/>
          <w:lang w:val="hu-HU" w:eastAsia="en-GB"/>
        </w:rPr>
        <w:tab/>
        <w:t xml:space="preserve">megjegyzi, hogy 2023-ban az EUB fokozta az uniós polgárokkal való együttműködésre irányuló erőfeszítéseit azáltal, hogy fokozta a közösségi médiában való jelenlétét; megjegyzi, hogy 2023 végén az EUB </w:t>
      </w:r>
      <w:proofErr w:type="spellStart"/>
      <w:r w:rsidRPr="00697F67">
        <w:rPr>
          <w:rFonts w:eastAsia="Times New Roman"/>
          <w:szCs w:val="20"/>
          <w:lang w:val="hu-HU" w:eastAsia="en-GB"/>
        </w:rPr>
        <w:t>LinkedIn</w:t>
      </w:r>
      <w:proofErr w:type="spellEnd"/>
      <w:r w:rsidRPr="00697F67">
        <w:rPr>
          <w:rFonts w:eastAsia="Times New Roman"/>
          <w:szCs w:val="20"/>
          <w:lang w:val="hu-HU" w:eastAsia="en-GB"/>
        </w:rPr>
        <w:t xml:space="preserve">-profilján 32 %-kal, az EUB X-en (korábban </w:t>
      </w:r>
      <w:proofErr w:type="spellStart"/>
      <w:r w:rsidRPr="00697F67">
        <w:rPr>
          <w:rFonts w:eastAsia="Times New Roman"/>
          <w:szCs w:val="20"/>
          <w:lang w:val="hu-HU" w:eastAsia="en-GB"/>
        </w:rPr>
        <w:t>Twitteren</w:t>
      </w:r>
      <w:proofErr w:type="spellEnd"/>
      <w:r w:rsidRPr="00697F67">
        <w:rPr>
          <w:rFonts w:eastAsia="Times New Roman"/>
          <w:szCs w:val="20"/>
          <w:lang w:val="hu-HU" w:eastAsia="en-GB"/>
        </w:rPr>
        <w:t>) található két fiókján pedig 9 %-kal nőtt a követők száma, miközben YouTube-csatornáján 84,96 %-kal nőtt a megtekintések száma az előző évhez képest;</w:t>
      </w:r>
    </w:p>
    <w:p w14:paraId="1387AF26" w14:textId="77777777" w:rsidR="009243B4" w:rsidRPr="00411F47" w:rsidRDefault="009243B4" w:rsidP="00F501A5">
      <w:pPr>
        <w:spacing w:after="240"/>
        <w:ind w:left="567" w:hanging="567"/>
        <w:jc w:val="left"/>
        <w:rPr>
          <w:rFonts w:eastAsia="Times New Roman"/>
          <w:szCs w:val="20"/>
          <w:lang w:val="hu-HU" w:eastAsia="en-GB"/>
        </w:rPr>
      </w:pPr>
      <w:r w:rsidRPr="00697F67">
        <w:rPr>
          <w:rFonts w:eastAsia="Times New Roman"/>
          <w:szCs w:val="20"/>
          <w:lang w:val="hu-HU" w:eastAsia="en-GB"/>
        </w:rPr>
        <w:t>69.</w:t>
      </w:r>
      <w:r w:rsidRPr="00697F67">
        <w:rPr>
          <w:rFonts w:eastAsia="Times New Roman"/>
          <w:szCs w:val="20"/>
          <w:lang w:val="hu-HU" w:eastAsia="en-GB"/>
        </w:rPr>
        <w:tab/>
        <w:t>üdvözli az EUB arra irányuló erőfeszítéseit, hogy fokozza az uniós polgárok felé az EUB igazságszolgáltatási tevékenységeivel kapcsolatos stratégiai kommunikációt és átláthatóságot, különösen egy nyílt nap megszervezése, a látogatóknak szóló kínálat, elsősorban a 2023-ban 800 diák részvételével zajló különleges virtuális látogatások, valamint a médiaérdeklődésre számot tartó vagy a polgárok életére hatást gyakorló kérdésekről szóló sajtóközlemények és online kiadványok megszövegezésének akadálymentes stílusban történő felülvizsgálata révén.</w:t>
      </w:r>
    </w:p>
    <w:sectPr w:rsidR="009243B4" w:rsidRPr="00411F47">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5B631" w14:textId="77777777" w:rsidR="009243B4" w:rsidRDefault="009243B4" w:rsidP="009243B4">
      <w:r>
        <w:separator/>
      </w:r>
    </w:p>
  </w:endnote>
  <w:endnote w:type="continuationSeparator" w:id="0">
    <w:p w14:paraId="77DCA87D" w14:textId="77777777" w:rsidR="009243B4" w:rsidRDefault="009243B4" w:rsidP="0092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ABF6" w14:textId="77777777" w:rsidR="009243B4" w:rsidRDefault="009243B4" w:rsidP="009243B4">
      <w:r>
        <w:separator/>
      </w:r>
    </w:p>
  </w:footnote>
  <w:footnote w:type="continuationSeparator" w:id="0">
    <w:p w14:paraId="4288D1AF" w14:textId="77777777" w:rsidR="009243B4" w:rsidRDefault="009243B4" w:rsidP="009243B4">
      <w:r>
        <w:continuationSeparator/>
      </w:r>
    </w:p>
  </w:footnote>
  <w:footnote w:id="1">
    <w:p w14:paraId="62812A1F" w14:textId="77777777" w:rsidR="009243B4" w:rsidRPr="006F44FA" w:rsidRDefault="009243B4" w:rsidP="000753D2">
      <w:pPr>
        <w:ind w:left="567" w:hanging="567"/>
        <w:jc w:val="left"/>
        <w:rPr>
          <w:lang w:val="fi-FI"/>
        </w:rPr>
      </w:pPr>
      <w:r w:rsidRPr="006F44FA">
        <w:rPr>
          <w:rStyle w:val="FootnoteReference"/>
        </w:rPr>
        <w:footnoteRef/>
      </w:r>
      <w:r w:rsidRPr="006F44FA">
        <w:rPr>
          <w:lang w:val="fi-FI"/>
        </w:rPr>
        <w:t xml:space="preserve"> </w:t>
      </w:r>
      <w:r w:rsidRPr="006F44FA">
        <w:rPr>
          <w:lang w:val="fi-FI"/>
        </w:rPr>
        <w:tab/>
        <w:t xml:space="preserve">HL L 58., 2023.2.23., 1. o., ELI: </w:t>
      </w:r>
      <w:hyperlink r:id="rId1" w:tooltip="Az ELI (európai jogszabály-azonosító) URI-hivatkozása révén biztosít hozzáférést a dokumentumhoz." w:history="1">
        <w:r w:rsidRPr="006F44FA">
          <w:rPr>
            <w:rStyle w:val="Hyperlink1"/>
            <w:color w:val="337AB7"/>
            <w:shd w:val="clear" w:color="auto" w:fill="FFFFFF"/>
            <w:lang w:val="fi-FI"/>
          </w:rPr>
          <w:t>http://data.europa.eu/eli/budget/2023/1/oj</w:t>
        </w:r>
      </w:hyperlink>
      <w:r w:rsidRPr="006F44FA">
        <w:rPr>
          <w:rStyle w:val="Hyperlink1"/>
          <w:shd w:val="clear" w:color="auto" w:fill="FFFFFF"/>
          <w:lang w:val="fi-FI"/>
        </w:rPr>
        <w:t>.</w:t>
      </w:r>
    </w:p>
  </w:footnote>
  <w:footnote w:id="2">
    <w:p w14:paraId="1039C7D9" w14:textId="77777777" w:rsidR="009243B4" w:rsidRPr="006F44FA" w:rsidRDefault="009243B4" w:rsidP="000753D2">
      <w:pPr>
        <w:pStyle w:val="FootnoteText"/>
        <w:ind w:left="567" w:hanging="567"/>
        <w:jc w:val="left"/>
        <w:rPr>
          <w:sz w:val="24"/>
          <w:szCs w:val="24"/>
          <w:lang w:val="hu-HU"/>
        </w:rPr>
      </w:pPr>
      <w:r w:rsidRPr="006F44FA">
        <w:rPr>
          <w:rStyle w:val="FootnoteReference"/>
          <w:sz w:val="24"/>
          <w:szCs w:val="24"/>
          <w:lang w:val="hu-HU"/>
        </w:rPr>
        <w:footnoteRef/>
      </w:r>
      <w:r w:rsidRPr="006F44FA">
        <w:rPr>
          <w:sz w:val="24"/>
          <w:szCs w:val="24"/>
          <w:lang w:val="hu-HU"/>
        </w:rPr>
        <w:t xml:space="preserve"> </w:t>
      </w:r>
      <w:r w:rsidRPr="006F44FA">
        <w:rPr>
          <w:sz w:val="24"/>
          <w:szCs w:val="24"/>
          <w:lang w:val="hu-HU"/>
        </w:rPr>
        <w:tab/>
        <w:t xml:space="preserve">HL C, C/2024/5462, 2024.10.10., ELI: </w:t>
      </w:r>
      <w:r w:rsidR="009D66F0">
        <w:fldChar w:fldCharType="begin"/>
      </w:r>
      <w:r w:rsidR="009D66F0" w:rsidRPr="009D66F0">
        <w:rPr>
          <w:lang w:val="fi-FI"/>
        </w:rPr>
        <w:instrText>HYPERLINK "http://data.europa.eu/eli/C/2024/5462/oj"</w:instrText>
      </w:r>
      <w:r w:rsidR="009D66F0">
        <w:fldChar w:fldCharType="separate"/>
      </w:r>
      <w:r w:rsidRPr="006F44FA">
        <w:rPr>
          <w:rStyle w:val="Hyperlink1"/>
          <w:sz w:val="24"/>
          <w:szCs w:val="24"/>
          <w:lang w:val="hu-HU"/>
        </w:rPr>
        <w:t>http://data.europa.eu/eli/C/2024/5462/oj</w:t>
      </w:r>
      <w:r w:rsidR="009D66F0">
        <w:rPr>
          <w:rStyle w:val="Hyperlink1"/>
          <w:sz w:val="24"/>
          <w:szCs w:val="24"/>
          <w:lang w:val="hu-HU"/>
        </w:rPr>
        <w:fldChar w:fldCharType="end"/>
      </w:r>
      <w:r w:rsidRPr="006F44FA">
        <w:rPr>
          <w:rStyle w:val="Hyperlink1"/>
          <w:sz w:val="24"/>
          <w:szCs w:val="24"/>
          <w:shd w:val="clear" w:color="auto" w:fill="FFFFFF"/>
          <w:lang w:val="hu-HU"/>
        </w:rPr>
        <w:t>.</w:t>
      </w:r>
    </w:p>
  </w:footnote>
  <w:footnote w:id="3">
    <w:p w14:paraId="13B4887B" w14:textId="77777777" w:rsidR="009243B4" w:rsidRPr="006F44FA" w:rsidRDefault="009243B4" w:rsidP="000753D2">
      <w:pPr>
        <w:pStyle w:val="FootnoteText"/>
        <w:ind w:left="567" w:hanging="567"/>
        <w:jc w:val="left"/>
        <w:rPr>
          <w:sz w:val="24"/>
          <w:szCs w:val="24"/>
          <w:lang w:val="hu-HU"/>
        </w:rPr>
      </w:pPr>
      <w:r w:rsidRPr="006F44FA">
        <w:rPr>
          <w:rStyle w:val="FootnoteReference"/>
          <w:sz w:val="24"/>
          <w:szCs w:val="24"/>
          <w:lang w:val="hu-HU"/>
        </w:rPr>
        <w:footnoteRef/>
      </w:r>
      <w:r w:rsidRPr="006F44FA">
        <w:rPr>
          <w:sz w:val="24"/>
          <w:szCs w:val="24"/>
          <w:lang w:val="hu-HU"/>
        </w:rPr>
        <w:t xml:space="preserve"> </w:t>
      </w:r>
      <w:r w:rsidRPr="006F44FA">
        <w:rPr>
          <w:sz w:val="24"/>
          <w:szCs w:val="24"/>
          <w:lang w:val="hu-HU"/>
        </w:rPr>
        <w:tab/>
        <w:t xml:space="preserve">HL C, C/2024/5882, 2024.10.9., ELI: </w:t>
      </w:r>
      <w:r w:rsidR="009D66F0">
        <w:fldChar w:fldCharType="begin"/>
      </w:r>
      <w:r w:rsidR="009D66F0" w:rsidRPr="009D66F0">
        <w:rPr>
          <w:lang w:val="fi-FI"/>
        </w:rPr>
        <w:instrText>HYPERLINK "http://data.europa.eu/eli/C/2024/5882/oj"</w:instrText>
      </w:r>
      <w:r w:rsidR="009D66F0">
        <w:fldChar w:fldCharType="separate"/>
      </w:r>
      <w:r w:rsidRPr="006F44FA">
        <w:rPr>
          <w:rStyle w:val="Hyperlink1"/>
          <w:sz w:val="24"/>
          <w:szCs w:val="24"/>
          <w:lang w:val="hu-HU"/>
        </w:rPr>
        <w:t>http://data.europa.eu/eli/C/2024/5882/oj</w:t>
      </w:r>
      <w:r w:rsidR="009D66F0">
        <w:rPr>
          <w:rStyle w:val="Hyperlink1"/>
          <w:sz w:val="24"/>
          <w:szCs w:val="24"/>
          <w:lang w:val="hu-HU"/>
        </w:rPr>
        <w:fldChar w:fldCharType="end"/>
      </w:r>
      <w:r w:rsidRPr="006F44FA">
        <w:rPr>
          <w:rStyle w:val="Hyperlink1"/>
          <w:sz w:val="24"/>
          <w:szCs w:val="24"/>
          <w:shd w:val="clear" w:color="auto" w:fill="FFFFFF"/>
          <w:lang w:val="hu-HU"/>
        </w:rPr>
        <w:t>.</w:t>
      </w:r>
    </w:p>
  </w:footnote>
  <w:footnote w:id="4">
    <w:p w14:paraId="0FE49673" w14:textId="77777777" w:rsidR="009243B4" w:rsidRPr="006F44FA" w:rsidRDefault="009243B4" w:rsidP="000753D2">
      <w:pPr>
        <w:pStyle w:val="FootnoteText"/>
        <w:ind w:left="567" w:hanging="567"/>
        <w:jc w:val="left"/>
        <w:rPr>
          <w:sz w:val="24"/>
          <w:szCs w:val="24"/>
          <w:lang w:val="hu-HU"/>
        </w:rPr>
      </w:pPr>
      <w:r w:rsidRPr="006F44FA">
        <w:rPr>
          <w:rStyle w:val="FootnoteReference"/>
          <w:sz w:val="24"/>
          <w:szCs w:val="24"/>
          <w:lang w:val="hu-HU"/>
        </w:rPr>
        <w:footnoteRef/>
      </w:r>
      <w:r w:rsidRPr="006F44FA">
        <w:rPr>
          <w:sz w:val="24"/>
          <w:szCs w:val="24"/>
          <w:lang w:val="hu-HU"/>
        </w:rPr>
        <w:t xml:space="preserve"> </w:t>
      </w:r>
      <w:r w:rsidRPr="006F44FA">
        <w:rPr>
          <w:sz w:val="24"/>
          <w:szCs w:val="24"/>
          <w:lang w:val="hu-HU"/>
        </w:rPr>
        <w:tab/>
        <w:t xml:space="preserve">HL C, C/2024/6041, 2024.10.10., ELI: </w:t>
      </w:r>
      <w:r w:rsidR="009D66F0">
        <w:fldChar w:fldCharType="begin"/>
      </w:r>
      <w:r w:rsidR="009D66F0" w:rsidRPr="009D66F0">
        <w:rPr>
          <w:lang w:val="fi-FI"/>
        </w:rPr>
        <w:instrText>HYPERLINK "http://data.europa.eu/eli/C/2024/6041/oj"</w:instrText>
      </w:r>
      <w:r w:rsidR="009D66F0">
        <w:fldChar w:fldCharType="separate"/>
      </w:r>
      <w:r w:rsidRPr="006F44FA">
        <w:rPr>
          <w:rStyle w:val="Hyperlink1"/>
          <w:sz w:val="24"/>
          <w:szCs w:val="24"/>
          <w:lang w:val="hu-HU"/>
        </w:rPr>
        <w:t>http://data.europa.eu/eli/C/2024/6041/oj</w:t>
      </w:r>
      <w:r w:rsidR="009D66F0">
        <w:rPr>
          <w:rStyle w:val="Hyperlink1"/>
          <w:sz w:val="24"/>
          <w:szCs w:val="24"/>
          <w:lang w:val="hu-HU"/>
        </w:rPr>
        <w:fldChar w:fldCharType="end"/>
      </w:r>
      <w:r w:rsidRPr="006F44FA">
        <w:rPr>
          <w:rStyle w:val="Hyperlink1"/>
          <w:sz w:val="24"/>
          <w:szCs w:val="24"/>
          <w:shd w:val="clear" w:color="auto" w:fill="FFFFFF"/>
          <w:lang w:val="hu-HU"/>
        </w:rPr>
        <w:t>.</w:t>
      </w:r>
    </w:p>
  </w:footnote>
  <w:footnote w:id="5">
    <w:p w14:paraId="4F6C835B" w14:textId="77777777" w:rsidR="009243B4" w:rsidRPr="006F44FA" w:rsidRDefault="009243B4" w:rsidP="000753D2">
      <w:pPr>
        <w:pStyle w:val="FootnoteText"/>
        <w:ind w:left="567" w:hanging="567"/>
        <w:jc w:val="left"/>
        <w:rPr>
          <w:sz w:val="24"/>
          <w:szCs w:val="24"/>
          <w:lang w:val="hu-HU"/>
        </w:rPr>
      </w:pPr>
      <w:r w:rsidRPr="006F44FA">
        <w:rPr>
          <w:rStyle w:val="FootnoteReference"/>
          <w:sz w:val="24"/>
          <w:szCs w:val="24"/>
          <w:lang w:val="hu-HU"/>
        </w:rPr>
        <w:footnoteRef/>
      </w:r>
      <w:r w:rsidRPr="006F44FA">
        <w:rPr>
          <w:sz w:val="24"/>
          <w:szCs w:val="24"/>
          <w:lang w:val="hu-HU"/>
        </w:rPr>
        <w:t xml:space="preserve"> </w:t>
      </w:r>
      <w:r w:rsidRPr="006F44FA">
        <w:rPr>
          <w:sz w:val="24"/>
          <w:szCs w:val="24"/>
          <w:lang w:val="hu-HU"/>
        </w:rPr>
        <w:tab/>
        <w:t xml:space="preserve">HL L 193., 2018.7.30., 1. o., ELI: </w:t>
      </w:r>
      <w:r w:rsidR="009D66F0">
        <w:fldChar w:fldCharType="begin"/>
      </w:r>
      <w:r w:rsidR="009D66F0" w:rsidRPr="009D66F0">
        <w:rPr>
          <w:lang w:val="fi-FI"/>
        </w:rPr>
        <w:instrText>HYPERLINK "http://data.europa.eu/eli/reg/2018/1046/oj"</w:instrText>
      </w:r>
      <w:r w:rsidR="009D66F0">
        <w:fldChar w:fldCharType="separate"/>
      </w:r>
      <w:r w:rsidRPr="006F44FA">
        <w:rPr>
          <w:rStyle w:val="Hyperlink1"/>
          <w:sz w:val="24"/>
          <w:szCs w:val="24"/>
          <w:lang w:val="hu-HU"/>
        </w:rPr>
        <w:t>http://data.europa.eu/eli/reg/2018/1046/oj</w:t>
      </w:r>
      <w:r w:rsidR="009D66F0">
        <w:rPr>
          <w:rStyle w:val="Hyperlink1"/>
          <w:sz w:val="24"/>
          <w:szCs w:val="24"/>
          <w:lang w:val="hu-HU"/>
        </w:rPr>
        <w:fldChar w:fldCharType="end"/>
      </w:r>
      <w:r w:rsidRPr="006F44FA">
        <w:rPr>
          <w:rStyle w:val="Hyperlink1"/>
          <w:sz w:val="24"/>
          <w:szCs w:val="24"/>
          <w:shd w:val="clear" w:color="auto" w:fill="FFFFFF"/>
          <w:lang w:val="hu-HU"/>
        </w:rPr>
        <w:t>.</w:t>
      </w:r>
    </w:p>
  </w:footnote>
  <w:footnote w:id="6">
    <w:p w14:paraId="10F82223" w14:textId="77777777" w:rsidR="009243B4" w:rsidRPr="006F44FA" w:rsidRDefault="009243B4" w:rsidP="000753D2">
      <w:pPr>
        <w:pStyle w:val="FootnoteText"/>
        <w:ind w:left="567" w:hanging="567"/>
        <w:jc w:val="left"/>
        <w:rPr>
          <w:sz w:val="24"/>
          <w:szCs w:val="24"/>
          <w:lang w:val="hu-HU"/>
        </w:rPr>
      </w:pPr>
      <w:r w:rsidRPr="006F44FA">
        <w:rPr>
          <w:rStyle w:val="FootnoteReference"/>
          <w:sz w:val="24"/>
          <w:szCs w:val="24"/>
          <w:lang w:val="hu-HU"/>
        </w:rPr>
        <w:footnoteRef/>
      </w:r>
      <w:r w:rsidRPr="006F44FA">
        <w:rPr>
          <w:sz w:val="24"/>
          <w:szCs w:val="24"/>
          <w:lang w:val="hu-HU"/>
        </w:rPr>
        <w:t xml:space="preserve"> </w:t>
      </w:r>
      <w:r w:rsidRPr="006F44FA">
        <w:rPr>
          <w:sz w:val="24"/>
          <w:szCs w:val="24"/>
          <w:lang w:val="hu-HU"/>
        </w:rPr>
        <w:tab/>
        <w:t xml:space="preserve">HL L, 2024/2509, 2024.9.26., ELI: </w:t>
      </w:r>
      <w:r w:rsidR="009D66F0">
        <w:fldChar w:fldCharType="begin"/>
      </w:r>
      <w:r w:rsidR="009D66F0" w:rsidRPr="009D66F0">
        <w:rPr>
          <w:lang w:val="fi-FI"/>
        </w:rPr>
        <w:instrText>HYPERLINK "http://data.europa.eu/eli/reg/2024/2509/oj"</w:instrText>
      </w:r>
      <w:r w:rsidR="009D66F0">
        <w:fldChar w:fldCharType="separate"/>
      </w:r>
      <w:r w:rsidRPr="006F44FA">
        <w:rPr>
          <w:rStyle w:val="Hyperlink1"/>
          <w:sz w:val="24"/>
          <w:szCs w:val="24"/>
          <w:lang w:val="hu-HU"/>
        </w:rPr>
        <w:t>http://data.europa.eu/eli/reg/2024/2509/oj</w:t>
      </w:r>
      <w:r w:rsidR="009D66F0">
        <w:rPr>
          <w:rStyle w:val="Hyperlink1"/>
          <w:sz w:val="24"/>
          <w:szCs w:val="24"/>
          <w:lang w:val="hu-HU"/>
        </w:rPr>
        <w:fldChar w:fldCharType="end"/>
      </w:r>
      <w:r w:rsidRPr="006F44FA">
        <w:rPr>
          <w:rStyle w:val="Hyperlink1"/>
          <w:sz w:val="24"/>
          <w:szCs w:val="24"/>
          <w:shd w:val="clear" w:color="auto" w:fill="FFFFFF"/>
          <w:lang w:val="hu-HU"/>
        </w:rPr>
        <w:t>.</w:t>
      </w:r>
    </w:p>
  </w:footnote>
  <w:footnote w:id="7">
    <w:p w14:paraId="1A4257A8" w14:textId="77777777" w:rsidR="009243B4" w:rsidRPr="006F44FA" w:rsidRDefault="009243B4" w:rsidP="00F501A5">
      <w:pPr>
        <w:pStyle w:val="FootnoteText"/>
        <w:ind w:left="567" w:hanging="567"/>
        <w:jc w:val="left"/>
        <w:rPr>
          <w:sz w:val="24"/>
          <w:szCs w:val="24"/>
          <w:lang w:val="hu-HU"/>
        </w:rPr>
      </w:pPr>
      <w:r w:rsidRPr="006F44FA">
        <w:rPr>
          <w:rStyle w:val="FootnoteReference"/>
          <w:sz w:val="24"/>
          <w:szCs w:val="24"/>
          <w:lang w:val="hu-HU"/>
        </w:rPr>
        <w:footnoteRef/>
      </w:r>
      <w:r w:rsidRPr="006F44FA">
        <w:rPr>
          <w:sz w:val="24"/>
          <w:szCs w:val="24"/>
          <w:lang w:val="hu-HU"/>
        </w:rPr>
        <w:tab/>
        <w:t xml:space="preserve">Az Európai Parlament és a Tanács (EU, Euratom) 2024/2019 rendelete (2024. április 11.) az Európai Unió Bíróságának alapokmányáról szóló 3. jegyzőkönyv módosításáról (HL L, 2024/2019, 2024.8.12., ELI: </w:t>
      </w:r>
      <w:r w:rsidR="009D66F0">
        <w:fldChar w:fldCharType="begin"/>
      </w:r>
      <w:r w:rsidR="009D66F0" w:rsidRPr="009D66F0">
        <w:rPr>
          <w:lang w:val="hu-HU"/>
        </w:rPr>
        <w:instrText>HYPERLINK "http://data.europa.eu/eli/reg/2024/2019/oj"</w:instrText>
      </w:r>
      <w:r w:rsidR="009D66F0">
        <w:fldChar w:fldCharType="separate"/>
      </w:r>
      <w:r w:rsidRPr="006F44FA">
        <w:rPr>
          <w:rStyle w:val="Hyperlink1"/>
          <w:sz w:val="24"/>
          <w:szCs w:val="24"/>
          <w:lang w:val="hu-HU"/>
        </w:rPr>
        <w:t>http://data.europa.eu/eli/reg/2024/2019/oj</w:t>
      </w:r>
      <w:r w:rsidR="009D66F0">
        <w:rPr>
          <w:rStyle w:val="Hyperlink1"/>
          <w:sz w:val="24"/>
          <w:szCs w:val="24"/>
          <w:lang w:val="hu-HU"/>
        </w:rPr>
        <w:fldChar w:fldCharType="end"/>
      </w:r>
      <w:r w:rsidRPr="006F44FA">
        <w:rPr>
          <w:rStyle w:val="Hyperlink1"/>
          <w:sz w:val="24"/>
          <w:szCs w:val="24"/>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4"/>
    <w:rsid w:val="000004E5"/>
    <w:rsid w:val="0017341F"/>
    <w:rsid w:val="00411F47"/>
    <w:rsid w:val="005762E3"/>
    <w:rsid w:val="005C63D4"/>
    <w:rsid w:val="00697F67"/>
    <w:rsid w:val="006F44FA"/>
    <w:rsid w:val="00793EC5"/>
    <w:rsid w:val="008765BE"/>
    <w:rsid w:val="009243B4"/>
    <w:rsid w:val="009D32FA"/>
    <w:rsid w:val="009D66F0"/>
    <w:rsid w:val="00E9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2B0E6"/>
  <w15:chartTrackingRefBased/>
  <w15:docId w15:val="{6A326E63-0D0D-4C35-96AA-1100C944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9243B4"/>
    <w:rPr>
      <w:kern w:val="0"/>
      <w:sz w:val="20"/>
      <w:szCs w:val="20"/>
      <w14:ligatures w14:val="none"/>
    </w:rPr>
  </w:style>
  <w:style w:type="character" w:customStyle="1" w:styleId="FootnoteTextChar">
    <w:name w:val="Footnote Text Char"/>
    <w:basedOn w:val="DefaultParagraphFont"/>
    <w:link w:val="FootnoteText"/>
    <w:uiPriority w:val="99"/>
    <w:semiHidden/>
    <w:rsid w:val="009243B4"/>
    <w:rPr>
      <w:rFonts w:ascii="Times New Roman" w:hAnsi="Times New Roman"/>
      <w:kern w:val="0"/>
      <w:sz w:val="20"/>
      <w:szCs w:val="20"/>
      <w14:ligatures w14:val="none"/>
    </w:rPr>
  </w:style>
  <w:style w:type="character" w:styleId="FootnoteReference">
    <w:name w:val="footnote reference"/>
    <w:rsid w:val="009243B4"/>
    <w:rPr>
      <w:b w:val="0"/>
      <w:vertAlign w:val="superscript"/>
    </w:rPr>
  </w:style>
  <w:style w:type="character" w:customStyle="1" w:styleId="Hyperlink1">
    <w:name w:val="Hyperlink1"/>
    <w:basedOn w:val="DefaultParagraphFont"/>
    <w:rsid w:val="009243B4"/>
    <w:rPr>
      <w:color w:val="0563C1"/>
      <w:u w:val="single"/>
    </w:rPr>
  </w:style>
  <w:style w:type="character" w:styleId="CommentReference">
    <w:name w:val="annotation reference"/>
    <w:basedOn w:val="DefaultParagraphFont"/>
    <w:uiPriority w:val="99"/>
    <w:semiHidden/>
    <w:unhideWhenUsed/>
    <w:rsid w:val="00411F47"/>
    <w:rPr>
      <w:sz w:val="16"/>
      <w:szCs w:val="16"/>
    </w:rPr>
  </w:style>
  <w:style w:type="paragraph" w:styleId="CommentText">
    <w:name w:val="annotation text"/>
    <w:basedOn w:val="Normal"/>
    <w:link w:val="CommentTextChar"/>
    <w:uiPriority w:val="99"/>
    <w:semiHidden/>
    <w:unhideWhenUsed/>
    <w:rsid w:val="00411F47"/>
    <w:rPr>
      <w:sz w:val="20"/>
      <w:szCs w:val="20"/>
    </w:rPr>
  </w:style>
  <w:style w:type="character" w:customStyle="1" w:styleId="CommentTextChar">
    <w:name w:val="Comment Text Char"/>
    <w:basedOn w:val="DefaultParagraphFont"/>
    <w:link w:val="CommentText"/>
    <w:uiPriority w:val="99"/>
    <w:semiHidden/>
    <w:rsid w:val="00411F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11F47"/>
    <w:rPr>
      <w:b/>
      <w:bCs/>
    </w:rPr>
  </w:style>
  <w:style w:type="character" w:customStyle="1" w:styleId="CommentSubjectChar">
    <w:name w:val="Comment Subject Char"/>
    <w:basedOn w:val="CommentTextChar"/>
    <w:link w:val="CommentSubject"/>
    <w:uiPriority w:val="99"/>
    <w:semiHidden/>
    <w:rsid w:val="00411F47"/>
    <w:rPr>
      <w:rFonts w:ascii="Times New Roman" w:hAnsi="Times New Roman"/>
      <w:b/>
      <w:bCs/>
      <w:sz w:val="20"/>
      <w:szCs w:val="20"/>
    </w:rPr>
  </w:style>
  <w:style w:type="paragraph" w:customStyle="1" w:styleId="EPComma">
    <w:name w:val="EPComma"/>
    <w:basedOn w:val="Normal"/>
    <w:rsid w:val="0017341F"/>
    <w:pPr>
      <w:widowControl w:val="0"/>
      <w:spacing w:before="480" w:after="240"/>
      <w:jc w:val="left"/>
    </w:pPr>
    <w:rPr>
      <w:rFonts w:eastAsia="Times New Roman"/>
      <w:kern w:val="0"/>
      <w:szCs w:val="20"/>
      <w:lang w:val="hu-HU" w:eastAsia="en-GB"/>
      <w14:ligatures w14:val="none"/>
    </w:rPr>
  </w:style>
  <w:style w:type="character" w:customStyle="1" w:styleId="HideTWBExt">
    <w:name w:val="HideTWBExt"/>
    <w:rsid w:val="006F44FA"/>
    <w:rPr>
      <w:rFonts w:ascii="Arial" w:hAnsi="Arial"/>
      <w:noProof/>
      <w:vanish/>
      <w:color w:val="000080"/>
      <w:sz w:val="20"/>
    </w:rPr>
  </w:style>
  <w:style w:type="paragraph" w:customStyle="1" w:styleId="EPBodyTA1">
    <w:name w:val="EPBodyTA1"/>
    <w:basedOn w:val="Normal"/>
    <w:rsid w:val="006F44FA"/>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6F44FA"/>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6F44FA"/>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6F44FA"/>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6F44FA"/>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6F44FA"/>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6F44FA"/>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6F44FA"/>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6F44FA"/>
    <w:pPr>
      <w:widowControl w:val="0"/>
      <w:jc w:val="righ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27A489-8F37-4287-8650-5C572D008AA3}">
  <ds:schemaRefs>
    <ds:schemaRef ds:uri="http://schemas.openxmlformats.org/officeDocument/2006/bibliography"/>
  </ds:schemaRefs>
</ds:datastoreItem>
</file>

<file path=customXml/itemProps2.xml><?xml version="1.0" encoding="utf-8"?>
<ds:datastoreItem xmlns:ds="http://schemas.openxmlformats.org/officeDocument/2006/customXml" ds:itemID="{525A3FD2-764A-422D-AB0D-7D4A67DF7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3B8BD8-FC12-486D-B4C7-D4FD5F936BD6}">
  <ds:schemaRefs>
    <ds:schemaRef ds:uri="http://schemas.microsoft.com/sharepoint/v3/contenttype/forms"/>
  </ds:schemaRefs>
</ds:datastoreItem>
</file>

<file path=customXml/itemProps4.xml><?xml version="1.0" encoding="utf-8"?>
<ds:datastoreItem xmlns:ds="http://schemas.openxmlformats.org/officeDocument/2006/customXml" ds:itemID="{2A97DE79-1534-4D93-9C36-66DFD549333A}">
  <ds:schemaRefs>
    <ds:schemaRef ds:uri="8e4974d0-974e-4e93-84c5-0723ea5633db"/>
    <ds:schemaRef ds:uri="http://purl.org/dc/terms/"/>
    <ds:schemaRef ds:uri="http://purl.org/dc/dcmitype/"/>
    <ds:schemaRef ds:uri="http://schemas.microsoft.com/office/2006/metadata/properties"/>
    <ds:schemaRef ds:uri="e5035db9-81f1-44b9-9204-15328c5aa6d6"/>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6886</Words>
  <Characters>39251</Characters>
  <Application>Microsoft Office Word</Application>
  <DocSecurity>0</DocSecurity>
  <Lines>327</Lines>
  <Paragraphs>92</Paragraphs>
  <ScaleCrop>false</ScaleCrop>
  <Company>European Parliament</Company>
  <LinksUpToDate>false</LinksUpToDate>
  <CharactersWithSpaces>46045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2025-11-24T16:44:00Z</dcterms:created>
  <dcterms:modified xsi:type="dcterms:W3CDTF">2025-11-24T16:44:00Z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