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0ADF" w14:paraId="1EFC7E71" w14:textId="77777777" w:rsidTr="0010095E">
        <w:trPr>
          <w:trHeight w:hRule="exact" w:val="1418"/>
        </w:trPr>
        <w:tc>
          <w:tcPr>
            <w:tcW w:w="6804" w:type="dxa"/>
            <w:shd w:val="clear" w:color="auto" w:fill="auto"/>
            <w:vAlign w:val="center"/>
          </w:tcPr>
          <w:p w14:paraId="0A211683" w14:textId="77777777" w:rsidR="00751A4A" w:rsidRPr="005C0ADF" w:rsidRDefault="006E4977" w:rsidP="0010095E">
            <w:pPr>
              <w:pStyle w:val="EPName"/>
            </w:pPr>
            <w:r w:rsidRPr="005C0ADF">
              <w:t>Europos Parlamentas</w:t>
            </w:r>
          </w:p>
          <w:p w14:paraId="326952EB" w14:textId="77777777" w:rsidR="00751A4A" w:rsidRPr="005C0ADF" w:rsidRDefault="005F1B17" w:rsidP="005F1B17">
            <w:pPr>
              <w:pStyle w:val="EPTerm"/>
              <w:rPr>
                <w:rStyle w:val="HideTWBExt"/>
                <w:noProof w:val="0"/>
                <w:vanish w:val="0"/>
                <w:color w:val="auto"/>
              </w:rPr>
            </w:pPr>
            <w:r w:rsidRPr="005C0ADF">
              <w:t>2024</w:t>
            </w:r>
            <w:r w:rsidR="00817416" w:rsidRPr="005C0ADF">
              <w:t>-202</w:t>
            </w:r>
            <w:r w:rsidRPr="005C0ADF">
              <w:t>9</w:t>
            </w:r>
          </w:p>
        </w:tc>
        <w:tc>
          <w:tcPr>
            <w:tcW w:w="2268" w:type="dxa"/>
            <w:shd w:val="clear" w:color="auto" w:fill="auto"/>
          </w:tcPr>
          <w:p w14:paraId="0D9EC51C" w14:textId="77777777" w:rsidR="00751A4A" w:rsidRPr="005C0ADF" w:rsidRDefault="00187494" w:rsidP="0010095E">
            <w:pPr>
              <w:pStyle w:val="EPLogo"/>
            </w:pPr>
            <w:r w:rsidRPr="005C0ADF">
              <w:rPr>
                <w:noProof/>
                <w:lang w:val="pl-PL" w:eastAsia="pl-PL"/>
              </w:rPr>
              <w:drawing>
                <wp:inline distT="0" distB="0" distL="0" distR="0" wp14:anchorId="27ECFD60" wp14:editId="49C112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8B8287" w14:textId="77777777" w:rsidR="00D058B8" w:rsidRPr="005C0ADF" w:rsidRDefault="00D058B8" w:rsidP="004C5D52">
      <w:pPr>
        <w:pStyle w:val="LineTop"/>
      </w:pPr>
    </w:p>
    <w:p w14:paraId="1E1B47D7" w14:textId="77777777" w:rsidR="00680577" w:rsidRPr="005C0ADF" w:rsidRDefault="006E4977" w:rsidP="00680577">
      <w:pPr>
        <w:pStyle w:val="EPBodyTA1"/>
      </w:pPr>
      <w:r w:rsidRPr="005C0ADF">
        <w:t>PRIIMTI TEKSTAI</w:t>
      </w:r>
    </w:p>
    <w:p w14:paraId="179FD1EF" w14:textId="77777777" w:rsidR="00D058B8" w:rsidRPr="005C0ADF" w:rsidRDefault="00D058B8" w:rsidP="00D058B8">
      <w:pPr>
        <w:pStyle w:val="LineBottom"/>
      </w:pPr>
    </w:p>
    <w:p w14:paraId="69457498" w14:textId="77777777" w:rsidR="006E4977" w:rsidRPr="005C0ADF" w:rsidRDefault="006E4977" w:rsidP="006E4977">
      <w:pPr>
        <w:pStyle w:val="ATHeading1"/>
      </w:pPr>
      <w:bookmarkStart w:id="0" w:name="TANumber"/>
      <w:r w:rsidRPr="005C0ADF">
        <w:t>P10_TA(2025)00</w:t>
      </w:r>
      <w:r w:rsidR="00907DA4">
        <w:t>8</w:t>
      </w:r>
      <w:r w:rsidRPr="005C0ADF">
        <w:t>0</w:t>
      </w:r>
      <w:bookmarkEnd w:id="0"/>
    </w:p>
    <w:p w14:paraId="2896E2F5" w14:textId="77777777" w:rsidR="006E4977" w:rsidRPr="005C0ADF" w:rsidRDefault="00C7207C" w:rsidP="00C7207C">
      <w:pPr>
        <w:pStyle w:val="ATHeading2"/>
      </w:pPr>
      <w:bookmarkStart w:id="1" w:name="title"/>
      <w:r>
        <w:t>2023 m. biudžeto įvykdymo patvirtinimas: ES bendrasis biudžetas – Europos Sąjungos Teisingumo Teismas</w:t>
      </w:r>
      <w:bookmarkEnd w:id="1"/>
    </w:p>
    <w:p w14:paraId="3F8D8E85" w14:textId="77777777" w:rsidR="006E4977" w:rsidRPr="005C0ADF" w:rsidRDefault="006E4977" w:rsidP="006E4977">
      <w:pPr>
        <w:rPr>
          <w:i/>
          <w:vanish/>
        </w:rPr>
      </w:pPr>
      <w:r w:rsidRPr="005C0ADF">
        <w:rPr>
          <w:i/>
        </w:rPr>
        <w:fldChar w:fldCharType="begin"/>
      </w:r>
      <w:r w:rsidRPr="005C0ADF">
        <w:rPr>
          <w:i/>
        </w:rPr>
        <w:instrText xml:space="preserve"> TC"(</w:instrText>
      </w:r>
      <w:bookmarkStart w:id="2" w:name="DocNumber"/>
      <w:r w:rsidRPr="005C0ADF">
        <w:rPr>
          <w:i/>
        </w:rPr>
        <w:instrText>A10-0050/2025</w:instrText>
      </w:r>
      <w:bookmarkEnd w:id="2"/>
      <w:r w:rsidRPr="005C0ADF">
        <w:rPr>
          <w:i/>
        </w:rPr>
        <w:instrText xml:space="preserve"> - Pranešėjas: Cristian Terheş)"\l3 \n&gt; \* MERGEFORMAT </w:instrText>
      </w:r>
      <w:r w:rsidRPr="005C0ADF">
        <w:rPr>
          <w:i/>
        </w:rPr>
        <w:fldChar w:fldCharType="end"/>
      </w:r>
    </w:p>
    <w:p w14:paraId="34A16307" w14:textId="77777777" w:rsidR="006E4977" w:rsidRPr="005C0ADF" w:rsidRDefault="006E4977" w:rsidP="006E4977">
      <w:pPr>
        <w:rPr>
          <w:vanish/>
        </w:rPr>
      </w:pPr>
      <w:bookmarkStart w:id="3" w:name="Commission"/>
      <w:r w:rsidRPr="005C0ADF">
        <w:rPr>
          <w:vanish/>
        </w:rPr>
        <w:t>Biudžeto kontrolės komitetas</w:t>
      </w:r>
      <w:bookmarkEnd w:id="3"/>
    </w:p>
    <w:p w14:paraId="2E60CDCC" w14:textId="77777777" w:rsidR="006E4977" w:rsidRPr="005C0ADF" w:rsidRDefault="006E4977" w:rsidP="006E4977">
      <w:pPr>
        <w:rPr>
          <w:vanish/>
        </w:rPr>
      </w:pPr>
      <w:bookmarkStart w:id="4" w:name="PE"/>
      <w:r w:rsidRPr="005C0ADF">
        <w:rPr>
          <w:vanish/>
        </w:rPr>
        <w:t>PE764.996</w:t>
      </w:r>
      <w:bookmarkEnd w:id="4"/>
    </w:p>
    <w:p w14:paraId="56478278" w14:textId="77777777" w:rsidR="00A67978" w:rsidRDefault="00A67978" w:rsidP="00A67978">
      <w:pPr>
        <w:pStyle w:val="ATHeading3"/>
      </w:pPr>
      <w:r>
        <w:t>1. 2025 m. gegužės 7 d. Europos Parlamento sprendimas dėl 2023 finansinių metų Europos Sąjungos bendrojo biudžeto įvykdymo patvirtinimo, IV skirsnis – Europos Sąjungos Teisingumo Teismas (2024/2022(DEC))</w:t>
      </w:r>
    </w:p>
    <w:p w14:paraId="1065132F" w14:textId="359B808F" w:rsidR="00A67978" w:rsidRPr="00A67978" w:rsidRDefault="00A67978" w:rsidP="00A67978">
      <w:pPr>
        <w:spacing w:before="480" w:after="240"/>
        <w:rPr>
          <w:i/>
        </w:rPr>
      </w:pPr>
      <w:r w:rsidRPr="00A67978">
        <w:rPr>
          <w:i/>
        </w:rPr>
        <w:t>Europos Parlamentas,</w:t>
      </w:r>
    </w:p>
    <w:p w14:paraId="109DA088" w14:textId="2B20330F" w:rsidR="00A67978" w:rsidRDefault="00A67978" w:rsidP="00A67978">
      <w:pPr>
        <w:spacing w:after="240"/>
        <w:ind w:left="567" w:hanging="567"/>
      </w:pPr>
      <w:r>
        <w:t>–</w:t>
      </w:r>
      <w:r>
        <w:tab/>
        <w:t>atsižvelgdamas į 2023 finansinių metų Europos Sąjungos bendrąjį biudžetą</w:t>
      </w:r>
      <w:r>
        <w:rPr>
          <w:vertAlign w:val="superscript"/>
        </w:rPr>
        <w:footnoteReference w:id="1"/>
      </w:r>
      <w:r>
        <w:t>,</w:t>
      </w:r>
    </w:p>
    <w:p w14:paraId="0A244C90" w14:textId="5B1F553A" w:rsidR="00A67978" w:rsidRDefault="00A67978" w:rsidP="00A67978">
      <w:pPr>
        <w:spacing w:after="240"/>
        <w:ind w:left="567" w:hanging="567"/>
      </w:pPr>
      <w:r>
        <w:t>–</w:t>
      </w:r>
      <w:r>
        <w:tab/>
        <w:t>atsižvelgdamas į 2023 finansinių metų Europos Sąjungos konsoliduotąsias metines ataskaitas (COM(2024)0272 – C10</w:t>
      </w:r>
      <w:r>
        <w:noBreakHyphen/>
        <w:t>0070/2024)</w:t>
      </w:r>
      <w:r>
        <w:rPr>
          <w:vertAlign w:val="superscript"/>
        </w:rPr>
        <w:footnoteReference w:id="2"/>
      </w:r>
      <w:r>
        <w:t>,</w:t>
      </w:r>
    </w:p>
    <w:p w14:paraId="2D99EAE8" w14:textId="3FD0792D" w:rsidR="00A67978" w:rsidRDefault="00A67978" w:rsidP="00A67978">
      <w:pPr>
        <w:spacing w:after="240"/>
        <w:ind w:left="567" w:hanging="567"/>
      </w:pPr>
      <w:r>
        <w:t>–</w:t>
      </w:r>
      <w:r>
        <w:tab/>
        <w:t>atsižvelgdamas į Europos Sąjungos Teisingumo Teismo 2023 m. metinę veiklos ataskaitą ir 2023 m. biudžeto ir finansų valdymo ataskaitą,</w:t>
      </w:r>
    </w:p>
    <w:p w14:paraId="04D5A1C6" w14:textId="22A414AF" w:rsidR="00A67978" w:rsidRDefault="00A67978" w:rsidP="00A67978">
      <w:pPr>
        <w:spacing w:after="240"/>
        <w:ind w:left="567" w:hanging="567"/>
      </w:pPr>
      <w:r>
        <w:t>–</w:t>
      </w:r>
      <w:r>
        <w:tab/>
        <w:t>atsižvelgdamas į Audito Rūmų metinę ataskaitą dėl 2023 finansinių metų biudžeto vykdymo kartu su institucijų atsakymais</w:t>
      </w:r>
      <w:r>
        <w:rPr>
          <w:vertAlign w:val="superscript"/>
        </w:rPr>
        <w:footnoteReference w:id="3"/>
      </w:r>
      <w:r>
        <w:t>,</w:t>
      </w:r>
    </w:p>
    <w:p w14:paraId="12ABD417" w14:textId="0342F704" w:rsidR="00A67978" w:rsidRDefault="00A67978" w:rsidP="00A67978">
      <w:pPr>
        <w:spacing w:after="240"/>
        <w:ind w:left="567" w:hanging="567"/>
      </w:pPr>
      <w:r>
        <w:t>–</w:t>
      </w:r>
      <w:r>
        <w:tab/>
        <w:t>atsižvelgdamas į Audito Rūmų pagal Sutarties dėl Europos Sąjungos veikimo 287 straipsnį pateiktą 2023 finansinių metų sąskaitų patikimumo ir pagal jas atliktų operacijų teisėtumo ir tvarkingumo patikinimo pareiškimą</w:t>
      </w:r>
      <w:r>
        <w:rPr>
          <w:vertAlign w:val="superscript"/>
        </w:rPr>
        <w:footnoteReference w:id="4"/>
      </w:r>
      <w:r>
        <w:t>,</w:t>
      </w:r>
    </w:p>
    <w:p w14:paraId="64F441CE" w14:textId="31A94239" w:rsidR="00A67978" w:rsidRDefault="00A67978" w:rsidP="00A67978">
      <w:pPr>
        <w:spacing w:after="240"/>
        <w:ind w:left="567" w:hanging="567"/>
      </w:pPr>
      <w:r>
        <w:t>–</w:t>
      </w:r>
      <w:r>
        <w:tab/>
        <w:t>atsižvelgdamas į Sutarties dėl Europos Sąjungos veikimo 314 straipsnio 10 dalį ir 317, 318 ir 319 straipsnius,</w:t>
      </w:r>
    </w:p>
    <w:p w14:paraId="098D78AC" w14:textId="4D86B340" w:rsidR="00A67978" w:rsidRDefault="00A67978" w:rsidP="00A67978">
      <w:pPr>
        <w:spacing w:after="240"/>
        <w:ind w:left="567" w:hanging="567"/>
      </w:pPr>
      <w:r>
        <w:t>–</w:t>
      </w:r>
      <w:r>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w:t>
      </w:r>
      <w:r>
        <w:lastRenderedPageBreak/>
        <w:t>(ES) Nr. 223/2014, (ES) Nr. 283/2014 ir Sprendimas Nr. 541/2014/ES, bei panaikinamas Reglamentas (ES, Euratomas) Nr. 966/2012</w:t>
      </w:r>
      <w:r>
        <w:rPr>
          <w:vertAlign w:val="superscript"/>
        </w:rPr>
        <w:footnoteReference w:id="5"/>
      </w:r>
      <w:r>
        <w:t>, ypač į jo 59, 118, 260, 261 ir 262 straipsnius,</w:t>
      </w:r>
    </w:p>
    <w:p w14:paraId="135B0321" w14:textId="25DB3109" w:rsidR="00A67978" w:rsidRDefault="00A67978" w:rsidP="00A67978">
      <w:pPr>
        <w:spacing w:after="240"/>
        <w:ind w:left="567" w:hanging="567"/>
        <w:rPr>
          <w:szCs w:val="24"/>
        </w:rPr>
      </w:pPr>
      <w:r>
        <w:t>–</w:t>
      </w:r>
      <w:r>
        <w:tab/>
        <w:t>atsižvelgdamas į 2024 m. rugsėjo 23 d. Europos Parlamento ir Tarybos reglamentą (ES, Euratomas) 2024/2509 dėl Sąjungos bendrajam biudžetui taikomų finansinių taisyklių</w:t>
      </w:r>
      <w:r>
        <w:rPr>
          <w:vertAlign w:val="superscript"/>
        </w:rPr>
        <w:footnoteReference w:id="6"/>
      </w:r>
      <w:r>
        <w:t>, ypač į jo 59, 118, 266, 267 ir 268 straipsnius,</w:t>
      </w:r>
    </w:p>
    <w:p w14:paraId="2593B5A6" w14:textId="25402D49" w:rsidR="00A67978" w:rsidRDefault="00A67978" w:rsidP="00A67978">
      <w:pPr>
        <w:spacing w:after="240"/>
        <w:ind w:left="567" w:hanging="567"/>
      </w:pPr>
      <w:r>
        <w:t>–</w:t>
      </w:r>
      <w:r>
        <w:tab/>
        <w:t>atsižvelgdamas į Darbo tvarkos taisyklių 102 straipsnį ir V priedą,</w:t>
      </w:r>
    </w:p>
    <w:p w14:paraId="2EAC5EAC" w14:textId="2D5D3D59" w:rsidR="00A67978" w:rsidRDefault="00A67978" w:rsidP="00A67978">
      <w:pPr>
        <w:spacing w:after="240"/>
        <w:ind w:left="567" w:hanging="567"/>
      </w:pPr>
      <w:r>
        <w:t>–</w:t>
      </w:r>
      <w:r>
        <w:tab/>
        <w:t>atsižvelgdamas į Teisės reikalų komiteto nuomonę,</w:t>
      </w:r>
    </w:p>
    <w:p w14:paraId="25B8BD42" w14:textId="4A208AC2" w:rsidR="00A67978" w:rsidRDefault="00A67978" w:rsidP="00A67978">
      <w:pPr>
        <w:spacing w:after="240"/>
        <w:ind w:left="567" w:hanging="567"/>
      </w:pPr>
      <w:r>
        <w:t>–</w:t>
      </w:r>
      <w:r>
        <w:tab/>
        <w:t>atsižvelgdamas į Biudžeto kontrolės komiteto pranešimą (A10</w:t>
      </w:r>
      <w:r>
        <w:noBreakHyphen/>
        <w:t>0050/2025),</w:t>
      </w:r>
    </w:p>
    <w:p w14:paraId="3B415F79" w14:textId="77777777" w:rsidR="00A67978" w:rsidRDefault="00A67978" w:rsidP="00A67978">
      <w:pPr>
        <w:spacing w:after="240"/>
        <w:ind w:left="567" w:hanging="567"/>
      </w:pPr>
      <w:r>
        <w:t>1.</w:t>
      </w:r>
      <w:r>
        <w:tab/>
        <w:t>patvirtina Teisingumo Teismo kancleriui, kad Europos Sąjungos Teisingumo Teismo 2023 finansinių metų biudžetas įvykdytas;</w:t>
      </w:r>
    </w:p>
    <w:p w14:paraId="55F87E45" w14:textId="77777777" w:rsidR="00A67978" w:rsidRDefault="00A67978" w:rsidP="00A67978">
      <w:pPr>
        <w:spacing w:after="240"/>
        <w:ind w:left="567" w:hanging="567"/>
      </w:pPr>
      <w:r>
        <w:t>2.</w:t>
      </w:r>
      <w:r>
        <w:tab/>
        <w:t>išdėsto savo pastabas toliau pateikiamoje rezoliucijoje;</w:t>
      </w:r>
    </w:p>
    <w:p w14:paraId="39110AB0" w14:textId="77777777" w:rsidR="00A67978" w:rsidRDefault="00A67978" w:rsidP="00A67978">
      <w:pPr>
        <w:spacing w:after="240"/>
        <w:ind w:left="567" w:hanging="567"/>
      </w:pPr>
      <w:r>
        <w:t>3.</w:t>
      </w:r>
      <w:r>
        <w:tab/>
        <w:t xml:space="preserve">paveda Pirmininkei perduoti šį sprendimą ir rezoliuciją, kuri yra neatskiriama sprendimo dalis, Europos Sąjungos Teisingumo Teismui, Tarybai, Komisijai, Europos ombudsmenui, Europos duomenų apsaugos priežiūros pareigūnui ir Audito Rūmams ir pasirūpinti, kad jie būtų paskelbti </w:t>
      </w:r>
      <w:r>
        <w:rPr>
          <w:i/>
        </w:rPr>
        <w:t>Europos Sąjungos oficialiajame leidinyje</w:t>
      </w:r>
      <w:r>
        <w:t xml:space="preserve"> (L serijoje).</w:t>
      </w:r>
    </w:p>
    <w:p w14:paraId="5DD3D1CF" w14:textId="77777777" w:rsidR="00A67978" w:rsidRDefault="00A67978" w:rsidP="00A67978">
      <w:pPr>
        <w:sectPr w:rsidR="00A67978" w:rsidSect="00A67978">
          <w:footnotePr>
            <w:numRestart w:val="eachSect"/>
          </w:footnotePr>
          <w:pgSz w:w="11906" w:h="16838"/>
          <w:pgMar w:top="1440" w:right="1440" w:bottom="1440" w:left="1440" w:header="708" w:footer="708" w:gutter="0"/>
          <w:cols w:space="720"/>
        </w:sectPr>
      </w:pPr>
    </w:p>
    <w:p w14:paraId="2224E42B" w14:textId="77777777" w:rsidR="00A67978" w:rsidRDefault="00A67978" w:rsidP="00A67978">
      <w:pPr>
        <w:pStyle w:val="ATHeading3"/>
      </w:pPr>
      <w:r>
        <w:lastRenderedPageBreak/>
        <w:t>2. 2025 m. gegužės 7 d. Europos Parlamento rezoliucija su pastabomis, sudarančiomis neatskiriamą sprendimo dėl 2023 finansinių metų Europos Sąjungos bendrojo biudžeto įvykdymo patvirtinimo, IV skirsnis – Europos Sąjungos Teisingumo Teismas, dalį (2024/2022(DEC))</w:t>
      </w:r>
    </w:p>
    <w:p w14:paraId="60D81DF7" w14:textId="77777777" w:rsidR="00A67978" w:rsidRPr="00A67978" w:rsidRDefault="00A67978" w:rsidP="00A67978">
      <w:pPr>
        <w:spacing w:before="480" w:after="240"/>
        <w:rPr>
          <w:i/>
        </w:rPr>
      </w:pPr>
      <w:r w:rsidRPr="00A67978">
        <w:rPr>
          <w:i/>
        </w:rPr>
        <w:t>Europos Parlamentas,</w:t>
      </w:r>
    </w:p>
    <w:p w14:paraId="71635384" w14:textId="582BF809" w:rsidR="00A67978" w:rsidRDefault="00A67978" w:rsidP="00A67978">
      <w:pPr>
        <w:spacing w:after="240"/>
        <w:ind w:left="567" w:hanging="567"/>
      </w:pPr>
      <w:r>
        <w:t>–</w:t>
      </w:r>
      <w:r>
        <w:tab/>
        <w:t>atsižvelgdamas į savo sprendimą dėl 2023 finansinių metų Europos Sąjungos bendrojo biudžeto įvykdymo patvirtinimo, IV skirsnis – Europos Sąjungos Teisingumo Teismas,</w:t>
      </w:r>
    </w:p>
    <w:p w14:paraId="0A87E92A" w14:textId="42BCCA9A" w:rsidR="00A67978" w:rsidRDefault="00A67978" w:rsidP="00A67978">
      <w:pPr>
        <w:spacing w:after="240"/>
        <w:ind w:left="567" w:hanging="567"/>
      </w:pPr>
      <w:r>
        <w:t>–</w:t>
      </w:r>
      <w:r>
        <w:tab/>
        <w:t>atsižvelgdamas į Darbo tvarkos taisyklių 102 straipsnį ir V priedą,</w:t>
      </w:r>
    </w:p>
    <w:p w14:paraId="1B08ADA0" w14:textId="4C40C6FB" w:rsidR="00A67978" w:rsidRDefault="00A67978" w:rsidP="00A67978">
      <w:pPr>
        <w:spacing w:after="240"/>
        <w:ind w:left="567" w:hanging="567"/>
      </w:pPr>
      <w:r>
        <w:t>–</w:t>
      </w:r>
      <w:r>
        <w:tab/>
        <w:t>atsižvelgdamas į Teisės reikalų komiteto nuomonę,</w:t>
      </w:r>
    </w:p>
    <w:p w14:paraId="36F9A3E6" w14:textId="65E55F8A" w:rsidR="00A67978" w:rsidRDefault="00A67978" w:rsidP="00A67978">
      <w:pPr>
        <w:spacing w:after="240"/>
        <w:ind w:left="567" w:hanging="567"/>
      </w:pPr>
      <w:r>
        <w:t>–</w:t>
      </w:r>
      <w:r>
        <w:tab/>
        <w:t>atsižvelgdamas į Biudžeto kontrolės komiteto pranešimą (A10-0050/2025),</w:t>
      </w:r>
    </w:p>
    <w:p w14:paraId="2211810E" w14:textId="77777777" w:rsidR="00A67978" w:rsidRDefault="00A67978" w:rsidP="00A67978">
      <w:pPr>
        <w:spacing w:after="240"/>
        <w:ind w:left="567" w:hanging="567"/>
      </w:pPr>
      <w:r>
        <w:t>A.</w:t>
      </w:r>
      <w:r>
        <w:tab/>
        <w:t>kadangi vykdant biudžeto įvykdymo patvirtinimo procedūrą biudžeto įvykdymą tvirtinanti institucija nori pabrėžti, jog ypač svarbu toliau stiprinti Sąjungos institucijų demokratinį teisėtumą didinant skaidrumą ir atskaitomybę, įgyvendinant rezultatais grindžiamo biudžeto sudarymo koncepciją ir užtikrinant gerą žmogiškųjų išteklių valdymą;</w:t>
      </w:r>
    </w:p>
    <w:p w14:paraId="1490A90A" w14:textId="77777777" w:rsidR="00A67978" w:rsidRDefault="00A67978" w:rsidP="00A67978">
      <w:pPr>
        <w:spacing w:after="240"/>
        <w:ind w:left="567" w:hanging="567"/>
        <w:rPr>
          <w:u w:val="single"/>
        </w:rPr>
      </w:pPr>
      <w:r>
        <w:t>B.</w:t>
      </w:r>
      <w:r>
        <w:tab/>
        <w:t>kadangi Europos Sąjungos Teisingumo Teismas (ESTT) yra Sąjungos teisminė institucija, kurios užduotis – užtikrinti Sąjungos teisės laikymąsi, prižiūrint, kad būtų vienodai aiškinamos ir taikomos Sutartys, bei užtikrinant Sąjungos institucijų, įstaigų, organų ir agentūrų priimtų priemonių teisėtumą;</w:t>
      </w:r>
    </w:p>
    <w:p w14:paraId="0CB1ABE5" w14:textId="77777777" w:rsidR="00A67978" w:rsidRDefault="00A67978" w:rsidP="00A67978">
      <w:pPr>
        <w:spacing w:after="240"/>
        <w:ind w:left="567" w:hanging="567"/>
      </w:pPr>
      <w:r>
        <w:t>C.</w:t>
      </w:r>
      <w:r>
        <w:tab/>
        <w:t>kadangi ESTT padeda išsaugoti Sąjungos vertybes ir, remdamasis savo Teismo praktika, padeda kurti Europą;</w:t>
      </w:r>
    </w:p>
    <w:p w14:paraId="171C19B4" w14:textId="77777777" w:rsidR="00A67978" w:rsidRDefault="00A67978" w:rsidP="00A67978">
      <w:pPr>
        <w:spacing w:after="240"/>
        <w:ind w:left="567" w:hanging="567"/>
      </w:pPr>
      <w:r>
        <w:t>D.</w:t>
      </w:r>
      <w:r>
        <w:tab/>
        <w:t>kadangi ESTT sudaro du teismai: Teisingumo Teismas ir Bendrasis Teismas;</w:t>
      </w:r>
    </w:p>
    <w:p w14:paraId="2C12D9FF" w14:textId="77777777" w:rsidR="00A67978" w:rsidRDefault="00A67978" w:rsidP="00A67978">
      <w:pPr>
        <w:spacing w:after="240"/>
        <w:ind w:left="567" w:hanging="567"/>
      </w:pPr>
      <w:r>
        <w:t>E.</w:t>
      </w:r>
      <w:r>
        <w:tab/>
        <w:t>kadangi 2024 m. Parlamentas ir Taryba iš dalies pakeitė Protokolą Nr. 3 dėl ESTT statuto (toliau – Statutas) </w:t>
      </w:r>
      <w:r>
        <w:rPr>
          <w:vertAlign w:val="superscript"/>
        </w:rPr>
        <w:footnoteReference w:id="7"/>
      </w:r>
      <w:r>
        <w:t xml:space="preserve">, kiek tai susiję su </w:t>
      </w:r>
      <w:proofErr w:type="spellStart"/>
      <w:r>
        <w:t>prejudicinių</w:t>
      </w:r>
      <w:proofErr w:type="spellEnd"/>
      <w:r>
        <w:t xml:space="preserve"> sprendimų konkrečiose srityse perdavimu Bendrojo Teismo jurisdikcijai;</w:t>
      </w:r>
    </w:p>
    <w:p w14:paraId="6A41C9AD" w14:textId="77777777" w:rsidR="00A67978" w:rsidRDefault="00A67978" w:rsidP="00A67978">
      <w:pPr>
        <w:spacing w:after="240"/>
        <w:ind w:left="567" w:hanging="567"/>
      </w:pPr>
      <w:r>
        <w:t>1.</w:t>
      </w:r>
      <w:r>
        <w:tab/>
        <w:t>pažymi, kad ESTT biudžetas priklauso DFP 7 išlaidų kategorijai „Europos viešasis administravimas“, jos suma 2023 m. siekė 12,3 mlrd. EUR (t. y. 6,4 % viso Sąjungos biudžeto); pažymi, kad maždaug 0,5 mlrd. EUR siekiantis ESTT biudžetas sudaro apie 3,9 % visų administracinių Sąjungos išlaidų;</w:t>
      </w:r>
    </w:p>
    <w:p w14:paraId="78E2DAF8" w14:textId="77777777" w:rsidR="00A67978" w:rsidRDefault="00A67978" w:rsidP="00A67978">
      <w:pPr>
        <w:spacing w:after="240"/>
        <w:ind w:left="567" w:hanging="567"/>
      </w:pPr>
      <w:r>
        <w:t>2.</w:t>
      </w:r>
      <w:r>
        <w:tab/>
        <w:t xml:space="preserve">pažymi, kad Audito Rūmai savo 2023 finansinių metų metinėje ataskaitoje (toliau – Audito Rūmų ataskaita) išanalizavo 70 išlaidų kategorijos „Administravimas“ operacijų imtį – 10 operacijų daugiau negu 2022 m.; taip pat Audito Rūmai nurodo, kad administracines išlaidas sudaro išlaidos žmogiškiesiems ištekliams, įskaitant išlaidas pensijoms, kurios 2023 m. sudarė apie 70 % visų administracinių išlaidų, taip pat </w:t>
      </w:r>
      <w:r>
        <w:lastRenderedPageBreak/>
        <w:t>išlaidos pastatams, įrangai, energijai, komunikacijai ir informacinėms technologijoms (IT), ir kad jų daugelio metų darbo patirtis rodo, jog apskritai šios išlaidos yra nedidelės rizikos išlaidos;</w:t>
      </w:r>
    </w:p>
    <w:p w14:paraId="31F7563A" w14:textId="77777777" w:rsidR="00A67978" w:rsidRDefault="00A67978" w:rsidP="00A67978">
      <w:pPr>
        <w:spacing w:after="240"/>
        <w:ind w:left="567" w:hanging="567"/>
      </w:pPr>
      <w:r>
        <w:t>3.</w:t>
      </w:r>
      <w:r>
        <w:tab/>
        <w:t>pažymi, kad 21 (30 %) iš 70 operacijų buvo klaidų, tačiau Audito Rūmai, remdamiesi penkiomis kiekybiškai įvertintomis klaidomis, apskaičiavo, kad klaidų lygis nesiekia reikšmingumo ribos;</w:t>
      </w:r>
    </w:p>
    <w:p w14:paraId="78B3CBE7" w14:textId="77777777" w:rsidR="00A67978" w:rsidRDefault="00A67978" w:rsidP="00A67978">
      <w:pPr>
        <w:spacing w:after="240"/>
        <w:ind w:left="567" w:hanging="567"/>
      </w:pPr>
      <w:r>
        <w:t>4.</w:t>
      </w:r>
      <w:r>
        <w:tab/>
        <w:t>pažymi, kad Audito Rūmų ataskaitoje nenustatyta jokių konkrečių su ESTT susijusių problemų;</w:t>
      </w:r>
    </w:p>
    <w:p w14:paraId="24A25F25" w14:textId="77777777" w:rsidR="00A67978" w:rsidRDefault="00A67978" w:rsidP="00A67978">
      <w:pPr>
        <w:spacing w:after="240"/>
        <w:ind w:left="567" w:hanging="567"/>
        <w:rPr>
          <w:b/>
          <w:iCs/>
        </w:rPr>
      </w:pPr>
      <w:r>
        <w:rPr>
          <w:b/>
          <w:iCs/>
        </w:rPr>
        <w:t>Biudžeto ir finansų valdymas</w:t>
      </w:r>
    </w:p>
    <w:p w14:paraId="0428DC98" w14:textId="77777777" w:rsidR="00A67978" w:rsidRDefault="00A67978" w:rsidP="00A67978">
      <w:pPr>
        <w:spacing w:after="240"/>
        <w:ind w:left="567" w:hanging="567"/>
      </w:pPr>
      <w:r>
        <w:t>5.</w:t>
      </w:r>
      <w:r>
        <w:tab/>
        <w:t>pažymi, kad ESTT skirtas 2023 m. biudžetas siekė 486 025 796 EUR, t. y. 3,9 % daugiau nei 2022 m.; pažymi, kad šis padidėjimas daugiausia buvo susijęs su 2023 m. prognozuotu atlyginimų koregavimu; pabrėžia, kad ESTT biudžetas iš esmės yra administracinis: apie 75 % asignavimų susiję su išlaidoms nariams ir darbuotojams, o beveik kita likusi dalis – išlaidoms pastatams ir IT;</w:t>
      </w:r>
    </w:p>
    <w:p w14:paraId="2EA37801" w14:textId="77777777" w:rsidR="00A67978" w:rsidRDefault="00A67978" w:rsidP="00A67978">
      <w:pPr>
        <w:spacing w:after="240"/>
        <w:ind w:left="567" w:hanging="567"/>
      </w:pPr>
      <w:r>
        <w:t>6.</w:t>
      </w:r>
      <w:r>
        <w:tab/>
        <w:t>pažymi, kad 2023 m. pabaigoje bendras biudžeto įvykdymo lygis buvo 97,72 %; pažymi, kad biudžeto valdymo institucijai buvo pateikti penki perkėlimai pagal Finansinio reglamento 29 straipsnį siekiant padidinti biudžeto eilutes „Energijos sąnaudos“, „Įrangos ir programinės įrangos įsigijimas, aptarnavimas ir priežiūra“ bei „Pastatai“ panaudojant kitų biudžeto eilučių, visų pirma biudžeto eilutės „Darbo užmokestis ir išmokos“, lėšas; pažymi, kad dėl Rusijos agresijos karo prieš Ukrainą ESTT biudžetas toliau patyrė spaudimą, be kita ko, dėl didėjančios infliacijos ir atlyginimų koregavimo, labai išaugusių energijos sąnaudų ir kitų išlaidų, susijusių su tam tikromis prekėmis ir paslaugomis;</w:t>
      </w:r>
    </w:p>
    <w:p w14:paraId="503F8E76" w14:textId="77777777" w:rsidR="00A67978" w:rsidRDefault="00A67978" w:rsidP="00A67978">
      <w:pPr>
        <w:spacing w:after="240"/>
        <w:ind w:left="567" w:hanging="567"/>
      </w:pPr>
      <w:r>
        <w:t>7.</w:t>
      </w:r>
      <w:r>
        <w:tab/>
        <w:t>su pasitenkinimu pažymi, kad deleguotasis leidimus suteikiantis pareigūnas nurodė, kad paskirti ištekliai buvo panaudoti pagal numatytą paskirtį bei laikantis patikimo finansų valdymo principo ir kad įdiegtos kontrolės procedūros suteikė reikiamas garantijas dėl atliktų operacijų teisėtumo ir tvarkingumo;</w:t>
      </w:r>
    </w:p>
    <w:p w14:paraId="31492560" w14:textId="77777777" w:rsidR="00A67978" w:rsidRDefault="00A67978" w:rsidP="00A67978">
      <w:pPr>
        <w:spacing w:after="240"/>
        <w:ind w:left="567" w:hanging="567"/>
      </w:pPr>
      <w:r>
        <w:t>8.</w:t>
      </w:r>
      <w:r>
        <w:tab/>
        <w:t>pažymi, kad 2023 m. vidutinis mokėjimo laikotarpis buvo 23,1 dienos, palyginti su 24,32 dienos 2022 m.; ragina ESTT toliau dėti pastangas siekiant sutrumpinti mokėjimo laiką, ypač atsižvelgiant į tai, kad 2023 m. 81 % sąskaitų faktūrų buvo gautos elektroniniu būdu;</w:t>
      </w:r>
    </w:p>
    <w:p w14:paraId="5E2BABEA" w14:textId="77777777" w:rsidR="00A67978" w:rsidRDefault="00A67978" w:rsidP="00A67978">
      <w:pPr>
        <w:spacing w:after="240"/>
        <w:ind w:left="567" w:hanging="567"/>
      </w:pPr>
      <w:r>
        <w:t>9.</w:t>
      </w:r>
      <w:r>
        <w:tab/>
        <w:t>pažymi, kad 2023 m. ESTT komandiruočių biudžetas, skirtas darbuotojams, ir nariams, siekė 638 000 EUR, t. y. toliau sumažėjo 3,3 %, palyginti su 2022 m.; pažymi, kad 2023 m. buvo panaudota 85,1 % asignavimų komandiruotėms, palyginti su 46,6 % 2022 m. dėl tuo metu nuolat taikytų kelionių apribojimų;</w:t>
      </w:r>
    </w:p>
    <w:p w14:paraId="4C6F1A41" w14:textId="77777777" w:rsidR="00A67978" w:rsidRDefault="00A67978" w:rsidP="00A67978">
      <w:pPr>
        <w:spacing w:after="240"/>
        <w:ind w:left="567" w:hanging="567"/>
        <w:rPr>
          <w:b/>
          <w:iCs/>
        </w:rPr>
      </w:pPr>
      <w:r>
        <w:rPr>
          <w:b/>
          <w:iCs/>
        </w:rPr>
        <w:t>Vidaus valdymas, veikla ir vidaus kontrolė</w:t>
      </w:r>
    </w:p>
    <w:p w14:paraId="5D4F1F2E" w14:textId="77777777" w:rsidR="00A67978" w:rsidRDefault="00A67978" w:rsidP="00A67978">
      <w:pPr>
        <w:spacing w:after="240"/>
        <w:ind w:left="567" w:hanging="567"/>
      </w:pPr>
      <w:r>
        <w:t>10.</w:t>
      </w:r>
      <w:r>
        <w:tab/>
        <w:t xml:space="preserve">atkreipia dėmesį į reikšmingus veiksmus, kurių ESTT ėmėsi 2023 m. įgyvendindamas savo teismų reformą, dėl kurios dalis Teisingumo Teismo jurisdikcijos priimti </w:t>
      </w:r>
      <w:proofErr w:type="spellStart"/>
      <w:r>
        <w:t>prejudicinius</w:t>
      </w:r>
      <w:proofErr w:type="spellEnd"/>
      <w:r>
        <w:t xml:space="preserve"> sprendimus buvo perduota Bendrajam Teismui; pažymi, kad 2023 m. pabaigoje buvo pasiektas politinis susitarimas su Parlamentu ir Taryba, siekiant iš dalies pakeisti ESTT statutą ir pagerinti ESTT veikimą, atsižvelgiant į nuolat didėjantį bylų krūvį ir iškeltų klausimų sudėtingumą bei neskelbtiną pobūdį; pažymi, kad 2024 m. </w:t>
      </w:r>
      <w:r>
        <w:lastRenderedPageBreak/>
        <w:t>patvirtinus reformą buvo priimtos išsamios taisyklės ir procedūros, kad reforma būtų užbaigta įgyvendinti ir būtų sudarytos sąlygos nuo 2024 m. spalio 1 d. įgyvendinti naują reglamentavimo sistemą;</w:t>
      </w:r>
    </w:p>
    <w:p w14:paraId="3F6C134F" w14:textId="77777777" w:rsidR="00A67978" w:rsidRDefault="00A67978" w:rsidP="00A67978">
      <w:pPr>
        <w:spacing w:after="240"/>
        <w:ind w:left="567" w:hanging="567"/>
      </w:pPr>
      <w:r>
        <w:t>11.</w:t>
      </w:r>
      <w:r>
        <w:tab/>
        <w:t xml:space="preserve">pažymi, kad 2023 m. Teisingumo Teismas priėmė sprendimus penkiose bylose dėl viršenybės principo, atsižvelgiant į keturis Vokietijos, Airijos, Lenkijos ir Rumunijos teismų prašymus priimti </w:t>
      </w:r>
      <w:proofErr w:type="spellStart"/>
      <w:r>
        <w:t>prejudicinius</w:t>
      </w:r>
      <w:proofErr w:type="spellEnd"/>
      <w:r>
        <w:t xml:space="preserve"> sprendimus ir vieną su Lenkija susijusią pažeidimo bylą; pabrėžia, kad Sąjungos teisės viršenybės principas, kuriuo užtikrinamas vienodas Sąjungos teisės aiškinimas ir taikymas visose valstybėse narėse ir apsaugoma teisinė valstybė, kaip viena iš pagrindinių Sąjungos vertybių, yra nepaprastai svarbus; dar kartą tvirtai patvirtina, kad Sąjungos teisės viršenybė yra Sąjungos teisinės tvarkos kertinis akmuo, ir pabrėžia esminį ESTT vaidmenį užtikrinant teisinės valstybės principo laikymąsi visoje Sąjungoje; be to, pažymi, kad Bendrasis Teismas priėmė sprendimus šešiose bylose, susijusiose su priemonėmis Sąjungos biudžetui apsaugoti nuo Vengrijos Vyriausybės padarytų teisinės valstybės principų pažeidimų, nes tai sistemingai kenkia pagrindinėms Sąjungos vertybėms; primygtinai ragina Komisiją imtis ryžtingų vykdymo užtikrinimo veiksmų prieš bet kurią valstybę narę, kuri ginčija privalomą ESTT sprendimų pobūdį arba jų nepaiso; pabrėžia, kad su Sąjungos biudžeto tyrimu susijusiais atvejais visos kompetentingos institucijos turi visapusiškai laikytis tinkamo proceso ir pagrindinių teisių principų;</w:t>
      </w:r>
    </w:p>
    <w:p w14:paraId="302D913F" w14:textId="77777777" w:rsidR="00A67978" w:rsidRDefault="00A67978" w:rsidP="00A67978">
      <w:pPr>
        <w:spacing w:after="240"/>
        <w:ind w:left="567" w:hanging="567"/>
      </w:pPr>
      <w:r>
        <w:t>12.</w:t>
      </w:r>
      <w:r>
        <w:tab/>
        <w:t>pažymi, kad Europos Sąjungos sutarties 4 straipsnio 2 dalyje nustatyta, kad „Sąjunga gerbia valstybių narių lygybę prieš Sutartis bei nacionalinį jų savitumą, neatsiejamą nuo pagrindinių politinių bei konstitucinių jų struktūrų, įskaitant regioninę ir vietos savivaldą. Ji gerbia esmines valstybines jų funkcijas &lt;...&gt;“;</w:t>
      </w:r>
    </w:p>
    <w:p w14:paraId="5F29E5AB" w14:textId="77777777" w:rsidR="00A67978" w:rsidRDefault="00A67978" w:rsidP="00A67978">
      <w:pPr>
        <w:spacing w:after="240"/>
        <w:ind w:left="567" w:hanging="567"/>
      </w:pPr>
      <w:r>
        <w:t>13.</w:t>
      </w:r>
      <w:r>
        <w:tab/>
        <w:t>smerkia visas nacionalines priemones ar teisėkūros veiksmus, kuriais siekiama pakenkti ESTT sprendimų kodifikavimui ir vykdymui; ragina sukurti oficialų stebėsenos mechanizmą, kad būtų galima stebėti, kaip valstybės narės laikosi ESTT sprendimų, ir rekomenduoja susieti jų laikymąsi ir ES lėšų išmokėjimą pagal teisinės valstybės sąlygų sistemą;</w:t>
      </w:r>
    </w:p>
    <w:p w14:paraId="655CAB68" w14:textId="77777777" w:rsidR="00A67978" w:rsidRDefault="00A67978" w:rsidP="00A67978">
      <w:pPr>
        <w:spacing w:after="240"/>
        <w:ind w:left="567" w:hanging="567"/>
      </w:pPr>
      <w:r>
        <w:t>14.</w:t>
      </w:r>
      <w:r>
        <w:tab/>
        <w:t xml:space="preserve">pažymi, kad 2023 m. Teisingumo Teismui buvo pateikta 821 nauja byla (palyginti su 806 bylomis 2022 m.), iš kurių 63 % buvo prašymai priimti </w:t>
      </w:r>
      <w:proofErr w:type="spellStart"/>
      <w:r>
        <w:t>prejudicinį</w:t>
      </w:r>
      <w:proofErr w:type="spellEnd"/>
      <w:r>
        <w:t xml:space="preserve"> sprendimą, o 28,6 % – apeliaciniai skundai dėl Bendrojo Teismo sprendimų; pažymi, kad Bendrajame Teisme labai padaugėjo bylų: 2023 m. buvo iškelta 1 271 nauja byla, palyginti su 904 bylomis 2022 m., įskaitant išskirtines 404 bendras bylas, pateiktas 2023 m. spalio mėn.; pažymi, kad 2023 m. 37 % naujų Bendrojo Teismo bylų, įskaitant 404 bendras bylas, buvo susijusios su ieškiniais dėl institucinės teisės, 24,3 % buvo susijusios su ieškiniais dėl intelektinės nuosavybės ir 6 % su ginčais tarp Sąjungos institucijų ir jų darbuotojų; pažymi, kad, palyginti su ankstesniais metais, bendras neišnagrinėtų bylų skaičius išlieka stabilus, atsižvelgiant į tai, kad pirmiau minėtos 404 bylos yra viena byla, 2023 m. pabaigoje nebaigtų nagrinėti bylų skaičius buvo 2 587, palyginti su 2 585 bylomis 2022 m. pabaigoje ir 2 541 byla 2021 m. pabaigoje;</w:t>
      </w:r>
    </w:p>
    <w:p w14:paraId="2F28B044" w14:textId="77777777" w:rsidR="00A67978" w:rsidRDefault="00A67978" w:rsidP="00A67978">
      <w:pPr>
        <w:spacing w:after="240"/>
        <w:ind w:left="567" w:hanging="567"/>
      </w:pPr>
      <w:r>
        <w:t>15.</w:t>
      </w:r>
      <w:r>
        <w:tab/>
        <w:t>pažymi, kad 2023 m. Teisingumo Teismas baigė nagrinėti 783 bylas, palyginti su 808 bylomis 2022 m., ir kad 2023 m. Bendrasis Teismas baigė nagrinėti 904 bylas, palyginti su 858 bylomis 2022 m.;</w:t>
      </w:r>
    </w:p>
    <w:p w14:paraId="46FEE15E" w14:textId="77777777" w:rsidR="00A67978" w:rsidRDefault="00A67978" w:rsidP="00A67978">
      <w:pPr>
        <w:spacing w:after="240"/>
        <w:ind w:left="567" w:hanging="567"/>
      </w:pPr>
      <w:r>
        <w:t>16.</w:t>
      </w:r>
      <w:r>
        <w:tab/>
        <w:t xml:space="preserve">palankiai vertina tai, kad Teisingumo Teismo baigtų nagrinėti bylų atveju vidutinė proceso trukmė sumažėjo: 2023 m. ji buvo 16,1 mėnesio, o 2022 m. – 16,4 mėnesio; </w:t>
      </w:r>
      <w:r>
        <w:lastRenderedPageBreak/>
        <w:t>pažymi, kad Bendrojo Teismo baigtų nagrinėti bylų atveju vidutinė trukmė buvo 18,2 mėnesio, palyginti su 16,2 mėnesio 2022 m., ir Bendrasis Teismas paaiškino, kad tai lėmė 2023 m. vykdytų procesų pobūdis ir susijęs sudėtingumas;</w:t>
      </w:r>
    </w:p>
    <w:p w14:paraId="3B18A39F" w14:textId="77777777" w:rsidR="00A67978" w:rsidRDefault="00A67978" w:rsidP="00A67978">
      <w:pPr>
        <w:spacing w:after="240"/>
        <w:ind w:left="567" w:hanging="567"/>
      </w:pPr>
      <w:r>
        <w:t>17.</w:t>
      </w:r>
      <w:r>
        <w:tab/>
        <w:t xml:space="preserve">atkreipia dėmesį į tai, kad sutrumpėjo vidutinis laikas nagrinėjant tiesioginius ieškinius Teisingumo Teisme (nuo 23,5 mėn. 2022 m. iki 20,8 mėn. 2023 m.) ir prašymus priimti </w:t>
      </w:r>
      <w:proofErr w:type="spellStart"/>
      <w:r>
        <w:t>prejudicinį</w:t>
      </w:r>
      <w:proofErr w:type="spellEnd"/>
      <w:r>
        <w:t xml:space="preserve"> sprendimą (nuo 17,3 mėn. iki 16,8 mėn.); pažymi, kad, kalbant apie bylinėjimąsi Teisingumo Teisme, labai išaugo tiesioginių ieškinių skaičius, visų pirma, aplinkosaugos srityje, ir kad 2023 m. Teisingumo Teismui pateikti </w:t>
      </w:r>
      <w:proofErr w:type="spellStart"/>
      <w:r>
        <w:t>prejudiciniai</w:t>
      </w:r>
      <w:proofErr w:type="spellEnd"/>
      <w:r>
        <w:t xml:space="preserve"> klausimai daugiausia buvo susiję su laisvės, saugumo ir teisingumo erdve, o po jų daugiausia pateikta su mokesčiais, vartotojų apsauga ir transportu susijusių </w:t>
      </w:r>
      <w:proofErr w:type="spellStart"/>
      <w:r>
        <w:t>prejudicinių</w:t>
      </w:r>
      <w:proofErr w:type="spellEnd"/>
      <w:r>
        <w:t xml:space="preserve"> klausimų; pažymi, kad, kalbant apie bylinėjimąsi Bendrajame Teisme, padaugėjo bylų intelektinės nuosavybės bei ekonominės ir pinigų politikos, įskaitant bankininkystę, srityse;</w:t>
      </w:r>
    </w:p>
    <w:p w14:paraId="3B49E7C0" w14:textId="77777777" w:rsidR="00A67978" w:rsidRDefault="00A67978" w:rsidP="00A67978">
      <w:pPr>
        <w:spacing w:after="240"/>
        <w:ind w:left="567" w:hanging="567"/>
      </w:pPr>
      <w:r>
        <w:t>18.</w:t>
      </w:r>
      <w:r>
        <w:tab/>
        <w:t>su pasitenkinimu atkreipia dėmesį į aukštą programos „e-</w:t>
      </w:r>
      <w:proofErr w:type="spellStart"/>
      <w:r>
        <w:t>Curia</w:t>
      </w:r>
      <w:proofErr w:type="spellEnd"/>
      <w:r>
        <w:t>“ naudojimo lygį 2023 m.: užregistruotos 10 502 „e-</w:t>
      </w:r>
      <w:proofErr w:type="spellStart"/>
      <w:r>
        <w:t>Curia</w:t>
      </w:r>
      <w:proofErr w:type="spellEnd"/>
      <w:r>
        <w:t>“ paskyros; 94 % dokumentų Bendrajam Teismui buvo pateikta per taikomąją programą „e-</w:t>
      </w:r>
      <w:proofErr w:type="spellStart"/>
      <w:r>
        <w:t>Curia</w:t>
      </w:r>
      <w:proofErr w:type="spellEnd"/>
      <w:r>
        <w:t>“, t. y. tiek pat kaip ir 2022 m., o programos „e-</w:t>
      </w:r>
      <w:proofErr w:type="spellStart"/>
      <w:r>
        <w:t>Curia</w:t>
      </w:r>
      <w:proofErr w:type="spellEnd"/>
      <w:r>
        <w:t>“ naudojimo lygis Teisingumo Teisme padidėjo iki maždaug 89 %, palyginti su 87 % 2022 m.;</w:t>
      </w:r>
    </w:p>
    <w:p w14:paraId="1D4C7430" w14:textId="77777777" w:rsidR="00A67978" w:rsidRDefault="00A67978" w:rsidP="00A67978">
      <w:pPr>
        <w:spacing w:after="240"/>
        <w:ind w:left="567" w:hanging="567"/>
      </w:pPr>
      <w:r>
        <w:t>19.</w:t>
      </w:r>
      <w:r>
        <w:tab/>
        <w:t>palankiai vertina pažangą, padarytą skaitmeninant teisminius archyvus, siekiant išsaugoti dokumentus, kad su jais būtų galima susipažinti ateityje, taip pat palengvinti prieigą tyrėjams ir visuomenei per skaitmeninį portalą;</w:t>
      </w:r>
    </w:p>
    <w:p w14:paraId="19121B33" w14:textId="77777777" w:rsidR="00A67978" w:rsidRDefault="00A67978" w:rsidP="00A67978">
      <w:pPr>
        <w:spacing w:after="240"/>
        <w:ind w:left="567" w:hanging="567"/>
      </w:pPr>
      <w:r>
        <w:t>20.</w:t>
      </w:r>
      <w:r>
        <w:tab/>
        <w:t>teigiamai vertina ESTT suformuluotą veiklos rezultatais grindžiamą požiūrį, sudarantį sąlygas ESTT priimti sprendimus remiantis rezultatais ir savo tikslų pasiekimo lygiu, vertinamu naudojant darbo krūvio ir veiklos rodiklių rinkinį; pažymi, kad ESTT naudojami pagrindiniai veiklos rezultatų rodikliai apima įvairias konkrečias sritis, kuriomis remiami penki valdymo tikslai, susiję su tinkamu ESTT veikimu, skaitmeninimu ir besiformuojančiomis technologijomis, atvirumu ir skaidrumu, daugiakalbyste ir žmogiškųjų išteklių valdymu;</w:t>
      </w:r>
    </w:p>
    <w:p w14:paraId="66AA2B1F" w14:textId="77777777" w:rsidR="00A67978" w:rsidRDefault="00A67978" w:rsidP="00A67978">
      <w:pPr>
        <w:spacing w:after="240"/>
        <w:ind w:left="567" w:hanging="567"/>
      </w:pPr>
      <w:r>
        <w:t>21.</w:t>
      </w:r>
      <w:r>
        <w:tab/>
        <w:t>pažymi, kad 2022–2023 m. buvo atliktas išsamus ESTT vidaus kontrolės sistemos vertinimas, patvirtinęs jos patikimumą; pažymi, kad atliekant šį vertinimą finansų kontrolės grandinės buvo pritaikytos, kad kontrolė būtų veiksmingesnė;</w:t>
      </w:r>
    </w:p>
    <w:p w14:paraId="29453BED" w14:textId="77777777" w:rsidR="00A67978" w:rsidRDefault="00A67978" w:rsidP="00A67978">
      <w:pPr>
        <w:spacing w:after="240"/>
        <w:ind w:left="567" w:hanging="567"/>
      </w:pPr>
      <w:r>
        <w:t>22.</w:t>
      </w:r>
      <w:r>
        <w:tab/>
        <w:t>pažymi, kad 2023 m. atlikti pagrindiniai vidaus auditai buvo susiję su ESTT išlaidomis pastatų valymui, vidaus kontrolės sistemos veiksmingumu siekiant apsaugoti ESTT IT turtą ir darbuotojų atrankos procedūromis; pažymi, kad vidaus auditas taip pat atliko dirbtinio intelekto naudojimo teisingumo srityje tyrimą</w:t>
      </w:r>
      <w:bookmarkStart w:id="5" w:name="_bookmark0"/>
      <w:bookmarkEnd w:id="5"/>
      <w:r>
        <w:t>, susijusį su dirbtiniu intelektu grindžiamų priemonių integravimo į ESTT veiklą strategijos įgyvendinimu; pažymi, kad daugeliu atvejų ESTT tarnybos ėmėsi veiksmų įgyvendinti vidaus audito rekomendacijas prieš oficialiai užbaigiant vidaus auditus ir kad vidaus auditorius šiuos veiksmus laikė patenkinamais;</w:t>
      </w:r>
    </w:p>
    <w:p w14:paraId="6018A9A5" w14:textId="77777777" w:rsidR="00A67978" w:rsidRDefault="00A67978" w:rsidP="00A67978">
      <w:pPr>
        <w:spacing w:after="240"/>
        <w:ind w:left="567" w:hanging="567"/>
        <w:rPr>
          <w:b/>
          <w:iCs/>
        </w:rPr>
      </w:pPr>
      <w:r>
        <w:rPr>
          <w:b/>
          <w:iCs/>
        </w:rPr>
        <w:t>Žmogiškieji ištekliai, lygybė ir darbuotojų gerovė</w:t>
      </w:r>
    </w:p>
    <w:p w14:paraId="2D3101C6" w14:textId="77777777" w:rsidR="00A67978" w:rsidRDefault="00A67978" w:rsidP="00A67978">
      <w:pPr>
        <w:spacing w:after="240"/>
        <w:ind w:left="567" w:hanging="567"/>
      </w:pPr>
      <w:r>
        <w:t>23.</w:t>
      </w:r>
      <w:r>
        <w:tab/>
        <w:t xml:space="preserve">pažymi, kad 2023 m. pabaigoje ESTT dirbo 1 340 pareigūnų (58 %), 765 laikinieji darbuotojai (33 %) pagal ES kitų tarnautojų įdarbinimo sąlygų 2 straipsnio a, b ir c punktus ir 198 sutartininkai (9 %); pažymi, kad 2023 m. pabaigoje užimtumo lygis, </w:t>
      </w:r>
      <w:r>
        <w:lastRenderedPageBreak/>
        <w:t>atsižvelgiant į etatų planą, buvo 97,11 %; taip pat pažymi, kad 2023 m. metinė darbuotojų kaita siekė 7,8 %, visų pirma dėl to, kad 20 % ESTT palikusių darbuotojų išėjo į pensiją;</w:t>
      </w:r>
    </w:p>
    <w:p w14:paraId="4C1DD2CF" w14:textId="77777777" w:rsidR="00A67978" w:rsidRDefault="00A67978" w:rsidP="00A67978">
      <w:pPr>
        <w:spacing w:after="240"/>
        <w:ind w:left="567" w:hanging="567"/>
      </w:pPr>
      <w:r>
        <w:t>24.</w:t>
      </w:r>
      <w:r>
        <w:tab/>
        <w:t>pažymi, kad Teisingumo Teismą sudaro 27 teisėjai ir 11 generalinių advokatų ir kad 2023 m. nė vienas naujas teisėjas ar generalinis advokatas nepradėjo eiti pareigų; taip pat pažymi, kad Bendrąjį Teismą sudaro 54 teisėjai ir kad 2023 m. pareigas pradėjo eiti du nauji teisėjai – viena moteris ir vienas vyras; taip pat pažymi, kad 2023 m. buvo išrinktas naujas Bendrojo Teismo kancleris;</w:t>
      </w:r>
    </w:p>
    <w:p w14:paraId="2F2D2CC9" w14:textId="77777777" w:rsidR="00A67978" w:rsidRDefault="00A67978" w:rsidP="00A67978">
      <w:pPr>
        <w:spacing w:after="240"/>
        <w:ind w:left="567" w:hanging="567"/>
      </w:pPr>
      <w:r>
        <w:t>25.</w:t>
      </w:r>
      <w:r>
        <w:tab/>
        <w:t>palankiai vertina tai, kad, vykdant šią biudžeto įvykdymo patvirtinimo procedūrą, Teisingumo Teismas, atsakydamas į Parlamento Biudžeto kontrolės komiteto klausimyną, pateikė labai išsamią informaciją, visų pirma apie darbuotojų pasiskirstymą 2023 m. pabaigoje;</w:t>
      </w:r>
      <w:r>
        <w:rPr>
          <w:b/>
          <w:i/>
        </w:rPr>
        <w:t xml:space="preserve"> </w:t>
      </w:r>
      <w:r>
        <w:t>pažymi, kad Teisingumo Teismo ir Bendrojo Teismo sudėtis lyčių atžvilgiu ir toliau yra itin nesubalansuota; palankiai vertina 2024 m. Bendrojo Teismo pirmininko laišką valstybių narių Vyriausybių atstovų konferencijos pirmininkui, kuriame valstybės narės raginamos skiriant kandidatus, kai keičiami teisėjai bei generaliniai advokatai, atsižvelgti į poreikį užtikrinti lyčių pusiausvyrą; ragina valstybes nares skiriant kandidatus pakeisti teisėjus atsižvelgti į būtinybę užtikrinti lyčių pusiausvyrą;</w:t>
      </w:r>
    </w:p>
    <w:p w14:paraId="731BEFD6" w14:textId="77777777" w:rsidR="00A67978" w:rsidRDefault="00A67978" w:rsidP="00A67978">
      <w:pPr>
        <w:spacing w:after="240"/>
        <w:ind w:left="567" w:hanging="567"/>
      </w:pPr>
      <w:r>
        <w:t>26.</w:t>
      </w:r>
      <w:r>
        <w:tab/>
        <w:t>pažymi, kad iš 2023 m. pabaigoje dirbusių 2 303 pareigūnų ir laikinųjų darbuotojų 61 % buvo moterys; palankiai vertina tai, kad administracines pareigas einančių moterų dalis yra 55 %, ypač tai, kad vadovaujamas pareigas einančių moterų dalis padidėjo iki 43 %, palyginti su 40 % 2022 ir 2021 m., ir tai patvirtina, kad nuo 2018 m. fiksuojama didėjimo tendencija (41 % 2020 m., 39 % 2019 m. ir 37,5 % 2018 m.); pažymi, kad moterų skaičius buvo didžiausias asistentų kategorijose, o žemiausias – vyresniosios vadovybės pareigose; ragina ESTT užtikrinti, kad vyresniosios vadovybės pareigose būtų daugiau moterų, ir imtis tolesnių priemonių lyčių pusiausvyrai skatinti visais lygmenimis;</w:t>
      </w:r>
      <w:r>
        <w:rPr>
          <w:color w:val="FF0000"/>
        </w:rPr>
        <w:t xml:space="preserve"> </w:t>
      </w:r>
      <w:r>
        <w:t xml:space="preserve">palankiai vertina ESTT pastangas, dedamas siekiant skatinti lygybę, </w:t>
      </w:r>
      <w:proofErr w:type="spellStart"/>
      <w:r>
        <w:t>įtrauktį</w:t>
      </w:r>
      <w:proofErr w:type="spellEnd"/>
      <w:r>
        <w:t xml:space="preserve"> ir įvairovę, visų pirma įdarbinimo etapu;</w:t>
      </w:r>
    </w:p>
    <w:p w14:paraId="11CCD643" w14:textId="77777777" w:rsidR="00A67978" w:rsidRDefault="00A67978" w:rsidP="00A67978">
      <w:pPr>
        <w:spacing w:after="240"/>
        <w:ind w:left="567" w:hanging="567"/>
        <w:rPr>
          <w:b/>
          <w:i/>
        </w:rPr>
      </w:pPr>
      <w:r>
        <w:t>27.</w:t>
      </w:r>
      <w:r>
        <w:tab/>
        <w:t>ragina ESTT paskelbti metinę lyčių ir įvairovės ataskaitą, kad būtų užtikrintas lyčių atstovavimo visais institucijos lygmenimis, įskaitant teisėjus, generalinius advokatus ir administracijos darbuotojus, skaidrumas, taip pat numatyti konkrečias priemones, kuriomis būtų gerinama lyčių lygybė kalbant apie aukštas pareigas;</w:t>
      </w:r>
    </w:p>
    <w:p w14:paraId="7A448301" w14:textId="77777777" w:rsidR="00A67978" w:rsidRDefault="00A67978" w:rsidP="00A67978">
      <w:pPr>
        <w:spacing w:after="240"/>
        <w:ind w:left="567" w:hanging="567"/>
        <w:rPr>
          <w:b/>
          <w:i/>
        </w:rPr>
      </w:pPr>
      <w:r>
        <w:t>28.</w:t>
      </w:r>
      <w:r>
        <w:tab/>
        <w:t>teigiamai vertina tai, kad tarp ESTT darbuotojų yra visų Sąjungos valstybių piliečių, tačiau pažymi, kad kai kurių valstybių narių piliečių yra daugiau nei kitų valstybių narių; palankiai vertina, kad 2023 m. ESTT toliau stengėsi skatinti didesnę savo darbuotojų geografinę pusiausvyrą, visų pirma didindamas savo laisvų darbo vietų matomumą ir patrauklumą, sudarydamas ir siūlydamas palankesnes darbo sąlygas, kad pritrauktų laikinuosius darbuotojus iš tam tikrų mažiau atstovaujamų valstybių narių, ir plačiai informuodamas įvairią auditoriją apie darbo galimybes ESTT; pažymi, kad pasitelkus ESTT stažuočių programą buvo dedama daug pastangų siekiant pritraukti daug talentingų jaunuolių iš įvairių valstybių narių; ragina ESTT išnagrinėti, ar, kalbant apie atstovavimą, stažuotojų iš visų valstybių narių skaičius yra proporcingas;</w:t>
      </w:r>
    </w:p>
    <w:p w14:paraId="3162C62F" w14:textId="77777777" w:rsidR="00A67978" w:rsidRDefault="00A67978" w:rsidP="00A67978">
      <w:pPr>
        <w:spacing w:after="240"/>
        <w:ind w:left="567" w:hanging="567"/>
        <w:rPr>
          <w:b/>
          <w:i/>
        </w:rPr>
      </w:pPr>
      <w:r>
        <w:t>29.</w:t>
      </w:r>
      <w:r>
        <w:tab/>
        <w:t>primygtinai ragina ESTT skatinti daugiakalbę darbo aplinką, pripažįstant jos potencialą didinti teisingą pilietybių pasiskirstymą tarp ESTT darbuotojų; ragina visas ES institucijas laikytis daugiakalbystės principo ir jį užtikrinti;</w:t>
      </w:r>
    </w:p>
    <w:p w14:paraId="3559C6A0" w14:textId="77777777" w:rsidR="00A67978" w:rsidRDefault="00A67978" w:rsidP="00A67978">
      <w:pPr>
        <w:spacing w:after="240"/>
        <w:ind w:left="567" w:hanging="567"/>
      </w:pPr>
      <w:r>
        <w:lastRenderedPageBreak/>
        <w:t>30.</w:t>
      </w:r>
      <w:r>
        <w:tab/>
        <w:t>palankiai vertina darbą, kurį atliko Aukšto lygio tarpinstitucinė grupė, siekianti didinti Liuksemburgo, kaip darbo vietos, patrauklumą darbuotojams; ragina ESTT išlaikyti ir stiprinti bendradarbiavimą su kitomis Liuksemburge įsikūrusiomis institucijomis įgyvendinant įvairias iniciatyvas; džiaugdamasis atkreipia dėmesį į tai, kad biudžeto valdymo institucija 2025 finansiniams metams patvirtino būtinus asignavimus, kad būtų galima skirti būsto pašalpą žemesnių kategorijų darbuotojams, kaip rekomendavo Aukšto lygio tarpinstitucinė grupė; prašo informuoti Parlamentą apie pažangą įgyvendinant tokias iniciatyvas, kuriomis siekiama padidinti Liuksemburgo, kaip darbo vietos, patrauklumą;</w:t>
      </w:r>
    </w:p>
    <w:p w14:paraId="5025C1E3" w14:textId="77777777" w:rsidR="00A67978" w:rsidRDefault="00A67978" w:rsidP="00A67978">
      <w:pPr>
        <w:spacing w:after="240"/>
        <w:ind w:left="567" w:hanging="567"/>
      </w:pPr>
      <w:r>
        <w:t>31.</w:t>
      </w:r>
      <w:r>
        <w:tab/>
        <w:t>pažymi, kad 2023 m. ESTT, rengdamas specializuotus praktinius seminarus ir vykdydamas informuotumo didinimo veiklą, įgyvendino keletą iniciatyvų, kuriomis siekiama skatinti fizinę ir psichinę darbuotojų gerovę; pažymi, kad 2022 m. gegužės 1 d. įsigaliojusią nuotolinio darbo sistemą teigiamai įvertino vadovai, iš kurių 92 % atsakė, kad nuotoliniu būdu dirbančių darbuotojų produktyvumas buvo lygiavertis arba didesnis nei tas, kuris buvo prieš pritaikant nuotolinio darbo sistemą; pažymi, kad, siekdamas geresnės profesinio ir asmeninio gyvenimo pusiausvyros, 2023 m. ESTT atnaujino galimybę savo darbuotojams iki 10 dienų per metus dirbti nuotoliniu būdu ne darbo vietoje, ypač per Teismo atostogas;</w:t>
      </w:r>
    </w:p>
    <w:p w14:paraId="538C1288" w14:textId="77777777" w:rsidR="00A67978" w:rsidRDefault="00A67978" w:rsidP="00A67978">
      <w:pPr>
        <w:spacing w:after="240"/>
        <w:ind w:left="567" w:hanging="567"/>
        <w:rPr>
          <w:b/>
          <w:i/>
        </w:rPr>
      </w:pPr>
      <w:r>
        <w:t>32.</w:t>
      </w:r>
      <w:r>
        <w:tab/>
        <w:t xml:space="preserve">palankiai vertina vykdomas informuotumo didinimo, informavimo ir mokymo kampanijas, kuriomis siekiama skatinti </w:t>
      </w:r>
      <w:proofErr w:type="spellStart"/>
      <w:r>
        <w:t>įtrauktį</w:t>
      </w:r>
      <w:proofErr w:type="spellEnd"/>
      <w:r>
        <w:t>, abipusę pagarbą, bendradarbiavimą ir paramą žmonėms su negalia ir jų padėjėjams;</w:t>
      </w:r>
    </w:p>
    <w:p w14:paraId="3FAFC8EB" w14:textId="77777777" w:rsidR="00A67978" w:rsidRDefault="00A67978" w:rsidP="00A67978">
      <w:pPr>
        <w:spacing w:after="240"/>
        <w:ind w:left="567" w:hanging="567"/>
      </w:pPr>
      <w:r>
        <w:t>33.</w:t>
      </w:r>
      <w:r>
        <w:tab/>
        <w:t>pažymi, kad 2023 m. laikinojo nedarbingumo atostogų darbo dienų skaičius siekė 20 198, t. y. jis buvo 14,78 % mažesnis nei 2022 m.; susirūpinęs pažymi, kad 2023 m. medicinos tarnyba pranešė apie 11 profesinio perdegimo atvejų; palankiai vertina išsamią diagnostinių ataskaitų, kurias ESTT atliko siekdamas nustatyti perdegimo atvejus, analizę ir tai, kad ESTT daugiausia dėmesio skiria prevencinėms priemonėms, visų pirma medicinos ir socialinių darbuotojų komandos stiprinimui, psichosocialinės rizikos darbo vietoje prevencijai ir tam, kad vadovybė būtų informuota apie teisę atsijungti ir su pernelyg su pertekliniu efektyvumu susijusią riziką; ragina ESTT ir toliau daug dėmesio skirti šiai problemai, kad būtų užkirstas kelias kitiems atvejams, susijusiems su perdegimu, ir informuoti Parlamentą apie priemones, kurių imtasi šiuo klausimu;</w:t>
      </w:r>
    </w:p>
    <w:p w14:paraId="55BBAD38" w14:textId="77777777" w:rsidR="00A67978" w:rsidRDefault="00A67978" w:rsidP="00A67978">
      <w:pPr>
        <w:spacing w:after="240"/>
        <w:ind w:left="567" w:hanging="567"/>
      </w:pPr>
      <w:r>
        <w:t>34.</w:t>
      </w:r>
      <w:r>
        <w:tab/>
        <w:t>pažymi, kad 2023 m. buvo pradėtas administracinis tyrimas dėl darbuotojui pareikštų įtarimų seksualiniu priekabiavimu ir kad ši byla baigta nagrinėti 2024 m. pritaikius sankciją; susirūpinęs pažymi, kad 2023 m. taip pat buvo pradėta pagalbos procedūra dėl tariamo priekabiavimo, susijusio su teisėju, tačiau toje byloje priekabiavimas nebuvo nustatytas; pažymi, kad 2023 m. kovo mėn., taigi prieš ratifikuojant Europos Tarybos konvenciją dėl smurto prieš moteris ir smurto šeimoje prevencijos ir kovos su juo, įsteigta tarpžinybinė darbo grupė išnagrinėjo ESTT taikomas taisykles ir procedūras, kuriomis siekiama užkirsti kelią priekabiavimui, ir pateikė keletą rekomendacijų, kaip būtų galima šias taisykles bei procedūras patobulinti; ragina ESTT imtis tolesnių veiksmų ir toliau netoleruoti priekabiavimo darbo vietoje, numatyti rengti privalomus mokymus apie nesąmoningą šališkumą ir etikos standartus visiems teisėjams ir vyresniesiems pareigūnams, kad būtų užkirstas kelias piktnaudžiavimui valdžia;</w:t>
      </w:r>
    </w:p>
    <w:p w14:paraId="1BF132FC" w14:textId="77777777" w:rsidR="00A67978" w:rsidRDefault="00A67978" w:rsidP="00A67978">
      <w:pPr>
        <w:spacing w:after="240"/>
        <w:ind w:left="567" w:hanging="567"/>
        <w:rPr>
          <w:b/>
          <w:iCs/>
        </w:rPr>
      </w:pPr>
      <w:r>
        <w:rPr>
          <w:b/>
          <w:iCs/>
        </w:rPr>
        <w:t>Etikos sistema</w:t>
      </w:r>
    </w:p>
    <w:p w14:paraId="0F3DA7C5" w14:textId="77777777" w:rsidR="00A67978" w:rsidRDefault="00A67978" w:rsidP="00A67978">
      <w:pPr>
        <w:spacing w:after="240"/>
        <w:ind w:left="567" w:hanging="567"/>
      </w:pPr>
      <w:r>
        <w:lastRenderedPageBreak/>
        <w:t>35.</w:t>
      </w:r>
      <w:r>
        <w:tab/>
        <w:t>su pasitenkinimu pažymi, kad, kaip prašyta ankstesnėse rekomendacijose dėl biudžeto įvykdymo patvirtinimo, 2023 m. buvo parengtas ir 2024 m. kovo mėn. priimtas naujas ESTT pareigūnų ir kitų tarnautojų elgesio kodeksas dėl teisių ir pareigų, atspindintis ESTT vertybes ir įsipareigojimą laikytis etikos principų; pažymi, kad į elgesio kodeksą įtrauktos nuostatos dėl interesų konflikto, pareigos būti lojaliam, konfidencialumo ir diskretiškumo pareigos, išorės veiklos, profesinės veiklos baigus tarnybą bei publikacijų ir jis taip pat taikomas deleguotiesiems nacionaliniams ekspertams ir teisėjams stažuotojams, kuriuos globoja Europos teisėjų mokymo tinklas; pažymi, kad 2023 m. darbuotojams ir vadovams buvo surengta informuotumo didinimo veikla ir atnaujinti mokymai apie elgesio kodeksą, ypač daug dėmesio skiriant naujiems darbuotojams; ragina reguliariai rengti privalomus mokymus visiems darbuotojams ir prašo nuolat informuoti Parlamentą, kaip įgyvendinamas elgesio kodeksas;</w:t>
      </w:r>
    </w:p>
    <w:p w14:paraId="4B59E936" w14:textId="77777777" w:rsidR="00A67978" w:rsidRDefault="00A67978" w:rsidP="00A67978">
      <w:pPr>
        <w:spacing w:after="240"/>
        <w:ind w:left="567" w:hanging="567"/>
      </w:pPr>
      <w:r>
        <w:t>36.</w:t>
      </w:r>
      <w:r>
        <w:tab/>
        <w:t>pažymi, kad prieš įsigaliojant elgesio kodeksui pagal galiojančias procedūras buvo paskelbta apie du galimus interesų konflikto atvejus ir jie buvo nagrinėjami, siekiant užtikrinti, kad atitinkami nauji darbuotojai nedalyvautų tvarkant bylas, apie kurias jie žinojo iš ankstesnio darbo;</w:t>
      </w:r>
    </w:p>
    <w:p w14:paraId="5354A2BE" w14:textId="77777777" w:rsidR="00A67978" w:rsidRDefault="00A67978" w:rsidP="00A67978">
      <w:pPr>
        <w:spacing w:after="240"/>
        <w:ind w:left="567" w:hanging="567"/>
      </w:pPr>
      <w:r>
        <w:t>37.</w:t>
      </w:r>
      <w:r>
        <w:tab/>
        <w:t>pažymi, kad priėmus ESTT narių ir buvusių narių elgesio kodeksą, internete buvo paskelbtos ESTT narių interesų deklaracijos, kad nagrinėjant bylas būtų išvengta bet kokio galimo interesų konflikto; pažymi, kad ESTT nuolat iš naujo vertina savo vidaus taisykles šiuo klausimu, siekdamas jas atnaujinti ir užtikrinti kuo aukštesnius etiško elgesio standartus; ragina ESTT įsteigti nepriklausomą etikos komitetą, kuris prižiūrėtų, kaip laikomasi elgesio kodekso, ir tirtų galimus pažeidimus; ragina visiems ESTT darbuotojams, įskaitant teisėjus ir generalinius advokatus, rengti privalomus metinius etikos mokymus, siekiant išlaikyti ESTT profesinį sąžiningumą; prašo ESTT informuoti Parlamentą apie bet kokio tolesnio šios priemonės, kuria siekiama užkirsti kelią interesų konfliktams, veiksmingumo vertinimo rezultatus;</w:t>
      </w:r>
    </w:p>
    <w:p w14:paraId="70F442F7" w14:textId="77777777" w:rsidR="00A67978" w:rsidRDefault="00A67978" w:rsidP="00A67978">
      <w:pPr>
        <w:spacing w:after="240"/>
        <w:ind w:left="567" w:hanging="567"/>
        <w:rPr>
          <w:b/>
          <w:i/>
        </w:rPr>
      </w:pPr>
      <w:r>
        <w:t>38.</w:t>
      </w:r>
      <w:r>
        <w:tab/>
        <w:t>palankiai vertina tai, kad paskelbtos ESTT narių interesų deklaracijos, tačiau ragina pradėti taikyti standartinį tikrinimo prieš paskyrimą procesą, kad būtų galima anksti nustatyti ir sušvelninti galimus interesų konfliktus; primygtinai ragina Tarybą nustatyti skaidrias gaires valstybėms narėms dėl kandidatų į teisėjo pareigas Europos Sąjungos Teisingumo Teisme skyrimo;</w:t>
      </w:r>
    </w:p>
    <w:p w14:paraId="65B9E5CE" w14:textId="77777777" w:rsidR="00A67978" w:rsidRDefault="00A67978" w:rsidP="00A67978">
      <w:pPr>
        <w:spacing w:after="240"/>
        <w:ind w:left="567" w:hanging="567"/>
        <w:rPr>
          <w:b/>
          <w:i/>
        </w:rPr>
      </w:pPr>
      <w:r>
        <w:t>39.</w:t>
      </w:r>
      <w:r>
        <w:tab/>
        <w:t>primygtinai ragina ESTT nustatyti privalomą teisėjų nušalinimo politiką tais atvejais, kai jie anksčiau turėjo profesinių ryšių su ESTT besibylinėjančiomis šalimis; ragina teisėjams ir aukšto rango darbuotojams griežčiau tikrinti interesų konfliktus ir, be kita ko, reguliariai atnaujinti finansinės informacijos atskleidimo reikalavimus; prašo skelbti nušalinimo sprendimus tais atvejais realiuoju laiku, kai teisėjai paskelbia apie interesų konfliktą, užtikrinant didesnį teismo proceso skaidrumą ir stiprinant visuomenės pasitikėjimą ESTT nešališkumu ir profesiniu sąžiningumu;</w:t>
      </w:r>
    </w:p>
    <w:p w14:paraId="27B1F537" w14:textId="77777777" w:rsidR="00A67978" w:rsidRDefault="00A67978" w:rsidP="00A67978">
      <w:pPr>
        <w:spacing w:after="240"/>
        <w:ind w:left="567" w:hanging="567"/>
      </w:pPr>
      <w:r>
        <w:t>40.</w:t>
      </w:r>
      <w:r>
        <w:tab/>
        <w:t>pažymi, kad 2023 m., vadovaujantis Statuto 14 straipsniu, visi ESTT nariai gyveno Liuksemburge;</w:t>
      </w:r>
    </w:p>
    <w:p w14:paraId="71190F9A" w14:textId="77777777" w:rsidR="00A67978" w:rsidRDefault="00A67978" w:rsidP="00A67978">
      <w:pPr>
        <w:spacing w:after="240"/>
        <w:ind w:left="567" w:hanging="567"/>
      </w:pPr>
      <w:r>
        <w:t>41.</w:t>
      </w:r>
      <w:r>
        <w:tab/>
        <w:t>pažymi, kad Teisingumo Teismo ir Bendrojo Teismo narių vykdomos išorės veiklos sąrašas nuo 2018 m. skelbiamas ESTT interneto svetainėje;</w:t>
      </w:r>
      <w:r>
        <w:rPr>
          <w:b/>
          <w:i/>
        </w:rPr>
        <w:t xml:space="preserve"> </w:t>
      </w:r>
      <w:r>
        <w:t xml:space="preserve">taip pat pažymi, kad plačiajai visuomenei šį sąrašą sunku skaityti, ir rekomenduoja jį peržiūrėti, kad būtų užtikrintas didesnis aiškumas ir informatyvumas; pažymi, kad Teisingumo Teismo bendrojo susirinkimo arba Bendrojo Teismo plenarinės konferencijos išankstinis </w:t>
      </w:r>
      <w:r>
        <w:lastRenderedPageBreak/>
        <w:t>leidimas suteikiamas tik tuo atveju, jei išorės veikla yra suderinama su elgesio kodekso reikalavimais ir su narių pareigomis būti pasirengusiems vykdyti teisminę veiklą; prašo ESTT informuoti biudžeto įvykdymą tvirtinančią instituciją apie visas iniciatyvas, kuriomis siekiama pagerinti informacijos, susijusios su išorės veikla, suprantamumą, vadovaujantis ankstesnėmis biudžeto įvykdymo patvirtinimo rekomendacijomis;</w:t>
      </w:r>
    </w:p>
    <w:p w14:paraId="697871DE" w14:textId="77777777" w:rsidR="00A67978" w:rsidRDefault="00A67978" w:rsidP="00A67978">
      <w:pPr>
        <w:spacing w:after="240"/>
        <w:ind w:left="567" w:hanging="567"/>
      </w:pPr>
      <w:r>
        <w:t>42.</w:t>
      </w:r>
      <w:r>
        <w:tab/>
        <w:t>pažymi, kad 2021 m. atnaujintose ESTT narių keliones, komandiruotes ir vairuotojų bei automobilių naudojimą reglamentuojančiose taisyklėse numatyta, kad ESTT padengia tik einamąsias išlaidas, susidarančias dėl automobilio naudojimo su siuntimo į komandiruotę vykdymu arba įgaliojimų vykdymu susijusiais tikslais neviršijant 10 000 km ribos; pakartoja savo nuomonę, kad automobilių parku turėtų būti naudojamasi išskirtinai tik vykdant ESTT narių pareigas ir jokiomis aplinkybėmis nesinaudojama kitais atvejais, pažymi, kad ESTT pranešė, jog diskutuoja su kitomis institucijomis siekdamas, kad būtų parengtas suderintas tarnybinių transporto priemonių naudojimo taisyklių rinkinys, gerbiant kiekvienos institucijos savarankiškumą; ragina visas Sąjungos institucijas susitarti dėl bendros sistemos, kuri būtų taikoma horizontaliai, nes tai sumažintų painiavą ir padidintų viešųjų lėšų naudojimo skaidrumą ir veiksmingumą; prašo ESTT nuolat informuoti Parlamentą apie pažangą šiuo klausimu;</w:t>
      </w:r>
    </w:p>
    <w:p w14:paraId="4CB53348" w14:textId="77777777" w:rsidR="00A67978" w:rsidRDefault="00A67978" w:rsidP="00A67978">
      <w:pPr>
        <w:spacing w:after="240"/>
        <w:ind w:left="567" w:hanging="567"/>
      </w:pPr>
      <w:r>
        <w:t>43.</w:t>
      </w:r>
      <w:r>
        <w:tab/>
        <w:t>pažymi, kad ankstesnėse rezoliucijose dėl biudžeto įvykdymo patvirtinimo nurodyta OLAF byla, kurioje nagrinėtas darbuotojo elgesys, kuris galėjo būti laikomas rimtu jo pareigų nevykdymu, buvo baigta nagrinėti 2023 m.; pažymi, kad ESTT nežino apie jokius naujus 2023 m. pradėtus OLAF tyrimus ar rekomendacijas;</w:t>
      </w:r>
    </w:p>
    <w:p w14:paraId="5E7D1EA1" w14:textId="77777777" w:rsidR="00A67978" w:rsidRDefault="00A67978" w:rsidP="00A67978">
      <w:pPr>
        <w:spacing w:after="240"/>
        <w:ind w:left="567" w:hanging="567"/>
      </w:pPr>
      <w:r>
        <w:t>44.</w:t>
      </w:r>
      <w:r>
        <w:tab/>
        <w:t>pažymi, kad 2023 m. ESTT nepranešė apie jokius sukčiavimo, korupcijos ar netinkamo Sąjungos lėšų naudojimo atvejus; pažymi, kad ESTT kovos su sukčiavimu strategija yra neatsiejama jo integruotos vidaus kontrolės ir rizikos valdymo sistemos dalis, ypač daug dėmesio skiriant netinkamo informacijos atskleidimo rizikai;</w:t>
      </w:r>
    </w:p>
    <w:p w14:paraId="010CFFA7" w14:textId="77777777" w:rsidR="00A67978" w:rsidRDefault="00A67978" w:rsidP="00A67978">
      <w:pPr>
        <w:spacing w:after="240"/>
        <w:ind w:left="567" w:hanging="567"/>
        <w:rPr>
          <w:b/>
          <w:iCs/>
        </w:rPr>
      </w:pPr>
      <w:r>
        <w:rPr>
          <w:b/>
          <w:iCs/>
        </w:rPr>
        <w:t>Skaidrumas ir piliečių teisė kreiptis į teismą</w:t>
      </w:r>
    </w:p>
    <w:p w14:paraId="6AB85221" w14:textId="77777777" w:rsidR="00A67978" w:rsidRDefault="00A67978" w:rsidP="00A67978">
      <w:pPr>
        <w:spacing w:after="240"/>
        <w:ind w:left="567" w:hanging="567"/>
      </w:pPr>
      <w:r>
        <w:t>45.</w:t>
      </w:r>
      <w:r>
        <w:tab/>
        <w:t>palankiai vertina ESTT įsipareigojimą didinti skaidrumą, teisę kreiptis į teismą ir viešumą, taip prisidedant prie visuomenės pasitikėjimo Sąjungos institucijomis didinimo;</w:t>
      </w:r>
    </w:p>
    <w:p w14:paraId="3C339920" w14:textId="77777777" w:rsidR="00A67978" w:rsidRDefault="00A67978" w:rsidP="00A67978">
      <w:pPr>
        <w:spacing w:after="240"/>
        <w:ind w:left="567" w:hanging="567"/>
      </w:pPr>
      <w:r>
        <w:t>46.</w:t>
      </w:r>
      <w:r>
        <w:tab/>
        <w:t>pažymi, kad 2023 m. ESTT konsolidavo Teisingumo Teismo ir Bendrojo Teismo posėdžių srautinio transliavimo paslaugą interneto svetainėje „</w:t>
      </w:r>
      <w:proofErr w:type="spellStart"/>
      <w:r>
        <w:t>Curia</w:t>
      </w:r>
      <w:proofErr w:type="spellEnd"/>
      <w:r>
        <w:t>“, taip sudarydamas geresnes galimybes piliečiams susipažinti su ESTT teismine veikla; palankiai vertina tai, kad patobulinta interneto svetainė CVRIA, kiek tai susiję su jos struktūra, funkcijomis ir turiniu; palankiai vertina tai, kad nuo 2023 m. interneto svetainėje „</w:t>
      </w:r>
      <w:proofErr w:type="spellStart"/>
      <w:r>
        <w:t>Curia</w:t>
      </w:r>
      <w:proofErr w:type="spellEnd"/>
      <w:r>
        <w:t>“ tiesiogiai transliuojami Teisingumo Teismo sprendimų paskelbimai, generalinių advokatų nuomonių skaitymas, didžiosios kolegijos posėdžiai ir tam tikri kolegijų, kuriose posėdžiauja penki teisėjai, posėdžiai; ragina ESTT toliau didinti skaidrumą savo interneto svetainėje transliuojant visus Teisingumo Teismo ir Bendrojo Teismo posėdžius ir nuolat juos saugant internete;</w:t>
      </w:r>
    </w:p>
    <w:p w14:paraId="22863D77" w14:textId="77777777" w:rsidR="00A67978" w:rsidRDefault="00A67978" w:rsidP="00A67978">
      <w:pPr>
        <w:spacing w:after="240"/>
        <w:ind w:left="567" w:hanging="567"/>
      </w:pPr>
      <w:r>
        <w:t>47.</w:t>
      </w:r>
      <w:r>
        <w:tab/>
        <w:t xml:space="preserve">palankiai vertina tai, kad įgyvendinęs savo Statuto reformą ESTT skelbs pareiškimus ar rašytines pastabas byloje, pateiktus procese dėl </w:t>
      </w:r>
      <w:proofErr w:type="spellStart"/>
      <w:r>
        <w:t>prejudicinio</w:t>
      </w:r>
      <w:proofErr w:type="spellEnd"/>
      <w:r>
        <w:t xml:space="preserve"> sprendimo priėmimo pasibaigus tokiam procesui, išskyrus atvejus, kai bus prieštaraujama asmens pareiškimo ar pastabos paskelbimui; pabrėžia, kad toks skelbimas padidins skaidrumą ir sustiprins </w:t>
      </w:r>
      <w:r>
        <w:lastRenderedPageBreak/>
        <w:t>piliečių teisę kreiptis į teismą, ir ragina ESTT savo interneto svetainėje skelbti visus su byla susijusius dokumentus; ragina ESTT įgyvendinti procedūrą, kuria galėtų naudotis bet kuris asmuo, siekiantis vietoje susipažinti su visais dokumentais, susijusiais su byla;</w:t>
      </w:r>
    </w:p>
    <w:p w14:paraId="12F0B3BB" w14:textId="77777777" w:rsidR="00A67978" w:rsidRDefault="00A67978" w:rsidP="00A67978">
      <w:pPr>
        <w:spacing w:after="240"/>
        <w:ind w:left="567" w:hanging="567"/>
      </w:pPr>
      <w:r>
        <w:t>48.</w:t>
      </w:r>
      <w:r>
        <w:tab/>
        <w:t>pažymi, kad 2023 m. balandžio mėn. Bendrasis Teismas ir 2024 m. rugsėjo mėn. Teisingumo Teismas priėmė taisykles dėl vaizdo konferencijų naudojimo, pagal kurias šalis gali prašyti naudoti vaizdo konferencijas, kai dėl saugumo ar kitų rimtų priežasčių tos šalies atstovas negali fiziškai dalyvauti posėdyje;</w:t>
      </w:r>
    </w:p>
    <w:p w14:paraId="372BDAEF" w14:textId="77777777" w:rsidR="00A67978" w:rsidRDefault="00A67978" w:rsidP="00A67978">
      <w:pPr>
        <w:spacing w:after="240"/>
        <w:ind w:left="567" w:hanging="567"/>
      </w:pPr>
      <w:r>
        <w:t>49.</w:t>
      </w:r>
      <w:r>
        <w:tab/>
        <w:t>pažymi, kad 2019 m. lapkričio 26 d. ESTT sprendime nustatytos taisyklės dėl galimybės visuomenei susipažinti su ESTT dokumentais, susijusiais su jo administracinės funkcijos vykdymu, netaikomos teisminiams dokumentams, su kuriais susipažinti leidžiama pagal Teisingumo Teismo procedūros reglamentą ar Bendrojo Teismo procedūros reglamentą; pažymi, kad 2023 m. ESTT užregistravo 21 paraišką dėl visuomenės galimybės susipažinti su administraciniais dokumentais ir 12 atvejų suteikė galimybę susipažinti su administraciniais dokumentais; pažymi, kad 2023 m. Europos ombudsmenas nenustatė ESTT netinkamo administravimo atvejų;</w:t>
      </w:r>
    </w:p>
    <w:p w14:paraId="287AE009" w14:textId="77777777" w:rsidR="00A67978" w:rsidRDefault="00A67978" w:rsidP="00A67978">
      <w:pPr>
        <w:spacing w:after="240"/>
        <w:ind w:left="567" w:hanging="567"/>
      </w:pPr>
      <w:r>
        <w:t>50.</w:t>
      </w:r>
      <w:r>
        <w:tab/>
        <w:t>ragina ESTT supaprastinti konkrečių sprendimų naudojantis programa „e-</w:t>
      </w:r>
      <w:proofErr w:type="spellStart"/>
      <w:r>
        <w:t>Curia</w:t>
      </w:r>
      <w:proofErr w:type="spellEnd"/>
      <w:r>
        <w:t>“ radimo procesą; palankiai vertina pastangas užtikrinti, kad sąsaja būtų palankesnė klientams ir intuityvi;</w:t>
      </w:r>
    </w:p>
    <w:p w14:paraId="0CF1919D" w14:textId="77777777" w:rsidR="00A67978" w:rsidRDefault="00A67978" w:rsidP="00A67978">
      <w:pPr>
        <w:spacing w:after="240"/>
        <w:ind w:left="567" w:hanging="567"/>
        <w:rPr>
          <w:b/>
          <w:iCs/>
        </w:rPr>
      </w:pPr>
      <w:r>
        <w:rPr>
          <w:b/>
          <w:iCs/>
        </w:rPr>
        <w:t>Skaitmeninimas, kibernetinis saugumas ir duomenų apsauga</w:t>
      </w:r>
    </w:p>
    <w:p w14:paraId="2A6BED6F" w14:textId="77777777" w:rsidR="00A67978" w:rsidRDefault="00A67978" w:rsidP="00A67978">
      <w:pPr>
        <w:spacing w:after="240"/>
        <w:ind w:left="567" w:hanging="567"/>
      </w:pPr>
      <w:r>
        <w:t>51.</w:t>
      </w:r>
      <w:r>
        <w:tab/>
        <w:t>pažymi, kad 2023 m., palyginti su 2022 m., biudžeto išlaidos IT projektams padidėjo 10,9 %, IT įrangai – 13 %, kibernetinio saugumo projektams – 59 %, o kibernetinio saugumo paslaugoms, licencijoms ir įrangai – 72 %;</w:t>
      </w:r>
    </w:p>
    <w:p w14:paraId="0980740C" w14:textId="77777777" w:rsidR="00A67978" w:rsidRDefault="00A67978" w:rsidP="00A67978">
      <w:pPr>
        <w:spacing w:after="240"/>
        <w:ind w:left="567" w:hanging="567"/>
      </w:pPr>
      <w:r>
        <w:t>52.</w:t>
      </w:r>
      <w:r>
        <w:tab/>
        <w:t>pažymi, kad 2023 m. ESTT toliau prioritetą teikė pagrindinių skaitmeninimo projektų pagal skaitmeninės transformacijos strategiją įgyvendinimui, pvz., kūrė integruotą bylų valdymo sistemą (SIGA), skatino naudoti taikomąją programą „e-</w:t>
      </w:r>
      <w:proofErr w:type="spellStart"/>
      <w:r>
        <w:t>Curia</w:t>
      </w:r>
      <w:proofErr w:type="spellEnd"/>
      <w:r>
        <w:t>“ procesiniams dokumentams teikti ir pranešti apie juos elektroninėmis priemonėmis, patvirtino e. parašą ir elektroninių dokumentų registravimo ir valdymo sistemą „HAN/</w:t>
      </w:r>
      <w:proofErr w:type="spellStart"/>
      <w:r>
        <w:t>Ares</w:t>
      </w:r>
      <w:proofErr w:type="spellEnd"/>
      <w:r>
        <w:t>“; pažymi, kad ESTT stebi investicijų į skaitmeninimo projektus grąžą išlaidų ir išteklių efektyvumo požiūriu, ir prašo ESTT nuolat informuoti biudžeto įvykdymą tvirtinančią instituciją apie nustatytus faktus šioje srityje;</w:t>
      </w:r>
    </w:p>
    <w:p w14:paraId="1FF0B718" w14:textId="77777777" w:rsidR="00A67978" w:rsidRDefault="00A67978" w:rsidP="00A67978">
      <w:pPr>
        <w:spacing w:after="240"/>
        <w:ind w:left="567" w:hanging="567"/>
      </w:pPr>
      <w:r>
        <w:t>53.</w:t>
      </w:r>
      <w:r>
        <w:tab/>
        <w:t xml:space="preserve">pažymi, kad įgyvendindamas savo visapusišką iniciatyvą, kuria siekiama didinti prieinamumą ir </w:t>
      </w:r>
      <w:proofErr w:type="spellStart"/>
      <w:r>
        <w:t>įtrauktį</w:t>
      </w:r>
      <w:proofErr w:type="spellEnd"/>
      <w:r>
        <w:t xml:space="preserve"> pažeidžiamiems asmenims, ESTT, kiekvieną kartą keisdamas bei plėtodamas savo IT sistemas, toliau įgyvendino integruotojo prieinamumo metodą; pažymi, kad po interneto svetainės „</w:t>
      </w:r>
      <w:proofErr w:type="spellStart"/>
      <w:r>
        <w:t>Curia</w:t>
      </w:r>
      <w:proofErr w:type="spellEnd"/>
      <w:r>
        <w:t>“ audito ESTT pradėjo didinti svetainės prieinamumą įvairiems naudotojams, pvz., regos sutrikimų, klausos sutrikimų ar intelekto negalią turintiems asmenims;</w:t>
      </w:r>
    </w:p>
    <w:p w14:paraId="70ACD92D" w14:textId="77777777" w:rsidR="00A67978" w:rsidRDefault="00A67978" w:rsidP="00A67978">
      <w:pPr>
        <w:spacing w:after="240"/>
        <w:ind w:left="567" w:hanging="567"/>
        <w:rPr>
          <w:i/>
        </w:rPr>
      </w:pPr>
      <w:r>
        <w:t>54.</w:t>
      </w:r>
      <w:r>
        <w:tab/>
        <w:t xml:space="preserve">pažymi, kad ESTT, vadovaudamasis savo nauja 2023 m. birželio mėn. priimta dirbtinio intelekto (DI) integravimo strategija, įgyvendino kelis DI grindžiamus projektus, pvz., dokumentų analizės, susijusios su nuorodomis į taikytinus teisės aktus, automatizavimo ir pagalbos tikrinant sąskaitas faktūras pasitelkiant </w:t>
      </w:r>
      <w:proofErr w:type="spellStart"/>
      <w:r>
        <w:t>robotikos</w:t>
      </w:r>
      <w:proofErr w:type="spellEnd"/>
      <w:r>
        <w:t xml:space="preserve"> procesus, taip pat garso transkribavimo; pabrėžia, jog nepaprastai svarbu, kad dirbtinis intelektas būtų naudojamas taip, kad būtų visapusiškai išsaugotas teisinių procesų nepriklausomumas, kokybė ir sklandumas, būtų visapusiškai atsižvelgiama į etikos klausimus ir kad jis būtų </w:t>
      </w:r>
      <w:r>
        <w:lastRenderedPageBreak/>
        <w:t>naudojamas prižiūrint žmogui ir sudarant sąlygas žmogui įsikišti, kad būtų išvengta neigiamų pasekmių ar rizikos arba būtų sustabdyta sistema, jei ji neveikia taip, kaip numatyta; pažymi, kad pagal šią strategiją ESTT įsteigė DI valdančiąją tarybą, kurią sudaro Teisingumo Teismo ir Bendrojo Teismo nariai, kad ji prižiūrėtų etinius DI naudojimo ESTT aspektus ir nustatytų aiškias jo taikymo ribas; palankiai vertina valdančiosios tarybos paskelbtas gaires dėl DI naudojimo, skirtas darbuotojams; palankiai vertina įgyvendinamas iniciatyvas, kuriomis siekiama tobulinti darbuotojų skaitmeninius įgūdžius pasitelkiant mokymo planą, parengtą bendradarbiaujant su Tarpinstituciniu skaitmeninės transformacijos komitetu (ETA); pabrėžia, kad teisingumo sistemos skaitmeninimas ir besiformuojančių technologijų, pvz., DI, diegimas bus labai naudingi efektyviam ESTT veikimui; vis dėlto rekomenduoja ESTT iš anksto numatyti susijusią kibernetinio saugumo riziką ir dar labiau sustiprinti bendradarbiavimą su ES kibernetinio saugumo agentūra ir CERT-EU;</w:t>
      </w:r>
    </w:p>
    <w:p w14:paraId="32147BCD" w14:textId="77777777" w:rsidR="00A67978" w:rsidRDefault="00A67978" w:rsidP="00A67978">
      <w:pPr>
        <w:spacing w:after="240"/>
        <w:ind w:left="567" w:hanging="567"/>
      </w:pPr>
      <w:r>
        <w:t>55.</w:t>
      </w:r>
      <w:r>
        <w:tab/>
        <w:t xml:space="preserve">pažymi, kad 2023 m. ESTT nebuvo pranešta apie jokius Europos duomenų apsaugos priežiūros pareigūno (EDAPP) tyrimus; pažymi, kad EDAPP, atlikęs tyrimą dėl įmonės „Amazon </w:t>
      </w:r>
      <w:proofErr w:type="spellStart"/>
      <w:r>
        <w:t>Web</w:t>
      </w:r>
      <w:proofErr w:type="spellEnd"/>
      <w:r>
        <w:t xml:space="preserve"> </w:t>
      </w:r>
      <w:proofErr w:type="spellStart"/>
      <w:r>
        <w:t>Services</w:t>
      </w:r>
      <w:proofErr w:type="spellEnd"/>
      <w:r>
        <w:t>“ debesijos paslaugų naudojimo, 2023 m. nepateikė jokios konkrečios rekomendacijos ESTT; pažymi, kad 2023 m. EDAPP paskelbė sprendimą, kuriuo patvirtinama, kad ESTT naudojamos debesijos vaizdo konferencijų paslaugos atitinka duomenų apsaugos teisės aktus; vis dėlto pakartoja savo susirūpinimą dėl naudojimosi išorės debesijos paslaugomis, atsižvelgiant į didėjančias grėsmes kibernetiniam saugumui ir skaitmeniniam suverenumui;</w:t>
      </w:r>
    </w:p>
    <w:p w14:paraId="56DE230A" w14:textId="77777777" w:rsidR="00A67978" w:rsidRDefault="00A67978" w:rsidP="00A67978">
      <w:pPr>
        <w:spacing w:after="240"/>
        <w:ind w:left="567" w:hanging="567"/>
      </w:pPr>
      <w:r>
        <w:t>56.</w:t>
      </w:r>
      <w:r>
        <w:tab/>
        <w:t>palankiai vertina tai, kad 2023 m. ESTT patvirtino kibernetinio saugumo veiksmų gaires ir sustiprino savo kibernetinio saugumo operacinius pajėgumus, siekdamas geriau apsaugoti savo sistemas nuo daugėjančių kibernetinių išpuolių; be to, pabrėžia, kad patikima kibernetinio saugumo strategija yra esminė kovos su užsienio šalių kišimusi, kuriuo siekiama pakenkti Europos institucijų patikimumui, priemonė; pažymi, kad ESTT ėmėsi įvairių priemonių, kad sustiprintų savo kibernetinio saugumo parengtį ir gebėjimą atsigauti po saugumo incidentų, be kita ko, dalyvaudamas Tarpinstitucinės kibernetinio saugumo tarybos valdyme ir taikydamas įvairias kibernetinio saugumo ir kibernetinio saugumo kontrolės priemones, atitinkančias CERT-EU rekomendacijas; pažymi, kad biudžeto valdymo institucija 2025 finansiniams metams patvirtino asignavimus, kurių reikia dviem papildomiems etatams sukurti, kad būtų sustiprinti ESTT darbuotojų pajėgumai kibernetinio saugumo srityje;</w:t>
      </w:r>
    </w:p>
    <w:p w14:paraId="22F31FFC" w14:textId="77777777" w:rsidR="00A67978" w:rsidRDefault="00A67978" w:rsidP="00A67978">
      <w:pPr>
        <w:spacing w:after="240"/>
        <w:ind w:left="567" w:hanging="567"/>
      </w:pPr>
      <w:r>
        <w:t>57.</w:t>
      </w:r>
      <w:r>
        <w:tab/>
        <w:t>palankiai vertina priemones (pvz., kibernetinio saugumo auditus, darbuotojų mokymą ir greitojo reagavimo į incidentus protokolus), kurių imtasi siekiant apsaugoti ESTT technologinę infrastruktūrą nuo kibernetinių grėsmių; pabrėžia, kad teisingumo skaitmeninimas ir naujų technologijų, pvz., dirbtinio intelekto, naudojimas bus labai naudingas užtikrinant sklandų ESTT veikimą, tačiau taip pat kelia riziką ir jai ESTT turi užbėgti už akių ir nuo jos apsisaugoti; atsižvelgdamas į tai, siūlo ESTT parengti kibernetinio saugumo strategiją ir stiprinti bendradarbiavimą su kitomis ES institucijomis, visų pirma, ENISA (ES kibernetinio saugumo agentūra), siekiant užkirsti kelią kibernetiniams išpuoliams, kurių skaičius Europos Sąjungoje eksponentiškai auga ir kurie vis sudėtingėja;</w:t>
      </w:r>
    </w:p>
    <w:p w14:paraId="641EC8DB" w14:textId="77777777" w:rsidR="00A67978" w:rsidRDefault="00A67978" w:rsidP="00A67978">
      <w:pPr>
        <w:spacing w:after="240"/>
        <w:ind w:left="567" w:hanging="567"/>
      </w:pPr>
      <w:r>
        <w:t>58.</w:t>
      </w:r>
      <w:r>
        <w:tab/>
        <w:t xml:space="preserve">palankiai vertina iniciatyvą, naudojant kompiuterinį automatinį vardų generatorių, suteikti fiktyvius vardus ir pavardes </w:t>
      </w:r>
      <w:proofErr w:type="spellStart"/>
      <w:r>
        <w:t>anonimizuotiems</w:t>
      </w:r>
      <w:proofErr w:type="spellEnd"/>
      <w:r>
        <w:t xml:space="preserve"> atvejams, taip siekiant sustiprinti asmens duomenų apsaugą ir palengvinti atskirų atvejų nustatymą;</w:t>
      </w:r>
    </w:p>
    <w:p w14:paraId="0C0C7040" w14:textId="77777777" w:rsidR="00A67978" w:rsidRDefault="00A67978" w:rsidP="00A67978">
      <w:pPr>
        <w:spacing w:after="240"/>
        <w:ind w:left="567" w:hanging="567"/>
      </w:pPr>
      <w:r>
        <w:lastRenderedPageBreak/>
        <w:t>59.</w:t>
      </w:r>
      <w:r>
        <w:tab/>
        <w:t>su pasitenkinimu atkreipia dėmesį į Bendrojo Teismo procedūros reglamento keitimą iš dalies, kuriuo bus patikslintos ir supaprastintos teisminės procedūros, įskaitant galimybę teismo posėdžiuose naudoti vaizdo konferencijas, elektroniniu būdu pasirašyti sprendimus ir paskirti modelines bylas;</w:t>
      </w:r>
    </w:p>
    <w:p w14:paraId="543AEFEF" w14:textId="77777777" w:rsidR="00A67978" w:rsidRDefault="00A67978" w:rsidP="00A67978">
      <w:pPr>
        <w:spacing w:after="240"/>
        <w:ind w:left="567" w:hanging="567"/>
        <w:rPr>
          <w:b/>
          <w:iCs/>
        </w:rPr>
      </w:pPr>
      <w:r>
        <w:rPr>
          <w:b/>
          <w:iCs/>
        </w:rPr>
        <w:t>Pastatai</w:t>
      </w:r>
    </w:p>
    <w:p w14:paraId="741395DD" w14:textId="77777777" w:rsidR="00A67978" w:rsidRDefault="00A67978" w:rsidP="00A67978">
      <w:pPr>
        <w:spacing w:before="240" w:after="240"/>
        <w:ind w:left="567" w:hanging="567"/>
      </w:pPr>
      <w:r>
        <w:t>60.</w:t>
      </w:r>
      <w:r>
        <w:tab/>
        <w:t xml:space="preserve">pažymi, kad po svarstymų tarpžinybiniu lygmeniu dėl efektyviausio ESTT patalpų naudojimo, kurie buvo užbaigti 2023 m., pradėti įgyvendinti bandomieji projektai; pažymi, kad į šių projektų rezultatus ir kitus veiksnius, pvz., aplinkos ir biudžeto aspektus, teisingumo kokybę, gerovę darbe, </w:t>
      </w:r>
      <w:proofErr w:type="spellStart"/>
      <w:r>
        <w:t>įtrauktį</w:t>
      </w:r>
      <w:proofErr w:type="spellEnd"/>
      <w:r>
        <w:t>, ESTT prieinamumą ir patrauklumą, bus atsižvelgta galutiniame sprendime dėl ESTT pastatų naudojimo; prašo nuolat informuoti Parlamentą apie šių išvadų įgyvendinimą ir pasekmes darbo erdvės organizavimui;</w:t>
      </w:r>
    </w:p>
    <w:p w14:paraId="2E692AA9" w14:textId="77777777" w:rsidR="00A67978" w:rsidRDefault="00A67978" w:rsidP="00A67978">
      <w:pPr>
        <w:spacing w:before="240" w:after="240"/>
        <w:ind w:left="567" w:hanging="567"/>
      </w:pPr>
      <w:r>
        <w:t>61.</w:t>
      </w:r>
      <w:r>
        <w:tab/>
        <w:t xml:space="preserve">pažymi, kad 2023 m. ESTT toliau įgyvendino savo visapusišką iniciatyvą didinti prieinamumą ir </w:t>
      </w:r>
      <w:proofErr w:type="spellStart"/>
      <w:r>
        <w:t>įtrauktį</w:t>
      </w:r>
      <w:proofErr w:type="spellEnd"/>
      <w:r>
        <w:t xml:space="preserve"> asmenims su negalia, siekdamas užtikrinti fizinę ar virtualią prieigą prie ESTT visiems asmenims, proceso dalyviams ir lankytojams; be to, pažymi, kad 2023 m. ESTT pradėjo rengti savo infrastruktūros aprašą, siekdamas nuo 2032 m. sausio 1 d. užtikrinti atitiktį naujiems nacionalinių prieinamumo teisės aktams; prašo informuoti Parlamentą apie tolesnes iniciatyvas šioje srityje;</w:t>
      </w:r>
    </w:p>
    <w:p w14:paraId="1396541D" w14:textId="77777777" w:rsidR="00A67978" w:rsidRDefault="00A67978" w:rsidP="00A67978">
      <w:pPr>
        <w:spacing w:after="240"/>
        <w:ind w:left="567" w:hanging="567"/>
        <w:rPr>
          <w:b/>
          <w:iCs/>
        </w:rPr>
      </w:pPr>
      <w:r>
        <w:rPr>
          <w:b/>
          <w:iCs/>
        </w:rPr>
        <w:t>Aplinka ir tvarumas</w:t>
      </w:r>
    </w:p>
    <w:p w14:paraId="0925914A" w14:textId="77777777" w:rsidR="00A67978" w:rsidRDefault="00A67978" w:rsidP="00A67978">
      <w:pPr>
        <w:spacing w:after="240"/>
        <w:ind w:left="567" w:hanging="567"/>
        <w:rPr>
          <w:b/>
          <w:i/>
        </w:rPr>
      </w:pPr>
      <w:r>
        <w:t>62.</w:t>
      </w:r>
      <w:r>
        <w:tab/>
        <w:t>su pasitenkinimu pažymi, kad 2023 m. ESTT, taikydamas energijos taupymo priemones ir optimizuodamas šildymo, vėsinimo ir apšvietimo infrastruktūrą, toliau gerokai mažino savo energijos suvartojimą ir anglies pėdsaką, palyginti su 2015 m., kurie yra baziniai metai įgyvendinant ESTT aplinkosaugos vadybos ir audito sistemos strategiją; pažymi, kad 2023 m., palyginti su 2015 m., šildymo suvartojimas sumažėjo 33,5 %, elektros energijos – 28,7 %, vandens – 20,1 %, biuro popieriaus – 63 %, biuro ir valgyklos atliekos sumažėjo 43 %, o šiltnamio efektą sukeliančių dujų išmetimas – 30,2 %; palankiai vertina tai, kad ESTT taikė žaliųjų viešųjų pirkimų kriterijus 10 konkursų, kurių vertė viršijo 60 000 EUR; palankiai vertina ESTT įsipareigojimą taikyti aplinkosaugos vadybos ir audito sistemą (EMAS); ragina ESTT toliau dėti pastangas mažinant savo poveikį aplinkai ir parengti strategiją, kad iki 2035 m. būtų užtikrintas anglies dioksido poveikio neutralumas;</w:t>
      </w:r>
    </w:p>
    <w:p w14:paraId="01437291" w14:textId="77777777" w:rsidR="00A67978" w:rsidRDefault="00A67978" w:rsidP="00A67978">
      <w:pPr>
        <w:spacing w:after="240"/>
        <w:ind w:left="567" w:hanging="567"/>
      </w:pPr>
      <w:r>
        <w:t>63.</w:t>
      </w:r>
      <w:r>
        <w:tab/>
        <w:t>palankiai vertina tai, kad ESTT ėmėsi kelių iniciatyvų savo darbuotojų ir narių tvariam judumui remti ir skatinti, įskaitant subsidijas viešajam transportui, subsidijas pagal savitarnos sistemą naudojamiems dviračiams, geresnes dviračių stovėjimo vietas ir patobulintą hibridinių bei elektrinių automobilių infrastruktūrą;</w:t>
      </w:r>
    </w:p>
    <w:p w14:paraId="138EDE60" w14:textId="77777777" w:rsidR="00A67978" w:rsidRDefault="00A67978" w:rsidP="00A67978">
      <w:pPr>
        <w:spacing w:after="240"/>
        <w:ind w:left="567" w:hanging="567"/>
        <w:rPr>
          <w:b/>
          <w:iCs/>
        </w:rPr>
      </w:pPr>
      <w:r>
        <w:rPr>
          <w:b/>
          <w:iCs/>
        </w:rPr>
        <w:t>Institucijų bendradarbiavimas</w:t>
      </w:r>
    </w:p>
    <w:p w14:paraId="6AF5B71B" w14:textId="77777777" w:rsidR="00A67978" w:rsidRDefault="00A67978" w:rsidP="00A67978">
      <w:pPr>
        <w:spacing w:after="240"/>
        <w:ind w:left="567" w:hanging="567"/>
      </w:pPr>
      <w:r>
        <w:t>64.</w:t>
      </w:r>
      <w:r>
        <w:tab/>
        <w:t xml:space="preserve">palankiai vertina tai, kad sutaupyta biudžeto lėšų dėl bendradarbiavimo su kitomis institucijomis, visų pirma naudojantis bendromis taikomosiomis programomis ir </w:t>
      </w:r>
      <w:proofErr w:type="spellStart"/>
      <w:r>
        <w:t>prieglobos</w:t>
      </w:r>
      <w:proofErr w:type="spellEnd"/>
      <w:r>
        <w:t xml:space="preserve"> paslaugomis pagal susitarimus dėl paslaugų lygio su Komisija, taip pat dalyvaujant tarpinstitucinėse viešųjų pirkimų procedūrose, nes tai leido ESTT optimizuoti išlaidas bei išteklius;</w:t>
      </w:r>
    </w:p>
    <w:p w14:paraId="6F7E6EEB" w14:textId="77777777" w:rsidR="00A67978" w:rsidRDefault="00A67978" w:rsidP="00A67978">
      <w:pPr>
        <w:spacing w:after="240"/>
        <w:ind w:left="567" w:hanging="567"/>
      </w:pPr>
      <w:r>
        <w:t>65.</w:t>
      </w:r>
      <w:r>
        <w:tab/>
        <w:t xml:space="preserve">palankiai vertina Europos teisėjų mokymo tinklo (ETMT) pastangas mokyti </w:t>
      </w:r>
      <w:r>
        <w:lastRenderedPageBreak/>
        <w:t>nacionalinius teisėjus ES teisės klausimais; su pasitenkinimu pažymi, kad 2023 m., laikydamiesi ESTT deklaracijos „Europos teisėjų mokymo tinklo (ETMT) rėmimas siekiant formuoti tvarią Europos teisminę kultūrą“, ESTT ir ETMT siekė padidinti ilgalaikių stažuotojų įvairovę, kad galiausiai jų skaičius padidėtų iki vieno stažuotojo iš kiekvienos valstybės narės; pažymi, kad priemonės, kurių imtasi, jau buvo sėkmingos, nes ESTT turi stažuotojų iš kai kurių valstybių narių, kurios anksčiau aktyviai nedalyvavo programoje; pažymi, kad 2023–2024 m. buvo pasiūlyta 15 apmokamų stažuočių; ragina ESTT toliau plėtoti dalijimosi žiniomis iniciatyvas, įskaitant bendras teismų praktikos duomenų bazes ir virtualias bendradarbiavimo platformas, siekiant padėti nacionaliniams teismams atlikti sudėtingus teisinius aiškinimus;</w:t>
      </w:r>
    </w:p>
    <w:p w14:paraId="60722960" w14:textId="77777777" w:rsidR="00A67978" w:rsidRDefault="00A67978" w:rsidP="00A67978">
      <w:pPr>
        <w:spacing w:after="240"/>
        <w:ind w:left="567" w:hanging="567"/>
      </w:pPr>
      <w:r>
        <w:t>66.</w:t>
      </w:r>
      <w:r>
        <w:tab/>
        <w:t>pažymi, kad stažuotė turėtų būti atlyginama, vadovaujantis 2023 m. birželio 14 d. Europos Parlamento rezoliucija dėl kokybiškų stažuočių Sąjungoje (2020/2005 INL), kurioje raginama užtikrinti, kad visos stažuotės Europoje būtų apmokamos; palankiai vertina tai, kad šiuo metu visi ESTT stažuotojai stažuotės metu gauna dotaciją, daugiausia iš ESTT, o kai kuriais konkrečiais atvejais – iš kitų šaltinių; atkreipia dėmesį į tai, kad ESTT priima tik kelis stažuotojus (mažiau nei 10 per metus), apmokamus iš kitų šaltinių, ir trumpus laikotarpius (vidutiniškai 2 mėnesius); palankiai vertina tai, kad tokiais atvejais ESTT administracija atidžiai tikrina, ar šie stažuotojai gauna stipendiją, išmoką ar atlyginimą už šią stažuotę, kuriuos tiesiogiai moka jų darbdavys arba akademinė institucija;</w:t>
      </w:r>
    </w:p>
    <w:p w14:paraId="16AA3965" w14:textId="77777777" w:rsidR="00A67978" w:rsidRDefault="00A67978" w:rsidP="00A67978">
      <w:pPr>
        <w:spacing w:after="240"/>
        <w:ind w:left="567" w:hanging="567"/>
      </w:pPr>
      <w:r>
        <w:t>67.</w:t>
      </w:r>
      <w:r>
        <w:tab/>
        <w:t>palankiai vertina tai, kad ESTT visapusiškai bendradarbiauja su OLAF, Audito Rūmais, EDAPP ir Europos ombudsmenu; pažymi, kad 2023 m. ESTT toliau stengėsi palaikyti užmegztą dialogą su nacionaliniais teismais, visų pirma konstituciniais ir aukščiausiaisiais teismais, ir kad ESTT surengė keletą posėdžių, įskaitant metinį nacionalinių teisėjų susitikimą; skatina glaudesnį ESTT ir nacionalinių teismų bendradarbiavimą siekiant stiprinti vienodą Sąjungos teisės taikymą; rekomenduoja sukurti nuolatinę teisėjų mainų programą, skirtą valstybių narių teisėjams, kad jie galėtų dirbti kartu su ESTT kolegomis, skatinant geriausią Sąjungos teisės aiškinimo praktiką;</w:t>
      </w:r>
    </w:p>
    <w:p w14:paraId="1B68924A" w14:textId="77777777" w:rsidR="00A67978" w:rsidRDefault="00A67978" w:rsidP="00A67978">
      <w:pPr>
        <w:spacing w:after="240"/>
        <w:ind w:left="567" w:hanging="567"/>
        <w:rPr>
          <w:b/>
          <w:iCs/>
        </w:rPr>
      </w:pPr>
      <w:r>
        <w:rPr>
          <w:b/>
          <w:iCs/>
        </w:rPr>
        <w:t>Komunikacija</w:t>
      </w:r>
    </w:p>
    <w:p w14:paraId="15C0D603" w14:textId="77777777" w:rsidR="00A67978" w:rsidRDefault="00A67978" w:rsidP="00A67978">
      <w:pPr>
        <w:spacing w:after="240"/>
        <w:ind w:left="567" w:hanging="567"/>
      </w:pPr>
      <w:r>
        <w:t>68.</w:t>
      </w:r>
      <w:r>
        <w:tab/>
        <w:t>pažymi, kad 2023 m. ESTT dėjo dar daugiau pastangų siekdamas bendrauti su Sąjungos piliečiais ir stiprino savo informavimo veiklą socialiniuose tinkluose; pažymi, kad 2023 m. pabaigoje ESTT paskyros tinkle „</w:t>
      </w:r>
      <w:proofErr w:type="spellStart"/>
      <w:r>
        <w:t>LinkedIn</w:t>
      </w:r>
      <w:proofErr w:type="spellEnd"/>
      <w:r>
        <w:t>“ abonentų skaičius padidėjo 32 %, sekėjų skaičius dviejose ESTT paskyrose tinkle X (anksčiau – „Twitter“) padidėjo 9 %, o jo „YouTube“ kanalo peržiūros, palyginti su ankstesniais metais, padidėjo 84,96 %;</w:t>
      </w:r>
    </w:p>
    <w:p w14:paraId="532AB19F" w14:textId="13949043" w:rsidR="00C15640" w:rsidRPr="005C0ADF" w:rsidRDefault="00A67978" w:rsidP="00A67978">
      <w:pPr>
        <w:spacing w:after="240"/>
        <w:ind w:left="567" w:hanging="567"/>
      </w:pPr>
      <w:r>
        <w:t>69.</w:t>
      </w:r>
      <w:r>
        <w:tab/>
        <w:t>teigiamai vertina ESTT pastangas stiprinti strateginę komunikaciją apie ESTT teisminę veiklą ir jos skaidrumą Sąjungos piliečių atžvilgiu, visų pirma organizuojant atvirų durų dieną, teikiant pasiūlymus lankytojams, visų pirma specialius virtualius vizitus, kuriuose 2023 m. dalyvavo 800 studentų, ir peržiūrint savo pranešimų spaudai bei internetinių publikacijų žiniasklaidai aktualiais klausimais arba poveikį piliečių gyvenimui darančiais klausimais rengimą siekiant, kad jie būtų parengti prieinamu stiliumi.</w:t>
      </w:r>
    </w:p>
    <w:sectPr w:rsidR="00C15640" w:rsidRPr="005C0ADF" w:rsidSect="00A679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37C4F" w14:textId="77777777" w:rsidR="006E4977" w:rsidRPr="005C0ADF" w:rsidRDefault="006E4977">
      <w:r w:rsidRPr="005C0ADF">
        <w:separator/>
      </w:r>
    </w:p>
  </w:endnote>
  <w:endnote w:type="continuationSeparator" w:id="0">
    <w:p w14:paraId="15A191A5" w14:textId="77777777" w:rsidR="006E4977" w:rsidRPr="005C0ADF" w:rsidRDefault="006E4977">
      <w:r w:rsidRPr="005C0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CEBE3" w14:textId="77777777" w:rsidR="00064002" w:rsidRPr="005C0A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EC3D7" w14:textId="77777777" w:rsidR="00064002" w:rsidRPr="005C0A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5D02D" w14:textId="77777777" w:rsidR="00064002" w:rsidRPr="005C0A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C081D" w14:textId="77777777" w:rsidR="006E4977" w:rsidRPr="005C0ADF" w:rsidRDefault="006E4977">
      <w:r w:rsidRPr="005C0ADF">
        <w:separator/>
      </w:r>
    </w:p>
  </w:footnote>
  <w:footnote w:type="continuationSeparator" w:id="0">
    <w:p w14:paraId="413CB91D" w14:textId="77777777" w:rsidR="006E4977" w:rsidRPr="005C0ADF" w:rsidRDefault="006E4977">
      <w:r w:rsidRPr="005C0ADF">
        <w:continuationSeparator/>
      </w:r>
    </w:p>
  </w:footnote>
  <w:footnote w:id="1">
    <w:p w14:paraId="083B79AC" w14:textId="77777777" w:rsidR="00A67978" w:rsidRDefault="00A67978" w:rsidP="00A67978">
      <w:pPr>
        <w:ind w:left="567" w:hanging="567"/>
      </w:pPr>
      <w:r>
        <w:rPr>
          <w:rStyle w:val="FootnoteReference"/>
        </w:rPr>
        <w:footnoteRef/>
      </w:r>
      <w:r>
        <w:tab/>
        <w:t xml:space="preserve">OL L 58, 2023 2 23, p. 1, ELI: </w:t>
      </w:r>
      <w:hyperlink r:id="rId1" w:tooltip="Prieiga prie šio dokumento per jo ELI nuorodą." w:history="1">
        <w:r>
          <w:rPr>
            <w:rStyle w:val="Hyperlink"/>
            <w:color w:val="337AB7"/>
            <w:shd w:val="clear" w:color="auto" w:fill="FFFFFF"/>
          </w:rPr>
          <w:t>http://data.europa.eu/eli/budget/2023/1/oj</w:t>
        </w:r>
      </w:hyperlink>
      <w:r>
        <w:rPr>
          <w:rStyle w:val="Hyperlink"/>
          <w:shd w:val="clear" w:color="auto" w:fill="FFFFFF"/>
        </w:rPr>
        <w:t>.</w:t>
      </w:r>
    </w:p>
  </w:footnote>
  <w:footnote w:id="2">
    <w:p w14:paraId="6CB76092" w14:textId="77777777" w:rsidR="00A67978" w:rsidRDefault="00A67978" w:rsidP="00A67978">
      <w:pPr>
        <w:pStyle w:val="FootnoteText"/>
        <w:ind w:left="567" w:hanging="567"/>
        <w:rPr>
          <w:sz w:val="24"/>
          <w:szCs w:val="24"/>
          <w:lang w:val="lt-LT"/>
        </w:rPr>
      </w:pPr>
      <w:r>
        <w:rPr>
          <w:rStyle w:val="FootnoteReference"/>
          <w:sz w:val="24"/>
          <w:szCs w:val="24"/>
          <w:lang w:val="lt-LT"/>
        </w:rPr>
        <w:footnoteRef/>
      </w:r>
      <w:r>
        <w:rPr>
          <w:sz w:val="24"/>
          <w:szCs w:val="24"/>
          <w:lang w:val="lt-LT"/>
        </w:rPr>
        <w:tab/>
      </w:r>
      <w:r>
        <w:rPr>
          <w:sz w:val="24"/>
          <w:szCs w:val="24"/>
          <w:lang w:val="lt-LT"/>
        </w:rPr>
        <w:t xml:space="preserve">OL C, C/2024/5462, 2024 10 10, ELI: </w:t>
      </w:r>
      <w:hyperlink r:id="rId2" w:history="1">
        <w:r>
          <w:rPr>
            <w:rStyle w:val="Hyperlink"/>
            <w:sz w:val="24"/>
            <w:lang w:val="lt-LT"/>
          </w:rPr>
          <w:t>http://data.europa.eu/eli/C/2024/5462/oj</w:t>
        </w:r>
      </w:hyperlink>
      <w:r>
        <w:rPr>
          <w:rStyle w:val="Hyperlink"/>
          <w:sz w:val="24"/>
          <w:shd w:val="clear" w:color="auto" w:fill="FFFFFF"/>
          <w:lang w:val="lt-LT"/>
        </w:rPr>
        <w:t>.</w:t>
      </w:r>
    </w:p>
  </w:footnote>
  <w:footnote w:id="3">
    <w:p w14:paraId="5200BDDE" w14:textId="77777777" w:rsidR="00A67978" w:rsidRDefault="00A67978" w:rsidP="00A67978">
      <w:pPr>
        <w:pStyle w:val="FootnoteText"/>
        <w:ind w:left="567" w:hanging="567"/>
        <w:rPr>
          <w:sz w:val="24"/>
          <w:szCs w:val="24"/>
          <w:lang w:val="lt-LT"/>
        </w:rPr>
      </w:pPr>
      <w:r>
        <w:rPr>
          <w:rStyle w:val="FootnoteReference"/>
          <w:sz w:val="24"/>
          <w:szCs w:val="24"/>
          <w:lang w:val="lt-LT"/>
        </w:rPr>
        <w:footnoteRef/>
      </w:r>
      <w:r>
        <w:rPr>
          <w:sz w:val="24"/>
          <w:szCs w:val="24"/>
          <w:lang w:val="lt-LT"/>
        </w:rPr>
        <w:tab/>
      </w:r>
      <w:r>
        <w:rPr>
          <w:sz w:val="24"/>
          <w:szCs w:val="24"/>
          <w:lang w:val="lt-LT"/>
        </w:rPr>
        <w:t xml:space="preserve">OL C, C/2024/5882, 2024 10 9, ELI: </w:t>
      </w:r>
      <w:hyperlink r:id="rId3" w:history="1">
        <w:r>
          <w:rPr>
            <w:rStyle w:val="Hyperlink"/>
            <w:sz w:val="24"/>
            <w:lang w:val="lt-LT"/>
          </w:rPr>
          <w:t>http://data.europa.eu/eli/C/2024/5882/oj</w:t>
        </w:r>
      </w:hyperlink>
      <w:r>
        <w:rPr>
          <w:rStyle w:val="Hyperlink"/>
          <w:sz w:val="24"/>
          <w:shd w:val="clear" w:color="auto" w:fill="FFFFFF"/>
          <w:lang w:val="lt-LT"/>
        </w:rPr>
        <w:t>.</w:t>
      </w:r>
    </w:p>
  </w:footnote>
  <w:footnote w:id="4">
    <w:p w14:paraId="0180DF2B" w14:textId="77777777" w:rsidR="00A67978" w:rsidRDefault="00A67978" w:rsidP="00A67978">
      <w:pPr>
        <w:pStyle w:val="FootnoteText"/>
        <w:ind w:left="567" w:hanging="567"/>
        <w:rPr>
          <w:sz w:val="24"/>
          <w:szCs w:val="24"/>
          <w:lang w:val="lt-LT"/>
        </w:rPr>
      </w:pPr>
      <w:r>
        <w:rPr>
          <w:rStyle w:val="FootnoteReference"/>
          <w:sz w:val="24"/>
          <w:szCs w:val="24"/>
          <w:lang w:val="lt-LT"/>
        </w:rPr>
        <w:footnoteRef/>
      </w:r>
      <w:r>
        <w:rPr>
          <w:sz w:val="24"/>
          <w:szCs w:val="24"/>
          <w:lang w:val="lt-LT"/>
        </w:rPr>
        <w:tab/>
      </w:r>
      <w:r>
        <w:rPr>
          <w:sz w:val="24"/>
          <w:szCs w:val="24"/>
          <w:lang w:val="lt-LT"/>
        </w:rPr>
        <w:t xml:space="preserve">OL C, C/2024/6041, 2024 10 10, ELI: </w:t>
      </w:r>
      <w:hyperlink r:id="rId4" w:history="1">
        <w:r>
          <w:rPr>
            <w:rStyle w:val="Hyperlink"/>
            <w:sz w:val="24"/>
            <w:lang w:val="lt-LT"/>
          </w:rPr>
          <w:t>http://data.europa.eu/eli/C/2024/6041/oj</w:t>
        </w:r>
      </w:hyperlink>
      <w:r>
        <w:rPr>
          <w:rStyle w:val="Hyperlink"/>
          <w:sz w:val="24"/>
          <w:shd w:val="clear" w:color="auto" w:fill="FFFFFF"/>
          <w:lang w:val="lt-LT"/>
        </w:rPr>
        <w:t>.</w:t>
      </w:r>
    </w:p>
  </w:footnote>
  <w:footnote w:id="5">
    <w:p w14:paraId="47FE2F37" w14:textId="77777777" w:rsidR="00A67978" w:rsidRDefault="00A67978" w:rsidP="00A67978">
      <w:pPr>
        <w:pStyle w:val="FootnoteText"/>
        <w:ind w:left="567" w:hanging="567"/>
        <w:rPr>
          <w:sz w:val="24"/>
          <w:szCs w:val="24"/>
          <w:lang w:val="lt-LT"/>
        </w:rPr>
      </w:pPr>
      <w:r>
        <w:rPr>
          <w:rStyle w:val="FootnoteReference"/>
          <w:sz w:val="24"/>
          <w:szCs w:val="24"/>
          <w:lang w:val="lt-LT"/>
        </w:rPr>
        <w:footnoteRef/>
      </w:r>
      <w:r>
        <w:rPr>
          <w:sz w:val="24"/>
          <w:szCs w:val="24"/>
          <w:lang w:val="lt-LT"/>
        </w:rPr>
        <w:tab/>
      </w:r>
      <w:r>
        <w:rPr>
          <w:sz w:val="24"/>
          <w:szCs w:val="24"/>
          <w:lang w:val="lt-LT"/>
        </w:rPr>
        <w:t xml:space="preserve">OL L 193, 2018 7 30, p. 1, ELI: </w:t>
      </w:r>
      <w:hyperlink r:id="rId5" w:history="1">
        <w:r>
          <w:rPr>
            <w:rStyle w:val="Hyperlink"/>
            <w:sz w:val="24"/>
            <w:lang w:val="lt-LT"/>
          </w:rPr>
          <w:t>http://data.europa.eu/eli/reg/2018/1046/oj</w:t>
        </w:r>
      </w:hyperlink>
      <w:r>
        <w:rPr>
          <w:rStyle w:val="Hyperlink"/>
          <w:sz w:val="24"/>
          <w:shd w:val="clear" w:color="auto" w:fill="FFFFFF"/>
          <w:lang w:val="lt-LT"/>
        </w:rPr>
        <w:t>.</w:t>
      </w:r>
    </w:p>
  </w:footnote>
  <w:footnote w:id="6">
    <w:p w14:paraId="7D662C77" w14:textId="77777777" w:rsidR="00A67978" w:rsidRDefault="00A67978" w:rsidP="00A67978">
      <w:pPr>
        <w:pStyle w:val="FootnoteText"/>
        <w:ind w:left="567" w:hanging="567"/>
        <w:rPr>
          <w:sz w:val="24"/>
          <w:szCs w:val="24"/>
          <w:lang w:val="lt-LT"/>
        </w:rPr>
      </w:pPr>
      <w:r>
        <w:rPr>
          <w:rStyle w:val="FootnoteReference"/>
          <w:sz w:val="24"/>
          <w:szCs w:val="24"/>
          <w:lang w:val="lt-LT"/>
        </w:rPr>
        <w:footnoteRef/>
      </w:r>
      <w:r>
        <w:rPr>
          <w:sz w:val="24"/>
          <w:szCs w:val="24"/>
          <w:lang w:val="lt-LT"/>
        </w:rPr>
        <w:tab/>
      </w:r>
      <w:r>
        <w:rPr>
          <w:sz w:val="24"/>
          <w:szCs w:val="24"/>
          <w:lang w:val="lt-LT"/>
        </w:rPr>
        <w:t xml:space="preserve">OL L, 2024/2509, 2024 9 26, ELI: </w:t>
      </w:r>
      <w:hyperlink r:id="rId6" w:history="1">
        <w:r>
          <w:rPr>
            <w:rStyle w:val="Hyperlink"/>
            <w:sz w:val="24"/>
            <w:lang w:val="lt-LT"/>
          </w:rPr>
          <w:t>http://data.europa.eu/eli/reg/2024/2509/oj</w:t>
        </w:r>
      </w:hyperlink>
      <w:r>
        <w:rPr>
          <w:rStyle w:val="Hyperlink"/>
          <w:sz w:val="24"/>
          <w:shd w:val="clear" w:color="auto" w:fill="FFFFFF"/>
          <w:lang w:val="lt-LT"/>
        </w:rPr>
        <w:t>.</w:t>
      </w:r>
    </w:p>
  </w:footnote>
  <w:footnote w:id="7">
    <w:p w14:paraId="53C4D494" w14:textId="77777777" w:rsidR="00A67978" w:rsidRDefault="00A67978" w:rsidP="00A67978">
      <w:pPr>
        <w:pStyle w:val="FootnoteText"/>
        <w:ind w:left="567" w:hanging="567"/>
        <w:rPr>
          <w:sz w:val="24"/>
          <w:szCs w:val="24"/>
          <w:lang w:val="lt-LT"/>
        </w:rPr>
      </w:pPr>
      <w:r>
        <w:rPr>
          <w:rStyle w:val="FootnoteReference"/>
          <w:sz w:val="24"/>
          <w:szCs w:val="24"/>
          <w:lang w:val="lt-LT"/>
        </w:rPr>
        <w:footnoteRef/>
      </w:r>
      <w:r>
        <w:rPr>
          <w:sz w:val="24"/>
          <w:szCs w:val="24"/>
          <w:lang w:val="lt-LT"/>
        </w:rPr>
        <w:tab/>
      </w:r>
      <w:r>
        <w:rPr>
          <w:sz w:val="24"/>
          <w:szCs w:val="24"/>
          <w:lang w:val="lt-LT"/>
        </w:rPr>
        <w:t xml:space="preserve">2024 m. balandžio 11 d. Europos Parlamento ir Tarybos reglamentas (ES, Euratomas) 2024/2019, kuriuo iš dalies keičiamas Protokolas Nr. 3 dėl Europos Sąjungos Teisingumo Teismo statuto (OL L 2024/2019, 2024 8 12, ELI: </w:t>
      </w:r>
      <w:hyperlink r:id="rId7" w:history="1">
        <w:r>
          <w:rPr>
            <w:rStyle w:val="Hyperlink"/>
            <w:sz w:val="24"/>
            <w:szCs w:val="24"/>
            <w:lang w:val="lt-LT"/>
          </w:rPr>
          <w:t>http://data.europa.eu/eli/reg/2024/2019/oj</w:t>
        </w:r>
      </w:hyperlink>
      <w:r>
        <w:rPr>
          <w:rStyle w:val="Hyperlink"/>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EBA94" w14:textId="77777777" w:rsidR="00064002" w:rsidRPr="005C0A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63A54" w14:textId="77777777" w:rsidR="00064002" w:rsidRPr="005C0A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B3731" w14:textId="77777777" w:rsidR="00064002" w:rsidRPr="005C0A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0384619">
    <w:abstractNumId w:val="9"/>
  </w:num>
  <w:num w:numId="2" w16cid:durableId="44256189">
    <w:abstractNumId w:val="9"/>
  </w:num>
  <w:num w:numId="3" w16cid:durableId="446002931">
    <w:abstractNumId w:val="7"/>
  </w:num>
  <w:num w:numId="4" w16cid:durableId="1474637962">
    <w:abstractNumId w:val="7"/>
  </w:num>
  <w:num w:numId="5" w16cid:durableId="1641887435">
    <w:abstractNumId w:val="6"/>
  </w:num>
  <w:num w:numId="6" w16cid:durableId="1771584716">
    <w:abstractNumId w:val="6"/>
  </w:num>
  <w:num w:numId="7" w16cid:durableId="468481360">
    <w:abstractNumId w:val="5"/>
  </w:num>
  <w:num w:numId="8" w16cid:durableId="586884636">
    <w:abstractNumId w:val="5"/>
  </w:num>
  <w:num w:numId="9" w16cid:durableId="806430565">
    <w:abstractNumId w:val="4"/>
  </w:num>
  <w:num w:numId="10" w16cid:durableId="1520701032">
    <w:abstractNumId w:val="4"/>
  </w:num>
  <w:num w:numId="11" w16cid:durableId="1903633429">
    <w:abstractNumId w:val="8"/>
  </w:num>
  <w:num w:numId="12" w16cid:durableId="1594780600">
    <w:abstractNumId w:val="8"/>
  </w:num>
  <w:num w:numId="13" w16cid:durableId="222450204">
    <w:abstractNumId w:val="3"/>
  </w:num>
  <w:num w:numId="14" w16cid:durableId="7829269">
    <w:abstractNumId w:val="3"/>
  </w:num>
  <w:num w:numId="15" w16cid:durableId="1865941568">
    <w:abstractNumId w:val="2"/>
  </w:num>
  <w:num w:numId="16" w16cid:durableId="197085811">
    <w:abstractNumId w:val="2"/>
  </w:num>
  <w:num w:numId="17" w16cid:durableId="145977517">
    <w:abstractNumId w:val="1"/>
  </w:num>
  <w:num w:numId="18" w16cid:durableId="700133216">
    <w:abstractNumId w:val="1"/>
  </w:num>
  <w:num w:numId="19" w16cid:durableId="814958026">
    <w:abstractNumId w:val="0"/>
  </w:num>
  <w:num w:numId="20" w16cid:durableId="230699274">
    <w:abstractNumId w:val="0"/>
  </w:num>
  <w:num w:numId="21" w16cid:durableId="138615592">
    <w:abstractNumId w:val="9"/>
  </w:num>
  <w:num w:numId="22" w16cid:durableId="605963647">
    <w:abstractNumId w:val="7"/>
  </w:num>
  <w:num w:numId="23" w16cid:durableId="1090590645">
    <w:abstractNumId w:val="6"/>
  </w:num>
  <w:num w:numId="24" w16cid:durableId="775446642">
    <w:abstractNumId w:val="5"/>
  </w:num>
  <w:num w:numId="25" w16cid:durableId="450445375">
    <w:abstractNumId w:val="4"/>
  </w:num>
  <w:num w:numId="26" w16cid:durableId="1480882501">
    <w:abstractNumId w:val="8"/>
  </w:num>
  <w:num w:numId="27" w16cid:durableId="1544251318">
    <w:abstractNumId w:val="3"/>
  </w:num>
  <w:num w:numId="28" w16cid:durableId="2074964806">
    <w:abstractNumId w:val="2"/>
  </w:num>
  <w:num w:numId="29" w16cid:durableId="578751433">
    <w:abstractNumId w:val="1"/>
  </w:num>
  <w:num w:numId="30" w16cid:durableId="1113984029">
    <w:abstractNumId w:val="0"/>
  </w:num>
  <w:num w:numId="31" w16cid:durableId="2132935787">
    <w:abstractNumId w:val="9"/>
  </w:num>
  <w:num w:numId="32" w16cid:durableId="295792515">
    <w:abstractNumId w:val="7"/>
  </w:num>
  <w:num w:numId="33" w16cid:durableId="452405102">
    <w:abstractNumId w:val="6"/>
  </w:num>
  <w:num w:numId="34" w16cid:durableId="1165589955">
    <w:abstractNumId w:val="5"/>
  </w:num>
  <w:num w:numId="35" w16cid:durableId="1202521032">
    <w:abstractNumId w:val="4"/>
  </w:num>
  <w:num w:numId="36" w16cid:durableId="2131969680">
    <w:abstractNumId w:val="8"/>
  </w:num>
  <w:num w:numId="37" w16cid:durableId="1264076042">
    <w:abstractNumId w:val="3"/>
  </w:num>
  <w:num w:numId="38" w16cid:durableId="763233702">
    <w:abstractNumId w:val="2"/>
  </w:num>
  <w:num w:numId="39" w16cid:durableId="583073988">
    <w:abstractNumId w:val="1"/>
  </w:num>
  <w:num w:numId="40" w16cid:durableId="277375317">
    <w:abstractNumId w:val="0"/>
  </w:num>
  <w:num w:numId="41" w16cid:durableId="1472821243">
    <w:abstractNumId w:val="10"/>
  </w:num>
  <w:num w:numId="42" w16cid:durableId="1784108344">
    <w:abstractNumId w:val="10"/>
  </w:num>
  <w:num w:numId="43" w16cid:durableId="204341610">
    <w:abstractNumId w:val="10"/>
  </w:num>
  <w:num w:numId="44" w16cid:durableId="18075103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0/2025"/>
    <w:docVar w:name="dvlangue" w:val="LT"/>
    <w:docVar w:name="dvnumam" w:val="0"/>
    <w:docVar w:name="dvpe" w:val="764.996"/>
    <w:docVar w:name="dvrapporteur" w:val="Pranešėjas: "/>
    <w:docVar w:name="dvtitre" w:val="1. 2025 m. gegužės 7 d. Europos Parlamento sprendimas dėl 2023 finansinių metų Europos Sąjungos bendrojo biudžeto įvykdymo patvirtinimo, IV skirsnis – Teisingumo Teismas(2024/2022(DEC))"/>
  </w:docVars>
  <w:rsids>
    <w:rsidRoot w:val="006E4977"/>
    <w:rsid w:val="00002272"/>
    <w:rsid w:val="00024B7A"/>
    <w:rsid w:val="00025A9D"/>
    <w:rsid w:val="00064002"/>
    <w:rsid w:val="000677B9"/>
    <w:rsid w:val="000831BA"/>
    <w:rsid w:val="000A42CC"/>
    <w:rsid w:val="000E7DD9"/>
    <w:rsid w:val="0010095E"/>
    <w:rsid w:val="00125B37"/>
    <w:rsid w:val="00187494"/>
    <w:rsid w:val="001F32AE"/>
    <w:rsid w:val="002767FF"/>
    <w:rsid w:val="002B02F0"/>
    <w:rsid w:val="002B18FE"/>
    <w:rsid w:val="002B5493"/>
    <w:rsid w:val="00311A79"/>
    <w:rsid w:val="00343214"/>
    <w:rsid w:val="00361C00"/>
    <w:rsid w:val="00395FA1"/>
    <w:rsid w:val="003E15D4"/>
    <w:rsid w:val="00411CCE"/>
    <w:rsid w:val="0041666E"/>
    <w:rsid w:val="00421060"/>
    <w:rsid w:val="00442B64"/>
    <w:rsid w:val="00471C19"/>
    <w:rsid w:val="004867E3"/>
    <w:rsid w:val="00494A28"/>
    <w:rsid w:val="004C0004"/>
    <w:rsid w:val="004C5D52"/>
    <w:rsid w:val="005031DD"/>
    <w:rsid w:val="0050519A"/>
    <w:rsid w:val="005072A1"/>
    <w:rsid w:val="00514517"/>
    <w:rsid w:val="00545827"/>
    <w:rsid w:val="00560270"/>
    <w:rsid w:val="0056252F"/>
    <w:rsid w:val="005C0ADF"/>
    <w:rsid w:val="005C2568"/>
    <w:rsid w:val="005F1B17"/>
    <w:rsid w:val="006037C0"/>
    <w:rsid w:val="006631B6"/>
    <w:rsid w:val="00680577"/>
    <w:rsid w:val="006A4FEC"/>
    <w:rsid w:val="006E49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839"/>
    <w:rsid w:val="008C2AC6"/>
    <w:rsid w:val="00907DA4"/>
    <w:rsid w:val="00930C23"/>
    <w:rsid w:val="0093193B"/>
    <w:rsid w:val="009509D8"/>
    <w:rsid w:val="00950B64"/>
    <w:rsid w:val="00981893"/>
    <w:rsid w:val="00A1687D"/>
    <w:rsid w:val="00A43E52"/>
    <w:rsid w:val="00A4678D"/>
    <w:rsid w:val="00A67978"/>
    <w:rsid w:val="00A778C7"/>
    <w:rsid w:val="00AB441E"/>
    <w:rsid w:val="00AB6293"/>
    <w:rsid w:val="00AE0928"/>
    <w:rsid w:val="00AE2ABA"/>
    <w:rsid w:val="00AF163F"/>
    <w:rsid w:val="00AF3B82"/>
    <w:rsid w:val="00B12E95"/>
    <w:rsid w:val="00B22876"/>
    <w:rsid w:val="00B558F0"/>
    <w:rsid w:val="00BD48FE"/>
    <w:rsid w:val="00BD7BD8"/>
    <w:rsid w:val="00BE6ADC"/>
    <w:rsid w:val="00C05BFE"/>
    <w:rsid w:val="00C15640"/>
    <w:rsid w:val="00C23CD4"/>
    <w:rsid w:val="00C273BF"/>
    <w:rsid w:val="00C61C0C"/>
    <w:rsid w:val="00C7207C"/>
    <w:rsid w:val="00C941CB"/>
    <w:rsid w:val="00CC2357"/>
    <w:rsid w:val="00CE112A"/>
    <w:rsid w:val="00CF071A"/>
    <w:rsid w:val="00D058B8"/>
    <w:rsid w:val="00D56C11"/>
    <w:rsid w:val="00D73E39"/>
    <w:rsid w:val="00D834A0"/>
    <w:rsid w:val="00D872DF"/>
    <w:rsid w:val="00D91E21"/>
    <w:rsid w:val="00DA7FCD"/>
    <w:rsid w:val="00DC5C93"/>
    <w:rsid w:val="00DE7219"/>
    <w:rsid w:val="00DF70E2"/>
    <w:rsid w:val="00E365E1"/>
    <w:rsid w:val="00E820A4"/>
    <w:rsid w:val="00EB006A"/>
    <w:rsid w:val="00EB4772"/>
    <w:rsid w:val="00ED169E"/>
    <w:rsid w:val="00ED4235"/>
    <w:rsid w:val="00F04346"/>
    <w:rsid w:val="00F075DC"/>
    <w:rsid w:val="00F149E9"/>
    <w:rsid w:val="00F5134D"/>
    <w:rsid w:val="00F70A0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4D8CA4"/>
  <w15:chartTrackingRefBased/>
  <w15:docId w15:val="{34A3DC22-4CA3-4957-86E2-2FD53B8D1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1564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15640"/>
    <w:pPr>
      <w:spacing w:before="480" w:after="240"/>
    </w:pPr>
  </w:style>
  <w:style w:type="paragraph" w:customStyle="1" w:styleId="PageHeading">
    <w:name w:val="PageHeading"/>
    <w:basedOn w:val="Normal"/>
    <w:rsid w:val="00C15640"/>
    <w:pPr>
      <w:keepNext/>
      <w:spacing w:after="480"/>
      <w:jc w:val="center"/>
    </w:pPr>
    <w:rPr>
      <w:rFonts w:ascii="Arial" w:hAnsi="Arial" w:cs="Arial"/>
      <w:b/>
    </w:rPr>
  </w:style>
  <w:style w:type="paragraph" w:customStyle="1" w:styleId="NormalBold">
    <w:name w:val="NormalBold"/>
    <w:basedOn w:val="Normal"/>
    <w:rsid w:val="00C15640"/>
    <w:rPr>
      <w:b/>
    </w:rPr>
  </w:style>
  <w:style w:type="paragraph" w:customStyle="1" w:styleId="NormalHanging12a">
    <w:name w:val="NormalHanging12a"/>
    <w:basedOn w:val="Normal"/>
    <w:link w:val="NormalHanging12aChar"/>
    <w:qFormat/>
    <w:rsid w:val="00C15640"/>
    <w:pPr>
      <w:spacing w:after="240"/>
      <w:ind w:left="567" w:hanging="567"/>
    </w:pPr>
  </w:style>
  <w:style w:type="paragraph" w:styleId="Header">
    <w:name w:val="header"/>
    <w:basedOn w:val="Normal"/>
    <w:link w:val="HeaderChar"/>
    <w:rsid w:val="00C15640"/>
    <w:pPr>
      <w:tabs>
        <w:tab w:val="center" w:pos="4513"/>
        <w:tab w:val="right" w:pos="9026"/>
      </w:tabs>
    </w:pPr>
  </w:style>
  <w:style w:type="character" w:customStyle="1" w:styleId="HeaderChar">
    <w:name w:val="Header Char"/>
    <w:basedOn w:val="DefaultParagraphFont"/>
    <w:link w:val="Header"/>
    <w:rsid w:val="00C15640"/>
    <w:rPr>
      <w:sz w:val="24"/>
      <w:lang w:val="lt-LT"/>
    </w:rPr>
  </w:style>
  <w:style w:type="paragraph" w:customStyle="1" w:styleId="EPFooter">
    <w:name w:val="EPFooter"/>
    <w:basedOn w:val="Normal"/>
    <w:rsid w:val="00C15640"/>
    <w:pPr>
      <w:tabs>
        <w:tab w:val="center" w:pos="4535"/>
        <w:tab w:val="right" w:pos="9071"/>
      </w:tabs>
      <w:spacing w:before="240" w:after="240"/>
    </w:pPr>
    <w:rPr>
      <w:color w:val="010000"/>
      <w:sz w:val="22"/>
    </w:rPr>
  </w:style>
  <w:style w:type="character" w:styleId="Hyperlink">
    <w:name w:val="Hyperlink"/>
    <w:basedOn w:val="DefaultParagraphFont"/>
    <w:rsid w:val="00C15640"/>
    <w:rPr>
      <w:color w:val="0563C1" w:themeColor="hyperlink"/>
      <w:u w:val="single"/>
    </w:rPr>
  </w:style>
  <w:style w:type="character" w:customStyle="1" w:styleId="NormalHanging12aChar">
    <w:name w:val="NormalHanging12a Char"/>
    <w:basedOn w:val="DefaultParagraphFont"/>
    <w:link w:val="NormalHanging12a"/>
    <w:locked/>
    <w:rsid w:val="00C15640"/>
    <w:rPr>
      <w:sz w:val="24"/>
      <w:lang w:val="lt-LT"/>
    </w:rPr>
  </w:style>
  <w:style w:type="paragraph" w:customStyle="1" w:styleId="Normal24a">
    <w:name w:val="Normal24a"/>
    <w:basedOn w:val="Normal"/>
    <w:link w:val="Normal24aChar"/>
    <w:rsid w:val="00C15640"/>
    <w:pPr>
      <w:spacing w:after="480"/>
    </w:pPr>
  </w:style>
  <w:style w:type="character" w:customStyle="1" w:styleId="Normal24aChar">
    <w:name w:val="Normal24a Char"/>
    <w:basedOn w:val="DefaultParagraphFont"/>
    <w:link w:val="Normal24a"/>
    <w:rsid w:val="00C15640"/>
    <w:rPr>
      <w:sz w:val="24"/>
      <w:lang w:val="lt-LT"/>
    </w:rPr>
  </w:style>
  <w:style w:type="paragraph" w:customStyle="1" w:styleId="NormalBoldCenter">
    <w:name w:val="NormalBoldCenter"/>
    <w:basedOn w:val="Normal"/>
    <w:rsid w:val="00C15640"/>
    <w:pPr>
      <w:jc w:val="center"/>
    </w:pPr>
    <w:rPr>
      <w:b/>
    </w:rPr>
  </w:style>
  <w:style w:type="paragraph" w:customStyle="1" w:styleId="Footprint12b">
    <w:name w:val="Footprint12b"/>
    <w:basedOn w:val="Normal"/>
    <w:rsid w:val="00C15640"/>
    <w:pPr>
      <w:spacing w:before="240"/>
    </w:pPr>
    <w:rPr>
      <w:szCs w:val="24"/>
    </w:rPr>
  </w:style>
  <w:style w:type="paragraph" w:customStyle="1" w:styleId="NormalSingle">
    <w:name w:val="NormalSingle"/>
    <w:basedOn w:val="Normal"/>
    <w:qFormat/>
    <w:rsid w:val="00C15640"/>
    <w:rPr>
      <w:szCs w:val="24"/>
    </w:rPr>
  </w:style>
  <w:style w:type="paragraph" w:customStyle="1" w:styleId="Normal12a">
    <w:name w:val="Normal12a"/>
    <w:basedOn w:val="Normal"/>
    <w:rsid w:val="00C15640"/>
    <w:pPr>
      <w:spacing w:after="240"/>
    </w:pPr>
  </w:style>
  <w:style w:type="paragraph" w:customStyle="1" w:styleId="PageHeadingNotTOC">
    <w:name w:val="PageHeadingNotTOC"/>
    <w:basedOn w:val="Normal"/>
    <w:rsid w:val="00C15640"/>
    <w:pPr>
      <w:keepNext/>
      <w:spacing w:after="480"/>
      <w:jc w:val="center"/>
    </w:pPr>
    <w:rPr>
      <w:rFonts w:ascii="Arial" w:hAnsi="Arial" w:cs="Arial"/>
      <w:b/>
    </w:rPr>
  </w:style>
  <w:style w:type="paragraph" w:styleId="BodyText">
    <w:name w:val="Body Text"/>
    <w:basedOn w:val="Normal"/>
    <w:link w:val="BodyTextChar"/>
    <w:uiPriority w:val="1"/>
    <w:unhideWhenUsed/>
    <w:qFormat/>
    <w:rsid w:val="00C15640"/>
    <w:pPr>
      <w:autoSpaceDE w:val="0"/>
      <w:autoSpaceDN w:val="0"/>
    </w:pPr>
    <w:rPr>
      <w:szCs w:val="24"/>
      <w:lang w:bidi="en-GB"/>
    </w:rPr>
  </w:style>
  <w:style w:type="character" w:customStyle="1" w:styleId="BodyTextChar">
    <w:name w:val="Body Text Char"/>
    <w:basedOn w:val="DefaultParagraphFont"/>
    <w:link w:val="BodyText"/>
    <w:uiPriority w:val="1"/>
    <w:rsid w:val="00C15640"/>
    <w:rPr>
      <w:sz w:val="24"/>
      <w:szCs w:val="24"/>
      <w:lang w:val="lt-LT" w:bidi="en-GB"/>
    </w:rPr>
  </w:style>
  <w:style w:type="paragraph" w:styleId="ListParagraph">
    <w:name w:val="List Paragraph"/>
    <w:basedOn w:val="Normal"/>
    <w:uiPriority w:val="1"/>
    <w:qFormat/>
    <w:rsid w:val="00C15640"/>
    <w:pPr>
      <w:autoSpaceDE w:val="0"/>
      <w:autoSpaceDN w:val="0"/>
      <w:ind w:left="1382" w:right="962" w:hanging="426"/>
    </w:pPr>
    <w:rPr>
      <w:sz w:val="22"/>
      <w:szCs w:val="22"/>
      <w:lang w:bidi="en-GB"/>
    </w:rPr>
  </w:style>
  <w:style w:type="paragraph" w:styleId="BalloonText">
    <w:name w:val="Balloon Text"/>
    <w:basedOn w:val="Normal"/>
    <w:link w:val="BalloonTextChar"/>
    <w:rsid w:val="00D73E39"/>
    <w:rPr>
      <w:rFonts w:ascii="Segoe UI" w:hAnsi="Segoe UI" w:cs="Segoe UI"/>
      <w:sz w:val="18"/>
      <w:szCs w:val="18"/>
    </w:rPr>
  </w:style>
  <w:style w:type="character" w:customStyle="1" w:styleId="BalloonTextChar">
    <w:name w:val="Balloon Text Char"/>
    <w:basedOn w:val="DefaultParagraphFont"/>
    <w:link w:val="BalloonText"/>
    <w:rsid w:val="00D73E39"/>
    <w:rPr>
      <w:rFonts w:ascii="Segoe UI" w:hAnsi="Segoe UI" w:cs="Segoe UI"/>
      <w:sz w:val="18"/>
      <w:szCs w:val="18"/>
      <w:lang w:val="lt-LT"/>
    </w:rPr>
  </w:style>
  <w:style w:type="paragraph" w:styleId="CommentText">
    <w:name w:val="annotation text"/>
    <w:basedOn w:val="Normal"/>
    <w:link w:val="CommentTextChar"/>
    <w:uiPriority w:val="99"/>
    <w:unhideWhenUsed/>
    <w:rsid w:val="00A67978"/>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A67978"/>
    <w:rPr>
      <w:rFonts w:eastAsiaTheme="minorHAnsi"/>
      <w:kern w:val="2"/>
      <w:lang w:eastAsia="en-US"/>
      <w14:ligatures w14:val="standardContextual"/>
    </w:rPr>
  </w:style>
  <w:style w:type="character" w:styleId="CommentReference">
    <w:name w:val="annotation reference"/>
    <w:basedOn w:val="DefaultParagraphFont"/>
    <w:uiPriority w:val="99"/>
    <w:unhideWhenUsed/>
    <w:rsid w:val="00A6797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614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8B77E-471A-4B30-BA3B-455CCE772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5503</Words>
  <Characters>36866</Characters>
  <Application>Microsoft Office Word</Application>
  <DocSecurity>0</DocSecurity>
  <Lines>307</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2025-11-24T17:45:00Z</dcterms:created>
  <dcterms:modified xsi:type="dcterms:W3CDTF">2025-11-24T17:45:00Z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P10_TA(2025)0080_</vt:lpwstr>
  </property>
  <property fmtid="{D5CDD505-2E9C-101B-9397-08002B2CF9AE}" pid="4" name="&lt;Type&gt;">
    <vt:lpwstr>RR</vt:lpwstr>
  </property>
</Properties>
</file>