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C61FE" w14:paraId="6E070654" w14:textId="77777777" w:rsidTr="0010095E">
        <w:trPr>
          <w:trHeight w:hRule="exact" w:val="1418"/>
        </w:trPr>
        <w:tc>
          <w:tcPr>
            <w:tcW w:w="6804" w:type="dxa"/>
            <w:shd w:val="clear" w:color="auto" w:fill="auto"/>
            <w:vAlign w:val="center"/>
          </w:tcPr>
          <w:p w14:paraId="5D081E9A" w14:textId="77777777" w:rsidR="00751A4A" w:rsidRPr="002C61FE" w:rsidRDefault="0057096B" w:rsidP="0010095E">
            <w:pPr>
              <w:pStyle w:val="EPName"/>
            </w:pPr>
            <w:r w:rsidRPr="002C61FE">
              <w:t>Eiropas Parlaments</w:t>
            </w:r>
          </w:p>
          <w:p w14:paraId="1B8AD2AA" w14:textId="77777777" w:rsidR="00751A4A" w:rsidRPr="002C61FE" w:rsidRDefault="005F1B17" w:rsidP="005F1B17">
            <w:pPr>
              <w:pStyle w:val="EPTerm"/>
              <w:rPr>
                <w:rStyle w:val="HideTWBExt"/>
                <w:noProof w:val="0"/>
                <w:vanish w:val="0"/>
                <w:color w:val="auto"/>
              </w:rPr>
            </w:pPr>
            <w:r w:rsidRPr="002C61FE">
              <w:t>2024</w:t>
            </w:r>
            <w:r w:rsidR="00817416" w:rsidRPr="002C61FE">
              <w:t>-202</w:t>
            </w:r>
            <w:r w:rsidRPr="002C61FE">
              <w:t>9</w:t>
            </w:r>
          </w:p>
        </w:tc>
        <w:tc>
          <w:tcPr>
            <w:tcW w:w="2268" w:type="dxa"/>
            <w:shd w:val="clear" w:color="auto" w:fill="auto"/>
          </w:tcPr>
          <w:p w14:paraId="37C079A2" w14:textId="77777777" w:rsidR="00751A4A" w:rsidRPr="002C61FE" w:rsidRDefault="00187494" w:rsidP="0010095E">
            <w:pPr>
              <w:pStyle w:val="EPLogo"/>
            </w:pPr>
            <w:r w:rsidRPr="002C61FE">
              <w:rPr>
                <w:noProof/>
                <w:lang w:val="en-GB"/>
              </w:rPr>
              <w:drawing>
                <wp:inline distT="0" distB="0" distL="0" distR="0" wp14:anchorId="4A8FC4FC" wp14:editId="0884DAE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8AB37D" w14:textId="77777777" w:rsidR="00D058B8" w:rsidRPr="002C61FE" w:rsidRDefault="00D058B8" w:rsidP="004C5D52">
      <w:pPr>
        <w:pStyle w:val="LineTop"/>
      </w:pPr>
    </w:p>
    <w:p w14:paraId="4A147656" w14:textId="77777777" w:rsidR="00680577" w:rsidRPr="002C61FE" w:rsidRDefault="0057096B" w:rsidP="00680577">
      <w:pPr>
        <w:pStyle w:val="EPBodyTA1"/>
      </w:pPr>
      <w:r w:rsidRPr="002C61FE">
        <w:t>PIEŅEMTIE TEKSTI</w:t>
      </w:r>
    </w:p>
    <w:p w14:paraId="0E0C965D" w14:textId="77777777" w:rsidR="00D058B8" w:rsidRPr="002C61FE" w:rsidRDefault="00D058B8" w:rsidP="00D058B8">
      <w:pPr>
        <w:pStyle w:val="LineBottom"/>
      </w:pPr>
    </w:p>
    <w:p w14:paraId="13F12E74" w14:textId="77777777" w:rsidR="0057096B" w:rsidRPr="002C61FE" w:rsidRDefault="0057096B" w:rsidP="0057096B">
      <w:pPr>
        <w:pStyle w:val="ATHeading1"/>
      </w:pPr>
      <w:bookmarkStart w:id="0" w:name="TANumber"/>
      <w:r w:rsidRPr="002C61FE">
        <w:t>P10_TA(2025)00</w:t>
      </w:r>
      <w:r w:rsidR="00273269" w:rsidRPr="002C61FE">
        <w:t>80</w:t>
      </w:r>
      <w:bookmarkEnd w:id="0"/>
    </w:p>
    <w:p w14:paraId="268FC241" w14:textId="544A2368" w:rsidR="0057096B" w:rsidRPr="002C61FE" w:rsidRDefault="00E258D5" w:rsidP="0057096B">
      <w:pPr>
        <w:pStyle w:val="ATHeading2"/>
      </w:pPr>
      <w:bookmarkStart w:id="1" w:name="title"/>
      <w:r w:rsidRPr="002C61FE">
        <w:t xml:space="preserve">ES 2023. finanšu gada vispārējā budžeta izpildes apstiprināšana </w:t>
      </w:r>
      <w:r w:rsidR="004375F6">
        <w:t>–</w:t>
      </w:r>
      <w:r w:rsidRPr="002C61FE">
        <w:t xml:space="preserve"> Eiropas Savienības Tiesa</w:t>
      </w:r>
      <w:bookmarkEnd w:id="1"/>
    </w:p>
    <w:p w14:paraId="741BEE3C" w14:textId="77777777" w:rsidR="0057096B" w:rsidRPr="002C61FE" w:rsidRDefault="0057096B" w:rsidP="0057096B">
      <w:pPr>
        <w:rPr>
          <w:i/>
          <w:vanish/>
        </w:rPr>
      </w:pPr>
      <w:r w:rsidRPr="002C61FE">
        <w:rPr>
          <w:i/>
        </w:rPr>
        <w:fldChar w:fldCharType="begin"/>
      </w:r>
      <w:r w:rsidRPr="002C61FE">
        <w:rPr>
          <w:i/>
        </w:rPr>
        <w:instrText xml:space="preserve"> TC"(</w:instrText>
      </w:r>
      <w:bookmarkStart w:id="2" w:name="DocNumber"/>
      <w:r w:rsidRPr="002C61FE">
        <w:rPr>
          <w:i/>
        </w:rPr>
        <w:instrText>A10-0050/2025</w:instrText>
      </w:r>
      <w:bookmarkEnd w:id="2"/>
      <w:r w:rsidRPr="002C61FE">
        <w:rPr>
          <w:i/>
        </w:rPr>
        <w:instrText xml:space="preserve"> - Referents: </w:instrText>
      </w:r>
      <w:proofErr w:type="spellStart"/>
      <w:r w:rsidRPr="002C61FE">
        <w:rPr>
          <w:i/>
        </w:rPr>
        <w:instrText>Cristian</w:instrText>
      </w:r>
      <w:proofErr w:type="spellEnd"/>
      <w:r w:rsidRPr="002C61FE">
        <w:rPr>
          <w:i/>
        </w:rPr>
        <w:instrText xml:space="preserve"> </w:instrText>
      </w:r>
      <w:proofErr w:type="spellStart"/>
      <w:r w:rsidRPr="002C61FE">
        <w:rPr>
          <w:i/>
        </w:rPr>
        <w:instrText>Terheş</w:instrText>
      </w:r>
      <w:proofErr w:type="spellEnd"/>
      <w:r w:rsidRPr="002C61FE">
        <w:rPr>
          <w:i/>
        </w:rPr>
        <w:instrText xml:space="preserve">)"\l3 \n&gt; \* MERGEFORMAT </w:instrText>
      </w:r>
      <w:r w:rsidRPr="002C61FE">
        <w:rPr>
          <w:i/>
        </w:rPr>
        <w:fldChar w:fldCharType="end"/>
      </w:r>
    </w:p>
    <w:p w14:paraId="6E8F5D98" w14:textId="77777777" w:rsidR="0057096B" w:rsidRPr="002C61FE" w:rsidRDefault="0057096B" w:rsidP="0057096B">
      <w:pPr>
        <w:rPr>
          <w:vanish/>
        </w:rPr>
      </w:pPr>
      <w:bookmarkStart w:id="3" w:name="Commission"/>
      <w:r w:rsidRPr="002C61FE">
        <w:rPr>
          <w:vanish/>
        </w:rPr>
        <w:t>Budžeta kontroles komiteja</w:t>
      </w:r>
      <w:bookmarkEnd w:id="3"/>
    </w:p>
    <w:p w14:paraId="0D067C58" w14:textId="77777777" w:rsidR="0057096B" w:rsidRPr="002C61FE" w:rsidRDefault="0057096B" w:rsidP="0057096B">
      <w:pPr>
        <w:rPr>
          <w:vanish/>
        </w:rPr>
      </w:pPr>
      <w:bookmarkStart w:id="4" w:name="PE"/>
      <w:r w:rsidRPr="002C61FE">
        <w:rPr>
          <w:vanish/>
        </w:rPr>
        <w:t>PE764.996</w:t>
      </w:r>
      <w:bookmarkEnd w:id="4"/>
    </w:p>
    <w:p w14:paraId="4CDCF3A4" w14:textId="346F8E64" w:rsidR="0057096B" w:rsidRPr="002C61FE" w:rsidRDefault="0057096B" w:rsidP="0057096B">
      <w:pPr>
        <w:pStyle w:val="ATHeading3"/>
      </w:pPr>
      <w:bookmarkStart w:id="5" w:name="Sujet"/>
      <w:r w:rsidRPr="002C61FE">
        <w:t xml:space="preserve">1. Eiropas Parlamenta 2025. gada </w:t>
      </w:r>
      <w:r w:rsidR="0013514B" w:rsidRPr="002C61FE">
        <w:t>7. maija</w:t>
      </w:r>
      <w:r w:rsidRPr="002C61FE">
        <w:t xml:space="preserve"> lēmums par Eiropas Savienības 2023. finanšu gada vispārējā budžeta izpildes apstiprināšanu, IV iedaļa </w:t>
      </w:r>
      <w:r w:rsidR="004375F6">
        <w:t>–</w:t>
      </w:r>
      <w:r w:rsidRPr="002C61FE">
        <w:t xml:space="preserve"> </w:t>
      </w:r>
      <w:r w:rsidR="00301754" w:rsidRPr="002C61FE">
        <w:t xml:space="preserve">Eiropas Savienības </w:t>
      </w:r>
      <w:r w:rsidRPr="002C61FE">
        <w:t>Tiesa</w:t>
      </w:r>
      <w:bookmarkEnd w:id="5"/>
      <w:r w:rsidRPr="002C61FE">
        <w:t xml:space="preserve"> </w:t>
      </w:r>
      <w:bookmarkStart w:id="6" w:name="References"/>
      <w:r w:rsidRPr="002C61FE">
        <w:t>(2024/2022(DEC))</w:t>
      </w:r>
      <w:bookmarkEnd w:id="6"/>
    </w:p>
    <w:p w14:paraId="537BB2D8" w14:textId="77777777" w:rsidR="00621211" w:rsidRPr="002C61FE" w:rsidRDefault="00621211" w:rsidP="00621211">
      <w:pPr>
        <w:pStyle w:val="EPComma"/>
      </w:pPr>
      <w:bookmarkStart w:id="7" w:name="TextBodyBegin"/>
      <w:bookmarkEnd w:id="7"/>
      <w:r w:rsidRPr="002C61FE">
        <w:rPr>
          <w:i/>
        </w:rPr>
        <w:t>Eiropas Parlaments</w:t>
      </w:r>
      <w:r w:rsidRPr="002C61FE">
        <w:t>,</w:t>
      </w:r>
    </w:p>
    <w:p w14:paraId="73F95E9C" w14:textId="77777777" w:rsidR="004375F6" w:rsidRPr="004375F6" w:rsidRDefault="00621211" w:rsidP="004375F6">
      <w:pPr>
        <w:spacing w:after="240"/>
        <w:ind w:left="567" w:hanging="567"/>
        <w:rPr>
          <w:kern w:val="2"/>
          <w14:ligatures w14:val="standardContextual"/>
        </w:rPr>
      </w:pPr>
      <w:r w:rsidRPr="002C61FE">
        <w:t>–</w:t>
      </w:r>
      <w:r w:rsidRPr="002C61FE">
        <w:tab/>
      </w:r>
      <w:r w:rsidR="004375F6" w:rsidRPr="004375F6">
        <w:rPr>
          <w:kern w:val="2"/>
          <w14:ligatures w14:val="standardContextual"/>
        </w:rPr>
        <w:t>ņemot vērā Eiropas Savienības 2023. finanšu gada vispārējo budžetu </w:t>
      </w:r>
      <w:r w:rsidR="004375F6" w:rsidRPr="004375F6">
        <w:rPr>
          <w:kern w:val="2"/>
          <w:vertAlign w:val="superscript"/>
          <w14:ligatures w14:val="standardContextual"/>
        </w:rPr>
        <w:footnoteReference w:id="1"/>
      </w:r>
      <w:r w:rsidR="004375F6" w:rsidRPr="004375F6">
        <w:rPr>
          <w:kern w:val="2"/>
          <w14:ligatures w14:val="standardContextual"/>
        </w:rPr>
        <w:t>,</w:t>
      </w:r>
    </w:p>
    <w:p w14:paraId="40AF85D3" w14:textId="1F34D82D" w:rsidR="004375F6" w:rsidRPr="004375F6" w:rsidRDefault="004375F6" w:rsidP="004375F6">
      <w:pPr>
        <w:spacing w:after="240"/>
        <w:ind w:left="567" w:hanging="567"/>
        <w:rPr>
          <w:kern w:val="2"/>
          <w14:ligatures w14:val="standardContextual"/>
        </w:rPr>
      </w:pPr>
      <w:r>
        <w:rPr>
          <w:kern w:val="2"/>
          <w14:ligatures w14:val="standardContextual"/>
        </w:rPr>
        <w:t>–</w:t>
      </w:r>
      <w:r w:rsidRPr="004375F6">
        <w:rPr>
          <w:kern w:val="2"/>
          <w14:ligatures w14:val="standardContextual"/>
        </w:rPr>
        <w:tab/>
        <w:t>ņemot vērā Eiropas Savienības konsolidētos pārskatus par 2023. finanšu gadu (COM(2024)0272 – C10</w:t>
      </w:r>
      <w:r w:rsidRPr="004375F6">
        <w:rPr>
          <w:kern w:val="2"/>
          <w14:ligatures w14:val="standardContextual"/>
        </w:rPr>
        <w:noBreakHyphen/>
        <w:t>0070/2024) </w:t>
      </w:r>
      <w:r w:rsidRPr="004375F6">
        <w:rPr>
          <w:kern w:val="2"/>
          <w:vertAlign w:val="superscript"/>
          <w14:ligatures w14:val="standardContextual"/>
        </w:rPr>
        <w:footnoteReference w:id="2"/>
      </w:r>
      <w:r w:rsidRPr="004375F6">
        <w:rPr>
          <w:kern w:val="2"/>
          <w14:ligatures w14:val="standardContextual"/>
        </w:rPr>
        <w:t>,</w:t>
      </w:r>
    </w:p>
    <w:p w14:paraId="28ADD2EF" w14:textId="7F76BB24" w:rsidR="004375F6" w:rsidRPr="004375F6" w:rsidRDefault="004375F6" w:rsidP="004375F6">
      <w:pPr>
        <w:spacing w:after="240"/>
        <w:ind w:left="567" w:hanging="567"/>
        <w:rPr>
          <w:kern w:val="2"/>
          <w14:ligatures w14:val="standardContextual"/>
        </w:rPr>
      </w:pPr>
      <w:r>
        <w:rPr>
          <w:kern w:val="2"/>
          <w14:ligatures w14:val="standardContextual"/>
        </w:rPr>
        <w:t>–</w:t>
      </w:r>
      <w:r w:rsidRPr="004375F6">
        <w:rPr>
          <w:kern w:val="2"/>
          <w14:ligatures w14:val="standardContextual"/>
        </w:rPr>
        <w:tab/>
        <w:t>ņemot vērā Eiropas Savienības Tiesas 2023. gada darbības pārskatu un tās 2023. gada pārskatu par budžeta un finanšu pārvaldību,</w:t>
      </w:r>
    </w:p>
    <w:p w14:paraId="2F81E827" w14:textId="6C068B98" w:rsidR="004375F6" w:rsidRPr="004375F6" w:rsidRDefault="004375F6" w:rsidP="004375F6">
      <w:pPr>
        <w:spacing w:after="240"/>
        <w:ind w:left="567" w:hanging="567"/>
        <w:rPr>
          <w:kern w:val="2"/>
          <w14:ligatures w14:val="standardContextual"/>
        </w:rPr>
      </w:pPr>
      <w:r>
        <w:rPr>
          <w:kern w:val="2"/>
          <w14:ligatures w14:val="standardContextual"/>
        </w:rPr>
        <w:t>–</w:t>
      </w:r>
      <w:r w:rsidRPr="004375F6">
        <w:rPr>
          <w:kern w:val="2"/>
          <w14:ligatures w14:val="standardContextual"/>
        </w:rPr>
        <w:tab/>
        <w:t>ņemot vērā Revīzijas palātas pārskatu par budžeta izpildi 2023. finanšu gadā un iestāžu atbildes </w:t>
      </w:r>
      <w:r w:rsidRPr="004375F6">
        <w:rPr>
          <w:kern w:val="2"/>
          <w:vertAlign w:val="superscript"/>
          <w14:ligatures w14:val="standardContextual"/>
        </w:rPr>
        <w:footnoteReference w:id="3"/>
      </w:r>
      <w:r w:rsidRPr="004375F6">
        <w:rPr>
          <w:kern w:val="2"/>
          <w14:ligatures w14:val="standardContextual"/>
        </w:rPr>
        <w:t>,</w:t>
      </w:r>
    </w:p>
    <w:p w14:paraId="25B3E507" w14:textId="200C9EB5" w:rsidR="004375F6" w:rsidRPr="004375F6" w:rsidRDefault="004375F6" w:rsidP="004375F6">
      <w:pPr>
        <w:spacing w:after="240"/>
        <w:ind w:left="567" w:hanging="567"/>
        <w:rPr>
          <w:kern w:val="2"/>
          <w14:ligatures w14:val="standardContextual"/>
        </w:rPr>
      </w:pPr>
      <w:r>
        <w:rPr>
          <w:kern w:val="2"/>
          <w14:ligatures w14:val="standardContextual"/>
        </w:rPr>
        <w:t>–</w:t>
      </w:r>
      <w:r w:rsidRPr="004375F6">
        <w:rPr>
          <w:kern w:val="2"/>
          <w14:ligatures w14:val="standardContextual"/>
        </w:rPr>
        <w:tab/>
        <w:t>ņemot vērā deklarāciju </w:t>
      </w:r>
      <w:r w:rsidRPr="004375F6">
        <w:rPr>
          <w:kern w:val="2"/>
          <w:vertAlign w:val="superscript"/>
          <w14:ligatures w14:val="standardContextual"/>
        </w:rPr>
        <w:footnoteReference w:id="4"/>
      </w:r>
      <w:r w:rsidRPr="004375F6">
        <w:rPr>
          <w:kern w:val="2"/>
          <w14:ligatures w14:val="standardContextual"/>
        </w:rPr>
        <w:t xml:space="preserve"> par pārskatu ticamību, kā arī par pakārtoto darījumu likumību un pareizību, kuru Revīzijas palāta sniegusi par 2023. finanšu gadu saskaņā ar Līguma par Eiropas Savienības darbību 287. pantu,</w:t>
      </w:r>
    </w:p>
    <w:p w14:paraId="0166149D" w14:textId="406FE6F5" w:rsidR="004375F6" w:rsidRPr="004375F6" w:rsidRDefault="004375F6" w:rsidP="004375F6">
      <w:pPr>
        <w:spacing w:after="240"/>
        <w:ind w:left="567" w:hanging="567"/>
        <w:rPr>
          <w:kern w:val="2"/>
          <w14:ligatures w14:val="standardContextual"/>
        </w:rPr>
      </w:pPr>
      <w:r>
        <w:rPr>
          <w:kern w:val="2"/>
          <w14:ligatures w14:val="standardContextual"/>
        </w:rPr>
        <w:t>–</w:t>
      </w:r>
      <w:r w:rsidRPr="004375F6">
        <w:rPr>
          <w:kern w:val="2"/>
          <w14:ligatures w14:val="standardContextual"/>
        </w:rPr>
        <w:tab/>
        <w:t>ņemot vērā Līguma par Eiropas Savienības darbību 314. panta 10. punktu un 317. līdz 319. pantu,</w:t>
      </w:r>
    </w:p>
    <w:p w14:paraId="4431810F" w14:textId="24D6860D" w:rsidR="004375F6" w:rsidRPr="004375F6" w:rsidRDefault="004375F6" w:rsidP="004375F6">
      <w:pPr>
        <w:spacing w:after="240"/>
        <w:ind w:left="567" w:hanging="567"/>
        <w:rPr>
          <w:kern w:val="2"/>
          <w14:ligatures w14:val="standardContextual"/>
        </w:rPr>
      </w:pPr>
      <w:r>
        <w:rPr>
          <w:kern w:val="2"/>
          <w14:ligatures w14:val="standardContextual"/>
        </w:rPr>
        <w:t>–</w:t>
      </w:r>
      <w:r w:rsidRPr="004375F6">
        <w:rPr>
          <w:kern w:val="2"/>
          <w14:ligatures w14:val="standardContextual"/>
        </w:rPr>
        <w:tab/>
        <w:t xml:space="preserve">ņemot vērā Eiropas Parlamenta un Padomes 2018. gada 18. jūlija Regulu (ES, </w:t>
      </w:r>
      <w:r w:rsidRPr="004375F6">
        <w:rPr>
          <w:iCs/>
          <w:kern w:val="2"/>
          <w14:ligatures w14:val="standardContextual"/>
        </w:rPr>
        <w:t>Euratom</w:t>
      </w:r>
      <w:r w:rsidRPr="004375F6">
        <w:rPr>
          <w:kern w:val="2"/>
          <w14:ligatures w14:val="standardContextual"/>
        </w:rPr>
        <w:t xml:space="preserve">) 2018/1046 par finanšu noteikumiem, ko piemēro Savienības vispārējam budžetam, ar kuru groza Regulas (ES) Nr. 1296/2013, (ES) Nr. 1301/2013, (ES) Nr. 1303/2013, (ES) Nr. 1304/2013, (ES) Nr. 1309/2013, (ES) Nr. 1316/2013, (ES) </w:t>
      </w:r>
      <w:r w:rsidRPr="004375F6">
        <w:rPr>
          <w:kern w:val="2"/>
          <w14:ligatures w14:val="standardContextual"/>
        </w:rPr>
        <w:lastRenderedPageBreak/>
        <w:t xml:space="preserve">Nr. 223/2014, (ES) Nr. 283/2014 un Lēmumu Nr. 541/2014/ES un atceļ Regulu (ES, </w:t>
      </w:r>
      <w:r w:rsidRPr="004375F6">
        <w:rPr>
          <w:iCs/>
          <w:kern w:val="2"/>
          <w14:ligatures w14:val="standardContextual"/>
        </w:rPr>
        <w:t>Euratom</w:t>
      </w:r>
      <w:r w:rsidRPr="004375F6">
        <w:rPr>
          <w:kern w:val="2"/>
          <w14:ligatures w14:val="standardContextual"/>
        </w:rPr>
        <w:t>) Nr. 966/2012 </w:t>
      </w:r>
      <w:r w:rsidRPr="004375F6">
        <w:rPr>
          <w:kern w:val="2"/>
          <w:vertAlign w:val="superscript"/>
          <w14:ligatures w14:val="standardContextual"/>
        </w:rPr>
        <w:footnoteReference w:id="5"/>
      </w:r>
      <w:r w:rsidRPr="004375F6">
        <w:rPr>
          <w:kern w:val="2"/>
          <w14:ligatures w14:val="standardContextual"/>
        </w:rPr>
        <w:t>, un jo īpaši tās 59., 118. un 260. līdz 262. pantu,</w:t>
      </w:r>
    </w:p>
    <w:p w14:paraId="3A30F4DE" w14:textId="64900CE0" w:rsidR="004375F6" w:rsidRPr="004375F6" w:rsidRDefault="004375F6" w:rsidP="004375F6">
      <w:pPr>
        <w:spacing w:after="240"/>
        <w:ind w:left="567" w:hanging="567"/>
        <w:rPr>
          <w:kern w:val="2"/>
          <w:szCs w:val="24"/>
          <w14:ligatures w14:val="standardContextual"/>
        </w:rPr>
      </w:pPr>
      <w:r>
        <w:rPr>
          <w:kern w:val="2"/>
          <w14:ligatures w14:val="standardContextual"/>
        </w:rPr>
        <w:t>–</w:t>
      </w:r>
      <w:r w:rsidRPr="004375F6">
        <w:rPr>
          <w:kern w:val="2"/>
          <w14:ligatures w14:val="standardContextual"/>
        </w:rPr>
        <w:tab/>
        <w:t xml:space="preserve">ņemot vērā Eiropas Parlamenta un Padomes 2024. gada 23. septembra Regulu (ES, </w:t>
      </w:r>
      <w:r w:rsidRPr="004375F6">
        <w:rPr>
          <w:iCs/>
          <w:kern w:val="2"/>
          <w14:ligatures w14:val="standardContextual"/>
        </w:rPr>
        <w:t>Euratom</w:t>
      </w:r>
      <w:r w:rsidRPr="004375F6">
        <w:rPr>
          <w:kern w:val="2"/>
          <w14:ligatures w14:val="standardContextual"/>
        </w:rPr>
        <w:t>) 2024/2509 par finanšu noteikumiem, ko piemēro Savienības vispārējam budžetam </w:t>
      </w:r>
      <w:r w:rsidRPr="004375F6">
        <w:rPr>
          <w:kern w:val="2"/>
          <w:vertAlign w:val="superscript"/>
          <w14:ligatures w14:val="standardContextual"/>
        </w:rPr>
        <w:footnoteReference w:id="6"/>
      </w:r>
      <w:r w:rsidRPr="004375F6">
        <w:rPr>
          <w:kern w:val="2"/>
          <w14:ligatures w14:val="standardContextual"/>
        </w:rPr>
        <w:t>, un jo īpaši tās 59., 118. un 266. līdz 268. pantu,</w:t>
      </w:r>
    </w:p>
    <w:p w14:paraId="032EB47B" w14:textId="2618FD7C" w:rsidR="004375F6" w:rsidRPr="004375F6" w:rsidRDefault="004375F6" w:rsidP="004375F6">
      <w:pPr>
        <w:spacing w:after="240"/>
        <w:ind w:left="567" w:hanging="567"/>
        <w:rPr>
          <w:kern w:val="2"/>
          <w14:ligatures w14:val="standardContextual"/>
        </w:rPr>
      </w:pPr>
      <w:r>
        <w:rPr>
          <w:kern w:val="2"/>
          <w14:ligatures w14:val="standardContextual"/>
        </w:rPr>
        <w:t>–</w:t>
      </w:r>
      <w:r w:rsidRPr="004375F6">
        <w:rPr>
          <w:kern w:val="2"/>
          <w14:ligatures w14:val="standardContextual"/>
        </w:rPr>
        <w:tab/>
        <w:t>ņemot vērā Reglamenta 102. pantu un V pielikumu,</w:t>
      </w:r>
    </w:p>
    <w:p w14:paraId="31CE7F44" w14:textId="3A9B4795" w:rsidR="004375F6" w:rsidRPr="004375F6" w:rsidRDefault="004375F6" w:rsidP="004375F6">
      <w:pPr>
        <w:spacing w:after="240"/>
        <w:ind w:left="567" w:hanging="567"/>
        <w:rPr>
          <w:kern w:val="2"/>
          <w14:ligatures w14:val="standardContextual"/>
        </w:rPr>
      </w:pPr>
      <w:r>
        <w:rPr>
          <w:kern w:val="2"/>
          <w14:ligatures w14:val="standardContextual"/>
        </w:rPr>
        <w:t>–</w:t>
      </w:r>
      <w:r w:rsidRPr="004375F6">
        <w:rPr>
          <w:kern w:val="2"/>
          <w14:ligatures w14:val="standardContextual"/>
        </w:rPr>
        <w:tab/>
        <w:t>ņemot vērā Juridiskās komitejas atzinumu,</w:t>
      </w:r>
    </w:p>
    <w:p w14:paraId="59F53077" w14:textId="513665AB" w:rsidR="004375F6" w:rsidRPr="004375F6" w:rsidRDefault="004375F6" w:rsidP="004375F6">
      <w:pPr>
        <w:spacing w:after="240"/>
        <w:ind w:left="567" w:hanging="567"/>
        <w:rPr>
          <w:kern w:val="2"/>
          <w14:ligatures w14:val="standardContextual"/>
        </w:rPr>
      </w:pPr>
      <w:r>
        <w:rPr>
          <w:kern w:val="2"/>
          <w14:ligatures w14:val="standardContextual"/>
        </w:rPr>
        <w:t>–</w:t>
      </w:r>
      <w:r w:rsidRPr="004375F6">
        <w:rPr>
          <w:kern w:val="2"/>
          <w14:ligatures w14:val="standardContextual"/>
        </w:rPr>
        <w:tab/>
        <w:t>ņemot vērā Budžeta kontroles komitejas ziņojumu (A10</w:t>
      </w:r>
      <w:r w:rsidRPr="004375F6">
        <w:rPr>
          <w:kern w:val="2"/>
          <w14:ligatures w14:val="standardContextual"/>
        </w:rPr>
        <w:noBreakHyphen/>
        <w:t>0050/2025),</w:t>
      </w:r>
    </w:p>
    <w:p w14:paraId="2E513121"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1.</w:t>
      </w:r>
      <w:r w:rsidRPr="004375F6">
        <w:rPr>
          <w:kern w:val="2"/>
          <w14:ligatures w14:val="standardContextual"/>
        </w:rPr>
        <w:tab/>
        <w:t>sniedz Eiropas Savienības Tiesas sekretāram apstiprinājumu par Eiropas Savienības Tiesas 2023. finanšu gada budžeta izpildi;</w:t>
      </w:r>
    </w:p>
    <w:p w14:paraId="7BD6880A"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2.</w:t>
      </w:r>
      <w:r w:rsidRPr="004375F6">
        <w:rPr>
          <w:kern w:val="2"/>
          <w14:ligatures w14:val="standardContextual"/>
        </w:rPr>
        <w:tab/>
        <w:t>izklāsta savus konstatējumus turpmāk tekstā iekļautajā rezolūcijā;</w:t>
      </w:r>
    </w:p>
    <w:p w14:paraId="702DEBA7"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3.</w:t>
      </w:r>
      <w:r w:rsidRPr="004375F6">
        <w:rPr>
          <w:kern w:val="2"/>
          <w14:ligatures w14:val="standardContextual"/>
        </w:rPr>
        <w:tab/>
        <w:t xml:space="preserve">uzdod priekšsēdētājai šo lēmumu un rezolūciju, kas ir tā neatņemama daļa, nosūtīt Eiropas Savienības Tiesai, Padomei, Komisijai, Eiropas </w:t>
      </w:r>
      <w:proofErr w:type="spellStart"/>
      <w:r w:rsidRPr="004375F6">
        <w:rPr>
          <w:kern w:val="2"/>
          <w14:ligatures w14:val="standardContextual"/>
        </w:rPr>
        <w:t>Ombudam</w:t>
      </w:r>
      <w:proofErr w:type="spellEnd"/>
      <w:r w:rsidRPr="004375F6">
        <w:rPr>
          <w:kern w:val="2"/>
          <w14:ligatures w14:val="standardContextual"/>
        </w:rPr>
        <w:t xml:space="preserve">, Eiropas Datu aizsardzības uzraudzītājam un Revīzijas palātai un nodrošināt to publicēšanu </w:t>
      </w:r>
      <w:r w:rsidRPr="004375F6">
        <w:rPr>
          <w:i/>
          <w:kern w:val="2"/>
          <w14:ligatures w14:val="standardContextual"/>
        </w:rPr>
        <w:t>Eiropas Savienības Oficiālajā Vēstnesī</w:t>
      </w:r>
      <w:r w:rsidRPr="004375F6">
        <w:rPr>
          <w:kern w:val="2"/>
          <w14:ligatures w14:val="standardContextual"/>
        </w:rPr>
        <w:t xml:space="preserve"> (L sērijā).</w:t>
      </w:r>
    </w:p>
    <w:p w14:paraId="2CB667F8" w14:textId="77777777" w:rsidR="004375F6" w:rsidRPr="004375F6" w:rsidRDefault="004375F6" w:rsidP="004375F6">
      <w:pPr>
        <w:widowControl/>
        <w:rPr>
          <w:rFonts w:eastAsia="Aptos"/>
          <w:szCs w:val="24"/>
          <w:lang w:eastAsia="en-US"/>
        </w:rPr>
        <w:sectPr w:rsidR="004375F6" w:rsidRPr="004375F6" w:rsidSect="004375F6">
          <w:footnotePr>
            <w:numRestart w:val="eachSect"/>
          </w:footnotePr>
          <w:pgSz w:w="11906" w:h="16838"/>
          <w:pgMar w:top="1440" w:right="1440" w:bottom="1440" w:left="1440" w:header="708" w:footer="708" w:gutter="0"/>
          <w:cols w:space="720"/>
        </w:sectPr>
      </w:pPr>
    </w:p>
    <w:p w14:paraId="6CBF6A23" w14:textId="77777777" w:rsidR="004375F6" w:rsidRPr="004375F6" w:rsidRDefault="004375F6" w:rsidP="004375F6">
      <w:pPr>
        <w:pStyle w:val="ATHeading3"/>
      </w:pPr>
      <w:r w:rsidRPr="004375F6">
        <w:lastRenderedPageBreak/>
        <w:t>2. Eiropas Parlamenta 2025. gada 7. maija rezolūcija ar konstatējumiem, kas ir neatņemama daļa no lēmuma par Eiropas Savienības 2023. finanšu gada vispārējā budžeta izpildes apstiprināšanu, IV iedaļa – Eiropas Savienības Tiesa (2024/2022(DEC))</w:t>
      </w:r>
    </w:p>
    <w:p w14:paraId="0657A0C7" w14:textId="0231A966" w:rsidR="004375F6" w:rsidRPr="004375F6" w:rsidRDefault="004375F6" w:rsidP="004375F6">
      <w:pPr>
        <w:spacing w:before="480" w:after="240"/>
        <w:rPr>
          <w:iCs/>
          <w:kern w:val="2"/>
          <w14:ligatures w14:val="standardContextual"/>
        </w:rPr>
      </w:pPr>
      <w:r w:rsidRPr="002C61FE">
        <w:rPr>
          <w:i/>
        </w:rPr>
        <w:t>Eiropas Parlaments</w:t>
      </w:r>
      <w:r w:rsidRPr="004375F6">
        <w:rPr>
          <w:iCs/>
          <w:kern w:val="2"/>
          <w14:ligatures w14:val="standardContextual"/>
        </w:rPr>
        <w:t>,</w:t>
      </w:r>
    </w:p>
    <w:p w14:paraId="6ABFA0AC" w14:textId="7705DE6A" w:rsidR="004375F6" w:rsidRPr="004375F6" w:rsidRDefault="004375F6" w:rsidP="004375F6">
      <w:pPr>
        <w:spacing w:after="240"/>
        <w:ind w:left="567" w:hanging="567"/>
        <w:rPr>
          <w:kern w:val="2"/>
          <w14:ligatures w14:val="standardContextual"/>
        </w:rPr>
      </w:pPr>
      <w:r>
        <w:rPr>
          <w:kern w:val="2"/>
          <w14:ligatures w14:val="standardContextual"/>
        </w:rPr>
        <w:t>–</w:t>
      </w:r>
      <w:r w:rsidRPr="004375F6">
        <w:rPr>
          <w:kern w:val="2"/>
          <w14:ligatures w14:val="standardContextual"/>
        </w:rPr>
        <w:tab/>
        <w:t>ņemot vērā lēmumu par Eiropas Savienības 2023. finanšu gada vispārējā budžeta izpildes apstiprināšanu, IV iedaļa – Eiropas Savienības Tiesa,</w:t>
      </w:r>
    </w:p>
    <w:p w14:paraId="5483D108" w14:textId="25F05FAE" w:rsidR="004375F6" w:rsidRPr="004375F6" w:rsidRDefault="004375F6" w:rsidP="004375F6">
      <w:pPr>
        <w:spacing w:after="240"/>
        <w:ind w:left="567" w:hanging="567"/>
        <w:rPr>
          <w:kern w:val="2"/>
          <w14:ligatures w14:val="standardContextual"/>
        </w:rPr>
      </w:pPr>
      <w:r>
        <w:rPr>
          <w:kern w:val="2"/>
          <w14:ligatures w14:val="standardContextual"/>
        </w:rPr>
        <w:t>–</w:t>
      </w:r>
      <w:r w:rsidRPr="004375F6">
        <w:rPr>
          <w:kern w:val="2"/>
          <w14:ligatures w14:val="standardContextual"/>
        </w:rPr>
        <w:tab/>
        <w:t>ņemot vērā Reglamenta 102. pantu un V pielikumu,</w:t>
      </w:r>
    </w:p>
    <w:p w14:paraId="5FF704FC" w14:textId="5DEB6F2A" w:rsidR="004375F6" w:rsidRPr="004375F6" w:rsidRDefault="004375F6" w:rsidP="004375F6">
      <w:pPr>
        <w:spacing w:after="240"/>
        <w:ind w:left="567" w:hanging="567"/>
        <w:rPr>
          <w:kern w:val="2"/>
          <w14:ligatures w14:val="standardContextual"/>
        </w:rPr>
      </w:pPr>
      <w:r>
        <w:rPr>
          <w:kern w:val="2"/>
          <w14:ligatures w14:val="standardContextual"/>
        </w:rPr>
        <w:t>–</w:t>
      </w:r>
      <w:r w:rsidRPr="004375F6">
        <w:rPr>
          <w:kern w:val="2"/>
          <w14:ligatures w14:val="standardContextual"/>
        </w:rPr>
        <w:tab/>
        <w:t>ņemot vērā Juridiskās komitejas atzinumu,</w:t>
      </w:r>
    </w:p>
    <w:p w14:paraId="228712A9" w14:textId="299AB9E2" w:rsidR="004375F6" w:rsidRPr="004375F6" w:rsidRDefault="004375F6" w:rsidP="004375F6">
      <w:pPr>
        <w:spacing w:after="240"/>
        <w:ind w:left="567" w:hanging="567"/>
        <w:rPr>
          <w:kern w:val="2"/>
          <w14:ligatures w14:val="standardContextual"/>
        </w:rPr>
      </w:pPr>
      <w:r>
        <w:rPr>
          <w:kern w:val="2"/>
          <w14:ligatures w14:val="standardContextual"/>
        </w:rPr>
        <w:t>–</w:t>
      </w:r>
      <w:r w:rsidRPr="004375F6">
        <w:rPr>
          <w:kern w:val="2"/>
          <w14:ligatures w14:val="standardContextual"/>
        </w:rPr>
        <w:tab/>
        <w:t>ņemot vērā Budžeta kontroles komitejas ziņojumu (A10-0050/2025),</w:t>
      </w:r>
    </w:p>
    <w:p w14:paraId="32E3B270"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A.</w:t>
      </w:r>
      <w:r w:rsidRPr="004375F6">
        <w:rPr>
          <w:kern w:val="2"/>
          <w14:ligatures w14:val="standardContextual"/>
        </w:rPr>
        <w:tab/>
        <w:t xml:space="preserve">tā kā saistībā ar budžeta izpildes apstiprināšanas procedūru budžeta izpildes </w:t>
      </w:r>
      <w:proofErr w:type="spellStart"/>
      <w:r w:rsidRPr="004375F6">
        <w:rPr>
          <w:kern w:val="2"/>
          <w14:ligatures w14:val="standardContextual"/>
        </w:rPr>
        <w:t>apstiprinātājiestāde</w:t>
      </w:r>
      <w:proofErr w:type="spellEnd"/>
      <w:r w:rsidRPr="004375F6">
        <w:rPr>
          <w:kern w:val="2"/>
          <w14:ligatures w14:val="standardContextual"/>
        </w:rPr>
        <w:t xml:space="preserve"> vēlas uzsvērt, ka ir īpaši svarīgi vēl vairāk pastiprināt Savienības institūciju demokrātisko leģitimitāti, uzlabojot </w:t>
      </w:r>
      <w:proofErr w:type="spellStart"/>
      <w:r w:rsidRPr="004375F6">
        <w:rPr>
          <w:kern w:val="2"/>
          <w14:ligatures w14:val="standardContextual"/>
        </w:rPr>
        <w:t>pārredzamību</w:t>
      </w:r>
      <w:proofErr w:type="spellEnd"/>
      <w:r w:rsidRPr="004375F6">
        <w:rPr>
          <w:kern w:val="2"/>
          <w14:ligatures w14:val="standardContextual"/>
        </w:rPr>
        <w:t xml:space="preserve"> un </w:t>
      </w:r>
      <w:proofErr w:type="spellStart"/>
      <w:r w:rsidRPr="004375F6">
        <w:rPr>
          <w:kern w:val="2"/>
          <w14:ligatures w14:val="standardContextual"/>
        </w:rPr>
        <w:t>pārskatatbildību</w:t>
      </w:r>
      <w:proofErr w:type="spellEnd"/>
      <w:r w:rsidRPr="004375F6">
        <w:rPr>
          <w:kern w:val="2"/>
          <w14:ligatures w14:val="standardContextual"/>
        </w:rPr>
        <w:t xml:space="preserve"> un īstenojot uz sniegumu balstītas budžeta izstrādes un cilvēkresursu labas pārvaldības koncepciju;</w:t>
      </w:r>
    </w:p>
    <w:p w14:paraId="644152BE" w14:textId="77777777" w:rsidR="004375F6" w:rsidRPr="004375F6" w:rsidRDefault="004375F6" w:rsidP="004375F6">
      <w:pPr>
        <w:spacing w:after="240"/>
        <w:ind w:left="567" w:hanging="567"/>
        <w:rPr>
          <w:kern w:val="2"/>
          <w:u w:val="single"/>
          <w14:ligatures w14:val="standardContextual"/>
        </w:rPr>
      </w:pPr>
      <w:r w:rsidRPr="004375F6">
        <w:rPr>
          <w:kern w:val="2"/>
          <w14:ligatures w14:val="standardContextual"/>
        </w:rPr>
        <w:t>B.</w:t>
      </w:r>
      <w:r w:rsidRPr="004375F6">
        <w:rPr>
          <w:kern w:val="2"/>
          <w14:ligatures w14:val="standardContextual"/>
        </w:rPr>
        <w:tab/>
        <w:t>tā kā Eiropas Savienības Tiesa (EST) ir Savienības tiesu iestāde, kuras uzdevums ir nodrošināt Savienības tiesību aktu ievērošanu, pārraugot Līgumu vienādu interpretēšanu un piemērošanu un nodrošinot Savienības iestāžu, struktūru, biroju un aģentūru pieņemto pasākumu likumību;</w:t>
      </w:r>
    </w:p>
    <w:p w14:paraId="39103DFB"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C.</w:t>
      </w:r>
      <w:r w:rsidRPr="004375F6">
        <w:rPr>
          <w:kern w:val="2"/>
          <w14:ligatures w14:val="standardContextual"/>
        </w:rPr>
        <w:tab/>
        <w:t>tā kā EST palīdz aizsargāt Savienības vērtības un, izmantojot savu judikatūru, strādā pie Eiropas veidošanas;</w:t>
      </w:r>
    </w:p>
    <w:p w14:paraId="3F26A2CC"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D.</w:t>
      </w:r>
      <w:r w:rsidRPr="004375F6">
        <w:rPr>
          <w:kern w:val="2"/>
          <w14:ligatures w14:val="standardContextual"/>
        </w:rPr>
        <w:tab/>
        <w:t>tā kā EST sastāv no divām tiesu iestādēm – Tiesas un Vispārējās tiesas;</w:t>
      </w:r>
    </w:p>
    <w:p w14:paraId="48403311"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E.</w:t>
      </w:r>
      <w:r w:rsidRPr="004375F6">
        <w:rPr>
          <w:kern w:val="2"/>
          <w14:ligatures w14:val="standardContextual"/>
        </w:rPr>
        <w:tab/>
        <w:t>tā kā Parlaments un Padome 2024. gadā grozīja Protokolu Nr. 3 par Eiropas Savienības Tiesas statūtiem (“Statūti”) </w:t>
      </w:r>
      <w:r w:rsidRPr="004375F6">
        <w:rPr>
          <w:kern w:val="2"/>
          <w:vertAlign w:val="superscript"/>
          <w14:ligatures w14:val="standardContextual"/>
        </w:rPr>
        <w:footnoteReference w:id="7"/>
      </w:r>
      <w:r w:rsidRPr="004375F6">
        <w:rPr>
          <w:kern w:val="2"/>
          <w14:ligatures w14:val="standardContextual"/>
        </w:rPr>
        <w:t xml:space="preserve"> attiecībā uz kompetences sniegt prejudiciālus nolēmumus konkrētās jomās nodošanu Vispārējai tiesai,</w:t>
      </w:r>
    </w:p>
    <w:p w14:paraId="61F3ED8A"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1.</w:t>
      </w:r>
      <w:r w:rsidRPr="004375F6">
        <w:rPr>
          <w:kern w:val="2"/>
          <w14:ligatures w14:val="standardContextual"/>
        </w:rPr>
        <w:tab/>
        <w:t>atzīmē, ka EST budžets ietilpst DFS 7. izdevumu kategorijā “Eiropas publiskā pārvalde”, kuras kopējais apjoms 2023. gadā bija 12,3 miljardi EUR jeb 6,4 % no Savienības kopējā budžeta; norāda, ka EST budžets ir aptuveni 0,5 miljardi EUR jeb aptuveni 3,9 % no Savienības kopējiem administratīvajiem izdevumiem;</w:t>
      </w:r>
    </w:p>
    <w:p w14:paraId="65ECA338"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2.</w:t>
      </w:r>
      <w:r w:rsidRPr="004375F6">
        <w:rPr>
          <w:kern w:val="2"/>
          <w14:ligatures w14:val="standardContextual"/>
        </w:rPr>
        <w:tab/>
        <w:t xml:space="preserve">atzīmē, ka Eiropas Savienības Revīzijas palāta (“Revīzijas palāta”) savā 2023. finanšu gada pārskatā (“Revīzijas palātas pārskats”) kategorijā “Administrācija” ir pārbaudījusi 70 darījumu izlasi, proti, par 10 darījumiem vairāk nekā 2022. gadā. Revīzijas palāta turklāt ir norādījusi, ka administratīvie izdevumi ietver izdevumus cilvēkresursiem – tostarp pensijām –, kas 2023. gadā bija aptuveni 70 % no kopējiem administratīvajiem izdevumiem, un izdevumus ēkām, iekārtām, energoresursiem, komunikācijai un </w:t>
      </w:r>
      <w:r w:rsidRPr="004375F6">
        <w:rPr>
          <w:kern w:val="2"/>
          <w14:ligatures w14:val="standardContextual"/>
        </w:rPr>
        <w:lastRenderedPageBreak/>
        <w:t>informācijas tehnoloģijai (IT), un ka tās daudzu gadu garumā veiktais darbs liecina, ka risks šajā izdevumu kategorijā kopumā ir zems;</w:t>
      </w:r>
    </w:p>
    <w:p w14:paraId="423E7E40"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3.</w:t>
      </w:r>
      <w:r w:rsidRPr="004375F6">
        <w:rPr>
          <w:kern w:val="2"/>
          <w14:ligatures w14:val="standardContextual"/>
        </w:rPr>
        <w:tab/>
        <w:t>norāda, ka no 70 pārbaudītajiem darījumiem 21 darījumā (30 %) tika konstatētas kļūdas, taču Revīzijas palāta, pamatojoties uz piecām izmērītām kļūdām, lēš, ka kļūdu līmenis ir zemāks par būtiskuma slieksni;</w:t>
      </w:r>
    </w:p>
    <w:p w14:paraId="727E2E18"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4.</w:t>
      </w:r>
      <w:r w:rsidRPr="004375F6">
        <w:rPr>
          <w:kern w:val="2"/>
          <w14:ligatures w14:val="standardContextual"/>
        </w:rPr>
        <w:tab/>
        <w:t>atzīmē, ka Revīzijas palātas pārskatā attiecībā uz EST nekādas īpašas problēmas nav konstatētas;</w:t>
      </w:r>
    </w:p>
    <w:p w14:paraId="6DBB4E8B" w14:textId="77777777" w:rsidR="004375F6" w:rsidRPr="004375F6" w:rsidRDefault="004375F6" w:rsidP="004375F6">
      <w:pPr>
        <w:spacing w:after="240"/>
        <w:ind w:left="567" w:hanging="567"/>
        <w:rPr>
          <w:b/>
          <w:i/>
          <w:kern w:val="2"/>
          <w14:ligatures w14:val="standardContextual"/>
        </w:rPr>
      </w:pPr>
      <w:r w:rsidRPr="004375F6">
        <w:rPr>
          <w:b/>
          <w:i/>
          <w:kern w:val="2"/>
          <w14:ligatures w14:val="standardContextual"/>
        </w:rPr>
        <w:t>Budžeta un finanšu pārvaldība</w:t>
      </w:r>
    </w:p>
    <w:p w14:paraId="45C12634"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5.</w:t>
      </w:r>
      <w:r w:rsidRPr="004375F6">
        <w:rPr>
          <w:kern w:val="2"/>
          <w14:ligatures w14:val="standardContextual"/>
        </w:rPr>
        <w:tab/>
        <w:t>norāda, ka EST piešķirtais budžets 2023. gadā bija 486 025 796 EUR, t. i., par 3,9 % lielāks nekā 2022. gadā; atzīmē, ka šis pieaugums galvenokārt ir saistīts ar 2023. gadam prognozēto algas korekciju; uzsver, ka EST budžets galvenokārt ir paredzēts administratīvām vajadzībām – aptuveni 75 % apropriāciju attiecas uz izdevumiem, kas saistīti ar tās locekļiem un darbiniekiem, un gandrīz visas atlikušās apropriācijas attiecas uz izdevumiem ēkām un IT;</w:t>
      </w:r>
    </w:p>
    <w:p w14:paraId="1DE36E89"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6.</w:t>
      </w:r>
      <w:r w:rsidRPr="004375F6">
        <w:rPr>
          <w:kern w:val="2"/>
          <w14:ligatures w14:val="standardContextual"/>
        </w:rPr>
        <w:tab/>
        <w:t>atzīmē, ka vispārējais budžeta izpildes līmenis 2023. gada beigās bija 97,72 %; norāda, ka saskaņā ar Finanšu regulas 29. pantu budžeta lēmējinstitūcijai apstiprināšanai tikai iesniegti pieci pārvietojumi, lai pastiprinātu budžeta pozīcijas “Enerģijas patēriņš”, “Iekārtu un programmatūras iegāde, apkalpošana, uzturēšana un saistītie darbi” un “Ēkas” no citām budžeta pozīcijām, galvenokārt no personālam paredzētās budžeta pozīcijas “Atalgojums un piemaksas”; atzīmē, ka Krievijas agresijas karš pret Ukrainu turpināja radīt spiedienu uz EST budžetu, tostarp inflācijas pieauguma, algu korekcijas un enerģijas un vairāku preču un pakalpojumu izmaksu ievērojamās palielināšanās dēļ;</w:t>
      </w:r>
    </w:p>
    <w:p w14:paraId="391448D9"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7.</w:t>
      </w:r>
      <w:r w:rsidRPr="004375F6">
        <w:rPr>
          <w:kern w:val="2"/>
          <w14:ligatures w14:val="standardContextual"/>
        </w:rPr>
        <w:tab/>
        <w:t>ar gandarījumu norāda, ka deleģētais kredītrīkotājs ir paziņojis, ka piešķirtie līdzekļi ir izlietoti paredzētajam mērķim un saskaņā ar pareizas finanšu pārvaldības principu un ka ieviestās kontroles procedūras sniedz nepieciešamās garantijas attiecībā uz pakārtoto darījumu likumību un pareizību;</w:t>
      </w:r>
    </w:p>
    <w:p w14:paraId="5A3B86D2"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8.</w:t>
      </w:r>
      <w:r w:rsidRPr="004375F6">
        <w:rPr>
          <w:kern w:val="2"/>
          <w14:ligatures w14:val="standardContextual"/>
        </w:rPr>
        <w:tab/>
        <w:t>atzīmē, ka vidējais maksājuma veikšanai nepieciešamais laiks 2023. gadā bija 23,1 diena salīdzinājumā ar 24,32 dienām 2022. gadā; aicina EST turpināt centienus samazināt maksājumu veikšanas laiku, jo īpaši, ņemot vērā to, ka 2023. gadā 81 % rēķinu tika saņemti elektroniski;</w:t>
      </w:r>
    </w:p>
    <w:p w14:paraId="38B005E6"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9.</w:t>
      </w:r>
      <w:r w:rsidRPr="004375F6">
        <w:rPr>
          <w:kern w:val="2"/>
          <w14:ligatures w14:val="standardContextual"/>
        </w:rPr>
        <w:tab/>
        <w:t>atzīmē, ka EST komandējumu budžets, kas 2023. gadā bija 638 000 EUR gan tās personālam, gan locekļiem, turpināja samazināties: 2023. gadā salīdzinājumā ar 2022. gadu tas samazinājās par 3,3 %; norāda, ka 2023. gadā tika izmantotas 85,1 % no komandējumiem paredzētajām apropriācijām salīdzinājumā ar 46,6 % 2022. gadā, jo šajā gadā joprojām bija spēkā ceļošanas ierobežojumi;</w:t>
      </w:r>
    </w:p>
    <w:p w14:paraId="53DF19B3" w14:textId="77777777" w:rsidR="004375F6" w:rsidRPr="004375F6" w:rsidRDefault="004375F6" w:rsidP="004375F6">
      <w:pPr>
        <w:spacing w:after="240"/>
        <w:ind w:left="567" w:hanging="567"/>
        <w:rPr>
          <w:b/>
          <w:i/>
          <w:kern w:val="2"/>
          <w14:ligatures w14:val="standardContextual"/>
        </w:rPr>
      </w:pPr>
      <w:r w:rsidRPr="004375F6">
        <w:rPr>
          <w:b/>
          <w:i/>
          <w:kern w:val="2"/>
          <w14:ligatures w14:val="standardContextual"/>
        </w:rPr>
        <w:t>Iekšējā pārvaldība, sniegums un iekšējā kontrole</w:t>
      </w:r>
    </w:p>
    <w:p w14:paraId="30E9DD5E"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10.</w:t>
      </w:r>
      <w:r w:rsidRPr="004375F6">
        <w:rPr>
          <w:kern w:val="2"/>
          <w14:ligatures w14:val="standardContextual"/>
        </w:rPr>
        <w:tab/>
        <w:t xml:space="preserve">atzīmē nozīmīgos pasākumus, ko EST veica 2023. gadā savas tiesu sistēmas reformas īstenošanā, kuras rezultātā prejudiciālu nolēmumu sniegšanas piekritība no Tiesas daļēji tika nodota Vispārējai tiesai; norāda, ka, ņemot vērā EST statūtu grozīšanu un lai uzlabotu EST darbību lietu veidotās darba slodzes un izvirzīto jautājumu sarežģītības un </w:t>
      </w:r>
      <w:proofErr w:type="spellStart"/>
      <w:r w:rsidRPr="004375F6">
        <w:rPr>
          <w:kern w:val="2"/>
          <w14:ligatures w14:val="standardContextual"/>
        </w:rPr>
        <w:t>sensitivitātes</w:t>
      </w:r>
      <w:proofErr w:type="spellEnd"/>
      <w:r w:rsidRPr="004375F6">
        <w:rPr>
          <w:kern w:val="2"/>
          <w14:ligatures w14:val="standardContextual"/>
        </w:rPr>
        <w:t xml:space="preserve"> nemitīgas palielināšanās apstākļos, 2023. gada beigās tika panākta politiska vienošanās ar Parlamentu un Padomi; atzīmē, ka pēc minētās reformas </w:t>
      </w:r>
      <w:r w:rsidRPr="004375F6">
        <w:rPr>
          <w:kern w:val="2"/>
          <w14:ligatures w14:val="standardContextual"/>
        </w:rPr>
        <w:lastRenderedPageBreak/>
        <w:t>apstiprināšanas 2024. gadā tika pieņemti detalizēti noteikumi un procedūras, lai pabeigtu šo reformu un ļautu īstenot jauno tiesisko regulējumu, sākot no 2024. gada 1. oktobra;</w:t>
      </w:r>
    </w:p>
    <w:p w14:paraId="16DE23DC"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11.</w:t>
      </w:r>
      <w:r w:rsidRPr="004375F6">
        <w:rPr>
          <w:kern w:val="2"/>
          <w14:ligatures w14:val="standardContextual"/>
        </w:rPr>
        <w:tab/>
        <w:t xml:space="preserve">atzīmē, ka 2023. gadā Tiesa pieņēma lēmumu piecās lietās, kas attiecas uz pārākuma principu saistībā ar četriem prejudiciāliem nolēmumiem, kurus bija lūgušas sniegt tiesas Īrijā, Polijā, Rumānijā un Vācijā, kā arī vienā pārkāpuma lietā, kura attiecās uz Poliju; uzsver Savienības tiesību aktu pārākuma principa būtisko nozīmi, kas nodrošina Savienības tiesību aktu vienotu interpretāciju un piemērošanu visās dalībvalstīs un aizsargā tiesiskumu kā Savienības pamatvērtību; no jauna nelokāmi apstiprina, ka Savienības tiesību aktu pārākums ir Savienības tiesiskās kārtības stūrakmens, un uzsver EST galveno lomu tiesiskuma aizsardzībā visā Savienībā; turklāt atzīmē, ka Vispārējā tiesa ir pieņēmusi nolēmumu sešās lietās, kas saistītas ar pasākumiem Savienības budžeta aizsardzībai pret Ungārijas valdības izdarītiem tiesiskuma principu pārkāpumiem, kuri sistemātiski apdraud Savienības pamatvērtības; mudina Komisiju veikt apņēmīgas izpildes nodrošināšanas darbības pret jebkuru dalībvalsti, kura apstrīd vai neņem vērā EST nolēmumu saistošo raksturu; uzsver, ka lietās, kas attiecas uz izmeklēšanu saistībā ar Savienības budžetu, visām kompetentajām iestādēm pilnībā ir jāievēro pienācīga procesa un </w:t>
      </w:r>
      <w:proofErr w:type="spellStart"/>
      <w:r w:rsidRPr="004375F6">
        <w:rPr>
          <w:kern w:val="2"/>
          <w14:ligatures w14:val="standardContextual"/>
        </w:rPr>
        <w:t>pamattiesību</w:t>
      </w:r>
      <w:proofErr w:type="spellEnd"/>
      <w:r w:rsidRPr="004375F6">
        <w:rPr>
          <w:kern w:val="2"/>
          <w14:ligatures w14:val="standardContextual"/>
        </w:rPr>
        <w:t xml:space="preserve"> principi;</w:t>
      </w:r>
    </w:p>
    <w:p w14:paraId="6312780D"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12.</w:t>
      </w:r>
      <w:r w:rsidRPr="004375F6">
        <w:rPr>
          <w:kern w:val="2"/>
          <w14:ligatures w14:val="standardContextual"/>
        </w:rPr>
        <w:tab/>
        <w:t>atzīmē, ka Līguma par Eiropas Savienību 4. panta 2. punktā noteikts, ka “Savienība respektē dalībvalstu vienlīdzību saistībā ar Līgumiem, kā arī to nacionālo identitāti, kas raksturīga to politiskajām un konstitucionālajām pamatstruktūrām, tostarp reģionālajām un vietējām pašvaldībām. Tā respektē valstu galvenās funkcijas;</w:t>
      </w:r>
    </w:p>
    <w:p w14:paraId="56946F5A" w14:textId="77777777" w:rsidR="004375F6" w:rsidRPr="004375F6" w:rsidRDefault="004375F6" w:rsidP="004375F6">
      <w:pPr>
        <w:spacing w:after="240"/>
        <w:ind w:left="567" w:hanging="567"/>
        <w:rPr>
          <w:b/>
          <w:i/>
          <w:kern w:val="2"/>
          <w14:ligatures w14:val="standardContextual"/>
        </w:rPr>
      </w:pPr>
      <w:r w:rsidRPr="004375F6">
        <w:rPr>
          <w:kern w:val="2"/>
          <w14:ligatures w14:val="standardContextual"/>
        </w:rPr>
        <w:t>13.</w:t>
      </w:r>
      <w:r w:rsidRPr="004375F6">
        <w:rPr>
          <w:kern w:val="2"/>
          <w14:ligatures w14:val="standardContextual"/>
        </w:rPr>
        <w:tab/>
        <w:t>nosoda jebkādus valstu veiktus pasākumus un likumdošanas darbības, kas vērsti pret EST spriedumu kodifikāciju un izpildes nodrošināšanu; prasa izveidot oficiālu uzraudzības mehānismu, lai sekotu līdzi tam, kā dalībvalstis ievēro EST nolēmumus, un iesaka saistīt EST nolēmumu ievērošanu ar ES finansējuma izmaksu saskaņā ar tiesiskuma nosacītības satvaru;</w:t>
      </w:r>
    </w:p>
    <w:p w14:paraId="1780A75D"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14.</w:t>
      </w:r>
      <w:r w:rsidRPr="004375F6">
        <w:rPr>
          <w:kern w:val="2"/>
          <w14:ligatures w14:val="standardContextual"/>
        </w:rPr>
        <w:tab/>
        <w:t>atzīmē, ka 2023. gadā Tiesai tika iesniegta 821 jauna lieta (salīdzinājumā ar 806 lietām 2022. gadā), no kuras 63 % bija lūgumi sniegt prejudiciālu nolēmumu un 28,6 % – Vispārējās tiesas lēmumu pārsūdzības; norāda, ka 2023. gadā ievērojami palielinājās Vispārējā tiesā izskatāmo lietu skaits – 1271 jauna lieta (salīdzinājumā ar 904 lietām 2022. gadā), to skaitā ārkārtīgi liels skaits (404) apvienotu lietu, kas tika iesniegtas 2023. gada oktobrī; atzīmē, ka 2023. gadā 37 % no Vispārējā tiesā izskatāmajām jaunajām lietām, to skaitā minētās 404 apvienotās liets, attiecās uz prasībām, kas saistītas ar institucionālajām tiesībām, 24,3 % – uz prasībām, kuras saistītas ar intelektuālo īpašumu, un 6 % – uz strīdiem starp Savienības institūcijām un to personālu; norāda, ka kopējais izskatīšanā esošo lietu skaits salīdzinājumā ar iepriekšējiem gadiem ir stabils: iepriekš minētās 404 lietas uzskatot par vienu lietu, 2023. gada beigās izskatīšanā bija 2587 lietas salīdzinājumā ar 2585 lietām 2022. gada beigās un 2541 lietu 2021. gada beigās;</w:t>
      </w:r>
    </w:p>
    <w:p w14:paraId="3DA16231"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15.</w:t>
      </w:r>
      <w:r w:rsidRPr="004375F6">
        <w:rPr>
          <w:kern w:val="2"/>
          <w14:ligatures w14:val="standardContextual"/>
        </w:rPr>
        <w:tab/>
        <w:t>atzīmē, ka 2023. gadā Tiesa slēdza 783 lietas salīdzinājumā ar 808 lietām 2022. gadā un ka Vispārējā tiesa 2023. gadā slēdza 904 lietas salīdzinājumā ar 858 lietām 2022. gadā;</w:t>
      </w:r>
    </w:p>
    <w:p w14:paraId="7340CF9C"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16.</w:t>
      </w:r>
      <w:r w:rsidRPr="004375F6">
        <w:rPr>
          <w:kern w:val="2"/>
          <w14:ligatures w14:val="standardContextual"/>
        </w:rPr>
        <w:tab/>
        <w:t xml:space="preserve">atzinīgi vērtē to, ka ir samazinājies vidējais tiesvedības ilgums attiecībā uz Tiesas slēgtajām lietām: 2023. gadā tas bija 16,1 mēneši salīdzinājumā ar 16,4 mēnešiem 2022. gadā; atzīmē, ka vidējais Vispārējās tiesas slēgto lietu izskatīšanas ilgums </w:t>
      </w:r>
      <w:r w:rsidRPr="004375F6">
        <w:rPr>
          <w:kern w:val="2"/>
          <w14:ligatures w14:val="standardContextual"/>
        </w:rPr>
        <w:lastRenderedPageBreak/>
        <w:t>2023. gadā bija 18,2 mēneši salīdzinājumā ar 16,2 mēnešiem 2022. gadā un ka Vispārējā tiesa to izskaidro ar 2023. gadā veiktās tiesvedības raksturu un ar to saistīto sarežģītību;</w:t>
      </w:r>
    </w:p>
    <w:p w14:paraId="18697D66"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17.</w:t>
      </w:r>
      <w:r w:rsidRPr="004375F6">
        <w:rPr>
          <w:kern w:val="2"/>
          <w14:ligatures w14:val="standardContextual"/>
        </w:rPr>
        <w:tab/>
        <w:t>atzīmē, ka ir samazinājies vidējais laiks, kas nepieciešams, lai izskatītu tiešās prasības Tiesā (no 23,5 mēnešiem 2022. gadā līdz 20,8 mēnešiem 2023. gadā) un lūgumus sniegt prejudiciālu nolēmumu (attiecīgi – no 17,3 mēnešiem līdz 16,8 mēnešiem); norāda, ka attiecībā uz tiesas procesu Tiesā ir ievērojami palielinājies tiešo prasību skaits, jo īpaši vides jomā, un ka 2023. gadā Tiesai uzdotie prejudiciālie jautājumi galvenokārt attiecās uz brīvības, drošības un tiesiskuma telpu, kam sekoja nodokļu uzlikšana, patērētāju tiesību aizsardzība un transports; atzīmē, ka attiecībā uz tiesas procesu Vispārējā tiesā ir palielinājies lietu skaits intelektuālā īpašuma un ekonomikas un monetārās politikas jomā, tostarp banku darbības jomā;</w:t>
      </w:r>
    </w:p>
    <w:p w14:paraId="21FC70EC"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18.</w:t>
      </w:r>
      <w:r w:rsidRPr="004375F6">
        <w:rPr>
          <w:kern w:val="2"/>
          <w14:ligatures w14:val="standardContextual"/>
        </w:rPr>
        <w:tab/>
        <w:t xml:space="preserve">ar gandarījumu atzīmē augsto </w:t>
      </w:r>
      <w:r w:rsidRPr="004375F6">
        <w:rPr>
          <w:i/>
          <w:iCs/>
          <w:kern w:val="2"/>
          <w14:ligatures w14:val="standardContextual"/>
        </w:rPr>
        <w:t>e-</w:t>
      </w:r>
      <w:proofErr w:type="spellStart"/>
      <w:r w:rsidRPr="004375F6">
        <w:rPr>
          <w:i/>
          <w:iCs/>
          <w:kern w:val="2"/>
          <w14:ligatures w14:val="standardContextual"/>
        </w:rPr>
        <w:t>Curia</w:t>
      </w:r>
      <w:proofErr w:type="spellEnd"/>
      <w:r w:rsidRPr="004375F6">
        <w:rPr>
          <w:kern w:val="2"/>
          <w14:ligatures w14:val="standardContextual"/>
        </w:rPr>
        <w:t xml:space="preserve"> izmantošanas līmeni 2023. gadā: tika reģistrēti 10 502 </w:t>
      </w:r>
      <w:r w:rsidRPr="004375F6">
        <w:rPr>
          <w:i/>
          <w:iCs/>
          <w:kern w:val="2"/>
          <w14:ligatures w14:val="standardContextual"/>
        </w:rPr>
        <w:t>e-</w:t>
      </w:r>
      <w:proofErr w:type="spellStart"/>
      <w:r w:rsidRPr="004375F6">
        <w:rPr>
          <w:i/>
          <w:iCs/>
          <w:kern w:val="2"/>
          <w14:ligatures w14:val="standardContextual"/>
        </w:rPr>
        <w:t>Curia</w:t>
      </w:r>
      <w:proofErr w:type="spellEnd"/>
      <w:r w:rsidRPr="004375F6">
        <w:rPr>
          <w:kern w:val="2"/>
          <w14:ligatures w14:val="standardContextual"/>
        </w:rPr>
        <w:t xml:space="preserve"> konti, un 94 % pieteikumu Vispārējā tiesā tika iesniegti, izmantojot </w:t>
      </w:r>
      <w:r w:rsidRPr="004375F6">
        <w:rPr>
          <w:i/>
          <w:iCs/>
          <w:kern w:val="2"/>
          <w14:ligatures w14:val="standardContextual"/>
        </w:rPr>
        <w:t>e-</w:t>
      </w:r>
      <w:proofErr w:type="spellStart"/>
      <w:r w:rsidRPr="004375F6">
        <w:rPr>
          <w:i/>
          <w:iCs/>
          <w:kern w:val="2"/>
          <w14:ligatures w14:val="standardContextual"/>
        </w:rPr>
        <w:t>Curia</w:t>
      </w:r>
      <w:proofErr w:type="spellEnd"/>
      <w:r w:rsidRPr="004375F6">
        <w:rPr>
          <w:kern w:val="2"/>
          <w14:ligatures w14:val="standardContextual"/>
        </w:rPr>
        <w:t xml:space="preserve">, proti, tikpat cik 2022. gadā, savukārt </w:t>
      </w:r>
      <w:r w:rsidRPr="004375F6">
        <w:rPr>
          <w:i/>
          <w:iCs/>
          <w:kern w:val="2"/>
          <w14:ligatures w14:val="standardContextual"/>
        </w:rPr>
        <w:t>e-</w:t>
      </w:r>
      <w:proofErr w:type="spellStart"/>
      <w:r w:rsidRPr="004375F6">
        <w:rPr>
          <w:i/>
          <w:iCs/>
          <w:kern w:val="2"/>
          <w14:ligatures w14:val="standardContextual"/>
        </w:rPr>
        <w:t>Curia</w:t>
      </w:r>
      <w:proofErr w:type="spellEnd"/>
      <w:r w:rsidRPr="004375F6">
        <w:rPr>
          <w:kern w:val="2"/>
          <w14:ligatures w14:val="standardContextual"/>
        </w:rPr>
        <w:t xml:space="preserve"> izmantošanas līmenis Tiesā 2023. gadā palielinājās līdz aptuveni 89 % salīdzinājumā ar 87 % 2022. gadā;</w:t>
      </w:r>
    </w:p>
    <w:p w14:paraId="6C84D06B"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19.</w:t>
      </w:r>
      <w:r w:rsidRPr="004375F6">
        <w:rPr>
          <w:kern w:val="2"/>
          <w14:ligatures w14:val="standardContextual"/>
        </w:rPr>
        <w:tab/>
        <w:t xml:space="preserve">atzinīgi vērtē progresu, kas panākts tiesu arhīvu </w:t>
      </w:r>
      <w:proofErr w:type="spellStart"/>
      <w:r w:rsidRPr="004375F6">
        <w:rPr>
          <w:kern w:val="2"/>
          <w14:ligatures w14:val="standardContextual"/>
        </w:rPr>
        <w:t>digitalizācijā</w:t>
      </w:r>
      <w:proofErr w:type="spellEnd"/>
      <w:r w:rsidRPr="004375F6">
        <w:rPr>
          <w:kern w:val="2"/>
          <w14:ligatures w14:val="standardContextual"/>
        </w:rPr>
        <w:t>, lai saglabātu dokumentus apskatīšanai nākotnē un atvieglotu to pieejamību pētniekiem un plašākai sabiedrībai, izmantojot digitālu portālu;</w:t>
      </w:r>
    </w:p>
    <w:p w14:paraId="3E3C8C09"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20.</w:t>
      </w:r>
      <w:r w:rsidRPr="004375F6">
        <w:rPr>
          <w:kern w:val="2"/>
          <w14:ligatures w14:val="standardContextual"/>
        </w:rPr>
        <w:tab/>
        <w:t xml:space="preserve">atzinīgi vērtē EST izstrādāto uz sniegumu balstīto pieeju, kas EST ļauj pieņemt lēmumus, pamatojoties uz darbības rezultātiem un tās mērķu sasniegšanas līmeni, kuru mērīšanai izmanto darba slodzes un darbības rādītāju kopumu; atzīmē, ka EST izmantotie snieguma </w:t>
      </w:r>
      <w:proofErr w:type="spellStart"/>
      <w:r w:rsidRPr="004375F6">
        <w:rPr>
          <w:kern w:val="2"/>
          <w14:ligatures w14:val="standardContextual"/>
        </w:rPr>
        <w:t>pamatrādītāji</w:t>
      </w:r>
      <w:proofErr w:type="spellEnd"/>
      <w:r w:rsidRPr="004375F6">
        <w:rPr>
          <w:kern w:val="2"/>
          <w14:ligatures w14:val="standardContextual"/>
        </w:rPr>
        <w:t xml:space="preserve"> aptver plašu klāstu konkrētu jomu, lai atbalstītu piecus pārvaldības mērķus, kas saistīti ar EST pienācīgu darbību, </w:t>
      </w:r>
      <w:proofErr w:type="spellStart"/>
      <w:r w:rsidRPr="004375F6">
        <w:rPr>
          <w:kern w:val="2"/>
          <w14:ligatures w14:val="standardContextual"/>
        </w:rPr>
        <w:t>digitalizāciju</w:t>
      </w:r>
      <w:proofErr w:type="spellEnd"/>
      <w:r w:rsidRPr="004375F6">
        <w:rPr>
          <w:kern w:val="2"/>
          <w14:ligatures w14:val="standardContextual"/>
        </w:rPr>
        <w:t xml:space="preserve"> un jaunajām tehnoloģijām, atklātību un </w:t>
      </w:r>
      <w:proofErr w:type="spellStart"/>
      <w:r w:rsidRPr="004375F6">
        <w:rPr>
          <w:kern w:val="2"/>
          <w14:ligatures w14:val="standardContextual"/>
        </w:rPr>
        <w:t>pārredzamību</w:t>
      </w:r>
      <w:proofErr w:type="spellEnd"/>
      <w:r w:rsidRPr="004375F6">
        <w:rPr>
          <w:kern w:val="2"/>
          <w14:ligatures w14:val="standardContextual"/>
        </w:rPr>
        <w:t>, daudzvalodību un cilvēkresursu pārvaldību;</w:t>
      </w:r>
    </w:p>
    <w:p w14:paraId="33D51627"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21.</w:t>
      </w:r>
      <w:r w:rsidRPr="004375F6">
        <w:rPr>
          <w:kern w:val="2"/>
          <w14:ligatures w14:val="standardContextual"/>
        </w:rPr>
        <w:tab/>
        <w:t>norāda, ka 2022. un 2023. gadā tika padziļināti izvērtēta EST iekšējās kontroles sistēma un ka šī izvērtēšana apstiprināja tās pamatīgumu; atzīmē, ka izvērtēšanas ietvaros tika pielāgotas finanšu kontroles procedūras, lai kontroli padarītu efektīvāku;</w:t>
      </w:r>
    </w:p>
    <w:p w14:paraId="10BFAAB1"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22.</w:t>
      </w:r>
      <w:r w:rsidRPr="004375F6">
        <w:rPr>
          <w:kern w:val="2"/>
          <w14:ligatures w14:val="standardContextual"/>
        </w:rPr>
        <w:tab/>
        <w:t xml:space="preserve">norāda, ka 2023. gadā veiktās svarīgākās iekšējās revīzijas attiecās uz EST izdevumiem ēku tīrīšanai, iekšējās kontroles sistēmas efektivitāti EST IT aktīvu aizsardzībā un personāla atlases procedūrām; atzīmē, ka vienas iekšējās revīzijas ietvaros tika veikts arī pētījums par mākslīgā intelekta (MI) izmantošanu tieslietu </w:t>
      </w:r>
      <w:bookmarkStart w:id="8" w:name="_bookmark0"/>
      <w:bookmarkEnd w:id="8"/>
      <w:r w:rsidRPr="004375F6">
        <w:rPr>
          <w:kern w:val="2"/>
          <w14:ligatures w14:val="standardContextual"/>
        </w:rPr>
        <w:t>jomā attiecībā uz to, kā īstenot stratēģiju uz MI balstītu instrumentu integrēšanai EST darbībā; norāda, ka daudzos gadījumos EST dienesti veica darbības, lai īstenotu iekšējās revīzijas rezultātā sniegtos ieteikumus pirms iekšējās revīzijas oficiālas pabeigšanas, un ka iekšējais revidents šīs darbības atzina par apmierinošām;</w:t>
      </w:r>
    </w:p>
    <w:p w14:paraId="2403F795" w14:textId="77777777" w:rsidR="004375F6" w:rsidRPr="004375F6" w:rsidRDefault="004375F6" w:rsidP="004375F6">
      <w:pPr>
        <w:spacing w:after="240"/>
        <w:ind w:left="567" w:hanging="567"/>
        <w:rPr>
          <w:b/>
          <w:i/>
          <w:kern w:val="2"/>
          <w14:ligatures w14:val="standardContextual"/>
        </w:rPr>
      </w:pPr>
      <w:r w:rsidRPr="004375F6">
        <w:rPr>
          <w:b/>
          <w:i/>
          <w:kern w:val="2"/>
          <w14:ligatures w14:val="standardContextual"/>
        </w:rPr>
        <w:t xml:space="preserve">Cilvēkresursi, līdztiesība un darbinieku </w:t>
      </w:r>
      <w:proofErr w:type="spellStart"/>
      <w:r w:rsidRPr="004375F6">
        <w:rPr>
          <w:b/>
          <w:i/>
          <w:kern w:val="2"/>
          <w14:ligatures w14:val="standardContextual"/>
        </w:rPr>
        <w:t>labbūtība</w:t>
      </w:r>
      <w:proofErr w:type="spellEnd"/>
    </w:p>
    <w:p w14:paraId="473DDA35"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23.</w:t>
      </w:r>
      <w:r w:rsidRPr="004375F6">
        <w:rPr>
          <w:kern w:val="2"/>
          <w14:ligatures w14:val="standardContextual"/>
        </w:rPr>
        <w:tab/>
        <w:t>atzīmē, ka 2023. gada beigās EST strādāja 1340 ierēdņi (58 %), 765 pagaidu darbinieki (33 %), kas pieņemti darbā saskaņā ar ES pārējo darbinieku nodarbināšanas kārtību, un 198 līgumdarbinieki (9 %); norāda, ka 2023. gada beigās štatu saraksta aizpildes līmenis bija 97,11 %; turklāt atzīmē, ka gada vidējā darbinieku mainība 2023. gadā bija 7,8 %, kuras galvenais iemesls bija tas, ka šajā gadā 20 % EST darbinieku aizgāja pensijā;</w:t>
      </w:r>
    </w:p>
    <w:p w14:paraId="2AE8FD3F"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lastRenderedPageBreak/>
        <w:t>24.</w:t>
      </w:r>
      <w:r w:rsidRPr="004375F6">
        <w:rPr>
          <w:kern w:val="2"/>
          <w14:ligatures w14:val="standardContextual"/>
        </w:rPr>
        <w:tab/>
        <w:t>atzīmē, ka Tiesa sastāv no 27 tiesnešiem un 11 ģenerāladvokātiem un ka 2023. gadā amatā nestājās neviens jauns tiesnesis vai ģenerāladvokāts; norāda, ka Vispārējā tiesa sastāv no 54 tiesnešiem un ka 2023. gadā amatā stājās divi jauni tiesneši – viena sieviete un viens vīrietis; atzīmē, ka 2023. gadā ievēlēja jaunu Vispārējās tiesas sekretāru;</w:t>
      </w:r>
    </w:p>
    <w:p w14:paraId="47481322"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25.</w:t>
      </w:r>
      <w:r w:rsidRPr="004375F6">
        <w:rPr>
          <w:kern w:val="2"/>
          <w14:ligatures w14:val="standardContextual"/>
        </w:rPr>
        <w:tab/>
        <w:t>atzinīgi vērtē EST detalizētās atbildes uz Parlamenta Budžeta kontroles komitejas anketas jautājumiem, kas tika sniegtas pašreizējās budžeta izpildes apstiprināšanas procedūras ietvaros, jo īpaši attiecībā uz personāla sadalījumu 2023. gada beigās;</w:t>
      </w:r>
      <w:r w:rsidRPr="004375F6">
        <w:rPr>
          <w:b/>
          <w:i/>
          <w:kern w:val="2"/>
          <w14:ligatures w14:val="standardContextual"/>
        </w:rPr>
        <w:t xml:space="preserve"> </w:t>
      </w:r>
      <w:r w:rsidRPr="004375F6">
        <w:rPr>
          <w:kern w:val="2"/>
          <w14:ligatures w14:val="standardContextual"/>
        </w:rPr>
        <w:t>atzīmē, ka Tiesas un Vispārējās tiesas dzimumu sastāvs joprojām ir ļoti nelīdzsvarots; pauž atzinību par Vispārējās tiesas priekšsēdētāja 2024. gadā nosūtīto vēstuli dalībvalstu pārstāvju konferences priekšsēdētājam, kurā viņš aicina dalībvalstis ņemt vērā nepieciešamību nodrošināt dzimumu līdzsvaru, kad tiek izvirzīti kandidāti tiesnešu un ģenerāladvokātu aizstāšanai; aicina dalībvalstis ņemt vērā nepieciešamību pēc dzimumu līdzsvara, kad tās izvirza kandidātus tiesnešu aizstāšanai;</w:t>
      </w:r>
    </w:p>
    <w:p w14:paraId="3312D080"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26.</w:t>
      </w:r>
      <w:r w:rsidRPr="004375F6">
        <w:rPr>
          <w:kern w:val="2"/>
          <w14:ligatures w14:val="standardContextual"/>
        </w:rPr>
        <w:tab/>
        <w:t>pieņem zināšanai, ka 2023. gada beigās no 2303 ierēdņiem un darbiniekiem 61 % bija sievietes; atzinīgi vērtē to, ka sieviešu īpatsvars administratīvos amatos ir palielinājies līdz 55 %, un jo īpaši to, ka vadošos amatos tas ir palielinājies līdz 43 % salīdzinājumā ar 40 % 2022. un 2021. gadā, apstiprinot augšupejošo tendenci, kas reģistrēta kopš 2018. gada (attiecīgi – 41 % 2020. gadā, 39 % 2019. gadā un 37,5 % 2018. gadā); tomēr atzīmē, ka visaugstākais sieviešu īpatsvars bija asistentu pakāpēs, savukārt viszemākais – augstākā līmeņa vadības amatos; aicina EST nodrošināt lielāku sieviešu īpatsvaru augstākā līmeņa vadības amatos un veikt turpmākus pasākumus, lai veicinātu dzimumu līdzsvaru visos līmeņos;</w:t>
      </w:r>
      <w:r w:rsidRPr="004375F6">
        <w:rPr>
          <w:color w:val="FF0000"/>
          <w:kern w:val="2"/>
          <w14:ligatures w14:val="standardContextual"/>
        </w:rPr>
        <w:t xml:space="preserve"> </w:t>
      </w:r>
      <w:r w:rsidRPr="004375F6">
        <w:rPr>
          <w:kern w:val="2"/>
          <w14:ligatures w14:val="standardContextual"/>
        </w:rPr>
        <w:t>atzinīgi vērtē EST īstenotos centienus, lai atbalstītu līdztiesību, iekļaušanu un daudzveidību, jo īpaši darbā pieņemšanas stadijā;</w:t>
      </w:r>
    </w:p>
    <w:p w14:paraId="73D58D79" w14:textId="77777777" w:rsidR="004375F6" w:rsidRPr="004375F6" w:rsidRDefault="004375F6" w:rsidP="004375F6">
      <w:pPr>
        <w:spacing w:after="240"/>
        <w:ind w:left="567" w:hanging="567"/>
        <w:rPr>
          <w:b/>
          <w:i/>
          <w:kern w:val="2"/>
          <w14:ligatures w14:val="standardContextual"/>
        </w:rPr>
      </w:pPr>
      <w:r w:rsidRPr="004375F6">
        <w:rPr>
          <w:kern w:val="2"/>
          <w14:ligatures w14:val="standardContextual"/>
        </w:rPr>
        <w:t>27.</w:t>
      </w:r>
      <w:r w:rsidRPr="004375F6">
        <w:rPr>
          <w:kern w:val="2"/>
          <w14:ligatures w14:val="standardContextual"/>
        </w:rPr>
        <w:tab/>
        <w:t xml:space="preserve">aicina EST publicēt ikgadēju ziņojumu par dzimumu līdztiesību un dažādību, lai nodrošinātu </w:t>
      </w:r>
      <w:proofErr w:type="spellStart"/>
      <w:r w:rsidRPr="004375F6">
        <w:rPr>
          <w:kern w:val="2"/>
          <w14:ligatures w14:val="standardContextual"/>
        </w:rPr>
        <w:t>pārredzamību</w:t>
      </w:r>
      <w:proofErr w:type="spellEnd"/>
      <w:r w:rsidRPr="004375F6">
        <w:rPr>
          <w:kern w:val="2"/>
          <w14:ligatures w14:val="standardContextual"/>
        </w:rPr>
        <w:t xml:space="preserve"> attiecībā uz dzimumu pārstāvību visos iestādes līmeņos, tostarp tiesnešu, ģenerāladvokātu un administratīvo darbinieku vidū, kā arī lai paredzētu konkrētus pasākumus dzimumu paritātes uzlabošanai augstākā līmeņa vadības amatos;</w:t>
      </w:r>
    </w:p>
    <w:p w14:paraId="62A14607" w14:textId="77777777" w:rsidR="004375F6" w:rsidRPr="004375F6" w:rsidRDefault="004375F6" w:rsidP="004375F6">
      <w:pPr>
        <w:spacing w:after="240"/>
        <w:ind w:left="567" w:hanging="567"/>
        <w:rPr>
          <w:b/>
          <w:i/>
          <w:kern w:val="2"/>
          <w14:ligatures w14:val="standardContextual"/>
        </w:rPr>
      </w:pPr>
      <w:r w:rsidRPr="004375F6">
        <w:rPr>
          <w:kern w:val="2"/>
          <w14:ligatures w14:val="standardContextual"/>
        </w:rPr>
        <w:t>28.</w:t>
      </w:r>
      <w:r w:rsidRPr="004375F6">
        <w:rPr>
          <w:kern w:val="2"/>
          <w14:ligatures w14:val="standardContextual"/>
        </w:rPr>
        <w:tab/>
        <w:t xml:space="preserve">atzinīgi vērtē to, ka EST darbinieku vidū ir pārstāvētas visas Savienības dalībvalstis, tomēr atzīmē, ka dažas dalībvalstis ir pārstāvētas vairāk nekā citas; atzinīgi vērtē arī to, ka 2023. gadā EST turpināja centienus panākt labāku ģeogrāfisko līdzsvaru darbinieku vidū, jo īpaši, veicinot savu darba vakanču </w:t>
      </w:r>
      <w:proofErr w:type="spellStart"/>
      <w:r w:rsidRPr="004375F6">
        <w:rPr>
          <w:kern w:val="2"/>
          <w14:ligatures w14:val="standardContextual"/>
        </w:rPr>
        <w:t>pamanāmību</w:t>
      </w:r>
      <w:proofErr w:type="spellEnd"/>
      <w:r w:rsidRPr="004375F6">
        <w:rPr>
          <w:kern w:val="2"/>
          <w14:ligatures w14:val="standardContextual"/>
        </w:rPr>
        <w:t xml:space="preserve"> un pievilcīgumu, radot un piedāvājot labvēlīgākus darba apstākļus, lai piesaistītu pagaidu darbiniekus no atsevišķām mazāk pārstāvētām dalībvalstīm, un plaši informējot dažāda veida auditoriju par darba iespējām EST; atzīmē, ka ir veikti būtiski centieni, lai, izmantojot EST prakses programmu, piesaistītu daudzus talantīgus jauniešus no dažādām dalībvalstīm; aicina EST pārbaudīt, vai ir proporcionāli pārstāvēti visu dalībvalstu praktikanti;</w:t>
      </w:r>
    </w:p>
    <w:p w14:paraId="60086A1C" w14:textId="77777777" w:rsidR="004375F6" w:rsidRPr="004375F6" w:rsidRDefault="004375F6" w:rsidP="004375F6">
      <w:pPr>
        <w:spacing w:after="240"/>
        <w:ind w:left="567" w:hanging="567"/>
        <w:rPr>
          <w:b/>
          <w:i/>
          <w:kern w:val="2"/>
          <w14:ligatures w14:val="standardContextual"/>
        </w:rPr>
      </w:pPr>
      <w:r w:rsidRPr="004375F6">
        <w:rPr>
          <w:kern w:val="2"/>
          <w14:ligatures w14:val="standardContextual"/>
        </w:rPr>
        <w:t>29.</w:t>
      </w:r>
      <w:r w:rsidRPr="004375F6">
        <w:rPr>
          <w:kern w:val="2"/>
          <w14:ligatures w14:val="standardContextual"/>
        </w:rPr>
        <w:tab/>
        <w:t xml:space="preserve">mudina EST veicināt </w:t>
      </w:r>
      <w:proofErr w:type="spellStart"/>
      <w:r w:rsidRPr="004375F6">
        <w:rPr>
          <w:kern w:val="2"/>
          <w14:ligatures w14:val="standardContextual"/>
        </w:rPr>
        <w:t>daudzvalodu</w:t>
      </w:r>
      <w:proofErr w:type="spellEnd"/>
      <w:r w:rsidRPr="004375F6">
        <w:rPr>
          <w:kern w:val="2"/>
          <w14:ligatures w14:val="standardContextual"/>
        </w:rPr>
        <w:t xml:space="preserve"> darba vidi, atzīstot tās potenciālu uzlabot dažādas valstspiederības darbinieku taisnīgu sadalījumu; aicina visas ES institūcijas aizsargāt daudzvalodības principu un nodrošināt tā ievērošanu;</w:t>
      </w:r>
    </w:p>
    <w:p w14:paraId="3DDB9FC5"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30.</w:t>
      </w:r>
      <w:r w:rsidRPr="004375F6">
        <w:rPr>
          <w:kern w:val="2"/>
          <w14:ligatures w14:val="standardContextual"/>
        </w:rPr>
        <w:tab/>
        <w:t xml:space="preserve">atzinīgi vērtē darbu, ko veikusi Augsta līmeņa </w:t>
      </w:r>
      <w:proofErr w:type="spellStart"/>
      <w:r w:rsidRPr="004375F6">
        <w:rPr>
          <w:kern w:val="2"/>
          <w14:ligatures w14:val="standardContextual"/>
        </w:rPr>
        <w:t>starpiestāžu</w:t>
      </w:r>
      <w:proofErr w:type="spellEnd"/>
      <w:r w:rsidRPr="004375F6">
        <w:rPr>
          <w:kern w:val="2"/>
          <w14:ligatures w14:val="standardContextual"/>
        </w:rPr>
        <w:t xml:space="preserve"> grupa, kuras uzdevums ir palielināt Luksemburgas kā darba vietas pievilcīgumu darbiniekiem; aicina EST uzturēt un pastiprināt sadarbību ar citām Luksemburgā bāzētām institūcijām dažādu iniciatīvu ietvaros; ar gandarījumu atzīmē, ka pēc Augsta līmeņa </w:t>
      </w:r>
      <w:proofErr w:type="spellStart"/>
      <w:r w:rsidRPr="004375F6">
        <w:rPr>
          <w:kern w:val="2"/>
          <w14:ligatures w14:val="standardContextual"/>
        </w:rPr>
        <w:t>starpiestāžu</w:t>
      </w:r>
      <w:proofErr w:type="spellEnd"/>
      <w:r w:rsidRPr="004375F6">
        <w:rPr>
          <w:kern w:val="2"/>
          <w14:ligatures w14:val="standardContextual"/>
        </w:rPr>
        <w:t xml:space="preserve"> grupas ieteikuma budžeta lēmējinstitūcija 2025. gadam ir apstiprinājusi nepieciešamās apropriācijas, lai varētu piešķirt mājokļa pabalstu zemāku pakāpju darbiniekiem; prasa, lai Parlamentam </w:t>
      </w:r>
      <w:r w:rsidRPr="004375F6">
        <w:rPr>
          <w:kern w:val="2"/>
          <w14:ligatures w14:val="standardContextual"/>
        </w:rPr>
        <w:lastRenderedPageBreak/>
        <w:t>tiktu sniegta jaunākā informācija par progresu šādu iniciatīvu – kas paredzētas, lai uzlabotu Luksemburgas kā darba vietas pievilcīgumu, – īstenošanā;</w:t>
      </w:r>
    </w:p>
    <w:p w14:paraId="2D8D1C1D"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31.</w:t>
      </w:r>
      <w:r w:rsidRPr="004375F6">
        <w:rPr>
          <w:kern w:val="2"/>
          <w14:ligatures w14:val="standardContextual"/>
        </w:rPr>
        <w:tab/>
        <w:t xml:space="preserve">atzīmē, ka 2023. gadā EST īstenoja vairākas iniciatīvas, lai veicinātu darbinieku fizisko un garīgo </w:t>
      </w:r>
      <w:proofErr w:type="spellStart"/>
      <w:r w:rsidRPr="004375F6">
        <w:rPr>
          <w:kern w:val="2"/>
          <w14:ligatures w14:val="standardContextual"/>
        </w:rPr>
        <w:t>labbūtību</w:t>
      </w:r>
      <w:proofErr w:type="spellEnd"/>
      <w:r w:rsidRPr="004375F6">
        <w:rPr>
          <w:kern w:val="2"/>
          <w14:ligatures w14:val="standardContextual"/>
        </w:rPr>
        <w:t>, izmantojot specializētus seminārus un izpratnes veicināšanas darbības; norāda, ka vadītāji pozitīvi novērtēja tāldarba shēmu, kas stājās spēkā 2022. gada 1. maijā, un ka 92 % no viņiem atbildēja, ka tāldarba režīmu izmantojošo darbinieku ražīgums ir vai nu līdzvērtīgs tam, kāds bija pirms tāldarba shēmas ieviešanas, vai augstāks par to; atzīmē – lai panāktu labāku darba un privātās dzīves līdzsvaru, EST 2023. gadā atjaunoja saviem darbiniekiem iespēju strādāt attālināti ārpus darba vietas līdz 10 dienām gadā, jo īpaši EST oficiālo brīvdienu laikā;</w:t>
      </w:r>
    </w:p>
    <w:p w14:paraId="197C4C52" w14:textId="77777777" w:rsidR="004375F6" w:rsidRPr="004375F6" w:rsidRDefault="004375F6" w:rsidP="004375F6">
      <w:pPr>
        <w:spacing w:after="240"/>
        <w:ind w:left="567" w:hanging="567"/>
        <w:rPr>
          <w:b/>
          <w:i/>
          <w:kern w:val="2"/>
          <w14:ligatures w14:val="standardContextual"/>
        </w:rPr>
      </w:pPr>
      <w:r w:rsidRPr="004375F6">
        <w:rPr>
          <w:kern w:val="2"/>
          <w14:ligatures w14:val="standardContextual"/>
        </w:rPr>
        <w:t>32.</w:t>
      </w:r>
      <w:r w:rsidRPr="004375F6">
        <w:rPr>
          <w:kern w:val="2"/>
          <w14:ligatures w14:val="standardContextual"/>
        </w:rPr>
        <w:tab/>
        <w:t>atzinīgi vērtē notiekošās izpratnes palielināšanas, informācijas un apmācības kampaņas, kuru mērķis ir veicināt personu ar invaliditāti un viņu palīgu iekļaušanu, savstarpēju cieņu, sadarbību un atbalstu;</w:t>
      </w:r>
    </w:p>
    <w:p w14:paraId="508899B7"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33.</w:t>
      </w:r>
      <w:r w:rsidRPr="004375F6">
        <w:rPr>
          <w:kern w:val="2"/>
          <w14:ligatures w14:val="standardContextual"/>
        </w:rPr>
        <w:tab/>
        <w:t xml:space="preserve">atzīmē, ka slimības atvaļinājuma darba dienu skaits 2023. gadā bija 20 198, t. i., par 14,78 % mazāks nekā 2022. gadā; ar bažām atzīmē, ka medicīniskais dienests 2023. gadā ziņojis par 11 izdegšanas gadījumiem; atzinīgi vērtē diagnostikas ziņojumu rūpīgo analīzi, ko EST veica, lai noteiktu profesionālas izdegšanas gadījumus, un īpašas uzmanības veltīšanu preventīviem pasākumiem, jo īpaši tās medicīnas un sociālo darbinieku komandas palielināšanai, </w:t>
      </w:r>
      <w:proofErr w:type="spellStart"/>
      <w:r w:rsidRPr="004375F6">
        <w:rPr>
          <w:kern w:val="2"/>
          <w14:ligatures w14:val="standardContextual"/>
        </w:rPr>
        <w:t>psihosociālo</w:t>
      </w:r>
      <w:proofErr w:type="spellEnd"/>
      <w:r w:rsidRPr="004375F6">
        <w:rPr>
          <w:kern w:val="2"/>
          <w14:ligatures w14:val="standardContextual"/>
        </w:rPr>
        <w:t xml:space="preserve"> risku novēršanai darbavietā un tādu vadībai paredzētu pasākumu ieviešanai, kuru mērķis ir veicināt izpratni par tiesībām būt </w:t>
      </w:r>
      <w:proofErr w:type="spellStart"/>
      <w:r w:rsidRPr="004375F6">
        <w:rPr>
          <w:kern w:val="2"/>
          <w14:ligatures w14:val="standardContextual"/>
        </w:rPr>
        <w:t>bezsaistē</w:t>
      </w:r>
      <w:proofErr w:type="spellEnd"/>
      <w:r w:rsidRPr="004375F6">
        <w:rPr>
          <w:kern w:val="2"/>
          <w14:ligatures w14:val="standardContextual"/>
        </w:rPr>
        <w:t xml:space="preserve"> un pārstrādāšanās risku; mudina EST saglabāt pastiprinātas uzmanības veltīšanu šai problēmai, lai novērstu turpmākus ar izdegšanu saistītus gadījumus, un informēt Parlamentu par šajā sakarā veiktajiem pasākumiem;</w:t>
      </w:r>
    </w:p>
    <w:p w14:paraId="237DD69A"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34.</w:t>
      </w:r>
      <w:r w:rsidRPr="004375F6">
        <w:rPr>
          <w:kern w:val="2"/>
          <w14:ligatures w14:val="standardContextual"/>
        </w:rPr>
        <w:tab/>
        <w:t xml:space="preserve">atzīmē, ka 2023. gadā attiecībā uz vienu EST darbinieku tika sākta administratīva izmeklēšana par iespējamu seksuālas uzmākšanās gadījumu un ka šī lieta tika slēgta 2024. gadā, piemērojot sankcijas; pauž bažas par to, ka 2023. gadā tika sākta arī palīdzības sniegšana procedūra saistībā ar viena tiesneša iespējamu aizskarošu izturēšanos, taču šajā lietā aizskaroša izturēšanās netika konstatēta; norāda, ka 2023. gada martā – tātad pirms Eiropas Padomes Konvencijas par vardarbības pret sievietēm un vardarbības ģimenē novēršanu un apkarošanu ratifikācijas – izveidotā </w:t>
      </w:r>
      <w:proofErr w:type="spellStart"/>
      <w:r w:rsidRPr="004375F6">
        <w:rPr>
          <w:kern w:val="2"/>
          <w14:ligatures w14:val="standardContextual"/>
        </w:rPr>
        <w:t>starpdienestu</w:t>
      </w:r>
      <w:proofErr w:type="spellEnd"/>
      <w:r w:rsidRPr="004375F6">
        <w:rPr>
          <w:kern w:val="2"/>
          <w14:ligatures w14:val="standardContextual"/>
        </w:rPr>
        <w:t xml:space="preserve"> darba grupa izskatīja EST spēkā esošos noteikumus un procedūras aizskarošas izturēšanās novēršanai un sniedza dažus ieteikumus šo noteikumu un procedūru uzlabošanai; mudina EST veikt attiecīgus </w:t>
      </w:r>
      <w:proofErr w:type="spellStart"/>
      <w:r w:rsidRPr="004375F6">
        <w:rPr>
          <w:kern w:val="2"/>
          <w14:ligatures w14:val="standardContextual"/>
        </w:rPr>
        <w:t>pēcpasākumus</w:t>
      </w:r>
      <w:proofErr w:type="spellEnd"/>
      <w:r w:rsidRPr="004375F6">
        <w:rPr>
          <w:kern w:val="2"/>
          <w14:ligatures w14:val="standardContextual"/>
        </w:rPr>
        <w:t xml:space="preserve"> un arī turpmāk neizrādīt nekādu iecietību pret aizskarošu izturēšanos darbavietā, ieviešot visiem tiesnešiem un augstākā līmeņa amatpersonām obligātu apmācību par neapzinātiem aizspriedumiem un ētikas standartiem, lai novērstu varas ļaunprātīgu izmantošanu;</w:t>
      </w:r>
    </w:p>
    <w:p w14:paraId="2D9E929C" w14:textId="77777777" w:rsidR="004375F6" w:rsidRPr="004375F6" w:rsidRDefault="004375F6" w:rsidP="004375F6">
      <w:pPr>
        <w:spacing w:after="240"/>
        <w:ind w:left="567" w:hanging="567"/>
        <w:rPr>
          <w:b/>
          <w:i/>
          <w:kern w:val="2"/>
          <w14:ligatures w14:val="standardContextual"/>
        </w:rPr>
      </w:pPr>
      <w:r w:rsidRPr="004375F6">
        <w:rPr>
          <w:b/>
          <w:i/>
          <w:kern w:val="2"/>
          <w14:ligatures w14:val="standardContextual"/>
        </w:rPr>
        <w:t>Ētikas satvars</w:t>
      </w:r>
    </w:p>
    <w:p w14:paraId="376B3B25"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35.</w:t>
      </w:r>
      <w:r w:rsidRPr="004375F6">
        <w:rPr>
          <w:kern w:val="2"/>
          <w14:ligatures w14:val="standardContextual"/>
        </w:rPr>
        <w:tab/>
        <w:t xml:space="preserve">ar gandarījumu atzīmē, ka, ņemot vērā iepriekšējos budžeta izpildes apstiprināšanas ieteikumos paustās prasības, 2023. gadā tika izstrādāts un 2024. gada martā pieņemts jaunais rīcības kodekss par EST ierēdņu un pārējo darbinieku tiesībām un pienākumiem, kas atspoguļo EST vērtības un apņemšanos ētikas jomā; norāda, ka šajā rīcības kodeksā ir iekļauti noteikumi par interešu konfliktu, lojalitātes, konfidencialitātes un diskrētuma pienākumu, ārējām darbībām, profesionālo darbību pēc aiziešanas no dienesta un publikācijām un ka tas attiecas arī uz norīkotajiem valsts ekspertiem un tiesnešu palīgiem, ko EST uzņem Eiropas Tiesiskās apmācības tīkla ietvaros; atzīmē, ka </w:t>
      </w:r>
      <w:r w:rsidRPr="004375F6">
        <w:rPr>
          <w:kern w:val="2"/>
          <w14:ligatures w14:val="standardContextual"/>
        </w:rPr>
        <w:lastRenderedPageBreak/>
        <w:t xml:space="preserve">2023. gadā personālam un vadītājiem tika organizēti izpratnes veicināšanas pasākumi un uzlabotas mācības par minēto rīcības kodeksu, īpašu uzmanību veltot </w:t>
      </w:r>
      <w:proofErr w:type="spellStart"/>
      <w:r w:rsidRPr="004375F6">
        <w:rPr>
          <w:kern w:val="2"/>
          <w14:ligatures w14:val="standardContextual"/>
        </w:rPr>
        <w:t>jaunpienācējiem</w:t>
      </w:r>
      <w:proofErr w:type="spellEnd"/>
      <w:r w:rsidRPr="004375F6">
        <w:rPr>
          <w:kern w:val="2"/>
          <w14:ligatures w14:val="standardContextual"/>
        </w:rPr>
        <w:t>; prasa ieviest visam personālam paredzētu obligātu regulāru apmācību un pastāvīgi informēt Parlamentu par rīcības kodeksa īstenošanu;</w:t>
      </w:r>
    </w:p>
    <w:p w14:paraId="27C8D76E"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36.</w:t>
      </w:r>
      <w:r w:rsidRPr="004375F6">
        <w:rPr>
          <w:kern w:val="2"/>
          <w14:ligatures w14:val="standardContextual"/>
        </w:rPr>
        <w:tab/>
        <w:t>atzīmē, ka pirms minētā rīcības kodeksa stāšanās spēkā tika paziņoti un saskaņā ar spēkā esošajām procedūrām izskatīti divi iespējami interešu konflikta gadījumi, lai nodrošinātu, ka attiecīgie jaunie darbinieki nav iesaistīti tādu dosjē pārvaldībā, kuri viņiem ir zināmi saistībā ar iepriekšējo darbu;</w:t>
      </w:r>
    </w:p>
    <w:p w14:paraId="5EFD5A65"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37.</w:t>
      </w:r>
      <w:r w:rsidRPr="004375F6">
        <w:rPr>
          <w:kern w:val="2"/>
          <w14:ligatures w14:val="standardContextual"/>
        </w:rPr>
        <w:tab/>
        <w:t>atzīmē, ka pēc EST locekļu un bijušo locekļu rīcības kodeksa pieņemšanas EST locekļu interešu deklarācijas tika publicētas tiešsaistē, lai izvairītos no jebkāda iespējama interešu konflikta lietu izskatīšanā; norāda, ka EST pastāvīgi no jauna izvērtē savus iekšējos noteikumus šajā jomā, lai tos atjauninātu un nodrošinātu augstākos iespējamos ētiskas rīcības standartus; aicina EST izveidot neatkarīgu ētikas komiteju, lai uzraudzītu minētā rīcības kodeksa ievērošanu un izmeklētu iespējamos pārkāpumus; prasa ieviest visam EST personālam, tostarp tiesnešiem un ģenerāladvokātiem, paredzētu obligātu ikgadēju apmācību par ētiku, lai saglabātu Tiesas integritāti; prasa EST informēt Parlamentu par minētā pasākuma – kura mērķis ir novērst interešu konfliktus – efektivitātes turpmākas izvērtēšanas rezultātiem;</w:t>
      </w:r>
    </w:p>
    <w:p w14:paraId="3881C0D0" w14:textId="77777777" w:rsidR="004375F6" w:rsidRPr="004375F6" w:rsidRDefault="004375F6" w:rsidP="004375F6">
      <w:pPr>
        <w:spacing w:after="240"/>
        <w:ind w:left="567" w:hanging="567"/>
        <w:rPr>
          <w:b/>
          <w:i/>
          <w:kern w:val="2"/>
          <w14:ligatures w14:val="standardContextual"/>
        </w:rPr>
      </w:pPr>
      <w:r w:rsidRPr="004375F6">
        <w:rPr>
          <w:kern w:val="2"/>
          <w14:ligatures w14:val="standardContextual"/>
        </w:rPr>
        <w:t>38.</w:t>
      </w:r>
      <w:r w:rsidRPr="004375F6">
        <w:rPr>
          <w:kern w:val="2"/>
          <w14:ligatures w14:val="standardContextual"/>
        </w:rPr>
        <w:tab/>
        <w:t xml:space="preserve">atzinīgi vērtē EST locekļu interešu deklarāciju publicēšanu, taču prasa ieviest standarta procedūru rūpīgai </w:t>
      </w:r>
      <w:proofErr w:type="spellStart"/>
      <w:r w:rsidRPr="004375F6">
        <w:rPr>
          <w:kern w:val="2"/>
          <w14:ligatures w14:val="standardContextual"/>
        </w:rPr>
        <w:t>pirmsiecelšanas</w:t>
      </w:r>
      <w:proofErr w:type="spellEnd"/>
      <w:r w:rsidRPr="004375F6">
        <w:rPr>
          <w:kern w:val="2"/>
          <w14:ligatures w14:val="standardContextual"/>
        </w:rPr>
        <w:t xml:space="preserve"> pārbaudei, lai jau agrīnā stadijā identificētu un mazinātu iespējamos interešu konfliktus; mudina Padomi izstrādāt pārredzamas pamatnostādnes, pēc kurām dalībvalstīm jāvadās, kad tās izvirza kandidātus EST tiesneša amatam;</w:t>
      </w:r>
    </w:p>
    <w:p w14:paraId="64CEC985" w14:textId="77777777" w:rsidR="004375F6" w:rsidRPr="004375F6" w:rsidRDefault="004375F6" w:rsidP="004375F6">
      <w:pPr>
        <w:spacing w:after="240"/>
        <w:ind w:left="567" w:hanging="567"/>
        <w:rPr>
          <w:b/>
          <w:i/>
          <w:kern w:val="2"/>
          <w14:ligatures w14:val="standardContextual"/>
        </w:rPr>
      </w:pPr>
      <w:r w:rsidRPr="004375F6">
        <w:rPr>
          <w:kern w:val="2"/>
          <w14:ligatures w14:val="standardContextual"/>
        </w:rPr>
        <w:t>39.</w:t>
      </w:r>
      <w:r w:rsidRPr="004375F6">
        <w:rPr>
          <w:kern w:val="2"/>
          <w14:ligatures w14:val="standardContextual"/>
        </w:rPr>
        <w:tab/>
        <w:t xml:space="preserve">mudina EST ieviest politiku, kas paredz, ka tiesnešu obligātu atstādināšanu no lietas izskatīšanas gadījumos, kad viņi iepriekš ir bijuši profesionāli saistīti ar kādu no pusēm tiesas lietā; prasa stingrāk pārbaudīt tiesnešu un augsta ranga darbinieku interešu konfliktus, tostarp regulāri atjaunināt finanšu informācijas atklāšanas prasības; prasa publicēt reāllaika lēmumus par tiesnešu atstādināšanu no lietas izskatīšanas gadījumos, kad tiesneši paziņo par interešu konfliktu, tādējādi nodrošinot lielāku </w:t>
      </w:r>
      <w:proofErr w:type="spellStart"/>
      <w:r w:rsidRPr="004375F6">
        <w:rPr>
          <w:kern w:val="2"/>
          <w14:ligatures w14:val="standardContextual"/>
        </w:rPr>
        <w:t>pārredzamību</w:t>
      </w:r>
      <w:proofErr w:type="spellEnd"/>
      <w:r w:rsidRPr="004375F6">
        <w:rPr>
          <w:kern w:val="2"/>
          <w14:ligatures w14:val="standardContextual"/>
        </w:rPr>
        <w:t xml:space="preserve"> tiesas procesā un pastiprinot sabiedrības uzticēšanos EST objektivitātei un integritātei;</w:t>
      </w:r>
    </w:p>
    <w:p w14:paraId="6C15EAF9"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40.</w:t>
      </w:r>
      <w:r w:rsidRPr="004375F6">
        <w:rPr>
          <w:kern w:val="2"/>
          <w14:ligatures w14:val="standardContextual"/>
        </w:rPr>
        <w:tab/>
        <w:t>atzīmē, ka saskaņā ar Statūtu 14. pantu 2023. gadā visi EST locekļi bija Luksemburgas rezidenti;</w:t>
      </w:r>
    </w:p>
    <w:p w14:paraId="1FE455BC"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41.</w:t>
      </w:r>
      <w:r w:rsidRPr="004375F6">
        <w:rPr>
          <w:kern w:val="2"/>
          <w14:ligatures w14:val="standardContextual"/>
        </w:rPr>
        <w:tab/>
        <w:t>atzīmē, ka kopš 2018. gada EST tīmekļa vietnē tiek publicēts gan Tiesas, gan Vispārējās tiesas locekļu veikto ārējo darbību saraksts;</w:t>
      </w:r>
      <w:r w:rsidRPr="004375F6">
        <w:rPr>
          <w:b/>
          <w:i/>
          <w:kern w:val="2"/>
          <w14:ligatures w14:val="standardContextual"/>
        </w:rPr>
        <w:t xml:space="preserve"> </w:t>
      </w:r>
      <w:r w:rsidRPr="004375F6">
        <w:rPr>
          <w:kern w:val="2"/>
          <w14:ligatures w14:val="standardContextual"/>
        </w:rPr>
        <w:t xml:space="preserve">turklāt atzīmē, ka šis saraksts ir grūti lasāms plašākai sabiedrībai, un iesaka to pārskatīt, lai to padarītu skaidrāku un informatīvāku; norāda, ka Tiesas pilnsapulces vai Vispārējās tiesas plenārsēdes iepriekšēja atļauja tiek piešķirta tikai tad, ja ārējā darbība ir saderīga ar rīcības kodeksa prasībām un to locekļu pienākumu būt pieejamiem tiesu darbību veikšanai; prasa EST atbilstoši iepriekšējiem budžeta izpildes apstiprināšanas ieteikumiem informēt budžeta izpildes </w:t>
      </w:r>
      <w:proofErr w:type="spellStart"/>
      <w:r w:rsidRPr="004375F6">
        <w:rPr>
          <w:kern w:val="2"/>
          <w14:ligatures w14:val="standardContextual"/>
        </w:rPr>
        <w:t>apstiprinātājiestādi</w:t>
      </w:r>
      <w:proofErr w:type="spellEnd"/>
      <w:r w:rsidRPr="004375F6">
        <w:rPr>
          <w:kern w:val="2"/>
          <w14:ligatures w14:val="standardContextual"/>
        </w:rPr>
        <w:t xml:space="preserve"> par visām iniciatīvām, kuru mērķis ir uzlabot ar ārējām darbībām saistītās informācijas lasāmību;</w:t>
      </w:r>
    </w:p>
    <w:p w14:paraId="15B9C9C4"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42.</w:t>
      </w:r>
      <w:r w:rsidRPr="004375F6">
        <w:rPr>
          <w:kern w:val="2"/>
          <w14:ligatures w14:val="standardContextual"/>
        </w:rPr>
        <w:tab/>
        <w:t xml:space="preserve">atzīmē, ka 2021. gadā atjauninātie noteikumi, kas reglamentē EST locekļu braucienus, komandējumus un šoferu un automobiļu izmantošanu, paredz, ka EST sedz tikai tās pamatdarbības izmaksas, kuras attiecas uz automobiļa izmantošanu nolūkiem, kuri </w:t>
      </w:r>
      <w:r w:rsidRPr="004375F6">
        <w:rPr>
          <w:kern w:val="2"/>
          <w14:ligatures w14:val="standardContextual"/>
        </w:rPr>
        <w:lastRenderedPageBreak/>
        <w:t xml:space="preserve">saistīti ar komandējuma rīkojuma izpildi vai EST locekļa pilnvaru īstenošanu 10 000 km robežās; atkārtoti pauž viedokli, ka nekādā gadījumā nav pieļaujama autoparka izmantošanai nolūkiem, kas nav saistīti tikai ar EST locekļu pienākumu veikšanu, un norāda – EST ir paziņojusi, ka tā pašlaik apspriežas ar citām iestādēm, lai nodrošinātu saskaņotu noteikumu kopumu par dienesta transportlīdzekļu izmantošanu, vienlaikus ievērojot katras iestādes autonomiju; aicina visas Savienības institūcijas vienoties par vienu horizontāli piemērojamu sistēmu, kas mazinātu neskaidrību un palielinātu </w:t>
      </w:r>
      <w:proofErr w:type="spellStart"/>
      <w:r w:rsidRPr="004375F6">
        <w:rPr>
          <w:kern w:val="2"/>
          <w14:ligatures w14:val="standardContextual"/>
        </w:rPr>
        <w:t>pārredzamību</w:t>
      </w:r>
      <w:proofErr w:type="spellEnd"/>
      <w:r w:rsidRPr="004375F6">
        <w:rPr>
          <w:kern w:val="2"/>
          <w14:ligatures w14:val="standardContextual"/>
        </w:rPr>
        <w:t xml:space="preserve"> un efektivitāti publisko līdzekļu izmantošanā; prasa EST pastāvīgi informēt Parlamentu par jebkādu progresu šajā jautājumā;</w:t>
      </w:r>
    </w:p>
    <w:p w14:paraId="137E2E16"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43.</w:t>
      </w:r>
      <w:r w:rsidRPr="004375F6">
        <w:rPr>
          <w:kern w:val="2"/>
          <w14:ligatures w14:val="standardContextual"/>
        </w:rPr>
        <w:tab/>
        <w:t xml:space="preserve">atzīmē, ka 2023. gadā tika slēgta </w:t>
      </w:r>
      <w:r w:rsidRPr="004375F6">
        <w:rPr>
          <w:i/>
          <w:kern w:val="2"/>
          <w14:ligatures w14:val="standardContextual"/>
        </w:rPr>
        <w:t>OLAF</w:t>
      </w:r>
      <w:r w:rsidRPr="004375F6">
        <w:rPr>
          <w:kern w:val="2"/>
          <w14:ligatures w14:val="standardContextual"/>
        </w:rPr>
        <w:t xml:space="preserve"> lieta, kura minēta iepriekšējās rezolūcijās par budžeta izpildes apstiprināšanu un kura attiecās uz kāda darbinieka rīcību, kas varētu būt nopietns viņa pienākumu neizpildes gadījums; norāda, ka EST nav zināma neviena jauna 2023. gadā </w:t>
      </w:r>
      <w:r w:rsidRPr="004375F6">
        <w:rPr>
          <w:i/>
          <w:kern w:val="2"/>
          <w14:ligatures w14:val="standardContextual"/>
        </w:rPr>
        <w:t>OLAF</w:t>
      </w:r>
      <w:r w:rsidRPr="004375F6">
        <w:rPr>
          <w:kern w:val="2"/>
          <w14:ligatures w14:val="standardContextual"/>
        </w:rPr>
        <w:t xml:space="preserve"> veikta izmeklēšana vai izdots ieteikums;</w:t>
      </w:r>
    </w:p>
    <w:p w14:paraId="6ABAB936"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44.</w:t>
      </w:r>
      <w:r w:rsidRPr="004375F6">
        <w:rPr>
          <w:kern w:val="2"/>
          <w14:ligatures w14:val="standardContextual"/>
        </w:rPr>
        <w:tab/>
        <w:t>atzīmē, ka EST 2023. gadā nav ziņojusi par krāpšanas, korupcijas vai Savienības līdzekļu ļaunprātīgas izmantošanas gadījumiem; norāda, ka EST krāpšanas apkarošanas stratēģija ir neatņemama daļa no tās integrētā iekšējās kontroles un riska pārvaldības satvara un ka tajā īpaša uzmanība ir veltīta informācijas nepareizas atklāšanas riskam;</w:t>
      </w:r>
    </w:p>
    <w:p w14:paraId="186047CD" w14:textId="77777777" w:rsidR="004375F6" w:rsidRPr="004375F6" w:rsidRDefault="004375F6" w:rsidP="004375F6">
      <w:pPr>
        <w:spacing w:after="240"/>
        <w:ind w:left="567" w:hanging="567"/>
        <w:rPr>
          <w:b/>
          <w:i/>
          <w:kern w:val="2"/>
          <w14:ligatures w14:val="standardContextual"/>
        </w:rPr>
      </w:pPr>
      <w:proofErr w:type="spellStart"/>
      <w:r w:rsidRPr="004375F6">
        <w:rPr>
          <w:b/>
          <w:i/>
          <w:kern w:val="2"/>
          <w14:ligatures w14:val="standardContextual"/>
        </w:rPr>
        <w:t>Pārredzamība</w:t>
      </w:r>
      <w:proofErr w:type="spellEnd"/>
      <w:r w:rsidRPr="004375F6">
        <w:rPr>
          <w:b/>
          <w:i/>
          <w:kern w:val="2"/>
          <w14:ligatures w14:val="standardContextual"/>
        </w:rPr>
        <w:t xml:space="preserve"> un tiesu iestāžu pieejamība iedzīvotājiem</w:t>
      </w:r>
    </w:p>
    <w:p w14:paraId="40AF4EA0"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45.</w:t>
      </w:r>
      <w:r w:rsidRPr="004375F6">
        <w:rPr>
          <w:kern w:val="2"/>
          <w14:ligatures w14:val="standardContextual"/>
        </w:rPr>
        <w:tab/>
        <w:t xml:space="preserve">atzinīgi vērtē EST apņemšanos uzlabot </w:t>
      </w:r>
      <w:proofErr w:type="spellStart"/>
      <w:r w:rsidRPr="004375F6">
        <w:rPr>
          <w:kern w:val="2"/>
          <w14:ligatures w14:val="standardContextual"/>
        </w:rPr>
        <w:t>pārredzamību</w:t>
      </w:r>
      <w:proofErr w:type="spellEnd"/>
      <w:r w:rsidRPr="004375F6">
        <w:rPr>
          <w:kern w:val="2"/>
          <w14:ligatures w14:val="standardContextual"/>
        </w:rPr>
        <w:t>, tiesu iestāžu pieejamību un publisko atklātību, tādējādi veicinot sabiedrības uzticēšanos Savienības institūcijām;</w:t>
      </w:r>
    </w:p>
    <w:p w14:paraId="20683116"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46.</w:t>
      </w:r>
      <w:r w:rsidRPr="004375F6">
        <w:rPr>
          <w:kern w:val="2"/>
          <w14:ligatures w14:val="standardContextual"/>
        </w:rPr>
        <w:tab/>
        <w:t xml:space="preserve">atzīmē, ka 2023. gadā EST konsolidēja Tiesas un Vispārējās tiesas sēžu straumēšanas pakalpojumu </w:t>
      </w:r>
      <w:proofErr w:type="spellStart"/>
      <w:r w:rsidRPr="004375F6">
        <w:rPr>
          <w:i/>
          <w:kern w:val="2"/>
          <w14:ligatures w14:val="standardContextual"/>
        </w:rPr>
        <w:t>Curia</w:t>
      </w:r>
      <w:proofErr w:type="spellEnd"/>
      <w:r w:rsidRPr="004375F6">
        <w:rPr>
          <w:kern w:val="2"/>
          <w14:ligatures w14:val="standardContextual"/>
        </w:rPr>
        <w:t xml:space="preserve"> tīmekļa vietnē, tādējādi atvieglojot iedzīvotāju piekļuvi EST tiesu darbībām; atzinīgi vērtē struktūras, funkcionalitātes un satura ziņā veiktos uzlabojumus </w:t>
      </w:r>
      <w:proofErr w:type="spellStart"/>
      <w:r w:rsidRPr="004375F6">
        <w:rPr>
          <w:i/>
          <w:iCs/>
          <w:kern w:val="2"/>
          <w14:ligatures w14:val="standardContextual"/>
        </w:rPr>
        <w:t>Curia</w:t>
      </w:r>
      <w:proofErr w:type="spellEnd"/>
      <w:r w:rsidRPr="004375F6">
        <w:rPr>
          <w:kern w:val="2"/>
          <w14:ligatures w14:val="standardContextual"/>
        </w:rPr>
        <w:t xml:space="preserve"> tīmekļa vietnē; atzinīgi vērtē to, ka kopš 2023. gada </w:t>
      </w:r>
      <w:proofErr w:type="spellStart"/>
      <w:r w:rsidRPr="004375F6">
        <w:rPr>
          <w:i/>
          <w:kern w:val="2"/>
          <w14:ligatures w14:val="standardContextual"/>
        </w:rPr>
        <w:t>Curia</w:t>
      </w:r>
      <w:proofErr w:type="spellEnd"/>
      <w:r w:rsidRPr="004375F6">
        <w:rPr>
          <w:kern w:val="2"/>
          <w14:ligatures w14:val="standardContextual"/>
        </w:rPr>
        <w:t xml:space="preserve"> tīmekļa vietnē tiešraidē tiek pārraidīta Tiesas spriedumu pasludināšana, ģenerāladvokātu atzinumu lasīšana, </w:t>
      </w:r>
      <w:proofErr w:type="spellStart"/>
      <w:r w:rsidRPr="004375F6">
        <w:rPr>
          <w:kern w:val="2"/>
          <w14:ligatures w14:val="standardContextual"/>
        </w:rPr>
        <w:t>virspalātas</w:t>
      </w:r>
      <w:proofErr w:type="spellEnd"/>
      <w:r w:rsidRPr="004375F6">
        <w:rPr>
          <w:kern w:val="2"/>
          <w14:ligatures w14:val="standardContextual"/>
        </w:rPr>
        <w:t xml:space="preserve"> sēdes un dažas to palātu sēdes, kurās piedalās pieci tiesneši; aicina EST vēl vairāk uzlabot </w:t>
      </w:r>
      <w:proofErr w:type="spellStart"/>
      <w:r w:rsidRPr="004375F6">
        <w:rPr>
          <w:kern w:val="2"/>
          <w14:ligatures w14:val="standardContextual"/>
        </w:rPr>
        <w:t>pārredzamību</w:t>
      </w:r>
      <w:proofErr w:type="spellEnd"/>
      <w:r w:rsidRPr="004375F6">
        <w:rPr>
          <w:kern w:val="2"/>
          <w14:ligatures w14:val="standardContextual"/>
        </w:rPr>
        <w:t>, savā tīmekļa vietnē pārraidot visas Tiesas un Vispārējās tiesas sēdes un pastāvīgi glabājot tās tiešsaistē;</w:t>
      </w:r>
    </w:p>
    <w:p w14:paraId="582FCE1D"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47.</w:t>
      </w:r>
      <w:r w:rsidRPr="004375F6">
        <w:rPr>
          <w:kern w:val="2"/>
          <w14:ligatures w14:val="standardContextual"/>
        </w:rPr>
        <w:tab/>
        <w:t xml:space="preserve">atzinīgi vērtē to, ka pēc EST statūtu reformas tā publicēs procesuālos rakstus vai rakstveida apsvērumus, kas iesniegti prejudiciālā nolēmuma tiesvedībā, pēc šādas tiesvedības izbeigšanas, izņemot gadījumus, kad ir izteikti iebildumi pret personas procesuālā raksta vai rakstveida apsvērumu publicēšanu; uzsver, ka šāda publicēšana uzlabos </w:t>
      </w:r>
      <w:proofErr w:type="spellStart"/>
      <w:r w:rsidRPr="004375F6">
        <w:rPr>
          <w:kern w:val="2"/>
          <w14:ligatures w14:val="standardContextual"/>
        </w:rPr>
        <w:t>pārredzamību</w:t>
      </w:r>
      <w:proofErr w:type="spellEnd"/>
      <w:r w:rsidRPr="004375F6">
        <w:rPr>
          <w:kern w:val="2"/>
          <w14:ligatures w14:val="standardContextual"/>
        </w:rPr>
        <w:t xml:space="preserve"> un tiesu iestāžu pieejamību iedzīvotājiem, un aicina EST savā tīmekļa vietnē publicēt visus ar lietu saistītos dokumentus; aicina EST ieviest procedūru, ko jebkura persona varētu izmantot, lai uz vietas EST piekļūtu visiem ar lietu saistītajiem dokumentiem;</w:t>
      </w:r>
    </w:p>
    <w:p w14:paraId="3D03266C"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48.</w:t>
      </w:r>
      <w:r w:rsidRPr="004375F6">
        <w:rPr>
          <w:kern w:val="2"/>
          <w14:ligatures w14:val="standardContextual"/>
        </w:rPr>
        <w:tab/>
        <w:t>atzīmē, ka Vispārējā tiesa 2023. gada aprīlī un Tiesa 2024. gada septembrī pieņēma noteikumus par videokonferences izmantošanu, saskaņā ar kuriem jebkura no pusēm var pieprasīt videokonferences izmantošanu, ja drošības vai citu nopietnu iemeslu dēļ šīs puses pārstāvis tiesas sēdē nevar piedalīties klātienē;</w:t>
      </w:r>
    </w:p>
    <w:p w14:paraId="3CE5C8B0"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49.</w:t>
      </w:r>
      <w:r w:rsidRPr="004375F6">
        <w:rPr>
          <w:kern w:val="2"/>
          <w14:ligatures w14:val="standardContextual"/>
        </w:rPr>
        <w:tab/>
        <w:t xml:space="preserve">norāda, ka noteikumi, kas noteikti ar EST 2019. gada 26. novembra lēmumu par publisku piekļuvi dokumentiem, kuri ir EST rīcībā, tai pildot savas administratīvās funkcijas, neattiecas uz dokumentiem, piekļuvi kuriem reglamentē Tiesu Reglaments; </w:t>
      </w:r>
      <w:r w:rsidRPr="004375F6">
        <w:rPr>
          <w:kern w:val="2"/>
          <w14:ligatures w14:val="standardContextual"/>
        </w:rPr>
        <w:lastRenderedPageBreak/>
        <w:t xml:space="preserve">atzīmē, ka EST 2023. gadā ir reģistrējusi 21 pieprasījumu attiecībā uz publisku piekļuvi administratīviem dokumentiem un 12 gadījumos piešķīra piekļuvi šādiem dokumentiem; norāda, ka Eiropas </w:t>
      </w:r>
      <w:proofErr w:type="spellStart"/>
      <w:r w:rsidRPr="004375F6">
        <w:rPr>
          <w:kern w:val="2"/>
          <w14:ligatures w14:val="standardContextual"/>
        </w:rPr>
        <w:t>Ombuds</w:t>
      </w:r>
      <w:proofErr w:type="spellEnd"/>
      <w:r w:rsidRPr="004375F6">
        <w:rPr>
          <w:kern w:val="2"/>
          <w14:ligatures w14:val="standardContextual"/>
        </w:rPr>
        <w:t xml:space="preserve"> 2023. gadā nav konstatējis nevienu EST pieļautas administratīvas kļūmes gadījumu;</w:t>
      </w:r>
    </w:p>
    <w:p w14:paraId="5650DE67"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50.</w:t>
      </w:r>
      <w:r w:rsidRPr="004375F6">
        <w:rPr>
          <w:kern w:val="2"/>
          <w14:ligatures w14:val="standardContextual"/>
        </w:rPr>
        <w:tab/>
        <w:t xml:space="preserve">aicina EST vienkāršot konkrētu nolēmumu meklēšanas procesu </w:t>
      </w:r>
      <w:r w:rsidRPr="004375F6">
        <w:rPr>
          <w:i/>
          <w:iCs/>
          <w:kern w:val="2"/>
          <w14:ligatures w14:val="standardContextual"/>
        </w:rPr>
        <w:t>e-</w:t>
      </w:r>
      <w:proofErr w:type="spellStart"/>
      <w:r w:rsidRPr="004375F6">
        <w:rPr>
          <w:i/>
          <w:iCs/>
          <w:kern w:val="2"/>
          <w14:ligatures w14:val="standardContextual"/>
        </w:rPr>
        <w:t>Curia</w:t>
      </w:r>
      <w:proofErr w:type="spellEnd"/>
      <w:r w:rsidRPr="004375F6">
        <w:rPr>
          <w:kern w:val="2"/>
          <w14:ligatures w14:val="standardContextual"/>
        </w:rPr>
        <w:t xml:space="preserve">; atzinīgi vērtē centienus padarīt </w:t>
      </w:r>
      <w:proofErr w:type="spellStart"/>
      <w:r w:rsidRPr="004375F6">
        <w:rPr>
          <w:kern w:val="2"/>
          <w14:ligatures w14:val="standardContextual"/>
        </w:rPr>
        <w:t>saskarni</w:t>
      </w:r>
      <w:proofErr w:type="spellEnd"/>
      <w:r w:rsidRPr="004375F6">
        <w:rPr>
          <w:kern w:val="2"/>
          <w14:ligatures w14:val="standardContextual"/>
        </w:rPr>
        <w:t xml:space="preserve"> lietotājam draudzīgāku un intuitīvāku;</w:t>
      </w:r>
    </w:p>
    <w:p w14:paraId="777106C8" w14:textId="77777777" w:rsidR="004375F6" w:rsidRPr="004375F6" w:rsidRDefault="004375F6" w:rsidP="004375F6">
      <w:pPr>
        <w:spacing w:after="240"/>
        <w:ind w:left="567" w:hanging="567"/>
        <w:rPr>
          <w:b/>
          <w:i/>
          <w:kern w:val="2"/>
          <w14:ligatures w14:val="standardContextual"/>
        </w:rPr>
      </w:pPr>
      <w:proofErr w:type="spellStart"/>
      <w:r w:rsidRPr="004375F6">
        <w:rPr>
          <w:b/>
          <w:i/>
          <w:kern w:val="2"/>
          <w14:ligatures w14:val="standardContextual"/>
        </w:rPr>
        <w:t>Digitalizācija</w:t>
      </w:r>
      <w:proofErr w:type="spellEnd"/>
      <w:r w:rsidRPr="004375F6">
        <w:rPr>
          <w:b/>
          <w:i/>
          <w:kern w:val="2"/>
          <w14:ligatures w14:val="standardContextual"/>
        </w:rPr>
        <w:t xml:space="preserve">, </w:t>
      </w:r>
      <w:proofErr w:type="spellStart"/>
      <w:r w:rsidRPr="004375F6">
        <w:rPr>
          <w:b/>
          <w:i/>
          <w:kern w:val="2"/>
          <w14:ligatures w14:val="standardContextual"/>
        </w:rPr>
        <w:t>kiberdrošība</w:t>
      </w:r>
      <w:proofErr w:type="spellEnd"/>
      <w:r w:rsidRPr="004375F6">
        <w:rPr>
          <w:b/>
          <w:i/>
          <w:kern w:val="2"/>
          <w14:ligatures w14:val="standardContextual"/>
        </w:rPr>
        <w:t xml:space="preserve"> un datu aizsardzība</w:t>
      </w:r>
    </w:p>
    <w:p w14:paraId="461E200A"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51.</w:t>
      </w:r>
      <w:r w:rsidRPr="004375F6">
        <w:rPr>
          <w:kern w:val="2"/>
          <w14:ligatures w14:val="standardContextual"/>
        </w:rPr>
        <w:tab/>
        <w:t xml:space="preserve">atzīmē, ka 2023. gadā salīdzinājumā ar 2022. gadu budžeta izdevumi IT projektiem palielinājās par 10,9 %, IT aprīkojumam – par 13 %, </w:t>
      </w:r>
      <w:proofErr w:type="spellStart"/>
      <w:r w:rsidRPr="004375F6">
        <w:rPr>
          <w:kern w:val="2"/>
          <w14:ligatures w14:val="standardContextual"/>
        </w:rPr>
        <w:t>kiberdrošības</w:t>
      </w:r>
      <w:proofErr w:type="spellEnd"/>
      <w:r w:rsidRPr="004375F6">
        <w:rPr>
          <w:kern w:val="2"/>
          <w14:ligatures w14:val="standardContextual"/>
        </w:rPr>
        <w:t xml:space="preserve"> projektiem – par 59 % un </w:t>
      </w:r>
      <w:proofErr w:type="spellStart"/>
      <w:r w:rsidRPr="004375F6">
        <w:rPr>
          <w:kern w:val="2"/>
          <w14:ligatures w14:val="standardContextual"/>
        </w:rPr>
        <w:t>kiberdrošības</w:t>
      </w:r>
      <w:proofErr w:type="spellEnd"/>
      <w:r w:rsidRPr="004375F6">
        <w:rPr>
          <w:kern w:val="2"/>
          <w14:ligatures w14:val="standardContextual"/>
        </w:rPr>
        <w:t xml:space="preserve"> pakalpojumiem, licencēm un aprīkojumam – par 72 %;</w:t>
      </w:r>
    </w:p>
    <w:p w14:paraId="0CC0035E"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52.</w:t>
      </w:r>
      <w:r w:rsidRPr="004375F6">
        <w:rPr>
          <w:kern w:val="2"/>
          <w14:ligatures w14:val="standardContextual"/>
        </w:rPr>
        <w:tab/>
        <w:t xml:space="preserve">norāda, ka 2023. gadā prioritāti saglabāja svarīgu </w:t>
      </w:r>
      <w:proofErr w:type="spellStart"/>
      <w:r w:rsidRPr="004375F6">
        <w:rPr>
          <w:kern w:val="2"/>
          <w14:ligatures w14:val="standardContextual"/>
        </w:rPr>
        <w:t>digitalizācijas</w:t>
      </w:r>
      <w:proofErr w:type="spellEnd"/>
      <w:r w:rsidRPr="004375F6">
        <w:rPr>
          <w:kern w:val="2"/>
          <w14:ligatures w14:val="standardContextual"/>
        </w:rPr>
        <w:t xml:space="preserve"> projektu īstenošana digitālās pārveides stratēģijas ietvaros, piemēram, integrētas lietu pārvaldības sistēmas (</w:t>
      </w:r>
      <w:r w:rsidRPr="004375F6">
        <w:rPr>
          <w:i/>
          <w:kern w:val="2"/>
          <w14:ligatures w14:val="standardContextual"/>
        </w:rPr>
        <w:t>SIGA</w:t>
      </w:r>
      <w:r w:rsidRPr="004375F6">
        <w:rPr>
          <w:kern w:val="2"/>
          <w14:ligatures w14:val="standardContextual"/>
        </w:rPr>
        <w:t xml:space="preserve">) izstrāde, lietojumprogrammas </w:t>
      </w:r>
      <w:r w:rsidRPr="004375F6">
        <w:rPr>
          <w:i/>
          <w:kern w:val="2"/>
          <w14:ligatures w14:val="standardContextual"/>
        </w:rPr>
        <w:t>e-</w:t>
      </w:r>
      <w:proofErr w:type="spellStart"/>
      <w:r w:rsidRPr="004375F6">
        <w:rPr>
          <w:i/>
          <w:kern w:val="2"/>
          <w14:ligatures w14:val="standardContextual"/>
        </w:rPr>
        <w:t>Curia</w:t>
      </w:r>
      <w:proofErr w:type="spellEnd"/>
      <w:r w:rsidRPr="004375F6">
        <w:rPr>
          <w:kern w:val="2"/>
          <w14:ligatures w14:val="standardContextual"/>
        </w:rPr>
        <w:t xml:space="preserve"> izmantošana veicināšanas procesuālo dokumentu iesniegšanai un paziņošanai ar elektroniskiem līdzekļiem, e-paraksta pieņemšana un </w:t>
      </w:r>
      <w:r w:rsidRPr="004375F6">
        <w:rPr>
          <w:i/>
          <w:kern w:val="2"/>
          <w14:ligatures w14:val="standardContextual"/>
        </w:rPr>
        <w:t>HAN/</w:t>
      </w:r>
      <w:proofErr w:type="spellStart"/>
      <w:r w:rsidRPr="004375F6">
        <w:rPr>
          <w:i/>
          <w:kern w:val="2"/>
          <w14:ligatures w14:val="standardContextual"/>
        </w:rPr>
        <w:t>Ares</w:t>
      </w:r>
      <w:proofErr w:type="spellEnd"/>
      <w:r w:rsidRPr="004375F6">
        <w:rPr>
          <w:kern w:val="2"/>
          <w14:ligatures w14:val="standardContextual"/>
        </w:rPr>
        <w:t xml:space="preserve"> elektronisko dokumentu reģistrēšanas un pārvaldības sistēmas ieviešana; atzīmē, ka EST seko līdzi </w:t>
      </w:r>
      <w:proofErr w:type="spellStart"/>
      <w:r w:rsidRPr="004375F6">
        <w:rPr>
          <w:kern w:val="2"/>
          <w14:ligatures w14:val="standardContextual"/>
        </w:rPr>
        <w:t>digitalizācijas</w:t>
      </w:r>
      <w:proofErr w:type="spellEnd"/>
      <w:r w:rsidRPr="004375F6">
        <w:rPr>
          <w:kern w:val="2"/>
          <w14:ligatures w14:val="standardContextual"/>
        </w:rPr>
        <w:t xml:space="preserve"> projektos veikto investīciju </w:t>
      </w:r>
      <w:proofErr w:type="spellStart"/>
      <w:r w:rsidRPr="004375F6">
        <w:rPr>
          <w:kern w:val="2"/>
          <w14:ligatures w14:val="standardContextual"/>
        </w:rPr>
        <w:t>atdevei</w:t>
      </w:r>
      <w:proofErr w:type="spellEnd"/>
      <w:r w:rsidRPr="004375F6">
        <w:rPr>
          <w:kern w:val="2"/>
          <w14:ligatures w14:val="standardContextual"/>
        </w:rPr>
        <w:t xml:space="preserve"> izmaksu un resursu izmantošanas efektivitātes ziņā, un aicina EST informēt budžeta izpildes </w:t>
      </w:r>
      <w:proofErr w:type="spellStart"/>
      <w:r w:rsidRPr="004375F6">
        <w:rPr>
          <w:kern w:val="2"/>
          <w14:ligatures w14:val="standardContextual"/>
        </w:rPr>
        <w:t>apstiprinātājiestādi</w:t>
      </w:r>
      <w:proofErr w:type="spellEnd"/>
      <w:r w:rsidRPr="004375F6">
        <w:rPr>
          <w:kern w:val="2"/>
          <w14:ligatures w14:val="standardContextual"/>
        </w:rPr>
        <w:t xml:space="preserve"> par saviem konstatējumiem šajā jomā;</w:t>
      </w:r>
    </w:p>
    <w:p w14:paraId="3D4DD78F"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53.</w:t>
      </w:r>
      <w:r w:rsidRPr="004375F6">
        <w:rPr>
          <w:kern w:val="2"/>
          <w14:ligatures w14:val="standardContextual"/>
        </w:rPr>
        <w:tab/>
        <w:t xml:space="preserve">norāda, ka EST savas visaptverošās iniciatīvas – palielināt </w:t>
      </w:r>
      <w:proofErr w:type="spellStart"/>
      <w:r w:rsidRPr="004375F6">
        <w:rPr>
          <w:kern w:val="2"/>
          <w14:ligatures w14:val="standardContextual"/>
        </w:rPr>
        <w:t>piekļūstamību</w:t>
      </w:r>
      <w:proofErr w:type="spellEnd"/>
      <w:r w:rsidRPr="004375F6">
        <w:rPr>
          <w:kern w:val="2"/>
          <w14:ligatures w14:val="standardContextual"/>
        </w:rPr>
        <w:t xml:space="preserve"> un iekļaušanu neaizsargātām personām – ietvaros ir turpinājusi īstenot pieeju “</w:t>
      </w:r>
      <w:proofErr w:type="spellStart"/>
      <w:r w:rsidRPr="004375F6">
        <w:rPr>
          <w:kern w:val="2"/>
          <w14:ligatures w14:val="standardContextual"/>
        </w:rPr>
        <w:t>piekļūstamība</w:t>
      </w:r>
      <w:proofErr w:type="spellEnd"/>
      <w:r w:rsidRPr="004375F6">
        <w:rPr>
          <w:kern w:val="2"/>
          <w14:ligatures w14:val="standardContextual"/>
        </w:rPr>
        <w:t xml:space="preserve"> no projekta stadijas” attiecībā uz jebkādām izmaiņām savās IT sistēmās un to attīstību; atzīmē, ka pēc </w:t>
      </w:r>
      <w:proofErr w:type="spellStart"/>
      <w:r w:rsidRPr="004375F6">
        <w:rPr>
          <w:i/>
          <w:kern w:val="2"/>
          <w14:ligatures w14:val="standardContextual"/>
        </w:rPr>
        <w:t>Curia</w:t>
      </w:r>
      <w:proofErr w:type="spellEnd"/>
      <w:r w:rsidRPr="004375F6">
        <w:rPr>
          <w:kern w:val="2"/>
          <w14:ligatures w14:val="standardContextual"/>
        </w:rPr>
        <w:t xml:space="preserve"> tīmekļa vietnes revīzijas EST sāka uzlabot vietnes pieejamību plašam lietotāju lokam, piemēram, cilvēkiem ar redzes, dzirdes vai mācīšanās traucējumiem;</w:t>
      </w:r>
    </w:p>
    <w:p w14:paraId="6E535B71" w14:textId="77777777" w:rsidR="004375F6" w:rsidRPr="004375F6" w:rsidRDefault="004375F6" w:rsidP="004375F6">
      <w:pPr>
        <w:spacing w:after="240"/>
        <w:ind w:left="567" w:hanging="567"/>
        <w:rPr>
          <w:i/>
          <w:kern w:val="2"/>
          <w14:ligatures w14:val="standardContextual"/>
        </w:rPr>
      </w:pPr>
      <w:r w:rsidRPr="004375F6">
        <w:rPr>
          <w:kern w:val="2"/>
          <w14:ligatures w14:val="standardContextual"/>
        </w:rPr>
        <w:t>54.</w:t>
      </w:r>
      <w:r w:rsidRPr="004375F6">
        <w:rPr>
          <w:kern w:val="2"/>
          <w14:ligatures w14:val="standardContextual"/>
        </w:rPr>
        <w:tab/>
        <w:t xml:space="preserve">norāda, ka EST saskaņā ar 2023. gada jūnijā pieņemto jauno MI integrācijas stratēģiju ir īstenojusi vairākus uz MI balstītus projektus, tādus kā dokumentu analīzes automatizācija atsaucēm uz piemērojamiem tiesību aktiem un atbalsts rēķinu pārbaudē, izmantojot robotizētus procesus un tiesas sēdes transkripciju; uzsver, ka ir ļoti svarīgi, lai MI tiktu izmantots tādā veidā, kas pilnībā saglabā tiesvedības neatkarību, kvalitāti un </w:t>
      </w:r>
      <w:proofErr w:type="spellStart"/>
      <w:r w:rsidRPr="004375F6">
        <w:rPr>
          <w:kern w:val="2"/>
          <w14:ligatures w14:val="standardContextual"/>
        </w:rPr>
        <w:t>pārredzamību</w:t>
      </w:r>
      <w:proofErr w:type="spellEnd"/>
      <w:r w:rsidRPr="004375F6">
        <w:rPr>
          <w:kern w:val="2"/>
          <w14:ligatures w14:val="standardContextual"/>
        </w:rPr>
        <w:t xml:space="preserve">, pilnībā ņem vērā ētikas jautājumus un tiek izmantots cilvēku pārraudzībā un vienmēr atļaujot cilvēku iejaukšanos, lai izvairītos no nelabvēlīgām sekām vai riska un apturētu sistēmu, ja tā nedarbojas, kā bija paredzēts; atzīmē, ka šīs stratēģijas ietvaros EST izveidoja MI valdi, kura sastāv no Tiesas un Vispārējās tiesas locekļiem un kuras uzdevums ir pārraudzīt MI izmantošanas ētiskos aspektus EST un noteikt skaidras robežas tā izmantošanai; atzinīgi vērtē MI valdes izdotās personālam paredzētās pamatnostādnes par MI izmantošanu; atzinīgi vērtē arī iniciatīvas, kas ieviestas, lai uzlabotu darbinieku digitālās prasmes, izmantojot mācību kursu, kurš izstrādāts sadarbībā ar Iestāžu komiteju digitālās pārveides jautājumos; uzsver, ka tiesu sistēmas </w:t>
      </w:r>
      <w:proofErr w:type="spellStart"/>
      <w:r w:rsidRPr="004375F6">
        <w:rPr>
          <w:kern w:val="2"/>
          <w14:ligatures w14:val="standardContextual"/>
        </w:rPr>
        <w:t>digitalizācija</w:t>
      </w:r>
      <w:proofErr w:type="spellEnd"/>
      <w:r w:rsidRPr="004375F6">
        <w:rPr>
          <w:kern w:val="2"/>
          <w14:ligatures w14:val="standardContextual"/>
        </w:rPr>
        <w:t xml:space="preserve"> un jaunu tehnoloģiju, tādu kā MI, pieņemšana sniegs būtiskas priekšrocības EST efektīvai darbībai; tomēr iesaka EST paredzēt ar tām saistīto </w:t>
      </w:r>
      <w:proofErr w:type="spellStart"/>
      <w:r w:rsidRPr="004375F6">
        <w:rPr>
          <w:kern w:val="2"/>
          <w14:ligatures w14:val="standardContextual"/>
        </w:rPr>
        <w:t>kiberdrošības</w:t>
      </w:r>
      <w:proofErr w:type="spellEnd"/>
      <w:r w:rsidRPr="004375F6">
        <w:rPr>
          <w:kern w:val="2"/>
          <w14:ligatures w14:val="standardContextual"/>
        </w:rPr>
        <w:t xml:space="preserve"> risku un vēl vairāk pastiprināt sadarbību ar ES </w:t>
      </w:r>
      <w:proofErr w:type="spellStart"/>
      <w:r w:rsidRPr="004375F6">
        <w:rPr>
          <w:kern w:val="2"/>
          <w14:ligatures w14:val="standardContextual"/>
        </w:rPr>
        <w:t>Kiberdrošības</w:t>
      </w:r>
      <w:proofErr w:type="spellEnd"/>
      <w:r w:rsidRPr="004375F6">
        <w:rPr>
          <w:kern w:val="2"/>
          <w14:ligatures w14:val="standardContextual"/>
        </w:rPr>
        <w:t xml:space="preserve"> aģentūru un </w:t>
      </w:r>
      <w:r w:rsidRPr="004375F6">
        <w:rPr>
          <w:i/>
          <w:iCs/>
          <w:kern w:val="2"/>
          <w14:ligatures w14:val="standardContextual"/>
        </w:rPr>
        <w:t>CERT-EU</w:t>
      </w:r>
      <w:r w:rsidRPr="004375F6">
        <w:rPr>
          <w:kern w:val="2"/>
          <w14:ligatures w14:val="standardContextual"/>
        </w:rPr>
        <w:t>;</w:t>
      </w:r>
    </w:p>
    <w:p w14:paraId="0EE7FDBB"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55.</w:t>
      </w:r>
      <w:r w:rsidRPr="004375F6">
        <w:rPr>
          <w:kern w:val="2"/>
          <w14:ligatures w14:val="standardContextual"/>
        </w:rPr>
        <w:tab/>
        <w:t xml:space="preserve">atzīmē, ka 2023. gadā EDAU no EST nebija saņēmis nevienu informācijas pieprasījumu; norāda, ka 2023. gadā pēc izmeklēšanas saistībā ar </w:t>
      </w:r>
      <w:proofErr w:type="spellStart"/>
      <w:r w:rsidRPr="004375F6">
        <w:rPr>
          <w:kern w:val="2"/>
          <w14:ligatures w14:val="standardContextual"/>
        </w:rPr>
        <w:t>mākoņpakalpojumu</w:t>
      </w:r>
      <w:proofErr w:type="spellEnd"/>
      <w:r w:rsidRPr="004375F6">
        <w:rPr>
          <w:kern w:val="2"/>
          <w14:ligatures w14:val="standardContextual"/>
        </w:rPr>
        <w:t xml:space="preserve"> </w:t>
      </w:r>
      <w:r w:rsidRPr="004375F6">
        <w:rPr>
          <w:kern w:val="2"/>
          <w14:ligatures w14:val="standardContextual"/>
        </w:rPr>
        <w:lastRenderedPageBreak/>
        <w:t xml:space="preserve">izmantošanu </w:t>
      </w:r>
      <w:proofErr w:type="spellStart"/>
      <w:r w:rsidRPr="004375F6">
        <w:rPr>
          <w:i/>
          <w:kern w:val="2"/>
          <w14:ligatures w14:val="standardContextual"/>
        </w:rPr>
        <w:t>Amazon</w:t>
      </w:r>
      <w:proofErr w:type="spellEnd"/>
      <w:r w:rsidRPr="004375F6">
        <w:rPr>
          <w:kern w:val="2"/>
          <w14:ligatures w14:val="standardContextual"/>
        </w:rPr>
        <w:t xml:space="preserve"> tīmekļa pakalpojumu sniegšanā EDAU nebija sniedzis EST nekādus konkrētus ieteikumus; atzīmē, ka EDAU 2023. gadā publicēja lēmumu, ar ko apstiprināja to, ka EST veiktā videokonferences </w:t>
      </w:r>
      <w:proofErr w:type="spellStart"/>
      <w:r w:rsidRPr="004375F6">
        <w:rPr>
          <w:kern w:val="2"/>
          <w14:ligatures w14:val="standardContextual"/>
        </w:rPr>
        <w:t>mākoņpakalpojumu</w:t>
      </w:r>
      <w:proofErr w:type="spellEnd"/>
      <w:r w:rsidRPr="004375F6">
        <w:rPr>
          <w:kern w:val="2"/>
          <w14:ligatures w14:val="standardContextual"/>
        </w:rPr>
        <w:t xml:space="preserve"> izmantošana atbilst datu aizsardzības tiesību aktiem; tomēr, ņemot vērā pieaugošos ar </w:t>
      </w:r>
      <w:proofErr w:type="spellStart"/>
      <w:r w:rsidRPr="004375F6">
        <w:rPr>
          <w:kern w:val="2"/>
          <w14:ligatures w14:val="standardContextual"/>
        </w:rPr>
        <w:t>kiberdrošību</w:t>
      </w:r>
      <w:proofErr w:type="spellEnd"/>
      <w:r w:rsidRPr="004375F6">
        <w:rPr>
          <w:kern w:val="2"/>
          <w14:ligatures w14:val="standardContextual"/>
        </w:rPr>
        <w:t xml:space="preserve"> un digitālo suverenitāti saistītos draudus, atkārtoti pauž bažas par ārējo </w:t>
      </w:r>
      <w:proofErr w:type="spellStart"/>
      <w:r w:rsidRPr="004375F6">
        <w:rPr>
          <w:kern w:val="2"/>
          <w14:ligatures w14:val="standardContextual"/>
        </w:rPr>
        <w:t>mākoņpakalpojumu</w:t>
      </w:r>
      <w:proofErr w:type="spellEnd"/>
      <w:r w:rsidRPr="004375F6">
        <w:rPr>
          <w:kern w:val="2"/>
          <w14:ligatures w14:val="standardContextual"/>
        </w:rPr>
        <w:t xml:space="preserve"> izmantošanu;</w:t>
      </w:r>
    </w:p>
    <w:p w14:paraId="74FDB630"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56.</w:t>
      </w:r>
      <w:r w:rsidRPr="004375F6">
        <w:rPr>
          <w:kern w:val="2"/>
          <w14:ligatures w14:val="standardContextual"/>
        </w:rPr>
        <w:tab/>
        <w:t xml:space="preserve">atzinīgi vērtē to, ka EST 2023. gadā pieņēma </w:t>
      </w:r>
      <w:proofErr w:type="spellStart"/>
      <w:r w:rsidRPr="004375F6">
        <w:rPr>
          <w:kern w:val="2"/>
          <w14:ligatures w14:val="standardContextual"/>
        </w:rPr>
        <w:t>kiberceļvedi</w:t>
      </w:r>
      <w:proofErr w:type="spellEnd"/>
      <w:r w:rsidRPr="004375F6">
        <w:rPr>
          <w:kern w:val="2"/>
          <w14:ligatures w14:val="standardContextual"/>
        </w:rPr>
        <w:t xml:space="preserve"> un pastiprināja operatīvo spēju </w:t>
      </w:r>
      <w:proofErr w:type="spellStart"/>
      <w:r w:rsidRPr="004375F6">
        <w:rPr>
          <w:kern w:val="2"/>
          <w14:ligatures w14:val="standardContextual"/>
        </w:rPr>
        <w:t>kiberdrošības</w:t>
      </w:r>
      <w:proofErr w:type="spellEnd"/>
      <w:r w:rsidRPr="004375F6">
        <w:rPr>
          <w:kern w:val="2"/>
          <w14:ligatures w14:val="standardContextual"/>
        </w:rPr>
        <w:t xml:space="preserve"> jomā, lai labāk aizsargātu savas sistēmas pret pieaugošo kiberuzbrukumu skaitu; uzsver, ka rūpīgi izstrādāta </w:t>
      </w:r>
      <w:proofErr w:type="spellStart"/>
      <w:r w:rsidRPr="004375F6">
        <w:rPr>
          <w:kern w:val="2"/>
          <w14:ligatures w14:val="standardContextual"/>
        </w:rPr>
        <w:t>kiberdrošības</w:t>
      </w:r>
      <w:proofErr w:type="spellEnd"/>
      <w:r w:rsidRPr="004375F6">
        <w:rPr>
          <w:kern w:val="2"/>
          <w14:ligatures w14:val="standardContextual"/>
        </w:rPr>
        <w:t xml:space="preserve"> stratēģija ir ļoti svarīgs instruments cīņā pret ārvalstu iejaukšanos, kuras mērķis ir graut Eiropas institūciju integritāti; atzīmē, ka EST ir veikusi dažādus pasākumus, lai pastiprinātu savu </w:t>
      </w:r>
      <w:proofErr w:type="spellStart"/>
      <w:r w:rsidRPr="004375F6">
        <w:rPr>
          <w:kern w:val="2"/>
          <w14:ligatures w14:val="standardContextual"/>
        </w:rPr>
        <w:t>kiberdrošības</w:t>
      </w:r>
      <w:proofErr w:type="spellEnd"/>
      <w:r w:rsidRPr="004375F6">
        <w:rPr>
          <w:kern w:val="2"/>
          <w14:ligatures w14:val="standardContextual"/>
        </w:rPr>
        <w:t xml:space="preserve"> gatavību un spēju atgūties no drošības incidentiem, tostarp, šajā nolūkā piedaloties Iestāžu </w:t>
      </w:r>
      <w:proofErr w:type="spellStart"/>
      <w:r w:rsidRPr="004375F6">
        <w:rPr>
          <w:kern w:val="2"/>
          <w14:ligatures w14:val="standardContextual"/>
        </w:rPr>
        <w:t>kiberdrošības</w:t>
      </w:r>
      <w:proofErr w:type="spellEnd"/>
      <w:r w:rsidRPr="004375F6">
        <w:rPr>
          <w:kern w:val="2"/>
          <w14:ligatures w14:val="standardContextual"/>
        </w:rPr>
        <w:t xml:space="preserve"> padomes pārvaldībā un kombinējot </w:t>
      </w:r>
      <w:proofErr w:type="spellStart"/>
      <w:r w:rsidRPr="004375F6">
        <w:rPr>
          <w:kern w:val="2"/>
          <w14:ligatures w14:val="standardContextual"/>
        </w:rPr>
        <w:t>kiberdrošības</w:t>
      </w:r>
      <w:proofErr w:type="spellEnd"/>
      <w:r w:rsidRPr="004375F6">
        <w:rPr>
          <w:kern w:val="2"/>
          <w14:ligatures w14:val="standardContextual"/>
        </w:rPr>
        <w:t xml:space="preserve"> kontroli un instrumentus saskaņā ar </w:t>
      </w:r>
      <w:r w:rsidRPr="004375F6">
        <w:rPr>
          <w:i/>
          <w:iCs/>
          <w:kern w:val="2"/>
          <w14:ligatures w14:val="standardContextual"/>
        </w:rPr>
        <w:t>CERT-EU</w:t>
      </w:r>
      <w:r w:rsidRPr="004375F6">
        <w:rPr>
          <w:kern w:val="2"/>
          <w14:ligatures w14:val="standardContextual"/>
        </w:rPr>
        <w:t xml:space="preserve"> ieteikumiem; norāda, ka budžeta lēmējinstitūcija 2025. finanšu gadam ir apstiprinājusi apropriācijas, kas nepieciešamas divām papildu amata vietām, lai pastiprinātu EST personāla spēju </w:t>
      </w:r>
      <w:proofErr w:type="spellStart"/>
      <w:r w:rsidRPr="004375F6">
        <w:rPr>
          <w:kern w:val="2"/>
          <w14:ligatures w14:val="standardContextual"/>
        </w:rPr>
        <w:t>kiberdrošības</w:t>
      </w:r>
      <w:proofErr w:type="spellEnd"/>
      <w:r w:rsidRPr="004375F6">
        <w:rPr>
          <w:kern w:val="2"/>
          <w14:ligatures w14:val="standardContextual"/>
        </w:rPr>
        <w:t xml:space="preserve"> jomā;</w:t>
      </w:r>
    </w:p>
    <w:p w14:paraId="444345AD"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57.</w:t>
      </w:r>
      <w:r w:rsidRPr="004375F6">
        <w:rPr>
          <w:kern w:val="2"/>
          <w14:ligatures w14:val="standardContextual"/>
        </w:rPr>
        <w:tab/>
        <w:t xml:space="preserve">atzinīgi vērtē pasākumus, kas veikti, lai aizsargātu EST tehnoloģisko infrastruktūru pret </w:t>
      </w:r>
      <w:proofErr w:type="spellStart"/>
      <w:r w:rsidRPr="004375F6">
        <w:rPr>
          <w:kern w:val="2"/>
          <w14:ligatures w14:val="standardContextual"/>
        </w:rPr>
        <w:t>kiberdraudiem</w:t>
      </w:r>
      <w:proofErr w:type="spellEnd"/>
      <w:r w:rsidRPr="004375F6">
        <w:rPr>
          <w:kern w:val="2"/>
          <w14:ligatures w14:val="standardContextual"/>
        </w:rPr>
        <w:t xml:space="preserve">, piemēram, </w:t>
      </w:r>
      <w:proofErr w:type="spellStart"/>
      <w:r w:rsidRPr="004375F6">
        <w:rPr>
          <w:kern w:val="2"/>
          <w14:ligatures w14:val="standardContextual"/>
        </w:rPr>
        <w:t>kiberdrošības</w:t>
      </w:r>
      <w:proofErr w:type="spellEnd"/>
      <w:r w:rsidRPr="004375F6">
        <w:rPr>
          <w:kern w:val="2"/>
          <w14:ligatures w14:val="standardContextual"/>
        </w:rPr>
        <w:t xml:space="preserve"> revīziju, darbinieku apmācību un protokolus ātrai reaģēšanai uz incidentiem; uzsver, ka tiesu iestāžu </w:t>
      </w:r>
      <w:proofErr w:type="spellStart"/>
      <w:r w:rsidRPr="004375F6">
        <w:rPr>
          <w:kern w:val="2"/>
          <w14:ligatures w14:val="standardContextual"/>
        </w:rPr>
        <w:t>digitalizācija</w:t>
      </w:r>
      <w:proofErr w:type="spellEnd"/>
      <w:r w:rsidRPr="004375F6">
        <w:rPr>
          <w:kern w:val="2"/>
          <w14:ligatures w14:val="standardContextual"/>
        </w:rPr>
        <w:t xml:space="preserve"> un jaunu tehnoloģiju, tādu kā mākslīgais intelekts, izmantošana ne tikai būtiski veicinās EST vienmērīgu darbību, bet arī radīs risku, kurš Tiesai pašai ir laikus jānovērš un pret kuru tai sevi jāaizsargā; šajā sakarā ierosina EST izstrādāt </w:t>
      </w:r>
      <w:proofErr w:type="spellStart"/>
      <w:r w:rsidRPr="004375F6">
        <w:rPr>
          <w:kern w:val="2"/>
          <w14:ligatures w14:val="standardContextual"/>
        </w:rPr>
        <w:t>kiberdrošības</w:t>
      </w:r>
      <w:proofErr w:type="spellEnd"/>
      <w:r w:rsidRPr="004375F6">
        <w:rPr>
          <w:kern w:val="2"/>
          <w14:ligatures w14:val="standardContextual"/>
        </w:rPr>
        <w:t xml:space="preserve"> stratēģiju un pastiprināt sadarbību ar citām ES institūcijām, jo īpaši </w:t>
      </w:r>
      <w:r w:rsidRPr="004375F6">
        <w:rPr>
          <w:i/>
          <w:iCs/>
          <w:kern w:val="2"/>
          <w14:ligatures w14:val="standardContextual"/>
        </w:rPr>
        <w:t>ENISA</w:t>
      </w:r>
      <w:r w:rsidRPr="004375F6">
        <w:rPr>
          <w:kern w:val="2"/>
          <w14:ligatures w14:val="standardContextual"/>
        </w:rPr>
        <w:t xml:space="preserve"> (ES </w:t>
      </w:r>
      <w:proofErr w:type="spellStart"/>
      <w:r w:rsidRPr="004375F6">
        <w:rPr>
          <w:kern w:val="2"/>
          <w14:ligatures w14:val="standardContextual"/>
        </w:rPr>
        <w:t>Kiberdrošības</w:t>
      </w:r>
      <w:proofErr w:type="spellEnd"/>
      <w:r w:rsidRPr="004375F6">
        <w:rPr>
          <w:kern w:val="2"/>
          <w14:ligatures w14:val="standardContextual"/>
        </w:rPr>
        <w:t xml:space="preserve"> aģentūru), lai novērstu kiberuzbrukumus, kuru skaits un sarežģītība Eiropā ļoti strauji pieaug;</w:t>
      </w:r>
    </w:p>
    <w:p w14:paraId="63D4C999"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58.</w:t>
      </w:r>
      <w:r w:rsidRPr="004375F6">
        <w:rPr>
          <w:kern w:val="2"/>
          <w14:ligatures w14:val="standardContextual"/>
        </w:rPr>
        <w:tab/>
        <w:t xml:space="preserve">atzinīgi vērtē iniciatīvu piešķirt fiktīvus nosaukumus </w:t>
      </w:r>
      <w:proofErr w:type="spellStart"/>
      <w:r w:rsidRPr="004375F6">
        <w:rPr>
          <w:kern w:val="2"/>
          <w14:ligatures w14:val="standardContextual"/>
        </w:rPr>
        <w:t>anonimizētām</w:t>
      </w:r>
      <w:proofErr w:type="spellEnd"/>
      <w:r w:rsidRPr="004375F6">
        <w:rPr>
          <w:kern w:val="2"/>
          <w14:ligatures w14:val="standardContextual"/>
        </w:rPr>
        <w:t xml:space="preserve"> lietām, izmantojot datorizētu automātisku nosaukumu ģeneratoru, lai stiprinātu personas datu aizsardzību un atvieglotu atsevišķu gadījumu identificēšanu;</w:t>
      </w:r>
    </w:p>
    <w:p w14:paraId="7546E4EB"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59.</w:t>
      </w:r>
      <w:r w:rsidRPr="004375F6">
        <w:rPr>
          <w:kern w:val="2"/>
          <w14:ligatures w14:val="standardContextual"/>
        </w:rPr>
        <w:tab/>
        <w:t xml:space="preserve">ar gandarījumu atzīmē Vispārējās tiesas reglamenta grozīšanu, lai paskaidrotu un vienkāršotu tiesas procedūras, tostarp iespēju izmantot videokonferenci tiesas sēdēs, lēmumu elektronisku parakstīšanu un </w:t>
      </w:r>
      <w:proofErr w:type="spellStart"/>
      <w:r w:rsidRPr="004375F6">
        <w:rPr>
          <w:kern w:val="2"/>
          <w14:ligatures w14:val="standardContextual"/>
        </w:rPr>
        <w:t>pilotlietu</w:t>
      </w:r>
      <w:proofErr w:type="spellEnd"/>
      <w:r w:rsidRPr="004375F6">
        <w:rPr>
          <w:kern w:val="2"/>
          <w14:ligatures w14:val="standardContextual"/>
        </w:rPr>
        <w:t xml:space="preserve"> izraudzīšanos;</w:t>
      </w:r>
    </w:p>
    <w:p w14:paraId="3BC9129E" w14:textId="77777777" w:rsidR="004375F6" w:rsidRPr="004375F6" w:rsidRDefault="004375F6" w:rsidP="004375F6">
      <w:pPr>
        <w:spacing w:after="240"/>
        <w:ind w:left="567" w:hanging="567"/>
        <w:rPr>
          <w:b/>
          <w:i/>
          <w:kern w:val="2"/>
          <w14:ligatures w14:val="standardContextual"/>
        </w:rPr>
      </w:pPr>
      <w:r w:rsidRPr="004375F6">
        <w:rPr>
          <w:b/>
          <w:i/>
          <w:kern w:val="2"/>
          <w14:ligatures w14:val="standardContextual"/>
        </w:rPr>
        <w:t>Ēkas</w:t>
      </w:r>
    </w:p>
    <w:p w14:paraId="2BDC0BFE" w14:textId="77777777" w:rsidR="004375F6" w:rsidRPr="004375F6" w:rsidRDefault="004375F6" w:rsidP="004375F6">
      <w:pPr>
        <w:spacing w:before="240" w:after="240"/>
        <w:ind w:left="567" w:hanging="567"/>
        <w:rPr>
          <w:kern w:val="2"/>
          <w14:ligatures w14:val="standardContextual"/>
        </w:rPr>
      </w:pPr>
      <w:r w:rsidRPr="004375F6">
        <w:rPr>
          <w:kern w:val="2"/>
          <w14:ligatures w14:val="standardContextual"/>
        </w:rPr>
        <w:t>60.</w:t>
      </w:r>
      <w:r w:rsidRPr="004375F6">
        <w:rPr>
          <w:kern w:val="2"/>
          <w14:ligatures w14:val="standardContextual"/>
        </w:rPr>
        <w:tab/>
        <w:t xml:space="preserve">atzīmē, ka pēc tam, kad starp dienestiem notika pārdomas par EST telpu visefektīvāko izmantošanu, kuras noslēdzās 2023. gadā, tika sākta izmēģinājuma projektu īstenošana; norāda, ka šo projektu rezultāti kopā ar citiem faktoriem, tādiem kā vides un budžeta aspekti, tiesu sistēmas kvalitāte, </w:t>
      </w:r>
      <w:proofErr w:type="spellStart"/>
      <w:r w:rsidRPr="004375F6">
        <w:rPr>
          <w:kern w:val="2"/>
          <w14:ligatures w14:val="standardContextual"/>
        </w:rPr>
        <w:t>labbūtība</w:t>
      </w:r>
      <w:proofErr w:type="spellEnd"/>
      <w:r w:rsidRPr="004375F6">
        <w:rPr>
          <w:kern w:val="2"/>
          <w14:ligatures w14:val="standardContextual"/>
        </w:rPr>
        <w:t xml:space="preserve"> darbā, iekļaušana, </w:t>
      </w:r>
      <w:proofErr w:type="spellStart"/>
      <w:r w:rsidRPr="004375F6">
        <w:rPr>
          <w:kern w:val="2"/>
          <w14:ligatures w14:val="standardContextual"/>
        </w:rPr>
        <w:t>piekļūstamība</w:t>
      </w:r>
      <w:proofErr w:type="spellEnd"/>
      <w:r w:rsidRPr="004375F6">
        <w:rPr>
          <w:kern w:val="2"/>
          <w14:ligatures w14:val="standardContextual"/>
        </w:rPr>
        <w:t xml:space="preserve"> un EST pievilcīgums, tiks ņemti vērā, kad tiks pieņemts galīgais lēmums par EST ēku izmantošanu; prasa, lai Parlaments pastāvīgi tiktu informēts par šo secinājumu īstenošanu un ietekmi uz darbavietas organizāciju;</w:t>
      </w:r>
    </w:p>
    <w:p w14:paraId="33C4EBE3" w14:textId="77777777" w:rsidR="004375F6" w:rsidRPr="004375F6" w:rsidRDefault="004375F6" w:rsidP="004375F6">
      <w:pPr>
        <w:spacing w:before="240" w:after="240"/>
        <w:ind w:left="567" w:hanging="567"/>
        <w:rPr>
          <w:kern w:val="2"/>
          <w14:ligatures w14:val="standardContextual"/>
        </w:rPr>
      </w:pPr>
      <w:r w:rsidRPr="004375F6">
        <w:rPr>
          <w:kern w:val="2"/>
          <w14:ligatures w14:val="standardContextual"/>
        </w:rPr>
        <w:t>61.</w:t>
      </w:r>
      <w:r w:rsidRPr="004375F6">
        <w:rPr>
          <w:kern w:val="2"/>
          <w14:ligatures w14:val="standardContextual"/>
        </w:rPr>
        <w:tab/>
        <w:t xml:space="preserve">atzīmē, ka 2023. gadā EST turpināja īstenot savu visaptverošo iniciatīvu uzlabot </w:t>
      </w:r>
      <w:proofErr w:type="spellStart"/>
      <w:r w:rsidRPr="004375F6">
        <w:rPr>
          <w:kern w:val="2"/>
          <w14:ligatures w14:val="standardContextual"/>
        </w:rPr>
        <w:t>piekļūstamību</w:t>
      </w:r>
      <w:proofErr w:type="spellEnd"/>
      <w:r w:rsidRPr="004375F6">
        <w:rPr>
          <w:kern w:val="2"/>
          <w14:ligatures w14:val="standardContextual"/>
        </w:rPr>
        <w:t xml:space="preserve"> un iekļaušanu personām ar invaliditāti, lai visām personām, tiesvedības dalībniekiem un apmeklētājiem garantētu fizisku vai virtuālu piekļuvi EST; turklāt atzīmē, ka 2023. gadā EST sāka savas infrastruktūras inventarizāciju, lai, sākot no </w:t>
      </w:r>
      <w:r w:rsidRPr="004375F6">
        <w:rPr>
          <w:kern w:val="2"/>
          <w14:ligatures w14:val="standardContextual"/>
        </w:rPr>
        <w:lastRenderedPageBreak/>
        <w:t xml:space="preserve">2032. gada 1. janvāra, nodrošinātu atbilstību jaunajiem valsts tiesību aktiem par </w:t>
      </w:r>
      <w:proofErr w:type="spellStart"/>
      <w:r w:rsidRPr="004375F6">
        <w:rPr>
          <w:kern w:val="2"/>
          <w14:ligatures w14:val="standardContextual"/>
        </w:rPr>
        <w:t>piekļūstamību</w:t>
      </w:r>
      <w:proofErr w:type="spellEnd"/>
      <w:r w:rsidRPr="004375F6">
        <w:rPr>
          <w:kern w:val="2"/>
          <w14:ligatures w14:val="standardContextual"/>
        </w:rPr>
        <w:t>; prasa, lai Parlaments pastāvīgi tiktu informēts par turpmākām iniciatīvām šajā jomā;</w:t>
      </w:r>
    </w:p>
    <w:p w14:paraId="249A2A6D" w14:textId="77777777" w:rsidR="004375F6" w:rsidRPr="004375F6" w:rsidRDefault="004375F6" w:rsidP="004375F6">
      <w:pPr>
        <w:spacing w:after="240"/>
        <w:ind w:left="567" w:hanging="567"/>
        <w:rPr>
          <w:b/>
          <w:i/>
          <w:kern w:val="2"/>
          <w14:ligatures w14:val="standardContextual"/>
        </w:rPr>
      </w:pPr>
      <w:r w:rsidRPr="004375F6">
        <w:rPr>
          <w:b/>
          <w:i/>
          <w:kern w:val="2"/>
          <w14:ligatures w14:val="standardContextual"/>
        </w:rPr>
        <w:t>Vide un ilgtspēja</w:t>
      </w:r>
    </w:p>
    <w:p w14:paraId="495A4B99" w14:textId="77777777" w:rsidR="004375F6" w:rsidRPr="004375F6" w:rsidRDefault="004375F6" w:rsidP="004375F6">
      <w:pPr>
        <w:spacing w:after="240"/>
        <w:ind w:left="567" w:hanging="567"/>
        <w:rPr>
          <w:b/>
          <w:i/>
          <w:kern w:val="2"/>
          <w14:ligatures w14:val="standardContextual"/>
        </w:rPr>
      </w:pPr>
      <w:r w:rsidRPr="004375F6">
        <w:rPr>
          <w:kern w:val="2"/>
          <w14:ligatures w14:val="standardContextual"/>
        </w:rPr>
        <w:t>62.</w:t>
      </w:r>
      <w:r w:rsidRPr="004375F6">
        <w:rPr>
          <w:kern w:val="2"/>
          <w14:ligatures w14:val="standardContextual"/>
        </w:rPr>
        <w:tab/>
        <w:t xml:space="preserve">ar gandarījumu atzīmē, ka 2023. gadā EST turpināja būtiski samazināt enerģijas patēriņu un oglekļa pēdu salīdzinājumā ar 2015. gadu – kas ir atskaites punkts EST vides vadības un audita sistēmas stratēģijas īstenošanai –, pateicoties </w:t>
      </w:r>
      <w:proofErr w:type="spellStart"/>
      <w:r w:rsidRPr="004375F6">
        <w:rPr>
          <w:kern w:val="2"/>
          <w14:ligatures w14:val="standardContextual"/>
        </w:rPr>
        <w:t>energotaupības</w:t>
      </w:r>
      <w:proofErr w:type="spellEnd"/>
      <w:r w:rsidRPr="004375F6">
        <w:rPr>
          <w:kern w:val="2"/>
          <w14:ligatures w14:val="standardContextual"/>
        </w:rPr>
        <w:t xml:space="preserve"> pasākumiem un siltumapgādes, </w:t>
      </w:r>
      <w:proofErr w:type="spellStart"/>
      <w:r w:rsidRPr="004375F6">
        <w:rPr>
          <w:kern w:val="2"/>
          <w14:ligatures w14:val="standardContextual"/>
        </w:rPr>
        <w:t>aukstumapgādes</w:t>
      </w:r>
      <w:proofErr w:type="spellEnd"/>
      <w:r w:rsidRPr="004375F6">
        <w:rPr>
          <w:kern w:val="2"/>
          <w14:ligatures w14:val="standardContextual"/>
        </w:rPr>
        <w:t xml:space="preserve"> un apgaismojuma infrastruktūras optimizācijai; norāda, ka 2023. gadā salīdzinājumā ar 2015. gadu siltumenerģijas patēriņš samazinājās par 33,5 %, elektroenerģijas patēriņš – par 28,7 %, ūdens patēriņš – par 20,1 %, biroja papīra patēriņš – par 63 %, biroju un ēdnīcu atkritumu apjoms – par 43 % un siltumnīcefekta gāzu emisijas – par 30,2 %; atzinīgi vērtē to, ka EST piemēroja zaļā iepirkuma kritērijus 10 uzaicinājumos iesniegt piedāvājumus, kuru summa pārsniedza 60 000 EUR; atzinīgi vērtē EST apņemšanos attiecībā uz vides vadības un audita sistēmu (</w:t>
      </w:r>
      <w:r w:rsidRPr="004375F6">
        <w:rPr>
          <w:i/>
          <w:iCs/>
          <w:kern w:val="2"/>
          <w14:ligatures w14:val="standardContextual"/>
        </w:rPr>
        <w:t>EMAS</w:t>
      </w:r>
      <w:r w:rsidRPr="004375F6">
        <w:rPr>
          <w:kern w:val="2"/>
          <w14:ligatures w14:val="standardContextual"/>
        </w:rPr>
        <w:t xml:space="preserve">); mudina EST turpināt centienus mazināt savu ietekmi uz vidi, izmantojot stratēģiju </w:t>
      </w:r>
      <w:proofErr w:type="spellStart"/>
      <w:r w:rsidRPr="004375F6">
        <w:rPr>
          <w:kern w:val="2"/>
          <w14:ligatures w14:val="standardContextual"/>
        </w:rPr>
        <w:t>oglekļneitralitātes</w:t>
      </w:r>
      <w:proofErr w:type="spellEnd"/>
      <w:r w:rsidRPr="004375F6">
        <w:rPr>
          <w:kern w:val="2"/>
          <w14:ligatures w14:val="standardContextual"/>
        </w:rPr>
        <w:t xml:space="preserve"> panākšanai līdz 2035. gadam;</w:t>
      </w:r>
    </w:p>
    <w:p w14:paraId="281308AC"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63.</w:t>
      </w:r>
      <w:r w:rsidRPr="004375F6">
        <w:rPr>
          <w:kern w:val="2"/>
          <w14:ligatures w14:val="standardContextual"/>
        </w:rPr>
        <w:tab/>
        <w:t xml:space="preserve">atzinīgi vērtē to, ka EST ir īstenojusi vairākas iniciatīvas, lai atbalstītu un palielinātu savu darbinieku un locekļu ilgtspējīgu mobilitāti, tostarp subsīdijas sabiedriskā transporta izmantošanai, subsīdijas pašapkalpošanās velosipēdiem, velosipēdu novietnes uzlabošana un </w:t>
      </w:r>
      <w:proofErr w:type="spellStart"/>
      <w:r w:rsidRPr="004375F6">
        <w:rPr>
          <w:kern w:val="2"/>
          <w14:ligatures w14:val="standardContextual"/>
        </w:rPr>
        <w:t>hibrīdautomobiļiem</w:t>
      </w:r>
      <w:proofErr w:type="spellEnd"/>
      <w:r w:rsidRPr="004375F6">
        <w:rPr>
          <w:kern w:val="2"/>
          <w14:ligatures w14:val="standardContextual"/>
        </w:rPr>
        <w:t xml:space="preserve"> un elektriskajiem automobiļiem paredzētā aprīkojuma uzlabošana;</w:t>
      </w:r>
    </w:p>
    <w:p w14:paraId="7D406B06" w14:textId="77777777" w:rsidR="004375F6" w:rsidRPr="004375F6" w:rsidRDefault="004375F6" w:rsidP="004375F6">
      <w:pPr>
        <w:spacing w:after="240"/>
        <w:ind w:left="567" w:hanging="567"/>
        <w:rPr>
          <w:b/>
          <w:i/>
          <w:kern w:val="2"/>
          <w14:ligatures w14:val="standardContextual"/>
        </w:rPr>
      </w:pPr>
      <w:r w:rsidRPr="004375F6">
        <w:rPr>
          <w:b/>
          <w:i/>
          <w:kern w:val="2"/>
          <w14:ligatures w14:val="standardContextual"/>
        </w:rPr>
        <w:t>Iestāžu sadarbība</w:t>
      </w:r>
    </w:p>
    <w:p w14:paraId="2B56BC64"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64.</w:t>
      </w:r>
      <w:r w:rsidRPr="004375F6">
        <w:rPr>
          <w:kern w:val="2"/>
          <w14:ligatures w14:val="standardContextual"/>
        </w:rPr>
        <w:tab/>
        <w:t xml:space="preserve">atzinīgi vērtē budžeta ietaupījumus, kuri panākti, pateicoties sadarbībai ar citām iestādēm un jo īpaši lietojumprogrammu un mitināšanas pakalpojumu kopīgai izmantošanai, pamatojoties uz pakalpojumu līmeņa vienošanos ar Komisiju, kā arī dalībai </w:t>
      </w:r>
      <w:proofErr w:type="spellStart"/>
      <w:r w:rsidRPr="004375F6">
        <w:rPr>
          <w:kern w:val="2"/>
          <w14:ligatures w14:val="standardContextual"/>
        </w:rPr>
        <w:t>starpiestāžu</w:t>
      </w:r>
      <w:proofErr w:type="spellEnd"/>
      <w:r w:rsidRPr="004375F6">
        <w:rPr>
          <w:kern w:val="2"/>
          <w14:ligatures w14:val="standardContextual"/>
        </w:rPr>
        <w:t xml:space="preserve"> iepirkuma procedūrās, kas EST ļāva optimizēt izmaksas un resursus;</w:t>
      </w:r>
    </w:p>
    <w:p w14:paraId="398621DE"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65.</w:t>
      </w:r>
      <w:r w:rsidRPr="004375F6">
        <w:rPr>
          <w:kern w:val="2"/>
          <w14:ligatures w14:val="standardContextual"/>
        </w:rPr>
        <w:tab/>
        <w:t>atzinīgi vērtē Eiropas Tiesiskās apmācības tīkla (</w:t>
      </w:r>
      <w:r w:rsidRPr="004375F6">
        <w:rPr>
          <w:i/>
          <w:iCs/>
          <w:kern w:val="2"/>
          <w14:ligatures w14:val="standardContextual"/>
        </w:rPr>
        <w:t>EJTN</w:t>
      </w:r>
      <w:r w:rsidRPr="004375F6">
        <w:rPr>
          <w:kern w:val="2"/>
          <w14:ligatures w14:val="standardContextual"/>
        </w:rPr>
        <w:t>) centienus, kas īstenoti, lai valstu tiesnešiem nodrošinātu apmācību par ES tiesībām; ar gandarījumu atzīmē, ka saskaņā ar EST paziņojumu “</w:t>
      </w:r>
      <w:proofErr w:type="spellStart"/>
      <w:r w:rsidRPr="004375F6">
        <w:rPr>
          <w:kern w:val="2"/>
          <w14:ligatures w14:val="standardContextual"/>
        </w:rPr>
        <w:t>Supporting</w:t>
      </w:r>
      <w:proofErr w:type="spellEnd"/>
      <w:r w:rsidRPr="004375F6">
        <w:rPr>
          <w:kern w:val="2"/>
          <w14:ligatures w14:val="standardContextual"/>
        </w:rPr>
        <w:t xml:space="preserve"> </w:t>
      </w:r>
      <w:proofErr w:type="spellStart"/>
      <w:r w:rsidRPr="004375F6">
        <w:rPr>
          <w:kern w:val="2"/>
          <w14:ligatures w14:val="standardContextual"/>
        </w:rPr>
        <w:t>the</w:t>
      </w:r>
      <w:proofErr w:type="spellEnd"/>
      <w:r w:rsidRPr="004375F6">
        <w:rPr>
          <w:kern w:val="2"/>
          <w14:ligatures w14:val="standardContextual"/>
        </w:rPr>
        <w:t xml:space="preserve"> EJTN to </w:t>
      </w:r>
      <w:proofErr w:type="spellStart"/>
      <w:r w:rsidRPr="004375F6">
        <w:rPr>
          <w:kern w:val="2"/>
          <w14:ligatures w14:val="standardContextual"/>
        </w:rPr>
        <w:t>shape</w:t>
      </w:r>
      <w:proofErr w:type="spellEnd"/>
      <w:r w:rsidRPr="004375F6">
        <w:rPr>
          <w:kern w:val="2"/>
          <w14:ligatures w14:val="standardContextual"/>
        </w:rPr>
        <w:t xml:space="preserve"> a </w:t>
      </w:r>
      <w:proofErr w:type="spellStart"/>
      <w:r w:rsidRPr="004375F6">
        <w:rPr>
          <w:kern w:val="2"/>
          <w14:ligatures w14:val="standardContextual"/>
        </w:rPr>
        <w:t>sustainable</w:t>
      </w:r>
      <w:proofErr w:type="spellEnd"/>
      <w:r w:rsidRPr="004375F6">
        <w:rPr>
          <w:kern w:val="2"/>
          <w14:ligatures w14:val="standardContextual"/>
        </w:rPr>
        <w:t xml:space="preserve"> </w:t>
      </w:r>
      <w:proofErr w:type="spellStart"/>
      <w:r w:rsidRPr="004375F6">
        <w:rPr>
          <w:kern w:val="2"/>
          <w14:ligatures w14:val="standardContextual"/>
        </w:rPr>
        <w:t>European</w:t>
      </w:r>
      <w:proofErr w:type="spellEnd"/>
      <w:r w:rsidRPr="004375F6">
        <w:rPr>
          <w:kern w:val="2"/>
          <w14:ligatures w14:val="standardContextual"/>
        </w:rPr>
        <w:t xml:space="preserve"> </w:t>
      </w:r>
      <w:proofErr w:type="spellStart"/>
      <w:r w:rsidRPr="004375F6">
        <w:rPr>
          <w:kern w:val="2"/>
          <w14:ligatures w14:val="standardContextual"/>
        </w:rPr>
        <w:t>judicial</w:t>
      </w:r>
      <w:proofErr w:type="spellEnd"/>
      <w:r w:rsidRPr="004375F6">
        <w:rPr>
          <w:kern w:val="2"/>
          <w14:ligatures w14:val="standardContextual"/>
        </w:rPr>
        <w:t xml:space="preserve"> </w:t>
      </w:r>
      <w:proofErr w:type="spellStart"/>
      <w:r w:rsidRPr="004375F6">
        <w:rPr>
          <w:kern w:val="2"/>
          <w14:ligatures w14:val="standardContextual"/>
        </w:rPr>
        <w:t>culture</w:t>
      </w:r>
      <w:proofErr w:type="spellEnd"/>
      <w:r w:rsidRPr="004375F6">
        <w:rPr>
          <w:kern w:val="2"/>
          <w14:ligatures w14:val="standardContextual"/>
        </w:rPr>
        <w:t xml:space="preserve">” (Atbalsta sniegšana </w:t>
      </w:r>
      <w:r w:rsidRPr="004375F6">
        <w:rPr>
          <w:i/>
          <w:iCs/>
          <w:kern w:val="2"/>
          <w14:ligatures w14:val="standardContextual"/>
        </w:rPr>
        <w:t>EJTN</w:t>
      </w:r>
      <w:r w:rsidRPr="004375F6">
        <w:rPr>
          <w:kern w:val="2"/>
          <w14:ligatures w14:val="standardContextual"/>
        </w:rPr>
        <w:t xml:space="preserve">, lai izveidotu ilgtspējīgu Eiropas tiesu kultūru) EST un </w:t>
      </w:r>
      <w:r w:rsidRPr="004375F6">
        <w:rPr>
          <w:i/>
          <w:iCs/>
          <w:kern w:val="2"/>
          <w14:ligatures w14:val="standardContextual"/>
        </w:rPr>
        <w:t>EJTN</w:t>
      </w:r>
      <w:r w:rsidRPr="004375F6">
        <w:rPr>
          <w:kern w:val="2"/>
          <w14:ligatures w14:val="standardContextual"/>
        </w:rPr>
        <w:t xml:space="preserve"> 2023. gadā centās panākt lielāku ilgtermiņa praktikantu daudzveidību, lai galu galā palielinātu viņu skaitu līdz vienam no katras dalībvalsts; atzīmē, ka veiktie pasākumi ir bijuši sekmīgi, jo EST ir uzņēmusi praktikantus no dažām dalībvalstīm, kuras iepriekš attiecīgajā programmā aktīvi nepiedalījās; norāda, ka 2023. un 2024. gadā tika piedāvātas 15 atalgotas prakses vietas; aicina EST turpināt izstrādāt zināšanu apmaiņas iniciatīvas, tostarp kopīgas judikatūras datubāzes un virtuālās sadarbības platformas, lai sniegtu atbalstu valstu tiesām sarežģītas juridiskās interpretēšanas gadījumos;</w:t>
      </w:r>
    </w:p>
    <w:p w14:paraId="69CE1DCF"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66.</w:t>
      </w:r>
      <w:r w:rsidRPr="004375F6">
        <w:rPr>
          <w:kern w:val="2"/>
          <w14:ligatures w14:val="standardContextual"/>
        </w:rPr>
        <w:tab/>
        <w:t xml:space="preserve">uzsver, ka prakse būtu jāatalgo atbilstoši Eiropas Parlamenta 2023. gada 14. jūnija rezolūcijai par kvalitatīvu stažēšanos Eiropas Savienībā (2020/2005(INL)), kurā tas prasa atalgot jebkādu praksi, kas tiek izieta Eiropā; atzinīgi vērtē to, ka pašlaik visi EST praktikanti prakses laikā saņem stipendiju, galvenokārt no EST un īpašos gadījumos no citiem avotiem; pieņem zināšanai to, ka EST pieņem tikai dažus praktikantus (mazāk par 10 gadā), kas saņem atalgojumu no citiem avotiem, un tikai uz īsu laiku (vidēji uz </w:t>
      </w:r>
      <w:r w:rsidRPr="004375F6">
        <w:rPr>
          <w:kern w:val="2"/>
          <w14:ligatures w14:val="standardContextual"/>
        </w:rPr>
        <w:lastRenderedPageBreak/>
        <w:t>2 mēnešiem); atzinīgi vērtē to, ka šādos gadījumos EST administrācija rūpīgi pārbauda, vai šie praktikanti par praksi saņem stipendiju, pabalstu vai atalgojumu, ko tieši maksā viņu darba devējs vai akadēmiskā iestāde;</w:t>
      </w:r>
    </w:p>
    <w:p w14:paraId="235A7813"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67.</w:t>
      </w:r>
      <w:r w:rsidRPr="004375F6">
        <w:rPr>
          <w:kern w:val="2"/>
          <w14:ligatures w14:val="standardContextual"/>
        </w:rPr>
        <w:tab/>
        <w:t xml:space="preserve">atzinīgi vērtē to, ka EST pilnībā sadarbojas ar </w:t>
      </w:r>
      <w:r w:rsidRPr="004375F6">
        <w:rPr>
          <w:i/>
          <w:iCs/>
          <w:kern w:val="2"/>
          <w14:ligatures w14:val="standardContextual"/>
        </w:rPr>
        <w:t>OLAF</w:t>
      </w:r>
      <w:r w:rsidRPr="004375F6">
        <w:rPr>
          <w:kern w:val="2"/>
          <w14:ligatures w14:val="standardContextual"/>
        </w:rPr>
        <w:t xml:space="preserve">, Revīzijas palātu, EDAU un Eiropas </w:t>
      </w:r>
      <w:proofErr w:type="spellStart"/>
      <w:r w:rsidRPr="004375F6">
        <w:rPr>
          <w:kern w:val="2"/>
          <w14:ligatures w14:val="standardContextual"/>
        </w:rPr>
        <w:t>Ombudu</w:t>
      </w:r>
      <w:proofErr w:type="spellEnd"/>
      <w:r w:rsidRPr="004375F6">
        <w:rPr>
          <w:kern w:val="2"/>
          <w14:ligatures w14:val="standardContextual"/>
        </w:rPr>
        <w:t xml:space="preserve">; atzīmē, ka 2023. gadā EST turpināja strādāt pie tā, lai uzturētu izveidoto dialogu ar valstu tiesām, jo īpaši ar konstitucionālajām un augstākajām tiesām, un rīkoja vairākas sanāksmes, to skaitā ikgadējo valsts tiesnešu sanāksmi; mudina EST un valstu tiesas ciešāk sadarboties, lai pastiprinātu Savienības tiesību aktu vienādu piemērošanu; iesaka izveidot pastāvīgu tiesu iestāžu apmaiņas programmu dalībvalstu tiesnešiem, lai viņi strādātu kopā ar kolēģiem no EST, tādējādi veicinot </w:t>
      </w:r>
      <w:proofErr w:type="spellStart"/>
      <w:r w:rsidRPr="004375F6">
        <w:rPr>
          <w:kern w:val="2"/>
          <w14:ligatures w14:val="standardContextual"/>
        </w:rPr>
        <w:t>paraugprakses</w:t>
      </w:r>
      <w:proofErr w:type="spellEnd"/>
      <w:r w:rsidRPr="004375F6">
        <w:rPr>
          <w:kern w:val="2"/>
          <w14:ligatures w14:val="standardContextual"/>
        </w:rPr>
        <w:t xml:space="preserve"> veidošanu Savienības tiesību aktu interpretēšanā;</w:t>
      </w:r>
    </w:p>
    <w:p w14:paraId="60BD3DA1" w14:textId="77777777" w:rsidR="004375F6" w:rsidRPr="004375F6" w:rsidRDefault="004375F6" w:rsidP="004375F6">
      <w:pPr>
        <w:spacing w:after="240"/>
        <w:ind w:left="567" w:hanging="567"/>
        <w:rPr>
          <w:b/>
          <w:i/>
          <w:kern w:val="2"/>
          <w14:ligatures w14:val="standardContextual"/>
        </w:rPr>
      </w:pPr>
      <w:r w:rsidRPr="004375F6">
        <w:rPr>
          <w:b/>
          <w:i/>
          <w:kern w:val="2"/>
          <w14:ligatures w14:val="standardContextual"/>
        </w:rPr>
        <w:t>Komunikācija</w:t>
      </w:r>
    </w:p>
    <w:p w14:paraId="56F22354" w14:textId="77777777" w:rsidR="004375F6" w:rsidRPr="004375F6" w:rsidRDefault="004375F6" w:rsidP="004375F6">
      <w:pPr>
        <w:spacing w:after="240"/>
        <w:ind w:left="567" w:hanging="567"/>
        <w:rPr>
          <w:kern w:val="2"/>
          <w14:ligatures w14:val="standardContextual"/>
        </w:rPr>
      </w:pPr>
      <w:r w:rsidRPr="004375F6">
        <w:rPr>
          <w:kern w:val="2"/>
          <w14:ligatures w14:val="standardContextual"/>
        </w:rPr>
        <w:t>68.</w:t>
      </w:r>
      <w:r w:rsidRPr="004375F6">
        <w:rPr>
          <w:kern w:val="2"/>
          <w14:ligatures w14:val="standardContextual"/>
        </w:rPr>
        <w:tab/>
        <w:t xml:space="preserve">atzīmē, ka 2023. gadā EST pastiprināja savus centienus veidot komunikāciju ar Savienības iedzīvotājiem, uzlabojot informācijas sniegšanu sociālajos medijos; norāda, ka 2023. gada beigās salīdzinājumā ar iepriekšējo gadu EST </w:t>
      </w:r>
      <w:proofErr w:type="spellStart"/>
      <w:r w:rsidRPr="004375F6">
        <w:rPr>
          <w:i/>
          <w:iCs/>
          <w:kern w:val="2"/>
          <w14:ligatures w14:val="standardContextual"/>
        </w:rPr>
        <w:t>LinkedIn</w:t>
      </w:r>
      <w:proofErr w:type="spellEnd"/>
      <w:r w:rsidRPr="004375F6">
        <w:rPr>
          <w:kern w:val="2"/>
          <w14:ligatures w14:val="standardContextual"/>
        </w:rPr>
        <w:t xml:space="preserve"> konta abonentu skaits bija palielinājies par 32 % un sekotāju skaits abos EST X (iepriekš </w:t>
      </w:r>
      <w:proofErr w:type="spellStart"/>
      <w:r w:rsidRPr="004375F6">
        <w:rPr>
          <w:i/>
          <w:iCs/>
          <w:kern w:val="2"/>
          <w14:ligatures w14:val="standardContextual"/>
        </w:rPr>
        <w:t>Twitter</w:t>
      </w:r>
      <w:proofErr w:type="spellEnd"/>
      <w:r w:rsidRPr="004375F6">
        <w:rPr>
          <w:kern w:val="2"/>
          <w14:ligatures w14:val="standardContextual"/>
        </w:rPr>
        <w:t xml:space="preserve">) kontos – par 9 %, savukārt skatījumu skaits tās </w:t>
      </w:r>
      <w:proofErr w:type="spellStart"/>
      <w:r w:rsidRPr="004375F6">
        <w:rPr>
          <w:i/>
          <w:iCs/>
          <w:kern w:val="2"/>
          <w14:ligatures w14:val="standardContextual"/>
        </w:rPr>
        <w:t>YouTube</w:t>
      </w:r>
      <w:proofErr w:type="spellEnd"/>
      <w:r w:rsidRPr="004375F6">
        <w:rPr>
          <w:kern w:val="2"/>
          <w14:ligatures w14:val="standardContextual"/>
        </w:rPr>
        <w:t xml:space="preserve"> kanālā – par 84,96 %;</w:t>
      </w:r>
    </w:p>
    <w:p w14:paraId="7CB9F246" w14:textId="4BDC7C77" w:rsidR="004375F6" w:rsidRPr="004375F6" w:rsidRDefault="004375F6" w:rsidP="004375F6">
      <w:pPr>
        <w:spacing w:after="240"/>
        <w:ind w:left="567" w:hanging="567"/>
        <w:rPr>
          <w:rFonts w:eastAsia="Aptos"/>
          <w:kern w:val="2"/>
          <w:szCs w:val="24"/>
          <w:lang w:eastAsia="en-US"/>
          <w14:ligatures w14:val="standardContextual"/>
        </w:rPr>
      </w:pPr>
      <w:r w:rsidRPr="004375F6">
        <w:rPr>
          <w:kern w:val="2"/>
          <w14:ligatures w14:val="standardContextual"/>
        </w:rPr>
        <w:t>69.</w:t>
      </w:r>
      <w:r w:rsidRPr="004375F6">
        <w:rPr>
          <w:kern w:val="2"/>
          <w14:ligatures w14:val="standardContextual"/>
        </w:rPr>
        <w:tab/>
        <w:t xml:space="preserve">atzinīgi vērtē EST centienus uzlabot stratēģisko komunikāciju ar Savienības iedzīvotājiem par EST tiesas darbībām un to </w:t>
      </w:r>
      <w:proofErr w:type="spellStart"/>
      <w:r w:rsidRPr="004375F6">
        <w:rPr>
          <w:kern w:val="2"/>
          <w14:ligatures w14:val="standardContextual"/>
        </w:rPr>
        <w:t>pārredzamību</w:t>
      </w:r>
      <w:proofErr w:type="spellEnd"/>
      <w:r w:rsidRPr="004375F6">
        <w:rPr>
          <w:kern w:val="2"/>
          <w14:ligatures w14:val="standardContextual"/>
        </w:rPr>
        <w:t>, jo īpaši, pateicoties atvērto durvju dienas rīkošanai un apmeklētājiem paredzētajam piedāvājumam, jo sevišķi īpašajiem virtuālajiem apmeklējumiem, kuros 2023. gadā piedalījās 800 studentu, kā arī sagatavojot savus paziņojumus presei un tiešsaistes publikācijas par medijus interesējošiem jautājumiem un jautājumiem, kas ietekmē iedzīvotāju dzīvi, tā, lai tie būtu pieejami.</w:t>
      </w:r>
    </w:p>
    <w:p w14:paraId="127917B9" w14:textId="049059C6" w:rsidR="00E365E1" w:rsidRPr="002C61FE" w:rsidRDefault="00E365E1" w:rsidP="004375F6">
      <w:pPr>
        <w:pStyle w:val="NormalHanging12a"/>
      </w:pPr>
    </w:p>
    <w:sectPr w:rsidR="00E365E1" w:rsidRPr="002C61FE" w:rsidSect="004375F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ECA893" w14:textId="77777777" w:rsidR="0057096B" w:rsidRPr="00140252" w:rsidRDefault="0057096B">
      <w:r w:rsidRPr="00140252">
        <w:separator/>
      </w:r>
    </w:p>
  </w:endnote>
  <w:endnote w:type="continuationSeparator" w:id="0">
    <w:p w14:paraId="1BECA72A" w14:textId="77777777" w:rsidR="0057096B" w:rsidRPr="00140252" w:rsidRDefault="0057096B">
      <w:r w:rsidRPr="001402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11C05" w14:textId="77777777" w:rsidR="00064002" w:rsidRPr="0014025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02F9C" w14:textId="77777777" w:rsidR="00064002" w:rsidRPr="0014025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0C1BD" w14:textId="77777777" w:rsidR="00064002" w:rsidRPr="0014025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E92B7" w14:textId="77777777" w:rsidR="0057096B" w:rsidRPr="00140252" w:rsidRDefault="0057096B">
      <w:r w:rsidRPr="00140252">
        <w:separator/>
      </w:r>
    </w:p>
  </w:footnote>
  <w:footnote w:type="continuationSeparator" w:id="0">
    <w:p w14:paraId="74ACED75" w14:textId="77777777" w:rsidR="0057096B" w:rsidRPr="00140252" w:rsidRDefault="0057096B">
      <w:r w:rsidRPr="00140252">
        <w:continuationSeparator/>
      </w:r>
    </w:p>
  </w:footnote>
  <w:footnote w:id="1">
    <w:p w14:paraId="52B9BF09" w14:textId="77777777" w:rsidR="004375F6" w:rsidRPr="004375F6" w:rsidRDefault="004375F6" w:rsidP="004375F6">
      <w:pPr>
        <w:ind w:left="567" w:hanging="567"/>
        <w:rPr>
          <w:lang w:val="fi-FI"/>
        </w:rPr>
      </w:pPr>
      <w:r>
        <w:rPr>
          <w:rStyle w:val="FootnoteReference"/>
        </w:rPr>
        <w:footnoteRef/>
      </w:r>
      <w:r w:rsidRPr="004375F6">
        <w:rPr>
          <w:lang w:val="fi-FI"/>
        </w:rPr>
        <w:tab/>
        <w:t>OV L 58, 23.2.2023., 1. </w:t>
      </w:r>
      <w:proofErr w:type="spellStart"/>
      <w:r w:rsidRPr="004375F6">
        <w:rPr>
          <w:lang w:val="fi-FI"/>
        </w:rPr>
        <w:t>lpp</w:t>
      </w:r>
      <w:proofErr w:type="spellEnd"/>
      <w:r w:rsidRPr="004375F6">
        <w:rPr>
          <w:lang w:val="fi-FI"/>
        </w:rPr>
        <w:t xml:space="preserve">., ELI: </w:t>
      </w:r>
      <w:hyperlink r:id="rId1" w:tooltip="Gives access to this document through its ELI URI." w:history="1">
        <w:r w:rsidRPr="004375F6">
          <w:rPr>
            <w:rStyle w:val="Hyperlink1"/>
            <w:color w:val="337AB7"/>
            <w:shd w:val="clear" w:color="auto" w:fill="FFFFFF"/>
            <w:lang w:val="fi-FI"/>
          </w:rPr>
          <w:t>http://data.europa.eu/eli/budget/2023/1/oj</w:t>
        </w:r>
      </w:hyperlink>
      <w:r w:rsidRPr="004375F6">
        <w:rPr>
          <w:rStyle w:val="Hyperlink1"/>
          <w:shd w:val="clear" w:color="auto" w:fill="FFFFFF"/>
          <w:lang w:val="fi-FI"/>
        </w:rPr>
        <w:t>.</w:t>
      </w:r>
    </w:p>
  </w:footnote>
  <w:footnote w:id="2">
    <w:p w14:paraId="3AE2B009" w14:textId="77777777" w:rsidR="004375F6" w:rsidRDefault="004375F6" w:rsidP="004375F6">
      <w:pPr>
        <w:pStyle w:val="FootnoteText"/>
        <w:ind w:left="567" w:hanging="567"/>
        <w:rPr>
          <w:sz w:val="24"/>
          <w:szCs w:val="24"/>
          <w:lang w:val="lv-LV"/>
        </w:rPr>
      </w:pPr>
      <w:r>
        <w:rPr>
          <w:rStyle w:val="FootnoteReference"/>
          <w:sz w:val="24"/>
          <w:szCs w:val="24"/>
          <w:lang w:val="lv-LV"/>
        </w:rPr>
        <w:footnoteRef/>
      </w:r>
      <w:r>
        <w:rPr>
          <w:sz w:val="24"/>
          <w:szCs w:val="24"/>
          <w:lang w:val="lv-LV"/>
        </w:rPr>
        <w:tab/>
      </w:r>
      <w:r>
        <w:rPr>
          <w:sz w:val="24"/>
          <w:szCs w:val="24"/>
          <w:lang w:val="lv-LV"/>
        </w:rPr>
        <w:t xml:space="preserve">OV C, C/2024/5462, 10.10.2024., ELI: </w:t>
      </w:r>
      <w:hyperlink r:id="rId2" w:history="1">
        <w:r>
          <w:rPr>
            <w:rStyle w:val="Hyperlink1"/>
            <w:sz w:val="24"/>
            <w:szCs w:val="24"/>
            <w:lang w:val="lv-LV"/>
          </w:rPr>
          <w:t>http://data.europa.eu/eli/C/2024/5462/oj</w:t>
        </w:r>
      </w:hyperlink>
      <w:r>
        <w:rPr>
          <w:rStyle w:val="Hyperlink1"/>
          <w:sz w:val="24"/>
          <w:szCs w:val="24"/>
          <w:shd w:val="clear" w:color="auto" w:fill="FFFFFF"/>
          <w:lang w:val="lv-LV"/>
        </w:rPr>
        <w:t>.</w:t>
      </w:r>
    </w:p>
  </w:footnote>
  <w:footnote w:id="3">
    <w:p w14:paraId="25881519" w14:textId="77777777" w:rsidR="004375F6" w:rsidRDefault="004375F6" w:rsidP="004375F6">
      <w:pPr>
        <w:pStyle w:val="FootnoteText"/>
        <w:ind w:left="567" w:hanging="567"/>
        <w:rPr>
          <w:sz w:val="24"/>
          <w:szCs w:val="24"/>
          <w:lang w:val="lv-LV"/>
        </w:rPr>
      </w:pPr>
      <w:r>
        <w:rPr>
          <w:rStyle w:val="FootnoteReference"/>
          <w:sz w:val="24"/>
          <w:szCs w:val="24"/>
          <w:lang w:val="lv-LV"/>
        </w:rPr>
        <w:footnoteRef/>
      </w:r>
      <w:r>
        <w:rPr>
          <w:sz w:val="24"/>
          <w:szCs w:val="24"/>
          <w:lang w:val="lv-LV"/>
        </w:rPr>
        <w:tab/>
      </w:r>
      <w:r>
        <w:rPr>
          <w:sz w:val="24"/>
          <w:szCs w:val="24"/>
          <w:lang w:val="lv-LV"/>
        </w:rPr>
        <w:t xml:space="preserve">OV C, C/2024/5882, 9.10.2024., ELI: </w:t>
      </w:r>
      <w:hyperlink r:id="rId3" w:history="1">
        <w:r>
          <w:rPr>
            <w:rStyle w:val="Hyperlink1"/>
            <w:sz w:val="24"/>
            <w:szCs w:val="24"/>
            <w:lang w:val="lv-LV"/>
          </w:rPr>
          <w:t>http://data.europa.eu/eli/C/2024/5882/oj</w:t>
        </w:r>
      </w:hyperlink>
      <w:r>
        <w:rPr>
          <w:rStyle w:val="Hyperlink1"/>
          <w:sz w:val="24"/>
          <w:szCs w:val="24"/>
          <w:shd w:val="clear" w:color="auto" w:fill="FFFFFF"/>
          <w:lang w:val="lv-LV"/>
        </w:rPr>
        <w:t>.</w:t>
      </w:r>
    </w:p>
  </w:footnote>
  <w:footnote w:id="4">
    <w:p w14:paraId="709E3306" w14:textId="77777777" w:rsidR="004375F6" w:rsidRDefault="004375F6" w:rsidP="004375F6">
      <w:pPr>
        <w:pStyle w:val="FootnoteText"/>
        <w:ind w:left="567" w:hanging="567"/>
        <w:rPr>
          <w:sz w:val="24"/>
          <w:szCs w:val="24"/>
          <w:lang w:val="lv-LV"/>
        </w:rPr>
      </w:pPr>
      <w:r>
        <w:rPr>
          <w:rStyle w:val="FootnoteReference"/>
          <w:sz w:val="24"/>
          <w:szCs w:val="24"/>
          <w:lang w:val="lv-LV"/>
        </w:rPr>
        <w:footnoteRef/>
      </w:r>
      <w:r>
        <w:rPr>
          <w:sz w:val="24"/>
          <w:szCs w:val="24"/>
          <w:lang w:val="lv-LV"/>
        </w:rPr>
        <w:tab/>
      </w:r>
      <w:r>
        <w:rPr>
          <w:sz w:val="24"/>
          <w:szCs w:val="24"/>
          <w:lang w:val="lv-LV"/>
        </w:rPr>
        <w:t xml:space="preserve">OV C, C/2024/6041, 10.10.2024., ELI: </w:t>
      </w:r>
      <w:hyperlink r:id="rId4" w:history="1">
        <w:r>
          <w:rPr>
            <w:rStyle w:val="Hyperlink1"/>
            <w:sz w:val="24"/>
            <w:szCs w:val="24"/>
            <w:lang w:val="lv-LV"/>
          </w:rPr>
          <w:t>http://data.europa.eu/eli/C/2024/6041/oj</w:t>
        </w:r>
      </w:hyperlink>
      <w:r>
        <w:rPr>
          <w:rStyle w:val="Hyperlink1"/>
          <w:sz w:val="24"/>
          <w:szCs w:val="24"/>
          <w:shd w:val="clear" w:color="auto" w:fill="FFFFFF"/>
          <w:lang w:val="lv-LV"/>
        </w:rPr>
        <w:t>.</w:t>
      </w:r>
    </w:p>
  </w:footnote>
  <w:footnote w:id="5">
    <w:p w14:paraId="0018704F" w14:textId="77777777" w:rsidR="004375F6" w:rsidRDefault="004375F6" w:rsidP="004375F6">
      <w:pPr>
        <w:pStyle w:val="FootnoteText"/>
        <w:ind w:left="567" w:hanging="567"/>
        <w:rPr>
          <w:sz w:val="24"/>
          <w:szCs w:val="24"/>
          <w:lang w:val="lv-LV"/>
        </w:rPr>
      </w:pPr>
      <w:r>
        <w:rPr>
          <w:rStyle w:val="FootnoteReference"/>
          <w:sz w:val="24"/>
          <w:szCs w:val="24"/>
          <w:lang w:val="lv-LV"/>
        </w:rPr>
        <w:footnoteRef/>
      </w:r>
      <w:r>
        <w:rPr>
          <w:sz w:val="24"/>
          <w:szCs w:val="24"/>
          <w:lang w:val="lv-LV"/>
        </w:rPr>
        <w:tab/>
      </w:r>
      <w:r>
        <w:rPr>
          <w:sz w:val="24"/>
          <w:szCs w:val="24"/>
          <w:lang w:val="lv-LV"/>
        </w:rPr>
        <w:t xml:space="preserve">OV L 193, 30.7.2018., 1. lpp., ELI: </w:t>
      </w:r>
      <w:hyperlink r:id="rId5" w:history="1">
        <w:r>
          <w:rPr>
            <w:rStyle w:val="Hyperlink1"/>
            <w:sz w:val="24"/>
            <w:szCs w:val="24"/>
            <w:lang w:val="lv-LV"/>
          </w:rPr>
          <w:t>http://data.europa.eu/eli/reg/2018/1046/oj</w:t>
        </w:r>
      </w:hyperlink>
      <w:r>
        <w:rPr>
          <w:rStyle w:val="Hyperlink1"/>
          <w:sz w:val="24"/>
          <w:szCs w:val="24"/>
          <w:shd w:val="clear" w:color="auto" w:fill="FFFFFF"/>
          <w:lang w:val="lv-LV"/>
        </w:rPr>
        <w:t>.</w:t>
      </w:r>
    </w:p>
  </w:footnote>
  <w:footnote w:id="6">
    <w:p w14:paraId="44993561" w14:textId="77777777" w:rsidR="004375F6" w:rsidRDefault="004375F6" w:rsidP="004375F6">
      <w:pPr>
        <w:pStyle w:val="FootnoteText"/>
        <w:ind w:left="567" w:hanging="567"/>
        <w:rPr>
          <w:sz w:val="24"/>
          <w:szCs w:val="24"/>
          <w:lang w:val="lv-LV"/>
        </w:rPr>
      </w:pPr>
      <w:r>
        <w:rPr>
          <w:rStyle w:val="FootnoteReference"/>
          <w:sz w:val="24"/>
          <w:szCs w:val="24"/>
          <w:lang w:val="lv-LV"/>
        </w:rPr>
        <w:footnoteRef/>
      </w:r>
      <w:r>
        <w:rPr>
          <w:sz w:val="24"/>
          <w:szCs w:val="24"/>
          <w:lang w:val="lv-LV"/>
        </w:rPr>
        <w:tab/>
      </w:r>
      <w:r>
        <w:rPr>
          <w:sz w:val="24"/>
          <w:szCs w:val="24"/>
          <w:lang w:val="lv-LV"/>
        </w:rPr>
        <w:t xml:space="preserve">OV L, 2024/2509, 26.9.2024., ELI: </w:t>
      </w:r>
      <w:hyperlink r:id="rId6" w:history="1">
        <w:r>
          <w:rPr>
            <w:rStyle w:val="Hyperlink1"/>
            <w:sz w:val="24"/>
            <w:szCs w:val="24"/>
            <w:lang w:val="lv-LV"/>
          </w:rPr>
          <w:t>http://data.europa.eu/eli/reg/2024/2509/oj</w:t>
        </w:r>
      </w:hyperlink>
      <w:r>
        <w:rPr>
          <w:rStyle w:val="Hyperlink1"/>
          <w:sz w:val="24"/>
          <w:szCs w:val="24"/>
          <w:shd w:val="clear" w:color="auto" w:fill="FFFFFF"/>
          <w:lang w:val="lv-LV"/>
        </w:rPr>
        <w:t>.</w:t>
      </w:r>
    </w:p>
  </w:footnote>
  <w:footnote w:id="7">
    <w:p w14:paraId="44A1AA4C" w14:textId="77777777" w:rsidR="004375F6" w:rsidRDefault="004375F6" w:rsidP="004375F6">
      <w:pPr>
        <w:pStyle w:val="FootnoteText"/>
        <w:ind w:left="567" w:hanging="567"/>
        <w:rPr>
          <w:sz w:val="24"/>
          <w:lang w:val="lv-LV"/>
        </w:rPr>
      </w:pPr>
      <w:r>
        <w:rPr>
          <w:rStyle w:val="FootnoteReference"/>
          <w:sz w:val="24"/>
          <w:lang w:val="lv-LV"/>
        </w:rPr>
        <w:footnoteRef/>
      </w:r>
      <w:r>
        <w:rPr>
          <w:sz w:val="24"/>
          <w:lang w:val="lv-LV"/>
        </w:rPr>
        <w:tab/>
      </w:r>
      <w:r>
        <w:rPr>
          <w:sz w:val="24"/>
          <w:lang w:val="lv-LV"/>
        </w:rPr>
        <w:t xml:space="preserve">Eiropas Parlamenta un Padomes 2024. gada 11. aprīļa Regula (ES, Euratom) 2024/2019, ar ko groza Protokolu Nr. 3 par Eiropas Savienības Tiesas statūtiem (OV L, 2024/2019, 12.8.2024., ELI: </w:t>
      </w:r>
      <w:hyperlink r:id="rId7" w:history="1">
        <w:r>
          <w:rPr>
            <w:rStyle w:val="Hyperlink1"/>
            <w:sz w:val="24"/>
            <w:lang w:val="lv-LV"/>
          </w:rPr>
          <w:t>http://data.europa.eu/eli/reg/2024/2019/oj</w:t>
        </w:r>
      </w:hyperlink>
      <w:r>
        <w:rPr>
          <w:rStyle w:val="Hyperlink1"/>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5B415" w14:textId="77777777" w:rsidR="00064002" w:rsidRPr="0014025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7D1D4" w14:textId="77777777" w:rsidR="00064002" w:rsidRPr="0014025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ECAD8" w14:textId="77777777" w:rsidR="00064002" w:rsidRPr="0014025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00840018">
    <w:abstractNumId w:val="9"/>
  </w:num>
  <w:num w:numId="2" w16cid:durableId="693655697">
    <w:abstractNumId w:val="9"/>
  </w:num>
  <w:num w:numId="3" w16cid:durableId="1680500074">
    <w:abstractNumId w:val="7"/>
  </w:num>
  <w:num w:numId="4" w16cid:durableId="2123963046">
    <w:abstractNumId w:val="7"/>
  </w:num>
  <w:num w:numId="5" w16cid:durableId="198395465">
    <w:abstractNumId w:val="6"/>
  </w:num>
  <w:num w:numId="6" w16cid:durableId="1809283195">
    <w:abstractNumId w:val="6"/>
  </w:num>
  <w:num w:numId="7" w16cid:durableId="2006929901">
    <w:abstractNumId w:val="5"/>
  </w:num>
  <w:num w:numId="8" w16cid:durableId="401173015">
    <w:abstractNumId w:val="5"/>
  </w:num>
  <w:num w:numId="9" w16cid:durableId="1304264562">
    <w:abstractNumId w:val="4"/>
  </w:num>
  <w:num w:numId="10" w16cid:durableId="1485005026">
    <w:abstractNumId w:val="4"/>
  </w:num>
  <w:num w:numId="11" w16cid:durableId="634145118">
    <w:abstractNumId w:val="8"/>
  </w:num>
  <w:num w:numId="12" w16cid:durableId="350494182">
    <w:abstractNumId w:val="8"/>
  </w:num>
  <w:num w:numId="13" w16cid:durableId="512496283">
    <w:abstractNumId w:val="3"/>
  </w:num>
  <w:num w:numId="14" w16cid:durableId="2022201893">
    <w:abstractNumId w:val="3"/>
  </w:num>
  <w:num w:numId="15" w16cid:durableId="525287767">
    <w:abstractNumId w:val="2"/>
  </w:num>
  <w:num w:numId="16" w16cid:durableId="1611275618">
    <w:abstractNumId w:val="2"/>
  </w:num>
  <w:num w:numId="17" w16cid:durableId="1417170504">
    <w:abstractNumId w:val="1"/>
  </w:num>
  <w:num w:numId="18" w16cid:durableId="1081222454">
    <w:abstractNumId w:val="1"/>
  </w:num>
  <w:num w:numId="19" w16cid:durableId="1531408861">
    <w:abstractNumId w:val="0"/>
  </w:num>
  <w:num w:numId="20" w16cid:durableId="1608780672">
    <w:abstractNumId w:val="0"/>
  </w:num>
  <w:num w:numId="21" w16cid:durableId="862939504">
    <w:abstractNumId w:val="9"/>
  </w:num>
  <w:num w:numId="22" w16cid:durableId="1497769237">
    <w:abstractNumId w:val="7"/>
  </w:num>
  <w:num w:numId="23" w16cid:durableId="1727143940">
    <w:abstractNumId w:val="6"/>
  </w:num>
  <w:num w:numId="24" w16cid:durableId="552349923">
    <w:abstractNumId w:val="5"/>
  </w:num>
  <w:num w:numId="25" w16cid:durableId="874275647">
    <w:abstractNumId w:val="4"/>
  </w:num>
  <w:num w:numId="26" w16cid:durableId="115031910">
    <w:abstractNumId w:val="8"/>
  </w:num>
  <w:num w:numId="27" w16cid:durableId="1527060006">
    <w:abstractNumId w:val="3"/>
  </w:num>
  <w:num w:numId="28" w16cid:durableId="107508312">
    <w:abstractNumId w:val="2"/>
  </w:num>
  <w:num w:numId="29" w16cid:durableId="1313633329">
    <w:abstractNumId w:val="1"/>
  </w:num>
  <w:num w:numId="30" w16cid:durableId="123470655">
    <w:abstractNumId w:val="0"/>
  </w:num>
  <w:num w:numId="31" w16cid:durableId="1649243914">
    <w:abstractNumId w:val="9"/>
  </w:num>
  <w:num w:numId="32" w16cid:durableId="1589339840">
    <w:abstractNumId w:val="7"/>
  </w:num>
  <w:num w:numId="33" w16cid:durableId="398596166">
    <w:abstractNumId w:val="6"/>
  </w:num>
  <w:num w:numId="34" w16cid:durableId="1181315561">
    <w:abstractNumId w:val="5"/>
  </w:num>
  <w:num w:numId="35" w16cid:durableId="1351876991">
    <w:abstractNumId w:val="4"/>
  </w:num>
  <w:num w:numId="36" w16cid:durableId="1209755426">
    <w:abstractNumId w:val="8"/>
  </w:num>
  <w:num w:numId="37" w16cid:durableId="1014916625">
    <w:abstractNumId w:val="3"/>
  </w:num>
  <w:num w:numId="38" w16cid:durableId="1190531352">
    <w:abstractNumId w:val="2"/>
  </w:num>
  <w:num w:numId="39" w16cid:durableId="1345520535">
    <w:abstractNumId w:val="1"/>
  </w:num>
  <w:num w:numId="40" w16cid:durableId="1980841674">
    <w:abstractNumId w:val="0"/>
  </w:num>
  <w:num w:numId="41" w16cid:durableId="294719835">
    <w:abstractNumId w:val="10"/>
  </w:num>
  <w:num w:numId="42" w16cid:durableId="401487129">
    <w:abstractNumId w:val="10"/>
  </w:num>
  <w:num w:numId="43" w16cid:durableId="267127029">
    <w:abstractNumId w:val="10"/>
  </w:num>
  <w:num w:numId="44" w16cid:durableId="6612034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0/2025"/>
    <w:docVar w:name="dvlangue" w:val="LV"/>
    <w:docVar w:name="dvnumam" w:val="0"/>
    <w:docVar w:name="dvpe" w:val="764.996"/>
    <w:docVar w:name="dvrapporteur" w:val="Referents: "/>
    <w:docVar w:name="dvtitre" w:val="1. Eiropas Parlamenta 2025. gada XX. XXX lēmums par Eiropas Savienības 2023. finanšu gada vispārējā budžeta izpildes apstiprināšanu, IV iedaļa — Tiesa(2024/2022(DEC))"/>
  </w:docVars>
  <w:rsids>
    <w:rsidRoot w:val="0057096B"/>
    <w:rsid w:val="00002272"/>
    <w:rsid w:val="00064002"/>
    <w:rsid w:val="000677B9"/>
    <w:rsid w:val="000831BA"/>
    <w:rsid w:val="000A42CC"/>
    <w:rsid w:val="000E7DD9"/>
    <w:rsid w:val="0010095E"/>
    <w:rsid w:val="00125B37"/>
    <w:rsid w:val="0013514B"/>
    <w:rsid w:val="00140252"/>
    <w:rsid w:val="00187494"/>
    <w:rsid w:val="001F32AE"/>
    <w:rsid w:val="00273269"/>
    <w:rsid w:val="002767FF"/>
    <w:rsid w:val="002B18FE"/>
    <w:rsid w:val="002B5493"/>
    <w:rsid w:val="002C61FE"/>
    <w:rsid w:val="00301754"/>
    <w:rsid w:val="00343214"/>
    <w:rsid w:val="00361C00"/>
    <w:rsid w:val="00395FA1"/>
    <w:rsid w:val="003E15D4"/>
    <w:rsid w:val="00411CCE"/>
    <w:rsid w:val="0041666E"/>
    <w:rsid w:val="00421060"/>
    <w:rsid w:val="004375F6"/>
    <w:rsid w:val="00471C19"/>
    <w:rsid w:val="004867E3"/>
    <w:rsid w:val="00494A28"/>
    <w:rsid w:val="004C0004"/>
    <w:rsid w:val="004C5D52"/>
    <w:rsid w:val="0050519A"/>
    <w:rsid w:val="005072A1"/>
    <w:rsid w:val="00514517"/>
    <w:rsid w:val="00545827"/>
    <w:rsid w:val="00560270"/>
    <w:rsid w:val="0057096B"/>
    <w:rsid w:val="005C2568"/>
    <w:rsid w:val="005F1B17"/>
    <w:rsid w:val="006037C0"/>
    <w:rsid w:val="00611001"/>
    <w:rsid w:val="00621211"/>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572A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58D5"/>
    <w:rsid w:val="00E365E1"/>
    <w:rsid w:val="00E820A4"/>
    <w:rsid w:val="00EB006A"/>
    <w:rsid w:val="00EB4772"/>
    <w:rsid w:val="00EC4BEA"/>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0CEA87"/>
  <w15:chartTrackingRefBased/>
  <w15:docId w15:val="{F76FA769-C7B4-4D24-BF74-88746FE8F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2121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21211"/>
    <w:pPr>
      <w:spacing w:before="480" w:after="240"/>
    </w:pPr>
  </w:style>
  <w:style w:type="paragraph" w:customStyle="1" w:styleId="PageHeading">
    <w:name w:val="PageHeading"/>
    <w:basedOn w:val="Normal"/>
    <w:rsid w:val="00621211"/>
    <w:pPr>
      <w:keepNext/>
      <w:spacing w:after="480"/>
      <w:jc w:val="center"/>
    </w:pPr>
    <w:rPr>
      <w:rFonts w:ascii="Arial" w:hAnsi="Arial" w:cs="Arial"/>
      <w:b/>
    </w:rPr>
  </w:style>
  <w:style w:type="paragraph" w:customStyle="1" w:styleId="NormalBold">
    <w:name w:val="NormalBold"/>
    <w:basedOn w:val="Normal"/>
    <w:rsid w:val="00621211"/>
    <w:rPr>
      <w:b/>
    </w:rPr>
  </w:style>
  <w:style w:type="paragraph" w:customStyle="1" w:styleId="NormalHanging12a">
    <w:name w:val="NormalHanging12a"/>
    <w:basedOn w:val="Normal"/>
    <w:link w:val="NormalHanging12aChar"/>
    <w:qFormat/>
    <w:rsid w:val="00621211"/>
    <w:pPr>
      <w:spacing w:after="240"/>
      <w:ind w:left="567" w:hanging="567"/>
    </w:pPr>
  </w:style>
  <w:style w:type="paragraph" w:styleId="Header">
    <w:name w:val="header"/>
    <w:basedOn w:val="Normal"/>
    <w:link w:val="HeaderChar"/>
    <w:rsid w:val="00621211"/>
    <w:pPr>
      <w:tabs>
        <w:tab w:val="center" w:pos="4513"/>
        <w:tab w:val="right" w:pos="9026"/>
      </w:tabs>
    </w:pPr>
  </w:style>
  <w:style w:type="character" w:customStyle="1" w:styleId="HeaderChar">
    <w:name w:val="Header Char"/>
    <w:basedOn w:val="DefaultParagraphFont"/>
    <w:link w:val="Header"/>
    <w:rsid w:val="00621211"/>
    <w:rPr>
      <w:sz w:val="24"/>
      <w:lang w:val="lv-LV"/>
    </w:rPr>
  </w:style>
  <w:style w:type="paragraph" w:customStyle="1" w:styleId="EPFooter">
    <w:name w:val="EPFooter"/>
    <w:basedOn w:val="Normal"/>
    <w:rsid w:val="00621211"/>
    <w:pPr>
      <w:tabs>
        <w:tab w:val="center" w:pos="4535"/>
        <w:tab w:val="right" w:pos="9071"/>
      </w:tabs>
      <w:spacing w:before="240" w:after="240"/>
    </w:pPr>
    <w:rPr>
      <w:color w:val="010000"/>
      <w:sz w:val="22"/>
    </w:rPr>
  </w:style>
  <w:style w:type="character" w:styleId="Hyperlink">
    <w:name w:val="Hyperlink"/>
    <w:basedOn w:val="DefaultParagraphFont"/>
    <w:rsid w:val="00621211"/>
    <w:rPr>
      <w:color w:val="0563C1" w:themeColor="hyperlink"/>
      <w:u w:val="single"/>
    </w:rPr>
  </w:style>
  <w:style w:type="character" w:customStyle="1" w:styleId="NormalHanging12aChar">
    <w:name w:val="NormalHanging12a Char"/>
    <w:basedOn w:val="DefaultParagraphFont"/>
    <w:link w:val="NormalHanging12a"/>
    <w:locked/>
    <w:rsid w:val="00621211"/>
    <w:rPr>
      <w:sz w:val="24"/>
      <w:lang w:val="lv-LV"/>
    </w:rPr>
  </w:style>
  <w:style w:type="paragraph" w:customStyle="1" w:styleId="Normal24a">
    <w:name w:val="Normal24a"/>
    <w:basedOn w:val="Normal"/>
    <w:link w:val="Normal24aChar"/>
    <w:rsid w:val="00621211"/>
    <w:pPr>
      <w:spacing w:after="480"/>
    </w:pPr>
  </w:style>
  <w:style w:type="character" w:customStyle="1" w:styleId="Normal24aChar">
    <w:name w:val="Normal24a Char"/>
    <w:basedOn w:val="DefaultParagraphFont"/>
    <w:link w:val="Normal24a"/>
    <w:rsid w:val="00621211"/>
    <w:rPr>
      <w:sz w:val="24"/>
      <w:lang w:val="lv-LV"/>
    </w:rPr>
  </w:style>
  <w:style w:type="paragraph" w:customStyle="1" w:styleId="NormalBoldCenter">
    <w:name w:val="NormalBoldCenter"/>
    <w:basedOn w:val="Normal"/>
    <w:rsid w:val="00621211"/>
    <w:pPr>
      <w:jc w:val="center"/>
    </w:pPr>
    <w:rPr>
      <w:b/>
    </w:rPr>
  </w:style>
  <w:style w:type="paragraph" w:customStyle="1" w:styleId="Footprint12b">
    <w:name w:val="Footprint12b"/>
    <w:basedOn w:val="Normal"/>
    <w:rsid w:val="00621211"/>
    <w:pPr>
      <w:spacing w:before="240"/>
    </w:pPr>
    <w:rPr>
      <w:szCs w:val="24"/>
    </w:rPr>
  </w:style>
  <w:style w:type="paragraph" w:customStyle="1" w:styleId="NormalSingle">
    <w:name w:val="NormalSingle"/>
    <w:basedOn w:val="Normal"/>
    <w:qFormat/>
    <w:rsid w:val="00621211"/>
    <w:rPr>
      <w:szCs w:val="24"/>
    </w:rPr>
  </w:style>
  <w:style w:type="paragraph" w:customStyle="1" w:styleId="Normal12a">
    <w:name w:val="Normal12a"/>
    <w:basedOn w:val="Normal"/>
    <w:rsid w:val="00621211"/>
    <w:pPr>
      <w:spacing w:after="240"/>
    </w:pPr>
  </w:style>
  <w:style w:type="paragraph" w:customStyle="1" w:styleId="PageHeadingNotTOC">
    <w:name w:val="PageHeadingNotTOC"/>
    <w:basedOn w:val="Normal"/>
    <w:rsid w:val="00621211"/>
    <w:pPr>
      <w:keepNext/>
      <w:spacing w:after="480"/>
      <w:jc w:val="center"/>
    </w:pPr>
    <w:rPr>
      <w:rFonts w:ascii="Arial" w:hAnsi="Arial" w:cs="Arial"/>
      <w:b/>
    </w:rPr>
  </w:style>
  <w:style w:type="paragraph" w:styleId="BodyText">
    <w:name w:val="Body Text"/>
    <w:basedOn w:val="Normal"/>
    <w:link w:val="BodyTextChar"/>
    <w:uiPriority w:val="1"/>
    <w:unhideWhenUsed/>
    <w:qFormat/>
    <w:rsid w:val="00621211"/>
    <w:pPr>
      <w:autoSpaceDE w:val="0"/>
      <w:autoSpaceDN w:val="0"/>
    </w:pPr>
    <w:rPr>
      <w:szCs w:val="24"/>
      <w:lang w:bidi="en-GB"/>
    </w:rPr>
  </w:style>
  <w:style w:type="character" w:customStyle="1" w:styleId="BodyTextChar">
    <w:name w:val="Body Text Char"/>
    <w:basedOn w:val="DefaultParagraphFont"/>
    <w:link w:val="BodyText"/>
    <w:uiPriority w:val="1"/>
    <w:rsid w:val="00621211"/>
    <w:rPr>
      <w:sz w:val="24"/>
      <w:szCs w:val="24"/>
      <w:lang w:val="lv-LV" w:bidi="en-GB"/>
    </w:rPr>
  </w:style>
  <w:style w:type="paragraph" w:styleId="ListParagraph">
    <w:name w:val="List Paragraph"/>
    <w:basedOn w:val="Normal"/>
    <w:uiPriority w:val="1"/>
    <w:qFormat/>
    <w:rsid w:val="00621211"/>
    <w:pPr>
      <w:autoSpaceDE w:val="0"/>
      <w:autoSpaceDN w:val="0"/>
      <w:ind w:left="1382" w:right="962" w:hanging="426"/>
    </w:pPr>
    <w:rPr>
      <w:sz w:val="22"/>
      <w:szCs w:val="22"/>
      <w:lang w:bidi="en-GB"/>
    </w:rPr>
  </w:style>
  <w:style w:type="paragraph" w:styleId="BalloonText">
    <w:name w:val="Balloon Text"/>
    <w:basedOn w:val="Normal"/>
    <w:link w:val="BalloonTextChar"/>
    <w:rsid w:val="0013514B"/>
    <w:rPr>
      <w:rFonts w:ascii="Segoe UI" w:hAnsi="Segoe UI" w:cs="Segoe UI"/>
      <w:sz w:val="18"/>
      <w:szCs w:val="18"/>
    </w:rPr>
  </w:style>
  <w:style w:type="character" w:customStyle="1" w:styleId="BalloonTextChar">
    <w:name w:val="Balloon Text Char"/>
    <w:basedOn w:val="DefaultParagraphFont"/>
    <w:link w:val="BalloonText"/>
    <w:rsid w:val="0013514B"/>
    <w:rPr>
      <w:rFonts w:ascii="Segoe UI" w:hAnsi="Segoe UI" w:cs="Segoe UI"/>
      <w:sz w:val="18"/>
      <w:szCs w:val="18"/>
      <w:lang w:val="lv-LV"/>
    </w:rPr>
  </w:style>
  <w:style w:type="paragraph" w:styleId="CommentText">
    <w:name w:val="annotation text"/>
    <w:basedOn w:val="Normal"/>
    <w:link w:val="CommentTextChar"/>
    <w:uiPriority w:val="99"/>
    <w:unhideWhenUsed/>
    <w:rsid w:val="004375F6"/>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4375F6"/>
    <w:rPr>
      <w:rFonts w:eastAsia="Aptos"/>
      <w:kern w:val="2"/>
      <w:lang w:eastAsia="en-US"/>
      <w14:ligatures w14:val="standardContextual"/>
    </w:rPr>
  </w:style>
  <w:style w:type="character" w:styleId="CommentReference">
    <w:name w:val="annotation reference"/>
    <w:basedOn w:val="DefaultParagraphFont"/>
    <w:uiPriority w:val="99"/>
    <w:unhideWhenUsed/>
    <w:rsid w:val="004375F6"/>
    <w:rPr>
      <w:sz w:val="16"/>
      <w:szCs w:val="16"/>
    </w:rPr>
  </w:style>
  <w:style w:type="character" w:customStyle="1" w:styleId="Hyperlink1">
    <w:name w:val="Hyperlink1"/>
    <w:basedOn w:val="DefaultParagraphFont"/>
    <w:rsid w:val="004375F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923048">
      <w:bodyDiv w:val="1"/>
      <w:marLeft w:val="0"/>
      <w:marRight w:val="0"/>
      <w:marTop w:val="0"/>
      <w:marBottom w:val="0"/>
      <w:divBdr>
        <w:top w:val="none" w:sz="0" w:space="0" w:color="auto"/>
        <w:left w:val="none" w:sz="0" w:space="0" w:color="auto"/>
        <w:bottom w:val="none" w:sz="0" w:space="0" w:color="auto"/>
        <w:right w:val="none" w:sz="0" w:space="0" w:color="auto"/>
      </w:divBdr>
    </w:div>
    <w:div w:id="361442642">
      <w:bodyDiv w:val="1"/>
      <w:marLeft w:val="0"/>
      <w:marRight w:val="0"/>
      <w:marTop w:val="0"/>
      <w:marBottom w:val="0"/>
      <w:divBdr>
        <w:top w:val="none" w:sz="0" w:space="0" w:color="auto"/>
        <w:left w:val="none" w:sz="0" w:space="0" w:color="auto"/>
        <w:bottom w:val="none" w:sz="0" w:space="0" w:color="auto"/>
        <w:right w:val="none" w:sz="0" w:space="0" w:color="auto"/>
      </w:divBdr>
    </w:div>
    <w:div w:id="1814178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reg/2024/2019/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6AE608-6189-4778-BCE9-DD88DC0CE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5466</Words>
  <Characters>35836</Characters>
  <Application>Microsoft Office Word</Application>
  <DocSecurity>0</DocSecurity>
  <Lines>298</Lines>
  <Paragraphs>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MERSCH Larisa</cp:lastModifiedBy>
  <cp:revision>2</cp:revision>
  <cp:lastPrinted>2004-11-19T15:42:00Z</cp:lastPrinted>
  <dcterms:created xsi:type="dcterms:W3CDTF">2025-12-02T13:30:00Z</dcterms:created>
  <dcterms:modified xsi:type="dcterms:W3CDTF">2025-12-02T13:30:00Z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P10_TA(2025)0080_</vt:lpwstr>
  </property>
  <property fmtid="{D5CDD505-2E9C-101B-9397-08002B2CF9AE}" pid="4" name="&lt;Type&gt;">
    <vt:lpwstr>RR</vt:lpwstr>
  </property>
</Properties>
</file>