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5671" w14:paraId="1B9FCBB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13FE90" w14:textId="77777777" w:rsidR="00751A4A" w:rsidRPr="00DD5671" w:rsidRDefault="00DB408B" w:rsidP="0010095E">
            <w:pPr>
              <w:pStyle w:val="EPName"/>
            </w:pPr>
            <w:r w:rsidRPr="00DD5671">
              <w:t>Parlament Europejski</w:t>
            </w:r>
          </w:p>
          <w:p w14:paraId="5E19A17E" w14:textId="77777777" w:rsidR="00751A4A" w:rsidRPr="00DD56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5671">
              <w:t>2024</w:t>
            </w:r>
            <w:r w:rsidR="00817416" w:rsidRPr="00DD5671">
              <w:t>-202</w:t>
            </w:r>
            <w:r w:rsidRPr="00DD5671">
              <w:t>9</w:t>
            </w:r>
          </w:p>
        </w:tc>
        <w:tc>
          <w:tcPr>
            <w:tcW w:w="2268" w:type="dxa"/>
            <w:shd w:val="clear" w:color="auto" w:fill="auto"/>
          </w:tcPr>
          <w:p w14:paraId="18554E0B" w14:textId="77777777" w:rsidR="00751A4A" w:rsidRPr="00DD5671" w:rsidRDefault="00187494" w:rsidP="0010095E">
            <w:pPr>
              <w:pStyle w:val="EPLogo"/>
            </w:pPr>
            <w:r w:rsidRPr="00DD5671">
              <w:rPr>
                <w:noProof/>
                <w:lang w:val="en-GB"/>
              </w:rPr>
              <w:drawing>
                <wp:inline distT="0" distB="0" distL="0" distR="0" wp14:anchorId="761617DD" wp14:editId="489E785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5735DF" w14:textId="77777777" w:rsidR="00D058B8" w:rsidRPr="00DD5671" w:rsidRDefault="00D058B8" w:rsidP="004C5D52">
      <w:pPr>
        <w:pStyle w:val="LineTop"/>
      </w:pPr>
    </w:p>
    <w:p w14:paraId="18BA98A9" w14:textId="77777777" w:rsidR="00680577" w:rsidRPr="00DD5671" w:rsidRDefault="00DB408B" w:rsidP="00680577">
      <w:pPr>
        <w:pStyle w:val="EPBodyTA1"/>
      </w:pPr>
      <w:r w:rsidRPr="00DD5671">
        <w:t>TEKSTY PRZYJĘTE</w:t>
      </w:r>
    </w:p>
    <w:p w14:paraId="497F4D68" w14:textId="77777777" w:rsidR="00D058B8" w:rsidRPr="00DD5671" w:rsidRDefault="00D058B8" w:rsidP="00D058B8">
      <w:pPr>
        <w:pStyle w:val="LineBottom"/>
      </w:pPr>
    </w:p>
    <w:p w14:paraId="33C96998" w14:textId="77777777" w:rsidR="00DB408B" w:rsidRPr="00DD5671" w:rsidRDefault="00DB408B" w:rsidP="00DB408B">
      <w:pPr>
        <w:pStyle w:val="ATHeading1"/>
      </w:pPr>
      <w:bookmarkStart w:id="0" w:name="TANumber"/>
      <w:r w:rsidRPr="00DD5671">
        <w:t>P10_TA(2025)00</w:t>
      </w:r>
      <w:bookmarkEnd w:id="0"/>
      <w:r w:rsidR="002E64DF">
        <w:t>80</w:t>
      </w:r>
    </w:p>
    <w:p w14:paraId="50E4CBC0" w14:textId="77777777" w:rsidR="00DB408B" w:rsidRPr="00446D8B" w:rsidRDefault="00446D8B" w:rsidP="00C434A1">
      <w:pPr>
        <w:pStyle w:val="ATHeading2"/>
      </w:pPr>
      <w:r w:rsidRPr="00446D8B">
        <w:t>Absolutorium za rok 2023: budżet ogólny UE – Trybunał Sprawiedliwości Unii Europejskiej</w:t>
      </w:r>
    </w:p>
    <w:p w14:paraId="7469754A" w14:textId="77777777" w:rsidR="00DB408B" w:rsidRPr="00DD5671" w:rsidRDefault="00DB408B" w:rsidP="00DB408B">
      <w:pPr>
        <w:rPr>
          <w:i/>
          <w:vanish/>
        </w:rPr>
      </w:pPr>
      <w:r w:rsidRPr="00DD5671">
        <w:rPr>
          <w:i/>
        </w:rPr>
        <w:fldChar w:fldCharType="begin"/>
      </w:r>
      <w:r w:rsidRPr="00DD5671">
        <w:rPr>
          <w:i/>
        </w:rPr>
        <w:instrText xml:space="preserve"> TC"(</w:instrText>
      </w:r>
      <w:bookmarkStart w:id="1" w:name="DocNumber"/>
      <w:r w:rsidRPr="00DD5671">
        <w:rPr>
          <w:i/>
        </w:rPr>
        <w:instrText>A10-0050/2025</w:instrText>
      </w:r>
      <w:bookmarkEnd w:id="1"/>
      <w:r w:rsidRPr="00DD5671">
        <w:rPr>
          <w:i/>
        </w:rPr>
        <w:instrText xml:space="preserve"> - Sprawozdawca: </w:instrText>
      </w:r>
      <w:proofErr w:type="spellStart"/>
      <w:r w:rsidRPr="00DD5671">
        <w:rPr>
          <w:i/>
        </w:rPr>
        <w:instrText>Cristian</w:instrText>
      </w:r>
      <w:proofErr w:type="spellEnd"/>
      <w:r w:rsidRPr="00DD5671">
        <w:rPr>
          <w:i/>
        </w:rPr>
        <w:instrText xml:space="preserve"> </w:instrText>
      </w:r>
      <w:proofErr w:type="spellStart"/>
      <w:r w:rsidRPr="00DD5671">
        <w:rPr>
          <w:i/>
        </w:rPr>
        <w:instrText>Terheş</w:instrText>
      </w:r>
      <w:proofErr w:type="spellEnd"/>
      <w:r w:rsidRPr="00DD5671">
        <w:rPr>
          <w:i/>
        </w:rPr>
        <w:instrText xml:space="preserve">)"\l3 \n&gt; \* MERGEFORMAT </w:instrText>
      </w:r>
      <w:r w:rsidRPr="00DD5671">
        <w:rPr>
          <w:i/>
        </w:rPr>
        <w:fldChar w:fldCharType="end"/>
      </w:r>
    </w:p>
    <w:p w14:paraId="0CC59158" w14:textId="77777777" w:rsidR="00DB408B" w:rsidRPr="00DD5671" w:rsidRDefault="00DB408B" w:rsidP="00DB408B">
      <w:pPr>
        <w:rPr>
          <w:vanish/>
        </w:rPr>
      </w:pPr>
      <w:bookmarkStart w:id="2" w:name="Commission"/>
      <w:r w:rsidRPr="00DD5671">
        <w:rPr>
          <w:vanish/>
        </w:rPr>
        <w:t>Komisja Kontroli Budżetowej</w:t>
      </w:r>
      <w:bookmarkEnd w:id="2"/>
    </w:p>
    <w:p w14:paraId="1265A162" w14:textId="77777777" w:rsidR="00DB408B" w:rsidRPr="00DD5671" w:rsidRDefault="00DB408B" w:rsidP="00DB408B">
      <w:pPr>
        <w:rPr>
          <w:vanish/>
        </w:rPr>
      </w:pPr>
      <w:bookmarkStart w:id="3" w:name="PE"/>
      <w:r w:rsidRPr="00DD5671">
        <w:rPr>
          <w:vanish/>
        </w:rPr>
        <w:t>PE764.996</w:t>
      </w:r>
      <w:bookmarkEnd w:id="3"/>
    </w:p>
    <w:p w14:paraId="4EA7D856" w14:textId="52871AE8" w:rsidR="00C434A1" w:rsidRPr="003B48FB" w:rsidRDefault="00446D8B" w:rsidP="00C434A1">
      <w:pPr>
        <w:pStyle w:val="ATHeading3"/>
      </w:pPr>
      <w:bookmarkStart w:id="4" w:name="Sujet"/>
      <w:r>
        <w:t xml:space="preserve">1. </w:t>
      </w:r>
      <w:bookmarkEnd w:id="4"/>
      <w:r w:rsidR="00C434A1" w:rsidRPr="003B48FB">
        <w:t>Decyzja Parlamentu Europejskiego z dnia 7 maja 2025 r. w sprawie absolutorium z wykonania budżetu ogólnego Unii Europejskiej za rok budżetowy 2023, sekcja IV – Trybunał Sprawiedliwości Unii Europejskiej (2024/2022(DEC))</w:t>
      </w:r>
    </w:p>
    <w:p w14:paraId="18234A4A" w14:textId="2A2142EB" w:rsidR="00C434A1" w:rsidRPr="00C434A1" w:rsidRDefault="00C434A1" w:rsidP="00C434A1">
      <w:pPr>
        <w:spacing w:before="480" w:after="240"/>
        <w:rPr>
          <w:i/>
        </w:rPr>
      </w:pPr>
      <w:bookmarkStart w:id="5" w:name="TextBodyBegin"/>
      <w:bookmarkEnd w:id="5"/>
      <w:r w:rsidRPr="00C434A1">
        <w:rPr>
          <w:i/>
        </w:rPr>
        <w:t xml:space="preserve">Parlament </w:t>
      </w:r>
      <w:r>
        <w:rPr>
          <w:i/>
        </w:rPr>
        <w:t>E</w:t>
      </w:r>
      <w:r w:rsidRPr="00C434A1">
        <w:rPr>
          <w:i/>
        </w:rPr>
        <w:t>uropejski,</w:t>
      </w:r>
    </w:p>
    <w:p w14:paraId="1CE5B3B4" w14:textId="77777777" w:rsidR="00C434A1" w:rsidRPr="003B48FB" w:rsidRDefault="00C434A1" w:rsidP="00C434A1">
      <w:pPr>
        <w:spacing w:after="240"/>
        <w:ind w:left="567" w:hanging="567"/>
      </w:pPr>
      <w:r w:rsidRPr="003B48FB">
        <w:t>–</w:t>
      </w:r>
      <w:r w:rsidRPr="003B48FB">
        <w:tab/>
        <w:t>uwzględniając budżet ogólny Unii Europejskiej na rok budżetowy 2023</w:t>
      </w:r>
      <w:r w:rsidRPr="003B48FB">
        <w:rPr>
          <w:vertAlign w:val="superscript"/>
        </w:rPr>
        <w:footnoteReference w:id="1"/>
      </w:r>
      <w:r w:rsidRPr="003B48FB">
        <w:t>,</w:t>
      </w:r>
    </w:p>
    <w:p w14:paraId="332BCA6C" w14:textId="77777777" w:rsidR="00C434A1" w:rsidRPr="003B48FB" w:rsidRDefault="00C434A1" w:rsidP="00C434A1">
      <w:pPr>
        <w:spacing w:after="240"/>
        <w:ind w:left="567" w:hanging="567"/>
      </w:pPr>
      <w:r w:rsidRPr="003B48FB">
        <w:t>–</w:t>
      </w:r>
      <w:r w:rsidRPr="003B48FB">
        <w:tab/>
        <w:t>uwzględniając skonsolidowane roczne sprawozdanie finansowe Unii Europejskiej za rok budżetowy 2023 (</w:t>
      </w:r>
      <w:proofErr w:type="gramStart"/>
      <w:r w:rsidRPr="003B48FB">
        <w:t>COM(</w:t>
      </w:r>
      <w:proofErr w:type="gramEnd"/>
      <w:r w:rsidRPr="003B48FB">
        <w:t>2024)0272 – C10</w:t>
      </w:r>
      <w:r w:rsidRPr="003B48FB">
        <w:noBreakHyphen/>
        <w:t>0070/2024)</w:t>
      </w:r>
      <w:r w:rsidRPr="003B48FB">
        <w:rPr>
          <w:vertAlign w:val="superscript"/>
        </w:rPr>
        <w:footnoteReference w:id="2"/>
      </w:r>
      <w:r w:rsidRPr="003B48FB">
        <w:t>,</w:t>
      </w:r>
    </w:p>
    <w:p w14:paraId="32015665" w14:textId="77777777" w:rsidR="00C434A1" w:rsidRPr="003B48FB" w:rsidRDefault="00C434A1" w:rsidP="00C434A1">
      <w:pPr>
        <w:spacing w:after="240"/>
        <w:ind w:left="567" w:hanging="567"/>
      </w:pPr>
      <w:r w:rsidRPr="003B48FB">
        <w:t>–</w:t>
      </w:r>
      <w:r w:rsidRPr="003B48FB">
        <w:tab/>
        <w:t>uwzględniając roczne sprawozdanie z działalności Trybunału Sprawiedliwości Unii Europejskiej za 2023 r. oraz jego sprawozdanie roczne z zarządzania budżetem i finansami za 2023 r.,</w:t>
      </w:r>
    </w:p>
    <w:p w14:paraId="785C2D44" w14:textId="77777777" w:rsidR="00C434A1" w:rsidRPr="003B48FB" w:rsidRDefault="00C434A1" w:rsidP="00C434A1">
      <w:pPr>
        <w:spacing w:after="240"/>
        <w:ind w:left="567" w:hanging="567"/>
      </w:pPr>
      <w:r w:rsidRPr="003B48FB">
        <w:t>–</w:t>
      </w:r>
      <w:r w:rsidRPr="003B48FB">
        <w:tab/>
        <w:t>uwzględniając sprawozdanie roczne Trybunału Obrachunkowego dotyczące wykonania budżetu za rok budżetowy 2023 wraz z odpowiedziami instytucji</w:t>
      </w:r>
      <w:r w:rsidRPr="003B48FB">
        <w:rPr>
          <w:vertAlign w:val="superscript"/>
        </w:rPr>
        <w:footnoteReference w:id="3"/>
      </w:r>
      <w:r w:rsidRPr="003B48FB">
        <w:t>,</w:t>
      </w:r>
    </w:p>
    <w:p w14:paraId="03417BF9" w14:textId="77777777" w:rsidR="00C434A1" w:rsidRPr="003B48FB" w:rsidRDefault="00C434A1" w:rsidP="00C434A1">
      <w:pPr>
        <w:spacing w:after="240"/>
        <w:ind w:left="567" w:hanging="567"/>
      </w:pPr>
      <w:r w:rsidRPr="003B48FB">
        <w:t>–</w:t>
      </w:r>
      <w:r w:rsidRPr="003B48FB">
        <w:tab/>
        <w:t>uwzględniając poświadczenie wiarygodności</w:t>
      </w:r>
      <w:r w:rsidRPr="003B48FB">
        <w:rPr>
          <w:vertAlign w:val="superscript"/>
        </w:rPr>
        <w:footnoteReference w:id="4"/>
      </w:r>
      <w:r w:rsidRPr="003B48FB">
        <w:t xml:space="preserve"> rachunków, jak również legalności i prawidłowości operacji leżących u ich podstaw przedłożone przez Trybunał Obrachunkowy za rok budżetowy 2023 zgodnie z art. 287 Traktatu o funkcjonowaniu Unii Europejskiej,</w:t>
      </w:r>
    </w:p>
    <w:p w14:paraId="023DB316" w14:textId="77777777" w:rsidR="00C434A1" w:rsidRPr="003B48FB" w:rsidRDefault="00C434A1" w:rsidP="00C434A1">
      <w:pPr>
        <w:spacing w:after="240"/>
        <w:ind w:left="567" w:hanging="567"/>
      </w:pPr>
      <w:r w:rsidRPr="003B48FB">
        <w:t>–</w:t>
      </w:r>
      <w:r w:rsidRPr="003B48FB">
        <w:tab/>
        <w:t>uwzględniając art. 314 ust. 10 oraz art. 317, 318 i 319 Traktatu o funkcjonowaniu Unii Europejskiej,</w:t>
      </w:r>
    </w:p>
    <w:p w14:paraId="140C0C3E" w14:textId="77777777" w:rsidR="00C434A1" w:rsidRPr="003B48FB" w:rsidRDefault="00C434A1" w:rsidP="00C434A1">
      <w:pPr>
        <w:spacing w:after="240"/>
        <w:ind w:left="567" w:hanging="567"/>
      </w:pPr>
      <w:r w:rsidRPr="003B48FB">
        <w:t>–</w:t>
      </w:r>
      <w:r w:rsidRPr="003B48FB">
        <w:tab/>
        <w:t xml:space="preserve">uwzględniając rozporządzenie Parlamentu Europejskiego i Rady (UE, </w:t>
      </w:r>
      <w:proofErr w:type="spellStart"/>
      <w:r w:rsidRPr="003B48FB">
        <w:t>Euratom</w:t>
      </w:r>
      <w:proofErr w:type="spellEnd"/>
      <w:r w:rsidRPr="003B48FB">
        <w:t xml:space="preserve">) 2018/1046 z dnia 18 lipca 2018 r. w sprawie zasad finansowych mających </w:t>
      </w:r>
      <w:r w:rsidRPr="003B48FB">
        <w:lastRenderedPageBreak/>
        <w:t xml:space="preserve">zastosowanie do budżetu ogólnego Unii, zmieniające rozporządzenia (UE) nr 1296/2013, (UE) nr 1301/2013, (UE) nr 1303/2013, (UE) nr 1304/2013, (UE) nr 1309/2013, (UE) nr 1316/2013, (UE) nr 223/2014 i (UE) nr 283/2014 oraz decyzję nr 541/2014/UE, a także uchylające rozporządzenie (UE, </w:t>
      </w:r>
      <w:proofErr w:type="spellStart"/>
      <w:r w:rsidRPr="003B48FB">
        <w:t>Euratom</w:t>
      </w:r>
      <w:proofErr w:type="spellEnd"/>
      <w:r w:rsidRPr="003B48FB">
        <w:t>) nr 966/2012</w:t>
      </w:r>
      <w:r w:rsidRPr="003B48FB">
        <w:rPr>
          <w:vertAlign w:val="superscript"/>
        </w:rPr>
        <w:footnoteReference w:id="5"/>
      </w:r>
      <w:r w:rsidRPr="003B48FB">
        <w:t>, w szczególności jego art. 59, 118, 260, 261 i 262,</w:t>
      </w:r>
    </w:p>
    <w:p w14:paraId="2D3E684F" w14:textId="77777777" w:rsidR="00C434A1" w:rsidRPr="003B48FB" w:rsidRDefault="00C434A1" w:rsidP="00C434A1">
      <w:pPr>
        <w:spacing w:after="240"/>
        <w:ind w:left="567" w:hanging="567"/>
      </w:pPr>
      <w:r w:rsidRPr="003B48FB">
        <w:t>–</w:t>
      </w:r>
      <w:r w:rsidRPr="003B48FB">
        <w:tab/>
        <w:t xml:space="preserve">uwzględniając rozporządzenie Parlamentu Europejskiego i Rady (UE, </w:t>
      </w:r>
      <w:proofErr w:type="spellStart"/>
      <w:r w:rsidRPr="003B48FB">
        <w:t>Euratom</w:t>
      </w:r>
      <w:proofErr w:type="spellEnd"/>
      <w:r w:rsidRPr="003B48FB">
        <w:t>) 2024/2509 z 23 września 2024 r. w sprawie zasad finansowych mających zastosowanie do budżetu ogólnego Unii</w:t>
      </w:r>
      <w:r w:rsidRPr="003B48FB">
        <w:rPr>
          <w:vertAlign w:val="superscript"/>
        </w:rPr>
        <w:footnoteReference w:id="6"/>
      </w:r>
      <w:r w:rsidRPr="003B48FB">
        <w:t>, w szczególności jego art. 59, 118, 266, 267 i 268,</w:t>
      </w:r>
    </w:p>
    <w:p w14:paraId="4E345CFC" w14:textId="77777777" w:rsidR="00C434A1" w:rsidRPr="003B48FB" w:rsidRDefault="00C434A1" w:rsidP="00C434A1">
      <w:pPr>
        <w:spacing w:after="240"/>
        <w:ind w:left="567" w:hanging="567"/>
      </w:pPr>
      <w:r w:rsidRPr="003B48FB">
        <w:t>–</w:t>
      </w:r>
      <w:r w:rsidRPr="003B48FB">
        <w:tab/>
        <w:t>uwzględniając art. 102 Regulaminu i załącznik V do Regulaminu,</w:t>
      </w:r>
    </w:p>
    <w:p w14:paraId="49DFFF58" w14:textId="77777777" w:rsidR="00C434A1" w:rsidRPr="003B48FB" w:rsidRDefault="00C434A1" w:rsidP="00C434A1">
      <w:pPr>
        <w:spacing w:after="240"/>
        <w:ind w:left="567" w:hanging="567"/>
      </w:pPr>
      <w:r w:rsidRPr="003B48FB">
        <w:t>–</w:t>
      </w:r>
      <w:r w:rsidRPr="003B48FB">
        <w:tab/>
        <w:t>uwzględniając opinię przedstawioną przez Komisję Prawną,</w:t>
      </w:r>
    </w:p>
    <w:p w14:paraId="3153BDF8" w14:textId="77777777" w:rsidR="00C434A1" w:rsidRPr="003B48FB" w:rsidRDefault="00C434A1" w:rsidP="00C434A1">
      <w:pPr>
        <w:spacing w:after="240"/>
        <w:ind w:left="567" w:hanging="567"/>
      </w:pPr>
      <w:r w:rsidRPr="003B48FB">
        <w:t>–</w:t>
      </w:r>
      <w:r w:rsidRPr="003B48FB">
        <w:tab/>
        <w:t>uwzględniając sprawozdanie Komisji Kontroli Budżetowej (A10-0050/2025),</w:t>
      </w:r>
    </w:p>
    <w:p w14:paraId="74AB9541" w14:textId="77777777" w:rsidR="00C434A1" w:rsidRPr="003B48FB" w:rsidRDefault="00C434A1" w:rsidP="00C434A1">
      <w:pPr>
        <w:spacing w:after="240"/>
        <w:ind w:left="567" w:hanging="567"/>
      </w:pPr>
      <w:r w:rsidRPr="003B48FB">
        <w:t>1.</w:t>
      </w:r>
      <w:r w:rsidRPr="003B48FB">
        <w:tab/>
        <w:t>udziela sekretarzowi Trybunału Sprawiedliwości Unii Europejskiej absolutorium z wykonania budżetu Trybunału Sprawiedliwości Unii Europejskiej za rok budżetowy 2023;</w:t>
      </w:r>
    </w:p>
    <w:p w14:paraId="7589C75C" w14:textId="77777777" w:rsidR="00C434A1" w:rsidRPr="003B48FB" w:rsidRDefault="00C434A1" w:rsidP="00C434A1">
      <w:pPr>
        <w:spacing w:after="240"/>
        <w:ind w:left="567" w:hanging="567"/>
      </w:pPr>
      <w:r w:rsidRPr="003B48FB">
        <w:t>2.</w:t>
      </w:r>
      <w:r w:rsidRPr="003B48FB">
        <w:tab/>
        <w:t>przedstawia swoje uwagi w poniższej rezolucji;</w:t>
      </w:r>
    </w:p>
    <w:p w14:paraId="41B2123A" w14:textId="77777777" w:rsidR="00C434A1" w:rsidRPr="003B48FB" w:rsidRDefault="00C434A1" w:rsidP="00C434A1">
      <w:pPr>
        <w:spacing w:after="240"/>
        <w:ind w:left="567" w:hanging="567"/>
      </w:pPr>
      <w:r w:rsidRPr="003B48FB">
        <w:t>3.</w:t>
      </w:r>
      <w:r w:rsidRPr="003B48FB">
        <w:tab/>
        <w:t xml:space="preserve">zobowiązuje swoją przewodniczącą do przekazania niniejszej decyzji wraz z rezolucją, która stanowi jej integralną część, Trybunałowi Sprawiedliwości Unii Europejskiej, Radzie, Komisji, Europejskiemu Rzecznikowi Praw Obywatelskich, Europejskiemu Inspektorowi Ochrony Danych i Trybunałowi Obrachunkowemu oraz do zarządzenia jej publikacji w </w:t>
      </w:r>
      <w:r w:rsidRPr="003B48FB">
        <w:rPr>
          <w:i/>
        </w:rPr>
        <w:t>Dzienniku Urzędowym Unii Europejskiej</w:t>
      </w:r>
      <w:r w:rsidRPr="003B48FB">
        <w:t xml:space="preserve"> (seria L).</w:t>
      </w:r>
    </w:p>
    <w:p w14:paraId="67721402" w14:textId="77777777" w:rsidR="00C434A1" w:rsidRPr="00C047A5" w:rsidRDefault="00C434A1" w:rsidP="00C434A1">
      <w:pPr>
        <w:sectPr w:rsidR="00C434A1" w:rsidRPr="00C047A5" w:rsidSect="00C434A1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E7681DF" w14:textId="77777777" w:rsidR="00C434A1" w:rsidRPr="003B48FB" w:rsidRDefault="00C434A1" w:rsidP="00C434A1">
      <w:pPr>
        <w:pStyle w:val="ATHeading3"/>
      </w:pPr>
      <w:r w:rsidRPr="003B48FB">
        <w:lastRenderedPageBreak/>
        <w:t>2. Rezolucja Parlamentu Europejskiego z dnia 7 maja 2025 r. zawierająca uwagi stanowiące integralną część decyzji w sprawie absolutorium z wykonania budżetu ogólnego Unii Europejskiej za rok budżetowy 2023, sekcja IV – Trybunał Sprawiedliwości Unii Europejskiej (2024/2022(DEC))</w:t>
      </w:r>
    </w:p>
    <w:p w14:paraId="43610621" w14:textId="296C45D1" w:rsidR="00C434A1" w:rsidRPr="00C434A1" w:rsidRDefault="00C434A1" w:rsidP="00C434A1">
      <w:pPr>
        <w:spacing w:before="480" w:after="240"/>
        <w:rPr>
          <w:i/>
        </w:rPr>
      </w:pPr>
      <w:r w:rsidRPr="00C434A1">
        <w:rPr>
          <w:i/>
        </w:rPr>
        <w:t xml:space="preserve">Parlament </w:t>
      </w:r>
      <w:r>
        <w:rPr>
          <w:i/>
        </w:rPr>
        <w:t>E</w:t>
      </w:r>
      <w:r w:rsidRPr="00C434A1">
        <w:rPr>
          <w:i/>
        </w:rPr>
        <w:t>uropejski,</w:t>
      </w:r>
    </w:p>
    <w:p w14:paraId="7C34E9B7" w14:textId="09FADAF6" w:rsidR="00C434A1" w:rsidRPr="003B48FB" w:rsidRDefault="00251B3B" w:rsidP="00C434A1">
      <w:pPr>
        <w:spacing w:after="240"/>
        <w:ind w:left="567" w:hanging="567"/>
      </w:pPr>
      <w:r>
        <w:t>–</w:t>
      </w:r>
      <w:r w:rsidR="00C434A1" w:rsidRPr="003B48FB">
        <w:tab/>
        <w:t>uwzględniając swoją decyzję w sprawie absolutorium z wykonania budżetu ogólnego Unii Europejskiej za rok budżetowy 2023, sekcja IV – Trybunał Sprawiedliwości Unii Europejskiej,</w:t>
      </w:r>
    </w:p>
    <w:p w14:paraId="14F7077F" w14:textId="02318BC2" w:rsidR="00C434A1" w:rsidRPr="003B48FB" w:rsidRDefault="00251B3B" w:rsidP="00C434A1">
      <w:pPr>
        <w:spacing w:after="240"/>
        <w:ind w:left="567" w:hanging="567"/>
      </w:pPr>
      <w:r>
        <w:t>–</w:t>
      </w:r>
      <w:r w:rsidR="00C434A1" w:rsidRPr="003B48FB">
        <w:tab/>
        <w:t>uwzględniając art. 102 Regulaminu i załącznik V do Regulaminu,</w:t>
      </w:r>
    </w:p>
    <w:p w14:paraId="63E749E8" w14:textId="4DAE3A52" w:rsidR="00C434A1" w:rsidRPr="003B48FB" w:rsidRDefault="00251B3B" w:rsidP="00C434A1">
      <w:pPr>
        <w:spacing w:after="240"/>
        <w:ind w:left="567" w:hanging="567"/>
      </w:pPr>
      <w:r>
        <w:t>–</w:t>
      </w:r>
      <w:r w:rsidR="00C434A1" w:rsidRPr="003B48FB">
        <w:tab/>
        <w:t>uwzględniając opinię przedstawioną przez Komisję Prawną,</w:t>
      </w:r>
    </w:p>
    <w:p w14:paraId="3B0B4104" w14:textId="69808A35" w:rsidR="00C434A1" w:rsidRPr="003B48FB" w:rsidRDefault="00251B3B" w:rsidP="00C434A1">
      <w:pPr>
        <w:spacing w:after="240"/>
        <w:ind w:left="567" w:hanging="567"/>
      </w:pPr>
      <w:r>
        <w:t>–</w:t>
      </w:r>
      <w:r w:rsidR="00C434A1" w:rsidRPr="003B48FB">
        <w:tab/>
        <w:t>uwzględniając sprawozdanie Komisji Kontroli Budżetowej (A10-0050/2025),</w:t>
      </w:r>
    </w:p>
    <w:p w14:paraId="39CA1A55" w14:textId="77777777" w:rsidR="00C434A1" w:rsidRPr="003B48FB" w:rsidRDefault="00C434A1" w:rsidP="00C434A1">
      <w:pPr>
        <w:spacing w:after="240"/>
        <w:ind w:left="567" w:hanging="567"/>
      </w:pPr>
      <w:r w:rsidRPr="003B48FB">
        <w:t>A.</w:t>
      </w:r>
      <w:r w:rsidRPr="003B48FB">
        <w:tab/>
        <w:t>mając na uwadze, że w ramach procedury udzielania absolutorium organ udzielający absolutorium pragnie podkreślić szczególne znaczenie dalszego wzmacniania legitymacji demokratycznej instytucji Unii dzięki zwiększaniu przejrzystości i rozliczalności oraz wdrażaniu koncepcji budżetowania wynikowego i właściwego zarządzania zasobami ludzkimi;</w:t>
      </w:r>
    </w:p>
    <w:p w14:paraId="19610D97" w14:textId="77777777" w:rsidR="00C434A1" w:rsidRPr="003B48FB" w:rsidRDefault="00C434A1" w:rsidP="00C434A1">
      <w:pPr>
        <w:spacing w:after="240"/>
        <w:ind w:left="567" w:hanging="567"/>
        <w:rPr>
          <w:u w:val="single"/>
        </w:rPr>
      </w:pPr>
      <w:r w:rsidRPr="003B48FB">
        <w:t>B.</w:t>
      </w:r>
      <w:r w:rsidRPr="003B48FB">
        <w:tab/>
        <w:t>mając na uwadze, że Trybunał Sprawiedliwości Unii Europejskiej (TSUE) jest instytucją sądowniczą Unii, której zadaniem jest zapewnianie poszanowania prawa Unii poprzez czuwanie nad jednolitą interpretacją i jednolitym stosowaniem traktatów oraz przez zapewnienie kontroli zgodności z prawem aktów przyjmowanych przez instytucje, organy, urzędy i agencje Unii;</w:t>
      </w:r>
    </w:p>
    <w:p w14:paraId="3B53241C" w14:textId="77777777" w:rsidR="00C434A1" w:rsidRPr="003B48FB" w:rsidRDefault="00C434A1" w:rsidP="00C434A1">
      <w:pPr>
        <w:spacing w:after="240"/>
        <w:ind w:left="567" w:hanging="567"/>
      </w:pPr>
      <w:r w:rsidRPr="003B48FB">
        <w:t>C.</w:t>
      </w:r>
      <w:r w:rsidRPr="003B48FB">
        <w:tab/>
        <w:t>mając na uwadze, że TSUE przyczynia się do ochrony wartości Unii, a poprzez swoje orzecznictwo działa na rzecz budowania Europy;</w:t>
      </w:r>
    </w:p>
    <w:p w14:paraId="7F9D203B" w14:textId="77777777" w:rsidR="00C434A1" w:rsidRPr="003B48FB" w:rsidRDefault="00C434A1" w:rsidP="00C434A1">
      <w:pPr>
        <w:spacing w:after="240"/>
        <w:ind w:left="567" w:hanging="567"/>
      </w:pPr>
      <w:r w:rsidRPr="003B48FB">
        <w:t>D.</w:t>
      </w:r>
      <w:r w:rsidRPr="003B48FB">
        <w:tab/>
        <w:t>mając na uwadze, że TSUE składa się z dwóch organów sądowych: Trybunału Sprawiedliwości i Sądu;</w:t>
      </w:r>
    </w:p>
    <w:p w14:paraId="49EA8460" w14:textId="77777777" w:rsidR="00C434A1" w:rsidRPr="003B48FB" w:rsidRDefault="00C434A1" w:rsidP="00C434A1">
      <w:pPr>
        <w:spacing w:after="240"/>
        <w:ind w:left="567" w:hanging="567"/>
      </w:pPr>
      <w:r w:rsidRPr="003B48FB">
        <w:t>E.</w:t>
      </w:r>
      <w:r w:rsidRPr="003B48FB">
        <w:tab/>
        <w:t>mając na uwadze, że w 2024 r. Parlament i Rada zmieniły Protokół nr 3 w sprawie statutu TSUE („statut”) </w:t>
      </w:r>
      <w:r w:rsidRPr="003B48FB">
        <w:rPr>
          <w:vertAlign w:val="superscript"/>
        </w:rPr>
        <w:footnoteReference w:id="7"/>
      </w:r>
      <w:r w:rsidRPr="003B48FB">
        <w:t xml:space="preserve"> w kwestii przeniesienia do Sądu właściwości do wydawania orzeczeń w trybie prejudycjalnym w określonych dziedzinach;</w:t>
      </w:r>
    </w:p>
    <w:p w14:paraId="44E523FA" w14:textId="77777777" w:rsidR="00C434A1" w:rsidRPr="003B48FB" w:rsidRDefault="00C434A1" w:rsidP="00C434A1">
      <w:pPr>
        <w:spacing w:after="240"/>
        <w:ind w:left="567" w:hanging="567"/>
      </w:pPr>
      <w:r w:rsidRPr="003B48FB">
        <w:t>1.</w:t>
      </w:r>
      <w:r w:rsidRPr="003B48FB">
        <w:tab/>
        <w:t>odnotowuje, że budżet TSUE wchodzi w zakres działu 7 WRF „Europejska administracja publiczna”, który w 2023 r. dysponował kwotą 12,3 mld EUR (co stanowi 6,4 % całkowitego budżetu Unii); zwraca uwagę, że budżet TSUE o wartości blisko 0,5 mld EUR stanowi około 3,9 % całkowitych wydatków administracyjnych Unii;</w:t>
      </w:r>
    </w:p>
    <w:p w14:paraId="25A20424" w14:textId="77777777" w:rsidR="00C434A1" w:rsidRPr="003B48FB" w:rsidRDefault="00C434A1" w:rsidP="00C434A1">
      <w:pPr>
        <w:spacing w:after="240"/>
        <w:ind w:left="567" w:hanging="567"/>
      </w:pPr>
      <w:r w:rsidRPr="003B48FB">
        <w:t>2.</w:t>
      </w:r>
      <w:r w:rsidRPr="003B48FB">
        <w:tab/>
        <w:t xml:space="preserve">zwraca uwagę, że Trybunał Obrachunkowy („Trybunał”) w swoim sprawozdaniu rocznym za rok budżetowy 2023 („sprawozdanie Trybunału”) zbadał próbę 70 </w:t>
      </w:r>
      <w:r w:rsidRPr="003B48FB">
        <w:lastRenderedPageBreak/>
        <w:t>transakcji w dziale „Administracja”, czyli o 10 więcej niż zbadał w 2022 r.; zwraca ponadto uwagę, że Trybunał stwierdził, iż wydatki administracyjne obejmują wydatki na zasoby kadrowe, w tym na emerytury i renty, które w 2023 r. stanowiły około 70 % wszystkich wydatków administracyjnych, oraz wydatki na budynki, wyposażenie, energię, telekomunikację i informatykę (IT), a z kontroli prowadzonych od wielu lat przez Trybunał wynika, iż zasadniczo są to wydatki obarczone niskim ryzykiem;</w:t>
      </w:r>
    </w:p>
    <w:p w14:paraId="53859625" w14:textId="77777777" w:rsidR="00C434A1" w:rsidRPr="003B48FB" w:rsidRDefault="00C434A1" w:rsidP="00C434A1">
      <w:pPr>
        <w:spacing w:after="240"/>
        <w:ind w:left="567" w:hanging="567"/>
      </w:pPr>
      <w:r w:rsidRPr="003B48FB">
        <w:t>3.</w:t>
      </w:r>
      <w:r w:rsidRPr="003B48FB">
        <w:tab/>
        <w:t>odnotowuje, że chociaż na 70 zbadanych transakcji błędy wystąpiły w 21 transakcjach (30 %), Trybunał na podstawie pięciu skwantyfikowanych błędów szacuje, iż poziom błędu znajduje się poniżej progu istotności;</w:t>
      </w:r>
    </w:p>
    <w:p w14:paraId="46DDE4B4" w14:textId="77777777" w:rsidR="00C434A1" w:rsidRPr="003B48FB" w:rsidRDefault="00C434A1" w:rsidP="00C434A1">
      <w:pPr>
        <w:spacing w:after="240"/>
        <w:ind w:left="567" w:hanging="567"/>
      </w:pPr>
      <w:r w:rsidRPr="003B48FB">
        <w:t>4.</w:t>
      </w:r>
      <w:r w:rsidRPr="003B48FB">
        <w:tab/>
        <w:t>zwraca uwagę, że Trybunał nie wskazał w swoim sprawozdaniu żadnego konkretnego problemu dotyczącego TSUE;</w:t>
      </w:r>
    </w:p>
    <w:p w14:paraId="499BB05F" w14:textId="77777777" w:rsidR="00C434A1" w:rsidRPr="00C434A1" w:rsidRDefault="00C434A1" w:rsidP="00C434A1">
      <w:pPr>
        <w:spacing w:after="240"/>
        <w:ind w:left="567" w:hanging="567"/>
        <w:rPr>
          <w:b/>
          <w:bCs/>
          <w:i/>
          <w:iCs/>
        </w:rPr>
      </w:pPr>
      <w:r w:rsidRPr="00C434A1">
        <w:rPr>
          <w:b/>
          <w:bCs/>
          <w:i/>
          <w:iCs/>
        </w:rPr>
        <w:t>Zarządzanie budżetem i finansami</w:t>
      </w:r>
    </w:p>
    <w:p w14:paraId="74CA0453" w14:textId="77777777" w:rsidR="00C434A1" w:rsidRPr="003B48FB" w:rsidRDefault="00C434A1" w:rsidP="00C434A1">
      <w:pPr>
        <w:spacing w:after="240"/>
        <w:ind w:left="567" w:hanging="567"/>
      </w:pPr>
      <w:r w:rsidRPr="003B48FB">
        <w:t>5.</w:t>
      </w:r>
      <w:r w:rsidRPr="003B48FB">
        <w:tab/>
        <w:t>zwraca uwagę, że budżet przydzielony TSUE w 2023 r. wyniósł 486 025 796 EUR, co stanowi wzrost o 3,9 % w porównaniu z 2022 r.; zauważa, że wzrost ten był głównie związany z rewaloryzacją wynagrodzeń przewidzianą na 2023 r.; podkreśla, że budżet TSUE jest zasadniczo budżetem administracyjnym, przy czym około 75 % środków wiąże się z wydatkami na potrzeby członków i personelu, a pozostałe wydatki niemal w całości wiążą się z budynkami i IT;</w:t>
      </w:r>
    </w:p>
    <w:p w14:paraId="0514DFDD" w14:textId="77777777" w:rsidR="00C434A1" w:rsidRPr="003B48FB" w:rsidRDefault="00C434A1" w:rsidP="00C434A1">
      <w:pPr>
        <w:spacing w:after="240"/>
        <w:ind w:left="567" w:hanging="567"/>
      </w:pPr>
      <w:r w:rsidRPr="003B48FB">
        <w:t>6.</w:t>
      </w:r>
      <w:r w:rsidRPr="003B48FB">
        <w:tab/>
        <w:t>odnotowuje, że ogólny wskaźnik wykonania budżetu na koniec 2023 r. wyniósł 97,72 %; zwraca uwagę, że władzy budżetowej przedłożono pięć przesunięć zgodnie z art. 29 rozporządzenia finansowego w celu zasilenia linii budżetowych „Zużycie energii”, „Zakup, konserwacja oraz utrzymanie sprzętu i oprogramowania komputerowego” oraz „Budynki” z innych linii budżetowych, głównie z linii budżetowej „Wynagrodzenia i świadczenia” na potrzeby pracowników; zwraca uwagę, że wojna napastnicza Rosji przeciwko Ukrainie nadal powodowała presję budżetową na TSUE, w tym poprzez rosnącą inflację i rewaloryzację wynagrodzeń, duży wzrost kosztów energii oraz kosztów wielu towarów i usług;</w:t>
      </w:r>
    </w:p>
    <w:p w14:paraId="0CDCD092" w14:textId="77777777" w:rsidR="00C434A1" w:rsidRPr="003B48FB" w:rsidRDefault="00C434A1" w:rsidP="00C434A1">
      <w:pPr>
        <w:spacing w:after="240"/>
        <w:ind w:left="567" w:hanging="567"/>
      </w:pPr>
      <w:r w:rsidRPr="003B48FB">
        <w:t>7.</w:t>
      </w:r>
      <w:r w:rsidRPr="003B48FB">
        <w:tab/>
        <w:t>z zadowoleniem odnotowuje, że delegowany urzędnik zatwierdzający oświadczył, iż przydzielone zasoby zostały wykorzystane zgodnie z przeznaczeniem i zasadą należytego zarządzania finansami oraz że wprowadzone procedury kontroli zapewniły niezbędne gwarancje legalności i prawidłowości transakcji leżących u podstaw rozliczeń;</w:t>
      </w:r>
    </w:p>
    <w:p w14:paraId="0E3A15C2" w14:textId="77777777" w:rsidR="00C434A1" w:rsidRPr="003B48FB" w:rsidRDefault="00C434A1" w:rsidP="00C434A1">
      <w:pPr>
        <w:spacing w:after="240"/>
        <w:ind w:left="567" w:hanging="567"/>
      </w:pPr>
      <w:r w:rsidRPr="003B48FB">
        <w:t>8.</w:t>
      </w:r>
      <w:r w:rsidRPr="003B48FB">
        <w:tab/>
        <w:t>zwraca uwagę, że w 2023 r. średni czas płatności wynosił 23,1 dnia w porównaniu z 24,32 dnia w 2022 r.; wzywa TSUE do dalszych wysiłków na rzecz skrócenia czasu płatności, w szczególności mając na uwadze, że w 2023 r. 81 % faktur otrzymał on drogą elektroniczną;</w:t>
      </w:r>
    </w:p>
    <w:p w14:paraId="6561671A" w14:textId="77777777" w:rsidR="00C434A1" w:rsidRPr="003B48FB" w:rsidRDefault="00C434A1" w:rsidP="00C434A1">
      <w:pPr>
        <w:spacing w:after="240"/>
        <w:ind w:left="567" w:hanging="567"/>
      </w:pPr>
      <w:r w:rsidRPr="003B48FB">
        <w:t>9.</w:t>
      </w:r>
      <w:r w:rsidRPr="003B48FB">
        <w:tab/>
        <w:t>zwraca uwagę, że budżet TSUE na podróże służbowe, który w 2023 r. wyniósł 638 000 EUR, obejmujący zarówno pracowników, jak i członków, w 2023 r. zmniejszył się o dalsze 3,3 % w porównaniu z 2022 r.; odnotowuje, że w 2023 r. wykorzystano 85,1 % środków na podróże służbowe w porównaniu z 46,6 % w 2022 r., co było spowodowane utrzymującymi się w tym czasie ograniczeniami w podróżach;</w:t>
      </w:r>
    </w:p>
    <w:p w14:paraId="64BD300D" w14:textId="77777777" w:rsidR="00C434A1" w:rsidRPr="00C434A1" w:rsidRDefault="00C434A1" w:rsidP="00C434A1">
      <w:pPr>
        <w:spacing w:after="240"/>
        <w:ind w:left="567" w:hanging="567"/>
        <w:rPr>
          <w:b/>
          <w:bCs/>
          <w:i/>
          <w:iCs/>
        </w:rPr>
      </w:pPr>
      <w:r w:rsidRPr="00C434A1">
        <w:rPr>
          <w:b/>
          <w:bCs/>
          <w:i/>
          <w:iCs/>
        </w:rPr>
        <w:t>Zarządzanie wewnętrzne, wyniki i kontrola wewnętrzna</w:t>
      </w:r>
    </w:p>
    <w:p w14:paraId="48E95A3C" w14:textId="77777777" w:rsidR="00C434A1" w:rsidRPr="003B48FB" w:rsidRDefault="00C434A1" w:rsidP="00C434A1">
      <w:pPr>
        <w:spacing w:after="240"/>
        <w:ind w:left="567" w:hanging="567"/>
      </w:pPr>
      <w:r w:rsidRPr="003B48FB">
        <w:lastRenderedPageBreak/>
        <w:t>10.</w:t>
      </w:r>
      <w:r w:rsidRPr="003B48FB">
        <w:tab/>
        <w:t>zwraca uwagę na ważne kroki podjęte przez TSUE w 2023 r. służące reformie jego działalności sądowniczej, które doprowadziły do częściowego przeniesienia właściwości do orzekania w trybie prejudycjalnym z Trybunału Sprawiedliwości do Sądu; zwraca uwagę, że pod koniec 2023 r. osiągnięto porozumienie polityczne z Parlamentem i Radą na temat zmiany statutu TSUE oraz poprawy funkcjonowania TSUE w związku ze stałym wzrostem liczby postępowań oraz złożonością i delikatnym charakterem wnoszonych spraw; odnotowuje, że po wprowadzeniu reformy w 2024 r. przyjęto szczegółowe zasady i procedury, aby ją dokończyć i umożliwić wdrożenie nowych ram regulacyjnych od 1 października 2024 r.;</w:t>
      </w:r>
    </w:p>
    <w:p w14:paraId="3B377EC6" w14:textId="77777777" w:rsidR="00C434A1" w:rsidRPr="003B48FB" w:rsidRDefault="00C434A1" w:rsidP="00C434A1">
      <w:pPr>
        <w:spacing w:after="240"/>
        <w:ind w:left="567" w:hanging="567"/>
      </w:pPr>
      <w:r w:rsidRPr="003B48FB">
        <w:t>11.</w:t>
      </w:r>
      <w:r w:rsidRPr="003B48FB">
        <w:tab/>
        <w:t>zwraca uwagę, że w 2023 r. Trybunał Sprawiedliwości orzekł w pięciu sprawach dotyczących zasady pierwszeństwa prawa UE w kontekście czterech pytań prejudycjalnych wniesionych przez sądy w Niemczech, Irlandii, Polsce i Rumunii oraz jednego postępowania w sprawie uchybienia zobowiązaniom państwa członkowskiego dotyczącego Polski; podkreśla fundamentalne znaczenie zasady pierwszeństwa prawa unijnego, która zapewnia jednolitą wykładnię i jednolite stosowanie prawa Unii we wszystkich państwach członkowskich oraz gwarantuje praworządność jako jedną z podstawowych wartości Unii; zdecydowanie potwierdza, że pierwszeństwo prawa unijnego jest podstawą porządku prawnego Unii, i podkreśla kluczową rolę TSUE w utrzymywaniu rządów prawa w całej Unii; odnotowuje ponadto, że Sąd orzekł w sześciu sprawach związanych ze „środkami ochrony budżetu Unii przed naruszeniami zasad państwa prawnego” przeciwko rządowi węgierskiemu, który regularnie narusza podstawowe wartości Unii; wzywa Komisję do podejmowania zdecydowanych działań egzekwujących prawo wobec każdego państwa członkowskiego, które kwestionuje lub lekceważy wiążący charakter orzeczeń TSUE; podkreśla, że w sprawach związanych z dochodzeniem w sprawie budżetu Unii wszystkie właściwe organy muszą w pełni przestrzegać zasad sprawiedliwości proceduralnej i praw podstawowych;</w:t>
      </w:r>
    </w:p>
    <w:p w14:paraId="5B0736A3" w14:textId="77777777" w:rsidR="00C434A1" w:rsidRPr="003B48FB" w:rsidRDefault="00C434A1" w:rsidP="00C434A1">
      <w:pPr>
        <w:spacing w:after="240"/>
        <w:ind w:left="567" w:hanging="567"/>
      </w:pPr>
      <w:r w:rsidRPr="003B48FB">
        <w:t>12.</w:t>
      </w:r>
      <w:r w:rsidRPr="003B48FB">
        <w:tab/>
        <w:t>zauważa, że art. 4 ust. 2 Traktatu o Unii Europejskiej stanowi, że „Unia szanuje równość Państw Członkowskich wobec Traktatów, jak również ich tożsamość narodową, nierozerwalnie związaną z ich podstawowymi strukturami politycznymi i konstytucyjnymi, w tym w odniesieniu do samorządu regionalnego i lokalnego. Szanuje podstawowe funkcje państwa […]”;</w:t>
      </w:r>
    </w:p>
    <w:p w14:paraId="3EC7FAB5" w14:textId="77777777" w:rsidR="00C434A1" w:rsidRPr="003B48FB" w:rsidRDefault="00C434A1" w:rsidP="00C434A1">
      <w:pPr>
        <w:spacing w:after="240"/>
        <w:ind w:left="567" w:hanging="567"/>
        <w:rPr>
          <w:bCs/>
          <w:iCs/>
        </w:rPr>
      </w:pPr>
      <w:r w:rsidRPr="003B48FB">
        <w:t>13.</w:t>
      </w:r>
      <w:r w:rsidRPr="003B48FB">
        <w:tab/>
        <w:t>potępia środki krajowe lub krajowe działania ustawodawcze mające na celu podważenie kodyfikacji i egzekwowania wyroków TSUE; apeluje o ustanowienie formalnego mechanizmu nadzoru nad przestrzeganiem przez państwa członkowskie orzeczeń TSUE i zaleca powiązanie wypłat unijnych środków z przestrzeganiem zasad praworządności w ramach systemu warunkowości;</w:t>
      </w:r>
    </w:p>
    <w:p w14:paraId="18E9D663" w14:textId="77777777" w:rsidR="00C434A1" w:rsidRPr="003B48FB" w:rsidRDefault="00C434A1" w:rsidP="00C434A1">
      <w:pPr>
        <w:spacing w:after="240"/>
        <w:ind w:left="567" w:hanging="567"/>
      </w:pPr>
      <w:r w:rsidRPr="003B48FB">
        <w:t>14.</w:t>
      </w:r>
      <w:r w:rsidRPr="003B48FB">
        <w:tab/>
        <w:t xml:space="preserve">odnotowuje, że w 2023 r. do Trybunału Sprawiedliwości wpłynęło 821 nowych spraw – w porównaniu z 806 sprawami w 2022 r. – z czego 63 % stanowiły wnioski o wydanie orzeczenia w trybie prejudycjalnym, a 28,6 % – odwołania od orzeczeń Sądu; zwraca uwagę, że Sąd odnotował znaczny wzrost liczby spraw – 1271 nowych spraw w 2023 r. w porównaniu z 904 w 2022 r., w tym wyjątkową serię 404 spraw połączonych złożonych w październiku 2023 r.; zauważa ponadto, że w 2023 r. w przypadku Sądu 37 % nowych spraw – łącznie z serią 404 spraw połączonych – dotyczyło skarg związanych z prawem instytucjonalnym, 24,3 % – skarg związanych z własnością intelektualną, a 6 % – sporów między instytucjami Unii a ich pracownikami; zauważa, że całkowita liczba spraw w toku pozostaje na stałym poziomie w porównaniu z poprzednimi latami: jeśli uznamy wyżej wspomniane 404 sprawy za jedną sprawę, na </w:t>
      </w:r>
      <w:r w:rsidRPr="003B48FB">
        <w:lastRenderedPageBreak/>
        <w:t>koniec 2023 r. w toku było 2587 spraw, w porównaniu z 2585 na koniec 2022 r. i 2541 pod koniec 2021 r.;</w:t>
      </w:r>
    </w:p>
    <w:p w14:paraId="5DD24544" w14:textId="77777777" w:rsidR="00C434A1" w:rsidRPr="003B48FB" w:rsidRDefault="00C434A1" w:rsidP="00C434A1">
      <w:pPr>
        <w:spacing w:after="240"/>
        <w:ind w:left="567" w:hanging="567"/>
      </w:pPr>
      <w:r w:rsidRPr="003B48FB">
        <w:t>15.</w:t>
      </w:r>
      <w:r w:rsidRPr="003B48FB">
        <w:tab/>
        <w:t>odnotowuje, że w 2023 r. Trybunał Sprawiedliwości rozstrzygnął 783 sprawy, w porównaniu z 808 sprawami w 2022 r., oraz że w 2023 r. Sąd rozstrzygnął 904 sprawy, w porównaniu z 858 sprawami w 2022 r.;</w:t>
      </w:r>
    </w:p>
    <w:p w14:paraId="66B82F79" w14:textId="77777777" w:rsidR="00C434A1" w:rsidRPr="003B48FB" w:rsidRDefault="00C434A1" w:rsidP="00C434A1">
      <w:pPr>
        <w:spacing w:after="240"/>
        <w:ind w:left="567" w:hanging="567"/>
      </w:pPr>
      <w:r w:rsidRPr="003B48FB">
        <w:t>16.</w:t>
      </w:r>
      <w:r w:rsidRPr="003B48FB">
        <w:tab/>
        <w:t>z zadowoleniem zauważa skrócenie średniego czasu trwania postępowań w sprawach rozstrzygniętych przez Trybunał Sprawiedliwości, jako że w 2023 r. średnia ta wyniosła 16,1 miesiąca w porównaniu z 16,4 miesiąca w 2022 r.; odnotowuje, że średni czas trwania spraw rozstrzygniętych przez Sąd wynosił 18,2 miesiąca w porównaniu z 16,2 miesiąca w 2022 r., co Sąd uzasadnił charakterem i związaną z nim złożonością postępowań, które prowadzono w 2023 r.;</w:t>
      </w:r>
    </w:p>
    <w:p w14:paraId="430212C4" w14:textId="77777777" w:rsidR="00C434A1" w:rsidRPr="003B48FB" w:rsidRDefault="00C434A1" w:rsidP="00C434A1">
      <w:pPr>
        <w:spacing w:after="240"/>
        <w:ind w:left="567" w:hanging="567"/>
      </w:pPr>
      <w:r w:rsidRPr="003B48FB">
        <w:t>17.</w:t>
      </w:r>
      <w:r w:rsidRPr="003B48FB">
        <w:tab/>
        <w:t>odnotowuje skrócenie średniego czasu rozpatrywania przed Trybunałem Sprawiedliwości skarg bezpośrednich (z 23,5 miesiąca w 2022 r. do 20,8 miesiąca w 2023 r.) i odesłań prejudycjalnych (z 17,3 miesiąca do 16,8 miesiąca); zauważa, że w odniesieniu do sporów przed Trybunałem Sprawiedliwości znacznie wzrosła liczba skarg bezpośrednich, w szczególności z dziedziny ochrony środowiska, oraz że pytania prejudycjalne skierowane do Trybunału Sprawiedliwości w 2023 r. dotyczyły głównie przestrzeni wolności, bezpieczeństwa i sprawiedliwości, a w dalszej kolejności opodatkowania, ochrony konsumentów i transportu; zauważa, że w odniesieniu do sporów przed Sądem wzrosła liczba spraw z dziedziny własności intelektualnej oraz polityki gospodarczej i pieniężnej, w tym bankowości;</w:t>
      </w:r>
    </w:p>
    <w:p w14:paraId="4196D2ED" w14:textId="77777777" w:rsidR="00C434A1" w:rsidRPr="003B48FB" w:rsidRDefault="00C434A1" w:rsidP="00C434A1">
      <w:pPr>
        <w:spacing w:after="240"/>
        <w:ind w:left="567" w:hanging="567"/>
      </w:pPr>
      <w:r w:rsidRPr="003B48FB">
        <w:t>18.</w:t>
      </w:r>
      <w:r w:rsidRPr="003B48FB">
        <w:tab/>
        <w:t>z zadowoleniem odnotowuje wysoki wskaźnik korzystania z e-</w:t>
      </w:r>
      <w:proofErr w:type="spellStart"/>
      <w:r w:rsidRPr="003B48FB">
        <w:t>Curia</w:t>
      </w:r>
      <w:proofErr w:type="spellEnd"/>
      <w:r w:rsidRPr="003B48FB">
        <w:t xml:space="preserve"> w 2023 r., kiedy to w e-</w:t>
      </w:r>
      <w:proofErr w:type="spellStart"/>
      <w:r w:rsidRPr="003B48FB">
        <w:t>Curia</w:t>
      </w:r>
      <w:proofErr w:type="spellEnd"/>
      <w:r w:rsidRPr="003B48FB">
        <w:t xml:space="preserve"> założono 10 502 konta: 94 % spraw wpłynęło do Sądu za pośrednictwem aplikacji e-</w:t>
      </w:r>
      <w:proofErr w:type="spellStart"/>
      <w:r w:rsidRPr="003B48FB">
        <w:t>Curia</w:t>
      </w:r>
      <w:proofErr w:type="spellEnd"/>
      <w:r w:rsidRPr="003B48FB">
        <w:t>, czyli tak samo jak w 2022 r., natomiast wskaźnik wykorzystania e-</w:t>
      </w:r>
      <w:proofErr w:type="spellStart"/>
      <w:r w:rsidRPr="003B48FB">
        <w:t>Curia</w:t>
      </w:r>
      <w:proofErr w:type="spellEnd"/>
      <w:r w:rsidRPr="003B48FB">
        <w:t xml:space="preserve"> w Trybunale Sprawiedliwości wzrósł do około 89 % w porównaniu z 87 % w 2022 r.;</w:t>
      </w:r>
    </w:p>
    <w:p w14:paraId="5226B340" w14:textId="77777777" w:rsidR="00C434A1" w:rsidRPr="003B48FB" w:rsidRDefault="00C434A1" w:rsidP="00C434A1">
      <w:pPr>
        <w:spacing w:after="240"/>
        <w:ind w:left="567" w:hanging="567"/>
      </w:pPr>
      <w:r w:rsidRPr="003B48FB">
        <w:t>19.</w:t>
      </w:r>
      <w:r w:rsidRPr="003B48FB">
        <w:tab/>
        <w:t xml:space="preserve">docenia postępy w cyfryzacji archiwów sądowych służącej zachowywaniu dokumentów, by można się było z nimi zapoznawać w </w:t>
      </w:r>
      <w:proofErr w:type="gramStart"/>
      <w:r w:rsidRPr="003B48FB">
        <w:t>przyszłości,</w:t>
      </w:r>
      <w:proofErr w:type="gramEnd"/>
      <w:r w:rsidRPr="003B48FB">
        <w:t xml:space="preserve"> oraz ułatwieniu dostępu do nich śledczym i opinii publicznej za pośrednictwem portalu cyfrowego;</w:t>
      </w:r>
    </w:p>
    <w:p w14:paraId="31B78055" w14:textId="77777777" w:rsidR="00C434A1" w:rsidRPr="003B48FB" w:rsidRDefault="00C434A1" w:rsidP="00C434A1">
      <w:pPr>
        <w:spacing w:after="240"/>
        <w:ind w:left="567" w:hanging="567"/>
      </w:pPr>
      <w:r w:rsidRPr="003B48FB">
        <w:t>20.</w:t>
      </w:r>
      <w:r w:rsidRPr="003B48FB">
        <w:tab/>
        <w:t>z zadowoleniem przyjmuje opracowane przez TSUE podejście oparte na wynikach, umożliwiające TSUE podejmowanie decyzji na podstawie wyników działania i poziomu realizacji jego celów, mierzonych za pomocą zestawu wskaźników obciążenia pracą i wskaźników operacyjnych; zwraca uwagę, że kluczowe wskaźniki wyników stosowane przez TSUE obejmują szeroki zakres konkretnych obszarów powiązanych z pięcioma celami zarządzania na rzecz prawidłowego funkcjonowania TSUE, a mianowicie cyfryzacją i nowymi technologiami, otwartością i przejrzystością, wielojęzycznością i zarządzaniem zasobami ludzkimi;</w:t>
      </w:r>
    </w:p>
    <w:p w14:paraId="67C30DCD" w14:textId="77777777" w:rsidR="00C434A1" w:rsidRPr="003B48FB" w:rsidRDefault="00C434A1" w:rsidP="00C434A1">
      <w:pPr>
        <w:spacing w:after="240"/>
        <w:ind w:left="567" w:hanging="567"/>
      </w:pPr>
      <w:r w:rsidRPr="003B48FB">
        <w:t>21.</w:t>
      </w:r>
      <w:r w:rsidRPr="003B48FB">
        <w:tab/>
        <w:t>zwraca uwagę, że w latach 2022–2023 ramy kontroli wewnętrznej TSUE poddano dogłębnej ocenie, która potwierdziła ich prawidłowość; odnotowuje, że w ramach tej oceny dostosowano sposób prowadzenia kontroli finansowej w celu zwiększenia jej skuteczności;</w:t>
      </w:r>
    </w:p>
    <w:p w14:paraId="40F551E8" w14:textId="77777777" w:rsidR="00C434A1" w:rsidRPr="003B48FB" w:rsidRDefault="00C434A1" w:rsidP="00C434A1">
      <w:pPr>
        <w:spacing w:after="240"/>
        <w:ind w:left="567" w:hanging="567"/>
      </w:pPr>
      <w:r w:rsidRPr="003B48FB">
        <w:t>22.</w:t>
      </w:r>
      <w:r w:rsidRPr="003B48FB">
        <w:tab/>
        <w:t xml:space="preserve">zwraca uwagę, że główne audyty wewnętrzne przeprowadzone w 2023 r. dotyczyły wydatków TSUE na sprzątanie budynków, skuteczności systemu kontroli wewnętrznej </w:t>
      </w:r>
      <w:r w:rsidRPr="003B48FB">
        <w:lastRenderedPageBreak/>
        <w:t xml:space="preserve">w celu zabezpieczenia zasobów informatycznych TSUE oraz procedur naboru pracowników; zauważa, że przy okazji audytu wewnętrznego przeprowadzono również badanie dotyczące wykorzystania sztucznej inteligencji w dziedzinie wymiaru sprawiedliwości </w:t>
      </w:r>
      <w:bookmarkStart w:id="6" w:name="_bookmark0"/>
      <w:bookmarkEnd w:id="6"/>
      <w:r w:rsidRPr="003B48FB">
        <w:t>w odniesieniu do wdrożenia „strategii włączenia narzędzi opartych na sztucznej inteligencji do funkcjonowania TSUE”; odnotowuje, że w wielu przypadkach służby TSUE podjęły działania na rzecz wdrożenia zaleceń z audytu wewnętrznego jeszcze przed formalnym zakończeniem audytów wewnętrznych oraz że audytor wewnętrzny uznał te działania za zadowalające;</w:t>
      </w:r>
    </w:p>
    <w:p w14:paraId="1E54025B" w14:textId="77777777" w:rsidR="00C434A1" w:rsidRPr="00C434A1" w:rsidRDefault="00C434A1" w:rsidP="00C434A1">
      <w:pPr>
        <w:spacing w:after="240"/>
        <w:ind w:left="567" w:hanging="567"/>
        <w:rPr>
          <w:b/>
          <w:bCs/>
          <w:i/>
          <w:iCs/>
        </w:rPr>
      </w:pPr>
      <w:r w:rsidRPr="00C434A1">
        <w:rPr>
          <w:b/>
          <w:bCs/>
          <w:i/>
          <w:iCs/>
        </w:rPr>
        <w:t>Zasoby ludzkie, równość i dobrostan pracowników</w:t>
      </w:r>
    </w:p>
    <w:p w14:paraId="17EB2511" w14:textId="77777777" w:rsidR="00C434A1" w:rsidRPr="003B48FB" w:rsidRDefault="00C434A1" w:rsidP="00C434A1">
      <w:pPr>
        <w:spacing w:after="240"/>
        <w:ind w:left="567" w:hanging="567"/>
      </w:pPr>
      <w:r w:rsidRPr="003B48FB">
        <w:t>23.</w:t>
      </w:r>
      <w:r w:rsidRPr="003B48FB">
        <w:tab/>
        <w:t>zwraca uwagę, że na koniec 2023 r. TSUE zatrudniał 1340 urzędników (58 %), 765 pracowników zatrudnionych na czas określony (33 %) na podstawie art. 2 lit. a), b) i c) warunków zatrudnienia innych pracowników UE oraz 198 pracowników kontraktowych (9 %); odnotowuje, że na koniec 2023 r. wskaźnik obsadzenia stanowisk w planie zatrudnienia wyniósł 97,11 %; odnotowuje ponadto, że w 2023 r. roczna rotacja pracowników wyniosła 7,8 %, co wynikało w szczególności z faktu, że 20 % pracowników odchodzących z TSUE przeszło na emeryturę;</w:t>
      </w:r>
    </w:p>
    <w:p w14:paraId="32F9C602" w14:textId="77777777" w:rsidR="00C434A1" w:rsidRPr="003B48FB" w:rsidRDefault="00C434A1" w:rsidP="00C434A1">
      <w:pPr>
        <w:spacing w:after="240"/>
        <w:ind w:left="567" w:hanging="567"/>
      </w:pPr>
      <w:r w:rsidRPr="003B48FB">
        <w:t>24.</w:t>
      </w:r>
      <w:r w:rsidRPr="003B48FB">
        <w:tab/>
        <w:t>zwraca uwagę, że w skład Trybunału Sprawiedliwości wchodzi 27 sędziów i 11 rzeczników generalnych oraz że w 2023 r. nie objął urzędu żaden nowy sędzia ani rzecznik generalny; odnotowuje ponadto, że w skład Sądu wchodzi 54 sędziów i że w 2023 r. urząd objęło dwoje nowych sędziów – kobieta i mężczyzna; zwraca także uwagę, że w 2023 r. wybrano nowego sekretarza Sądu;</w:t>
      </w:r>
    </w:p>
    <w:p w14:paraId="332E037C" w14:textId="77777777" w:rsidR="00C434A1" w:rsidRPr="003B48FB" w:rsidRDefault="00C434A1" w:rsidP="00C434A1">
      <w:pPr>
        <w:spacing w:after="240"/>
        <w:ind w:left="567" w:hanging="567"/>
      </w:pPr>
      <w:r w:rsidRPr="003B48FB">
        <w:t>25.</w:t>
      </w:r>
      <w:r w:rsidRPr="003B48FB">
        <w:tab/>
        <w:t>z zadowoleniem przyjmuje szczegółowe odpowiedzi TSUE na kwestionariusz parlamentarnej Komisji Kontroli Budżetowej, przekazane w ramach obecnej procedury udzielania absolutorium, szczególnie w odniesieniu do dystrybucji personelu na koniec 2023 r.;</w:t>
      </w:r>
      <w:r w:rsidRPr="003B48FB">
        <w:rPr>
          <w:bCs/>
          <w:iCs/>
        </w:rPr>
        <w:t xml:space="preserve"> </w:t>
      </w:r>
      <w:r w:rsidRPr="003B48FB">
        <w:t>odnotowuje, że nadal występuje duży brak równowagi płci w składzie Trybunału Sprawiedliwości i Sądu; wyraża uznanie dla pisma prezesa Sądu do przewodniczącego konferencji przedstawicieli rządów państw członkowskich w 2024 r. z apelem do państw członkowskich o to, aby uwzględniły potrzebę równowagi płci przy mianowaniu kandydatów mających zastąpić sędziów i rzeczników generalnych; wzywa państwa członkowskie, aby przy powoływaniu kandydatów w ramach wymiany sędziów uwzględniały konieczność równowagi płci;</w:t>
      </w:r>
    </w:p>
    <w:p w14:paraId="07486DD6" w14:textId="77777777" w:rsidR="00C434A1" w:rsidRPr="003B48FB" w:rsidRDefault="00C434A1" w:rsidP="00C434A1">
      <w:pPr>
        <w:spacing w:after="240"/>
        <w:ind w:left="567" w:hanging="567"/>
      </w:pPr>
      <w:r w:rsidRPr="003B48FB">
        <w:t>26.</w:t>
      </w:r>
      <w:r w:rsidRPr="003B48FB">
        <w:tab/>
        <w:t>przyjmuje do wiadomości, że pośród 2303 urzędników i pracowników pełniących służbę pod koniec 2023 r. 61 % to kobiety; z zadowoleniem przyjmuje fakt, że odsetek kobiet pełniących funkcje administracyjne wynosi 55 %, a w szczególności że odsetek kobiet na stanowiskach kierowniczych zwiększył się do 43 % w porównaniu z 40 % w 2022 i 2021 r., co potwierdza tendencję wzrostową odnotowywaną od 2018 r. (41 % w 2020 r., 39 % w 2019 r. i 37,5 % w 2018 r.); odnotowuje jednak, że reprezentacja kobiet była najwyższa w asystenckich grupach zaszeregowania, zaś najniższa na stanowiskach kierowniczych wyższego szczebla; wzywa TSUE, aby zadbał o większą reprezentację kobiet na stanowiskach kierowniczych wyższego szczebla oraz wprowadził dodatkowe środki w celu promowania równowagi płci na wszystkich szczeblach;</w:t>
      </w:r>
      <w:r w:rsidRPr="003B48FB">
        <w:rPr>
          <w:color w:val="FF0000"/>
        </w:rPr>
        <w:t xml:space="preserve"> </w:t>
      </w:r>
      <w:r w:rsidRPr="003B48FB">
        <w:t>z zadowoleniem przyjmuje wysiłki podejmowane przez TSUE na rzecz równości, włączenia i różnorodności, zwłaszcza na etapie rekrutacji;</w:t>
      </w:r>
    </w:p>
    <w:p w14:paraId="00AA70A8" w14:textId="77777777" w:rsidR="00C434A1" w:rsidRPr="003B48FB" w:rsidRDefault="00C434A1" w:rsidP="00C434A1">
      <w:pPr>
        <w:spacing w:after="240"/>
        <w:ind w:left="567" w:hanging="567"/>
        <w:rPr>
          <w:bCs/>
          <w:iCs/>
        </w:rPr>
      </w:pPr>
      <w:r w:rsidRPr="003B48FB">
        <w:t>27.</w:t>
      </w:r>
      <w:r w:rsidRPr="003B48FB">
        <w:tab/>
        <w:t xml:space="preserve">wzywa TSUE, aby publikował coroczne sprawozdanie na temat równości płci i różnorodności w trosce o przejrzystość w odniesieniu do reprezentacji płci na </w:t>
      </w:r>
      <w:r w:rsidRPr="003B48FB">
        <w:lastRenderedPageBreak/>
        <w:t>wszystkich szczeblach instytucji, w tym wśród sędziów, rzeczników generalnych i pracowników administracyjnych, a także aby wprowadził konkretne środki na rzecz poprawy parytetu płci na stanowiskach wyższego szczebla;</w:t>
      </w:r>
    </w:p>
    <w:p w14:paraId="25B07C34" w14:textId="77777777" w:rsidR="00C434A1" w:rsidRPr="003B48FB" w:rsidRDefault="00C434A1" w:rsidP="00C434A1">
      <w:pPr>
        <w:spacing w:after="240"/>
        <w:ind w:left="567" w:hanging="567"/>
        <w:rPr>
          <w:bCs/>
          <w:iCs/>
        </w:rPr>
      </w:pPr>
      <w:r w:rsidRPr="003B48FB">
        <w:t>28.</w:t>
      </w:r>
      <w:r w:rsidRPr="003B48FB">
        <w:tab/>
        <w:t>wyraża zadowolenie, że wśród pracowników TSUE znajdują się przedstawiciele wszystkich narodowości Unii, ale zauważa, że niektóre z tych narodowości są reprezentowane w większej mierze niż inne; z zadowoleniem przyjmuje kontynuowane w 2023 r. wysiłki TSUE na rzecz promowania lepszej równowagi geograficznej wśród swoich pracowników, w szczególności poprzez zwiększanie widoczności i atrakcyjności wakatów, tworzenie i oferowanie korzystniejszych warunków pracy w celu przyciągnięcia pracowników zatrudnionych na czas określony z niektórych mniej reprezentowanych państw członkowskich oraz szerokie informowanie różnych odbiorców o możliwościach pracy w TSUE; zauważa, że w ramach programu staży TSUE podjęto znaczne wysiłki, by przyciągnąć wielu utalentowanych młodych ludzi z różnych państw członkowskich; zwraca się do TSUE o zbadanie, czy stażyści równomiernie reprezentują wszystkie państwa członkowskie;</w:t>
      </w:r>
    </w:p>
    <w:p w14:paraId="7E999FF2" w14:textId="77777777" w:rsidR="00C434A1" w:rsidRPr="003B48FB" w:rsidRDefault="00C434A1" w:rsidP="00C434A1">
      <w:pPr>
        <w:spacing w:after="240"/>
        <w:ind w:left="567" w:hanging="567"/>
        <w:rPr>
          <w:bCs/>
          <w:iCs/>
        </w:rPr>
      </w:pPr>
      <w:r w:rsidRPr="003B48FB">
        <w:t>29.</w:t>
      </w:r>
      <w:r w:rsidRPr="003B48FB">
        <w:tab/>
        <w:t>apeluje do TSUE, aby sprzyjał wielojęzycznemu środowisku pracy, gdyż może ono przyczynić się do zwiększenia równowagi pod względem obywatelstwa pracowników; wzywa wszystkie instytucje, aby podtrzymywały zasadę wielojęzyczności i dbały o jej przestrzeganie;</w:t>
      </w:r>
    </w:p>
    <w:p w14:paraId="6699F013" w14:textId="77777777" w:rsidR="00C434A1" w:rsidRPr="003B48FB" w:rsidRDefault="00C434A1" w:rsidP="00C434A1">
      <w:pPr>
        <w:spacing w:after="240"/>
        <w:ind w:left="567" w:hanging="567"/>
      </w:pPr>
      <w:r w:rsidRPr="003B48FB">
        <w:t>30.</w:t>
      </w:r>
      <w:r w:rsidRPr="003B48FB">
        <w:tab/>
        <w:t>z zadowoleniem przyjmuje pracę wykonaną przez międzyinstytucjonalną grupę wysokiego szczebla w celu zwiększenia atrakcyjności Luksemburga dla personelu; wzywa TSUE, aby utrzymywał i zacieśniał w ramach różnych inicjatyw współpracę z innymi instytucjami mającymi siedziby w Luksemburgu; z uznaniem zauważa, że zgodnie z zaleceniem międzyinstytucjonalnej grupy wysokiego szczebla władza budżetowa zatwierdziła na rok budżetowy 2025 niezbędne środki, aby umożliwić przyznanie dodatku mieszkaniowego pracownikom zatrudnionym w niższych grupach zaszeregowania; zwraca się o informowanie Parlamentu o postępach w realizacji inicjatyw mających na celu zwiększenie atrakcyjności Luksemburga jako miejsca pracy;</w:t>
      </w:r>
    </w:p>
    <w:p w14:paraId="3A9BF360" w14:textId="77777777" w:rsidR="00C434A1" w:rsidRPr="003B48FB" w:rsidRDefault="00C434A1" w:rsidP="00C434A1">
      <w:pPr>
        <w:spacing w:after="240"/>
        <w:ind w:left="567" w:hanging="567"/>
      </w:pPr>
      <w:r w:rsidRPr="003B48FB">
        <w:t>31.</w:t>
      </w:r>
      <w:r w:rsidRPr="003B48FB">
        <w:tab/>
        <w:t>odnotowuje, że w 2023 r. TSUE wdrożył za pośrednictwem specjalistycznych warsztatów i działań uświadamiających szereg inicjatyw mających na celu promowanie dobrostanu fizycznego i psychicznego pracowników; zwraca uwagę, że system telepracy, który wszedł w życie 1 maja 2022 r., został pozytywnie oceniony przez członków kadry kierowniczej, z których 92 % odpowiedziało, że wydajność pracowników korzystających z telepracy była równoważna z wydajnością w okresie przed wprowadzeniem systemu telepracy lub lepsza niż w tym okresie; odnotowuje, że aby osiągnąć lepszą równowagę między życiem zawodowym a prywatnym, w 2023 r. TSUE ponownie umożliwił swoim pracownikom telepracę spoza miejsca zatrudnienia przez maksymalnie 10 dni w roku, zwłaszcza podczas wakacji sądowych;</w:t>
      </w:r>
    </w:p>
    <w:p w14:paraId="0BD487FD" w14:textId="77777777" w:rsidR="00C434A1" w:rsidRPr="003B48FB" w:rsidRDefault="00C434A1" w:rsidP="00C434A1">
      <w:pPr>
        <w:spacing w:after="240"/>
        <w:ind w:left="567" w:hanging="567"/>
        <w:rPr>
          <w:bCs/>
          <w:iCs/>
        </w:rPr>
      </w:pPr>
      <w:r w:rsidRPr="003B48FB">
        <w:t>32.</w:t>
      </w:r>
      <w:r w:rsidRPr="003B48FB">
        <w:tab/>
        <w:t>z zadowoleniem przyjmuje obecne kampanie uświadamiające, informacyjne i szkoleniowe mające na celu promowanie włączenia, wzajemnego szacunku, współpracy oraz wsparcia dla osób z niepełnosprawnościami i osób im pomagających;</w:t>
      </w:r>
    </w:p>
    <w:p w14:paraId="7371ADC7" w14:textId="77777777" w:rsidR="00C434A1" w:rsidRPr="003B48FB" w:rsidRDefault="00C434A1" w:rsidP="00C434A1">
      <w:pPr>
        <w:spacing w:after="240"/>
        <w:ind w:left="567" w:hanging="567"/>
      </w:pPr>
      <w:r w:rsidRPr="003B48FB">
        <w:t>33.</w:t>
      </w:r>
      <w:r w:rsidRPr="003B48FB">
        <w:tab/>
        <w:t xml:space="preserve">zauważa, że w 2023 r. zarejestrowano 20 198 dni roboczych urlopu chorobowego, co oznacza spadek o 14,78 % w porównaniu z 2022 r.; odnotowuje z troską, że w 2023 r. służba medyczna zgłosiła 11 przypadków wypalenia zawodowego; z zadowoleniem przyjmuje przeprowadzoną przez TSUE dogłębną analizę diagnoz w celu </w:t>
      </w:r>
      <w:r w:rsidRPr="003B48FB">
        <w:lastRenderedPageBreak/>
        <w:t>zidentyfikowania przypadków wypalenia zawodowego i fakt, że TSUE położył nacisk na środki zapobiegawcze, w szczególności wzmocnienie zespołu pracowników medycznych i socjalnych, zapobieganie zagrożeniom psychospołecznym w miejscu pracy oraz wprowadzenie działań uświadamiających dla kadry kierowniczej na temat prawa do bycia offline i na temat ryzyka przepracowania; zachęca TSUE, by nadal poświęcał uwagę temu problemowi, aby zapobiec kolejnym przypadkom wypalenia zawodowego, oraz informował Parlament o środkach stosowanych w tym zakresie;</w:t>
      </w:r>
    </w:p>
    <w:p w14:paraId="6B24A653" w14:textId="77777777" w:rsidR="00C434A1" w:rsidRPr="003B48FB" w:rsidRDefault="00C434A1" w:rsidP="00C434A1">
      <w:pPr>
        <w:spacing w:after="240"/>
        <w:ind w:left="567" w:hanging="567"/>
      </w:pPr>
      <w:r w:rsidRPr="003B48FB">
        <w:t>34.</w:t>
      </w:r>
      <w:r w:rsidRPr="003B48FB">
        <w:tab/>
        <w:t>zwraca uwagę, że w 2023 r. wszczęto postępowanie administracyjne w sprawie zarzutu molestowania seksualnego dotyczącego pracownika oraz że sprawa ta zakończyła się w 2024 r. nałożeniem kary; z zaniepokojeniem zauważa, że w 2023 r. wszczęto również procedurę wsparcia osoby, która zarzuciła molestowanie sędziemu, ale w tej sprawie nie stwierdzono, aby doszło do molestowania; zwraca uwagę, że międzywydziałowa grupa robocza ustanowiona w marcu 2023 r., a zatem przed ratyfikacją Konwencji Rady Europy o zapobieganiu i zwalczaniu przemocy wobec kobiet i przemocy domowej, przeanalizowała zasady i procedury obowiązujące w TSUE w celu zapobiegania molestowaniu i wydała pewne zalecenia z myślą o udoskonaleniu tych zasad i procedur; zachęca TSUE, by podejmował dalsze działania i niezmiennie pokazywał, że molestowanie w miejscu pracy nie będzie tolerowane, a także wprowadził obowiązkowe szkolenia na temat nieświadomych uprzedzeń i norm etycznych dla wszystkich sędziów i urzędników wyższego szczebla, aby zapobiec nadużywaniu władzy;</w:t>
      </w:r>
    </w:p>
    <w:p w14:paraId="780DA1E1" w14:textId="77777777" w:rsidR="00C434A1" w:rsidRPr="00C434A1" w:rsidRDefault="00C434A1" w:rsidP="00C434A1">
      <w:pPr>
        <w:spacing w:after="240"/>
        <w:ind w:left="567" w:hanging="567"/>
        <w:rPr>
          <w:b/>
          <w:bCs/>
          <w:i/>
          <w:iCs/>
        </w:rPr>
      </w:pPr>
      <w:r w:rsidRPr="00C434A1">
        <w:rPr>
          <w:b/>
          <w:bCs/>
          <w:i/>
          <w:iCs/>
        </w:rPr>
        <w:t>Ramy etyczne</w:t>
      </w:r>
    </w:p>
    <w:p w14:paraId="3E082BF3" w14:textId="77777777" w:rsidR="00C434A1" w:rsidRPr="003B48FB" w:rsidRDefault="00C434A1" w:rsidP="00C434A1">
      <w:pPr>
        <w:spacing w:after="240"/>
        <w:ind w:left="567" w:hanging="567"/>
      </w:pPr>
      <w:r w:rsidRPr="003B48FB">
        <w:t>35.</w:t>
      </w:r>
      <w:r w:rsidRPr="003B48FB">
        <w:tab/>
        <w:t>zauważa z zadowoleniem, że zgodnie z poprzednimi zaleceniami w związku z absolutorium w 2023 r. opracowano, a w marcu 2024 r. przyjęto nowe zasady etyki dotyczący praw i obowiązków urzędników i innych pracowników TSUE, które odzwierciedlają wartości i przywiązanie TSUE do etyki zawodowej; zauważa, że zasady etyki zawierają przepisy dotyczące konfliktu interesów, obowiązku lojalności, obowiązku zachowania poufności i dyskrecji, działalności zewnętrznej, działalności zawodowej po zakończeniu służby i kwestii publikacji, a przy tym mają zastosowanie również do oddelegowanych ekspertów krajowych i aplikantów sędziowskich goszczonych w ramach europejskiej sieci szkolenia kadr wymiaru sprawiedliwości; zauważa, że w 2023 r. zorganizowano działania uświadamiające i uaktualnione szkolenia na temat zasad etyki dla pracowników i kadry kierowniczej, ze szczególnym uwzględnieniem nowych pracowników; apeluje o regularne obowiązkowe szkolenia dla wszystkich pracowników i zwraca się o informowanie Parlamentu o tym, jak przebiega wdrażanie zasad etyki;</w:t>
      </w:r>
    </w:p>
    <w:p w14:paraId="5A8AE2D1" w14:textId="77777777" w:rsidR="00C434A1" w:rsidRPr="003B48FB" w:rsidRDefault="00C434A1" w:rsidP="00C434A1">
      <w:pPr>
        <w:spacing w:after="240"/>
        <w:ind w:left="567" w:hanging="567"/>
      </w:pPr>
      <w:r w:rsidRPr="003B48FB">
        <w:t>36.</w:t>
      </w:r>
      <w:r w:rsidRPr="003B48FB">
        <w:tab/>
        <w:t>zauważa, że przed wejściem w życie zasad etyki zostały zgłoszone i rozpatrzone zgodnie z obowiązującymi procedurami dwa potencjalne przypadki konfliktu interesów, dzięki czemu nowi członkowie personelu, których to dotyczyło, nie zajęli się sprawami, które znali z pracy na poprzednim stanowisku;</w:t>
      </w:r>
    </w:p>
    <w:p w14:paraId="1D2C4817" w14:textId="77777777" w:rsidR="00C434A1" w:rsidRPr="003B48FB" w:rsidRDefault="00C434A1" w:rsidP="00C434A1">
      <w:pPr>
        <w:spacing w:after="240"/>
        <w:ind w:left="567" w:hanging="567"/>
      </w:pPr>
      <w:r w:rsidRPr="003B48FB">
        <w:t>37.</w:t>
      </w:r>
      <w:r w:rsidRPr="003B48FB">
        <w:tab/>
        <w:t xml:space="preserve">zauważa, że aby uniknąć wszelkich potencjalnych konfliktów interesów przy rozpatrywaniu spraw, po przyjęciu zasad etyki członków i byłych członków TSUE deklaracje interesów członków zostały opublikowane w </w:t>
      </w:r>
      <w:proofErr w:type="spellStart"/>
      <w:r w:rsidRPr="003B48FB">
        <w:t>internecie</w:t>
      </w:r>
      <w:proofErr w:type="spellEnd"/>
      <w:r w:rsidRPr="003B48FB">
        <w:t xml:space="preserve">; zauważa, że TSUE regularnie poddaje ocenie swoje przepisy wewnętrzne w tym zakresie, aby je aktualizować i gwarantować najwyższe możliwe standardy etycznego postępowania; wzywa TSUE do ustanowienia niezależnej komisji etycznej odpowiedzialnej za nadzór </w:t>
      </w:r>
      <w:r w:rsidRPr="003B48FB">
        <w:lastRenderedPageBreak/>
        <w:t>nad przestrzeganiem kodeksu postępowania i badanie potencjalnych naruszeń; apeluje o obowiązkowe coroczne szkolenia na temat etyki dla wszystkich pracowników TSUE, w tym sędziów i rzeczników generalnych, w celu ochrony nieskazitelnego działania TSUE; zwraca się do TSUE o informowanie Parlamentu o wynikach dalszych ocen skuteczności tego środka mającego na celu zapobieganie konfliktom interesów;</w:t>
      </w:r>
    </w:p>
    <w:p w14:paraId="46D65DDE" w14:textId="77777777" w:rsidR="00C434A1" w:rsidRPr="003B48FB" w:rsidRDefault="00C434A1" w:rsidP="00C434A1">
      <w:pPr>
        <w:spacing w:after="240"/>
        <w:ind w:left="567" w:hanging="567"/>
      </w:pPr>
      <w:r w:rsidRPr="003B48FB">
        <w:t>38.</w:t>
      </w:r>
      <w:r w:rsidRPr="003B48FB">
        <w:tab/>
        <w:t>z zadowoleniem odnotowuje, że opublikowano deklaracje interesów członków TSUE, lecz apeluje o wprowadzenie standardowej procedury kontroli przed powołaniem na stanowisko w celu identyfikowania i łagodzenia potencjalnych konfliktów interesów na wczesnym etapie; apeluje do Rady o ustalenie przejrzystych wytycznych dla państw członkowskich na potrzeby nominowania kandydatów na stanowiska sędziowskie w TSUE;</w:t>
      </w:r>
    </w:p>
    <w:p w14:paraId="28DBDA60" w14:textId="77777777" w:rsidR="00C434A1" w:rsidRPr="003B48FB" w:rsidRDefault="00C434A1" w:rsidP="00C434A1">
      <w:pPr>
        <w:spacing w:after="240"/>
        <w:ind w:left="567" w:hanging="567"/>
      </w:pPr>
      <w:r w:rsidRPr="003B48FB">
        <w:t>39.</w:t>
      </w:r>
      <w:r w:rsidRPr="003B48FB">
        <w:tab/>
        <w:t>apeluje do TSUE o wprowadzenie obowiązkowej polityki odsuwania sędziów, którzy w przeszłości byli powiązani zawodowo ze stronami występującymi przed TSUE; apeluje o bardziej rygorystyczną kontrolę konfliktów interesów w przypadku sędziów i pracowników wyższego szczebla, w tym o regularne aktualizowanie wymogów dotyczących ujawniania informacji finansowych; zwraca się o publikowanie w czasie rzeczywistym decyzji o odsunięciu sędziów, którzy zgłosili konflikt interesów, co zapewni większą przejrzystość postępowań sądowych i zwiększy zaufanie społeczeństwa do bezstronności i nieskazitelności TSUE;</w:t>
      </w:r>
    </w:p>
    <w:p w14:paraId="15556EB8" w14:textId="77777777" w:rsidR="00C434A1" w:rsidRPr="003B48FB" w:rsidRDefault="00C434A1" w:rsidP="00C434A1">
      <w:pPr>
        <w:spacing w:after="240"/>
        <w:ind w:left="567" w:hanging="567"/>
      </w:pPr>
      <w:r w:rsidRPr="003B48FB">
        <w:t>40.</w:t>
      </w:r>
      <w:r w:rsidRPr="003B48FB">
        <w:tab/>
        <w:t>odnotowuje, że w 2023 r. wszyscy członkowie TSUE zgodnie z art. 14 statutu mieli miejsce zamieszkania w Luksemburgu;</w:t>
      </w:r>
    </w:p>
    <w:p w14:paraId="09853428" w14:textId="77777777" w:rsidR="00C434A1" w:rsidRPr="003B48FB" w:rsidRDefault="00C434A1" w:rsidP="00C434A1">
      <w:pPr>
        <w:spacing w:after="240"/>
        <w:ind w:left="567" w:hanging="567"/>
      </w:pPr>
      <w:r w:rsidRPr="003B48FB">
        <w:t>41.</w:t>
      </w:r>
      <w:r w:rsidRPr="003B48FB">
        <w:tab/>
        <w:t>zauważa, że od 2018 r. wykaz działalności zewnętrznej członków Trybunału Sprawiedliwości i Sądu jest publikowany na stronie internetowej TSUE; zauważa ponadto, że wykaz ten jest mało czytelny dla ogółu społeczeństwa, i zaleca jego przegląd w celu zwiększenia jego jasności i wartości informacyjnej; zauważa, że zgromadzenie ogólne Trybunału Sprawiedliwości lub konferencja plenarna Sądu wydaje uprzednią zgodę tylko wtedy, gdy działalność zewnętrzna jest zgodna z wymogami zasad etyki i z obowiązkiem dyspozycyjności członków na potrzeby działalności sądowniczej; zwraca się do TSUE o informowanie organu udzielającego absolutorium o inicjatywach mających na celu poprawę czytelności informacji związanych z działalnością zewnętrzną, zgodnie z wcześniejszymi zaleceniami w związku z absolutorium;</w:t>
      </w:r>
    </w:p>
    <w:p w14:paraId="562E958E" w14:textId="77777777" w:rsidR="00C434A1" w:rsidRPr="003B48FB" w:rsidRDefault="00C434A1" w:rsidP="00C434A1">
      <w:pPr>
        <w:spacing w:after="240"/>
        <w:ind w:left="567" w:hanging="567"/>
      </w:pPr>
      <w:r w:rsidRPr="003B48FB">
        <w:t>42.</w:t>
      </w:r>
      <w:r w:rsidRPr="003B48FB">
        <w:tab/>
        <w:t>zauważa, że zaktualizowane w 2021 r. przepisy regulujące przejazdy i podróże służbowe członków oraz korzystanie przez nich z usług kierowców i z samochodów stanowią, że TSUE ponosi jedynie koszty bieżące wynikające z korzystania z samochodu do celów związanych z podróżami służbowymi lub z wykonywaniem mandatu z limitem 10 000 km; ponawia opinię, że członkowie TSUE nie powinni korzystać z floty samochodowej w żadnym innym celu niż w ramach ścisłego wykonywania obowiązków członka TSUE; zauważa, że TSUE poinformował, iż prowadzi rozmowy z innymi instytucjami z zamiarem stworzenia zharmonizowanego zbioru przepisów dotyczących używania pojazdów służbowych, z poszanowaniem autonomii każdej z instytucji; zachęca wszystkie instytucje Unii do uzgodnienia jednolitego, stosowanego horyzontalnie systemu, co ograniczyłoby dezorganizację oraz zwiększyło przejrzystość i efektywność wykorzystania pieniędzy publicznych; zwraca się do TSUE o informowanie Parlamentu o postępach w tej sprawie;</w:t>
      </w:r>
    </w:p>
    <w:p w14:paraId="542C5D2C" w14:textId="77777777" w:rsidR="00C434A1" w:rsidRPr="003B48FB" w:rsidRDefault="00C434A1" w:rsidP="00C434A1">
      <w:pPr>
        <w:spacing w:after="240"/>
        <w:ind w:left="567" w:hanging="567"/>
      </w:pPr>
      <w:r w:rsidRPr="003B48FB">
        <w:lastRenderedPageBreak/>
        <w:t>43.</w:t>
      </w:r>
      <w:r w:rsidRPr="003B48FB">
        <w:tab/>
        <w:t>zauważa, że w 2023 r. zamknięto prowadzoną przez OLAF sprawę, o której mowa w poprzednich rezolucjach w sprawie absolutorium, dotyczącą postępowania członka, które mogło stanowić poważne niedopełnienie obowiązków; odnotowuje, że według wiedzy TSUE w 2023 r. nie było innych dochodzeń ani zaleceń OLAF;</w:t>
      </w:r>
    </w:p>
    <w:p w14:paraId="44FF531A" w14:textId="77777777" w:rsidR="00C434A1" w:rsidRPr="003B48FB" w:rsidRDefault="00C434A1" w:rsidP="00C434A1">
      <w:pPr>
        <w:spacing w:after="240"/>
        <w:ind w:left="567" w:hanging="567"/>
      </w:pPr>
      <w:r w:rsidRPr="003B48FB">
        <w:t>44.</w:t>
      </w:r>
      <w:r w:rsidRPr="003B48FB">
        <w:tab/>
        <w:t>odnotowuje, że w 2023 r. TSUE nie zgłosił żadnych przypadków nadużyć finansowych, korupcji lub niewłaściwego wykorzystania środków unijnych; zauważa, że strategia TSUE w zakresie zwalczania nadużyć finansowych stanowi nieodłączną część zintegrowanych ram kontroli wewnętrznej i zarządzania ryzykiem, ze szczególnym uwzględnieniem ryzyka nieprawidłowego ujawnienia informacji;</w:t>
      </w:r>
    </w:p>
    <w:p w14:paraId="1223D86D" w14:textId="77777777" w:rsidR="00C434A1" w:rsidRPr="00C434A1" w:rsidRDefault="00C434A1" w:rsidP="00C434A1">
      <w:pPr>
        <w:spacing w:after="240"/>
        <w:ind w:left="567" w:hanging="567"/>
        <w:rPr>
          <w:b/>
          <w:bCs/>
          <w:i/>
          <w:iCs/>
        </w:rPr>
      </w:pPr>
      <w:r w:rsidRPr="00C434A1">
        <w:rPr>
          <w:b/>
          <w:bCs/>
          <w:i/>
          <w:iCs/>
        </w:rPr>
        <w:t>Przejrzystość wymiaru sprawiedliwości i dostęp obywateli do niego</w:t>
      </w:r>
    </w:p>
    <w:p w14:paraId="0432881F" w14:textId="77777777" w:rsidR="00C434A1" w:rsidRPr="003B48FB" w:rsidRDefault="00C434A1" w:rsidP="00C434A1">
      <w:pPr>
        <w:spacing w:after="240"/>
        <w:ind w:left="567" w:hanging="567"/>
      </w:pPr>
      <w:r w:rsidRPr="003B48FB">
        <w:t>45.</w:t>
      </w:r>
      <w:r w:rsidRPr="003B48FB">
        <w:tab/>
        <w:t>z zadowoleniem przyjmuje zaangażowanie TSUE na rzecz zwiększenia przejrzystości, dostępu do wymiaru sprawiedliwości i otwartości wobec obywateli, przez co przyczynia się do wzrostu zaufania publicznego do instytucji Unii;</w:t>
      </w:r>
    </w:p>
    <w:p w14:paraId="219CBB6B" w14:textId="77777777" w:rsidR="00C434A1" w:rsidRPr="003B48FB" w:rsidRDefault="00C434A1" w:rsidP="00C434A1">
      <w:pPr>
        <w:spacing w:after="240"/>
        <w:ind w:left="567" w:hanging="567"/>
      </w:pPr>
      <w:r w:rsidRPr="003B48FB">
        <w:t>46.</w:t>
      </w:r>
      <w:r w:rsidRPr="003B48FB">
        <w:tab/>
        <w:t xml:space="preserve">zauważa, że w 2023 r. TSUE połączył usługi transmisji strumieniowej na stronie internetowej </w:t>
      </w:r>
      <w:proofErr w:type="spellStart"/>
      <w:r w:rsidRPr="003B48FB">
        <w:t>Curia</w:t>
      </w:r>
      <w:proofErr w:type="spellEnd"/>
      <w:r w:rsidRPr="003B48FB">
        <w:t xml:space="preserve"> z rozpraw Trybunału Sprawiedliwości i z rozpraw Sądu, ułatwiając w ten sposób obywatelom zapoznanie się z działalnością sądowniczą TSUE; z zadowoleniem odnotowuje ulepszenie strony internetowej CURIA pod względem struktury, funkcji i treści; z zadowoleniem przyjmuje fakt, że od 2023 r. na stronie internetowej </w:t>
      </w:r>
      <w:proofErr w:type="spellStart"/>
      <w:r w:rsidRPr="003B48FB">
        <w:t>Curia</w:t>
      </w:r>
      <w:proofErr w:type="spellEnd"/>
      <w:r w:rsidRPr="003B48FB">
        <w:t xml:space="preserve"> transmituje się na żywo ogłaszanie wyroków przez Trybunał Sprawiedliwości, odczytywanie opinii rzeczników generalnych, rozprawy wielkiej izby i niektóre rozprawy izb rozpoznających sprawy z udziałem pięciu sędziów; wzywa TSUE do dalszego zwiększenia przejrzystości poprzez transmitowanie wszystkich rozpraw Trybunału Sprawiedliwości i rozpraw Sądu na swojej stronie internetowej i przechowywanie ich bezterminowo w </w:t>
      </w:r>
      <w:proofErr w:type="spellStart"/>
      <w:r w:rsidRPr="003B48FB">
        <w:t>internecie</w:t>
      </w:r>
      <w:proofErr w:type="spellEnd"/>
      <w:r w:rsidRPr="003B48FB">
        <w:t>;</w:t>
      </w:r>
    </w:p>
    <w:p w14:paraId="14CECD84" w14:textId="77777777" w:rsidR="00C434A1" w:rsidRPr="003B48FB" w:rsidRDefault="00C434A1" w:rsidP="00C434A1">
      <w:pPr>
        <w:spacing w:after="240"/>
        <w:ind w:left="567" w:hanging="567"/>
      </w:pPr>
      <w:r w:rsidRPr="003B48FB">
        <w:t>47.</w:t>
      </w:r>
      <w:r w:rsidRPr="003B48FB">
        <w:tab/>
        <w:t>z zadowoleniem przyjmuje fakt, że w następstwie reformy swojego statutu TSUE będzie publikować pisma procesowe lub uwagi na piśmie złożone w postępowaniu prejudycjalnym po jego zakończeniu, z wyjątkiem przypadków sprzeciwu danej osoby wobec publikacji jej pisma procesowego lub uwag; podkreśla, że ich publikowanie zwiększy przejrzystość i ułatwi dostęp obywateli do wymiaru sprawiedliwości, oraz wzywa TSUE do publikowania na swojej stronie internetowej wszystkich dokumentów związanych ze sprawami; wzywa TSUE do wdrożenia procedury umożliwiającej wszystkim dostęp na miejscu do dokumentów związanych ze sprawą;</w:t>
      </w:r>
    </w:p>
    <w:p w14:paraId="5CAF0C08" w14:textId="77777777" w:rsidR="00C434A1" w:rsidRPr="003B48FB" w:rsidRDefault="00C434A1" w:rsidP="00C434A1">
      <w:pPr>
        <w:spacing w:after="240"/>
        <w:ind w:left="567" w:hanging="567"/>
      </w:pPr>
      <w:r w:rsidRPr="003B48FB">
        <w:t>48.</w:t>
      </w:r>
      <w:r w:rsidRPr="003B48FB">
        <w:tab/>
        <w:t>zauważa, że w kwietniu 2023 r. Sąd, a we wrześniu 2024 r. Trybunał Sprawiedliwości przyjęły przepisy dotyczące wykorzystywania wideokonferencji, zgodnie z którymi strona może zwrócić się o wideokonferencję, jeżeli ze względów bezpieczeństwa lub z innych ważnych powodów pełnomocnik tej strony nie może osobiście uczestniczyć w rozprawie;</w:t>
      </w:r>
    </w:p>
    <w:p w14:paraId="426D68E5" w14:textId="77777777" w:rsidR="00C434A1" w:rsidRPr="003B48FB" w:rsidRDefault="00C434A1" w:rsidP="00C434A1">
      <w:pPr>
        <w:spacing w:after="240"/>
        <w:ind w:left="567" w:hanging="567"/>
      </w:pPr>
      <w:r w:rsidRPr="003B48FB">
        <w:t>49.</w:t>
      </w:r>
      <w:r w:rsidRPr="003B48FB">
        <w:tab/>
        <w:t xml:space="preserve">zauważa, że zasady określone w decyzji TSUE z 26 listopada 2019 r. dotyczące publicznego dostępu do dokumentów w posiadaniu TSUE odnoszących się do jego zadań administracyjnych nie mają zastosowania do dokumentów sądowych, do których dostęp jest regulowany regulaminem postępowania przed Trybunałem Sprawiedliwości i regulaminem postępowania przed Sądem; odnotowuje, że w 2023 r. TSUE zarejestrował 21 wniosków o publiczny dostęp do dokumentów administracyjnych, a w 12 przypadkach dostępu do nich udzielił; odnotowuje, że w 2023 r. Europejski </w:t>
      </w:r>
      <w:r w:rsidRPr="003B48FB">
        <w:lastRenderedPageBreak/>
        <w:t>Rzecznik Praw Obywatelskich nie stwierdził ani jednego przypadku niewłaściwego administrowania ze strony TSUE;</w:t>
      </w:r>
    </w:p>
    <w:p w14:paraId="7A5DF8CC" w14:textId="77777777" w:rsidR="00C434A1" w:rsidRPr="003B48FB" w:rsidRDefault="00C434A1" w:rsidP="00C434A1">
      <w:pPr>
        <w:spacing w:after="240"/>
        <w:ind w:left="567" w:hanging="567"/>
      </w:pPr>
      <w:r w:rsidRPr="003B48FB">
        <w:t>50.</w:t>
      </w:r>
      <w:r w:rsidRPr="003B48FB">
        <w:tab/>
        <w:t>zwraca się do TSUE o uproszczenie wyszukiwania orzeczeń w e-</w:t>
      </w:r>
      <w:proofErr w:type="spellStart"/>
      <w:r w:rsidRPr="003B48FB">
        <w:t>Curia</w:t>
      </w:r>
      <w:proofErr w:type="spellEnd"/>
      <w:r w:rsidRPr="003B48FB">
        <w:t>; z zadowoleniem przyjmuje wysiłki na rzecz uczynienia interfejsu bardziej przyjaznym dla użytkowników i intuicyjnym;</w:t>
      </w:r>
    </w:p>
    <w:p w14:paraId="021EA1A0" w14:textId="77777777" w:rsidR="00C434A1" w:rsidRPr="00C434A1" w:rsidRDefault="00C434A1" w:rsidP="00C434A1">
      <w:pPr>
        <w:spacing w:after="240"/>
        <w:ind w:left="567" w:hanging="567"/>
        <w:rPr>
          <w:b/>
          <w:bCs/>
          <w:i/>
          <w:iCs/>
        </w:rPr>
      </w:pPr>
      <w:r w:rsidRPr="00C434A1">
        <w:rPr>
          <w:b/>
          <w:bCs/>
          <w:i/>
          <w:iCs/>
        </w:rPr>
        <w:t xml:space="preserve">Cyfryzacja, </w:t>
      </w:r>
      <w:proofErr w:type="spellStart"/>
      <w:r w:rsidRPr="00C434A1">
        <w:rPr>
          <w:b/>
          <w:bCs/>
          <w:i/>
          <w:iCs/>
        </w:rPr>
        <w:t>cyberbezpieczeństwo</w:t>
      </w:r>
      <w:proofErr w:type="spellEnd"/>
      <w:r w:rsidRPr="00C434A1">
        <w:rPr>
          <w:b/>
          <w:bCs/>
          <w:i/>
          <w:iCs/>
        </w:rPr>
        <w:t xml:space="preserve"> i ochrona danych</w:t>
      </w:r>
    </w:p>
    <w:p w14:paraId="6C2B1FCF" w14:textId="77777777" w:rsidR="00C434A1" w:rsidRPr="003B48FB" w:rsidRDefault="00C434A1" w:rsidP="00C434A1">
      <w:pPr>
        <w:spacing w:after="240"/>
        <w:ind w:left="567" w:hanging="567"/>
      </w:pPr>
      <w:r w:rsidRPr="003B48FB">
        <w:t>51.</w:t>
      </w:r>
      <w:r w:rsidRPr="003B48FB">
        <w:tab/>
        <w:t xml:space="preserve">zauważa, że w porównaniu z 2022 r. wydatki budżetowe na projekty informatyczne wzrosły w 2023 r. o 10,9 %, na sprzęt informatyczny – o 13 %, na projekty dotyczące </w:t>
      </w:r>
      <w:proofErr w:type="spellStart"/>
      <w:r w:rsidRPr="003B48FB">
        <w:t>cyberbezpieczeństwa</w:t>
      </w:r>
      <w:proofErr w:type="spellEnd"/>
      <w:r w:rsidRPr="003B48FB">
        <w:t xml:space="preserve"> – o 59 %, a na usługi, licencje i sprzęt w dziedzinie </w:t>
      </w:r>
      <w:proofErr w:type="spellStart"/>
      <w:r w:rsidRPr="003B48FB">
        <w:t>cyberbezpieczeństwa</w:t>
      </w:r>
      <w:proofErr w:type="spellEnd"/>
      <w:r w:rsidRPr="003B48FB">
        <w:t xml:space="preserve"> – o 72 %;</w:t>
      </w:r>
    </w:p>
    <w:p w14:paraId="4D703A3E" w14:textId="77777777" w:rsidR="00C434A1" w:rsidRPr="003B48FB" w:rsidRDefault="00C434A1" w:rsidP="00C434A1">
      <w:pPr>
        <w:spacing w:after="240"/>
        <w:ind w:left="567" w:hanging="567"/>
      </w:pPr>
      <w:r w:rsidRPr="003B48FB">
        <w:t>52.</w:t>
      </w:r>
      <w:r w:rsidRPr="003B48FB">
        <w:tab/>
        <w:t xml:space="preserve">zauważa, że priorytetem TSUE w 2023 r. nadal było wdrażanie dużych projektów </w:t>
      </w:r>
      <w:proofErr w:type="spellStart"/>
      <w:r w:rsidRPr="003B48FB">
        <w:t>cyfryzacyjnych</w:t>
      </w:r>
      <w:proofErr w:type="spellEnd"/>
      <w:r w:rsidRPr="003B48FB">
        <w:t xml:space="preserve"> w ramach strategii transformacji cyfrowej, takich jak opracowanie zintegrowanego systemu zarządzania sprawami (SIGA), promowanie korzystania z aplikacji e-</w:t>
      </w:r>
      <w:proofErr w:type="spellStart"/>
      <w:r w:rsidRPr="003B48FB">
        <w:t>Curia</w:t>
      </w:r>
      <w:proofErr w:type="spellEnd"/>
      <w:r w:rsidRPr="003B48FB">
        <w:t xml:space="preserve"> do składania dokumentów proceduralnych i do powiadamiania o nich drogą elektroniczną, rozpoczęcie stosowania podpisu elektronicznego oraz elektronicznego systemu rejestracji dokumentów i zarządzania dokumentami HAN/Ares; odnotowuje, że TSUE śledzi zwrot z inwestycji w projekty </w:t>
      </w:r>
      <w:proofErr w:type="spellStart"/>
      <w:r w:rsidRPr="003B48FB">
        <w:t>cyfryzacyjne</w:t>
      </w:r>
      <w:proofErr w:type="spellEnd"/>
      <w:r w:rsidRPr="003B48FB">
        <w:t xml:space="preserve"> pod względem kosztów i efektywności zasobów, i zwraca się do TSUE o informowanie organu udzielającego absolutorium o swoich ustaleniach w tej kwestii;</w:t>
      </w:r>
    </w:p>
    <w:p w14:paraId="6577389C" w14:textId="77777777" w:rsidR="00C434A1" w:rsidRPr="003B48FB" w:rsidRDefault="00C434A1" w:rsidP="00C434A1">
      <w:pPr>
        <w:spacing w:after="240"/>
        <w:ind w:left="567" w:hanging="567"/>
      </w:pPr>
      <w:r w:rsidRPr="003B48FB">
        <w:t>53.</w:t>
      </w:r>
      <w:r w:rsidRPr="003B48FB">
        <w:tab/>
        <w:t xml:space="preserve">zauważa, że w ramach kompleksowej inicjatywy na rzecz zwiększenia dostępności i włączenia osób wymagających szczególnego traktowania TSUE przy wprowadzaniu wszelkich zmian w swoich systemach informatycznych i przy ich rozbudowie nadal wdrażał podejście oparte na uwzględnieniu dostępności już w fazie projektowania; zauważa, że w następstwie audytu strony internetowej </w:t>
      </w:r>
      <w:proofErr w:type="spellStart"/>
      <w:r w:rsidRPr="003B48FB">
        <w:t>Curia</w:t>
      </w:r>
      <w:proofErr w:type="spellEnd"/>
      <w:r w:rsidRPr="003B48FB">
        <w:t xml:space="preserve"> TSUE zaczął poprawiać dostępność strony dla szerokiego grona użytkowników, takich jak osoby z upośledzeniem wzroku, upośledzeniem słuchu lub z niepełnosprawnością intelektualną;</w:t>
      </w:r>
    </w:p>
    <w:p w14:paraId="29C39B94" w14:textId="77777777" w:rsidR="00C434A1" w:rsidRPr="003B48FB" w:rsidRDefault="00C434A1" w:rsidP="00C434A1">
      <w:pPr>
        <w:spacing w:after="240"/>
        <w:ind w:left="567" w:hanging="567"/>
        <w:rPr>
          <w:i/>
        </w:rPr>
      </w:pPr>
      <w:r w:rsidRPr="003B48FB">
        <w:t>54.</w:t>
      </w:r>
      <w:r w:rsidRPr="003B48FB">
        <w:tab/>
        <w:t xml:space="preserve">zauważa, że zgodnie z nową strategią wykorzystania sztucznej inteligencji przyjętą w czerwcu 2023 r. TSUE wdrożył kilka projektów opartych na sztucznej inteligencji (SI), takich jak automatyzacja analizy dokumentów pod kątem odniesień do mających zastosowanie aktów prawnych oraz pomoc w weryfikacji faktur za pomocą procesów zrobotyzowanych i w transkrypcji rozpraw; podkreśla, że niezwykle ważne jest, aby sztuczna inteligencja była wykorzystywana w sposób, który w pełni chroni niezawisłość, jakość i niezmącony przebieg procesów prawnych oraz który w pełni uwzględnia kwestie etyczne, a także by była wykorzystywana pod nadzorem człowieka i umożliwiała interwencję człowieka, aby uniknąć negatywnych konsekwencji i zagrożeń oraz aby można było zatrzymać system, jeśli nie będzie działał zgodnie z zamierzeniami; zauważa, że w ramach tej strategii TSUE powołał radę ds. SI złożoną z członków Trybunału Sprawiedliwości i Sądu, której zadaniem jest nadzór nad aspektami etycznymi wykorzystywania SI w TSUE oraz określenie jasnych granic jej stosowania; z zadowoleniem przyjmuje wydane przez radę wytyczne dla pracowników dotyczące stosowania sztucznej inteligencji; z zadowoleniem przyjmuje inicjatywy na rzecz podnoszenia kwalifikacji pracowników w zakresie kompetencji cyfrowych dzięki programowi szkoleniowemu opracowanemu we współpracy z Międzyinstytucjonalnym Komitetem ds. Transformacji Cyfrowej (ICDT); podkreśla, że cyfryzacja wymiaru sprawiedliwości i przyjęcie nowych technologii, takich jak sztuczna inteligencja, </w:t>
      </w:r>
      <w:r w:rsidRPr="003B48FB">
        <w:lastRenderedPageBreak/>
        <w:t xml:space="preserve">przyniosą znaczne korzyści z punktu widzenia skutecznego funkcjonowania TSUE; zaleca jednak, aby TSUE przewidział związane z tym ryzyko dla </w:t>
      </w:r>
      <w:proofErr w:type="spellStart"/>
      <w:r w:rsidRPr="003B48FB">
        <w:t>cyberbezpieczeństwa</w:t>
      </w:r>
      <w:proofErr w:type="spellEnd"/>
      <w:r w:rsidRPr="003B48FB">
        <w:t xml:space="preserve"> i jeszcze bardziej zacieśnił współpracę z Agencją Unii Europejskiej ds. </w:t>
      </w:r>
      <w:proofErr w:type="spellStart"/>
      <w:r w:rsidRPr="003B48FB">
        <w:t>Cyberbezpieczeństwa</w:t>
      </w:r>
      <w:proofErr w:type="spellEnd"/>
      <w:r w:rsidRPr="003B48FB">
        <w:t xml:space="preserve"> i z CERT-UE;</w:t>
      </w:r>
    </w:p>
    <w:p w14:paraId="50344D9D" w14:textId="77777777" w:rsidR="00C434A1" w:rsidRPr="003B48FB" w:rsidRDefault="00C434A1" w:rsidP="00C434A1">
      <w:pPr>
        <w:spacing w:after="240"/>
        <w:ind w:left="567" w:hanging="567"/>
      </w:pPr>
      <w:r w:rsidRPr="003B48FB">
        <w:t>55.</w:t>
      </w:r>
      <w:r w:rsidRPr="003B48FB">
        <w:tab/>
        <w:t xml:space="preserve">odnotowuje, że w 2023 r. Europejski Inspektor Ochrony Danych (EIOD) nie powiadomił TSUE o żadnym postępowaniu wobec TSUE; zauważa, że w 2023 r. w następstwie dochodzenia w sprawie korzystania z usług w chmurze świadczonych przez Amazon Web Services EIOD nie skierował do TSUE żadnych konkretnych zaleceń; zauważa, że w 2023 r. EIOD opublikował decyzję potwierdzającą zgodność korzystania przez TSUE z usług wideokonferencji w chmurze z prawem o ochronie danych; ponownie wyraża jednak obawy co do korzystania z zewnętrznych usług w chmurze, zważywszy na zagrożenia dla </w:t>
      </w:r>
      <w:proofErr w:type="spellStart"/>
      <w:r w:rsidRPr="003B48FB">
        <w:t>cyberbezpieczeństwa</w:t>
      </w:r>
      <w:proofErr w:type="spellEnd"/>
      <w:r w:rsidRPr="003B48FB">
        <w:t xml:space="preserve"> i suwerenności cyfrowej;</w:t>
      </w:r>
    </w:p>
    <w:p w14:paraId="01925981" w14:textId="77777777" w:rsidR="00C434A1" w:rsidRPr="003B48FB" w:rsidRDefault="00C434A1" w:rsidP="00C434A1">
      <w:pPr>
        <w:spacing w:after="240"/>
        <w:ind w:left="567" w:hanging="567"/>
      </w:pPr>
      <w:r w:rsidRPr="003B48FB">
        <w:t>56.</w:t>
      </w:r>
      <w:r w:rsidRPr="003B48FB">
        <w:tab/>
        <w:t xml:space="preserve">z zadowoleniem odnotowuje, że w 2023 r. TSUE przyjął plan działania w zakresie </w:t>
      </w:r>
      <w:proofErr w:type="spellStart"/>
      <w:r w:rsidRPr="003B48FB">
        <w:t>cyberbezpieczeństwa</w:t>
      </w:r>
      <w:proofErr w:type="spellEnd"/>
      <w:r w:rsidRPr="003B48FB">
        <w:t xml:space="preserve"> i wzmocnił swoje zdolności operacyjne w zakresie </w:t>
      </w:r>
      <w:proofErr w:type="spellStart"/>
      <w:r w:rsidRPr="003B48FB">
        <w:t>cyberbezpieczeństwa</w:t>
      </w:r>
      <w:proofErr w:type="spellEnd"/>
      <w:r w:rsidRPr="003B48FB">
        <w:t xml:space="preserve">, aby lepiej chronić swoje systemy przed rosnącą liczbą cyberataków; podkreśla ponadto, że skuteczna strategia </w:t>
      </w:r>
      <w:proofErr w:type="spellStart"/>
      <w:r w:rsidRPr="003B48FB">
        <w:t>cyberbezpieczeństwa</w:t>
      </w:r>
      <w:proofErr w:type="spellEnd"/>
      <w:r w:rsidRPr="003B48FB">
        <w:t xml:space="preserve"> jest niezbędnym narzędziem walki z obcymi ingerencjami mającymi na celu podważenie integralności instytucji europejskich; zauważa, że zgodnie z zaleceniami CERT-UE TSUE podjął różne działania, aby zwiększyć swoją gotowość w zakresie </w:t>
      </w:r>
      <w:proofErr w:type="spellStart"/>
      <w:r w:rsidRPr="003B48FB">
        <w:t>cyberbezpieczeństwa</w:t>
      </w:r>
      <w:proofErr w:type="spellEnd"/>
      <w:r w:rsidRPr="003B48FB">
        <w:t xml:space="preserve"> i zdolności do przywrócenia gotowości do pracy po incydentach związanych z bezpieczeństwem, m.in. poprzez udział w Międzyinstytucjonalnej Radzie ds. </w:t>
      </w:r>
      <w:proofErr w:type="spellStart"/>
      <w:r w:rsidRPr="003B48FB">
        <w:t>Cyberbezpieczeństwa</w:t>
      </w:r>
      <w:proofErr w:type="spellEnd"/>
      <w:r w:rsidRPr="003B48FB">
        <w:t xml:space="preserve"> oraz poprzez szereg powiązanych ze sobą elementów kontroli i narzędzi z zakresu </w:t>
      </w:r>
      <w:proofErr w:type="spellStart"/>
      <w:r w:rsidRPr="003B48FB">
        <w:t>cyberbezpieczeństwa</w:t>
      </w:r>
      <w:proofErr w:type="spellEnd"/>
      <w:r w:rsidRPr="003B48FB">
        <w:t xml:space="preserve">; odnotowuje, że władza budżetowa zatwierdziła na rok budżetowy 2025 niezbędne środki na dwa dodatkowe stanowiska potrzebne do wzmocnienia zasobów kadrowych TSUE w dziedzinie </w:t>
      </w:r>
      <w:proofErr w:type="spellStart"/>
      <w:r w:rsidRPr="003B48FB">
        <w:t>cyberbezpieczeństwa</w:t>
      </w:r>
      <w:proofErr w:type="spellEnd"/>
      <w:r w:rsidRPr="003B48FB">
        <w:t>;</w:t>
      </w:r>
    </w:p>
    <w:p w14:paraId="668058B1" w14:textId="77777777" w:rsidR="00C434A1" w:rsidRPr="003B48FB" w:rsidRDefault="00C434A1" w:rsidP="00C434A1">
      <w:pPr>
        <w:spacing w:after="240"/>
        <w:ind w:left="567" w:hanging="567"/>
      </w:pPr>
      <w:r w:rsidRPr="003B48FB">
        <w:t>57.</w:t>
      </w:r>
      <w:r w:rsidRPr="003B48FB">
        <w:tab/>
        <w:t xml:space="preserve">docenia działania służące ochronie infrastruktury technologicznej TSUE przed zagrożeniami </w:t>
      </w:r>
      <w:proofErr w:type="spellStart"/>
      <w:r w:rsidRPr="003B48FB">
        <w:t>cyberbezpieczeństwa</w:t>
      </w:r>
      <w:proofErr w:type="spellEnd"/>
      <w:r w:rsidRPr="003B48FB">
        <w:t xml:space="preserve">, takie jak audyty </w:t>
      </w:r>
      <w:proofErr w:type="spellStart"/>
      <w:r w:rsidRPr="003B48FB">
        <w:t>cyberbezpieczeństwa</w:t>
      </w:r>
      <w:proofErr w:type="spellEnd"/>
      <w:r w:rsidRPr="003B48FB">
        <w:t xml:space="preserve">, szkolenia personelu i protokoły szybkiego reagowania na incydenty; podkreśla, że cyfryzacja wymiaru sprawiedliwości i wykorzystanie nowych technologii, np. sztucznej inteligencji, przyniosą wiele korzyści dla funkcjonowania TSUE, ale niosą też ze sobą zagrożenia, które TSUE musi przewidzieć i przed którym musi się chronić; dlatego sugeruje TSUE opracowanie strategii </w:t>
      </w:r>
      <w:proofErr w:type="spellStart"/>
      <w:r w:rsidRPr="003B48FB">
        <w:t>cyberbezpieczeństwa</w:t>
      </w:r>
      <w:proofErr w:type="spellEnd"/>
      <w:r w:rsidRPr="003B48FB">
        <w:t xml:space="preserve"> i zacieśnienie współpracy z innymi instytucjami Unii, zwłaszcza z ENISA (Agencja UE ds. </w:t>
      </w:r>
      <w:proofErr w:type="spellStart"/>
      <w:r w:rsidRPr="003B48FB">
        <w:t>Cyberbezpieczeństwa</w:t>
      </w:r>
      <w:proofErr w:type="spellEnd"/>
      <w:r w:rsidRPr="003B48FB">
        <w:t>), w dziedzinie zapobiegania cyberatakom, których liczba i wymyślność rosną w Europie w postępie geometrycznym;</w:t>
      </w:r>
    </w:p>
    <w:p w14:paraId="64D76C4B" w14:textId="77777777" w:rsidR="00C434A1" w:rsidRPr="003B48FB" w:rsidRDefault="00C434A1" w:rsidP="00C434A1">
      <w:pPr>
        <w:spacing w:after="240"/>
        <w:ind w:left="567" w:hanging="567"/>
      </w:pPr>
      <w:r w:rsidRPr="003B48FB">
        <w:t>58.</w:t>
      </w:r>
      <w:r w:rsidRPr="003B48FB">
        <w:tab/>
        <w:t>z zadowoleniem przyjmuje inicjatywę nadawania, za pomocą skomputeryzowanego automatycznego generatora nazw, fikcyjnych nazw sprawom zanonimizowanym, aby wzmocnić ochronę danych osobowych i ułatwić identyfikację indywidualnych spraw;</w:t>
      </w:r>
    </w:p>
    <w:p w14:paraId="3762776D" w14:textId="77777777" w:rsidR="00C434A1" w:rsidRPr="003B48FB" w:rsidRDefault="00C434A1" w:rsidP="00C434A1">
      <w:pPr>
        <w:spacing w:after="240"/>
        <w:ind w:left="567" w:hanging="567"/>
      </w:pPr>
      <w:r w:rsidRPr="003B48FB">
        <w:t>59.</w:t>
      </w:r>
      <w:r w:rsidRPr="003B48FB">
        <w:tab/>
        <w:t>z zadowoleniem odnotowuje zmianę regulaminu postępowania przed Sądem, która doprecyzuje i uprości procedury sądowe, w tym możliwość korzystania z wideokonferencji podczas rozpraw, podpisywania decyzji drogą elektroniczną i wyznaczania spraw pilotażowych;</w:t>
      </w:r>
    </w:p>
    <w:p w14:paraId="578C65F1" w14:textId="77777777" w:rsidR="00C434A1" w:rsidRPr="00C434A1" w:rsidRDefault="00C434A1" w:rsidP="00C434A1">
      <w:pPr>
        <w:spacing w:after="240"/>
        <w:ind w:left="567" w:hanging="567"/>
        <w:rPr>
          <w:b/>
          <w:bCs/>
          <w:i/>
          <w:iCs/>
        </w:rPr>
      </w:pPr>
      <w:r w:rsidRPr="00C434A1">
        <w:rPr>
          <w:b/>
          <w:bCs/>
          <w:i/>
          <w:iCs/>
        </w:rPr>
        <w:t>Budynki</w:t>
      </w:r>
    </w:p>
    <w:p w14:paraId="402FA41F" w14:textId="77777777" w:rsidR="00C434A1" w:rsidRPr="003B48FB" w:rsidRDefault="00C434A1" w:rsidP="00C434A1">
      <w:pPr>
        <w:spacing w:before="240" w:after="240"/>
        <w:ind w:left="567" w:hanging="567"/>
      </w:pPr>
      <w:r w:rsidRPr="003B48FB">
        <w:lastRenderedPageBreak/>
        <w:t>60.</w:t>
      </w:r>
      <w:r w:rsidRPr="003B48FB">
        <w:tab/>
        <w:t>zauważa, że w następstwie zakończonej w 2023 r. wspólnej refleksji służb nad najbardziej efektywnym wykorzystaniem pomieszczeń TSUE rozpoczęto projekty pilotażowe; zauważa, że wyniki tych projektów zostaną uwzględnione w ostatecznej decyzji w sprawie używania budynków TSUE wraz z innymi czynnikami, takimi jak aspekty środowiskowe i budżetowe, jakość wymiaru sprawiedliwości, dobrostan w pracy, włączenie, dostępność i atrakcyjność TSUE; zwraca się o to, aby Parlament był na bieżąco informowany o wdrażaniu tych wniosków i o ich konsekwencjach dla organizacji przestrzeni do pracy;</w:t>
      </w:r>
    </w:p>
    <w:p w14:paraId="7EB7FD5E" w14:textId="77777777" w:rsidR="00C434A1" w:rsidRPr="003B48FB" w:rsidRDefault="00C434A1" w:rsidP="00C434A1">
      <w:pPr>
        <w:spacing w:before="240" w:after="240"/>
        <w:ind w:left="567" w:hanging="567"/>
      </w:pPr>
      <w:r w:rsidRPr="003B48FB">
        <w:t>61.</w:t>
      </w:r>
      <w:r w:rsidRPr="003B48FB">
        <w:tab/>
        <w:t>zauważa, że w 2023 r. TSUE kontynuował kompleksową inicjatywę polegającą na zwiększeniu dostępności jego budynków dla osób z niepełnosprawnościami i na lepszym włączeniu tych osób, służącą zagwarantowaniu fizycznego lub wirtualnego dostępu do TSUE wszystkim osobom – uczestnikom postępowania i odwiedzającym; zauważa ponadto, że w 2023 r. TSUE rozpoczął inwentaryzację swojej infrastruktury, aby z dniem 1 stycznia 2032 r. móc wykazać się zgodnością z nowymi krajowymi przepisami dotyczącymi dostępności; zwraca się o informowanie Parlamentu o dalszych inicjatywach w tej dziedzinie;</w:t>
      </w:r>
    </w:p>
    <w:p w14:paraId="7380039E" w14:textId="77777777" w:rsidR="00C434A1" w:rsidRPr="00C434A1" w:rsidRDefault="00C434A1" w:rsidP="00C434A1">
      <w:pPr>
        <w:spacing w:after="240"/>
        <w:ind w:left="567" w:hanging="567"/>
        <w:rPr>
          <w:b/>
          <w:bCs/>
          <w:i/>
          <w:iCs/>
        </w:rPr>
      </w:pPr>
      <w:r w:rsidRPr="00C434A1">
        <w:rPr>
          <w:b/>
          <w:bCs/>
          <w:i/>
          <w:iCs/>
        </w:rPr>
        <w:t>Środowisko i zrównoważony rozwój</w:t>
      </w:r>
    </w:p>
    <w:p w14:paraId="1117CA00" w14:textId="77777777" w:rsidR="00C434A1" w:rsidRPr="003B48FB" w:rsidRDefault="00C434A1" w:rsidP="00C434A1">
      <w:pPr>
        <w:spacing w:after="240"/>
        <w:ind w:left="567" w:hanging="567"/>
      </w:pPr>
      <w:r w:rsidRPr="003B48FB">
        <w:t>62.</w:t>
      </w:r>
      <w:r w:rsidRPr="003B48FB">
        <w:tab/>
        <w:t xml:space="preserve">zauważa z zadowoleniem, że w 2023 r. TSUE nadal znacznie zmniejszał zużycie energii i ślad węglowy w porównaniu z 2015 r., który stanowi punkt odniesienia przy wdrażaniu strategii TSUE dotyczącej systemu </w:t>
      </w:r>
      <w:proofErr w:type="spellStart"/>
      <w:r w:rsidRPr="003B48FB">
        <w:t>ekozarządzania</w:t>
      </w:r>
      <w:proofErr w:type="spellEnd"/>
      <w:r w:rsidRPr="003B48FB">
        <w:t xml:space="preserve"> i audytu, dzięki działaniom oszczędzającym energię oraz optymalizacji infrastruktury grzewczej, chłodniczej i oświetleniowej; odnotowuje, że w 2023 r. zużycie energii grzewczej zmniejszyło się o 33,5 %, elektryczności – o 28,7 %, wody – o 20,1 %, papieru biurowego – o 63 %, ilość odpadów z biur i ze stołówek zmalała o 43 %, a emisje gazów cieplarnianych – o 30,2 % w porównaniu z 2015 r.; z zadowoleniem odnotowuje, że TSUE zastosował kryteria zielonych zamówień publicznych w 10 zaproszeniach do składania ofert o wartości powyżej 60 000 EUR; z zadowoleniem odnotowuje zobowiązanie TSUE do stosowania systemu </w:t>
      </w:r>
      <w:proofErr w:type="spellStart"/>
      <w:r w:rsidRPr="003B48FB">
        <w:t>ekozarządzania</w:t>
      </w:r>
      <w:proofErr w:type="spellEnd"/>
      <w:r w:rsidRPr="003B48FB">
        <w:t xml:space="preserve"> i audytu (EMAS); zachęca TSUE, aby kontynuował wysiłki na rzecz zmniejszenia swojego wpływu na środowisko poprzez opracowanie strategii na rzecz osiągnięcia neutralności pod względem emisji dwutlenku węgla do 2035 r.;</w:t>
      </w:r>
    </w:p>
    <w:p w14:paraId="58AD1061" w14:textId="77777777" w:rsidR="00C434A1" w:rsidRPr="003B48FB" w:rsidRDefault="00C434A1" w:rsidP="00C434A1">
      <w:pPr>
        <w:spacing w:after="240"/>
        <w:ind w:left="567" w:hanging="567"/>
      </w:pPr>
      <w:r w:rsidRPr="003B48FB">
        <w:t>63.</w:t>
      </w:r>
      <w:r w:rsidRPr="003B48FB">
        <w:tab/>
        <w:t>z zadowoleniem przyjmuje fakt, że TSUE podjął szereg inicjatyw mających na celu wsparcie i rozwój zrównoważonej mobilności wśród personelu i członków TSUE, obejmujących dopłaty do transportu publicznego, dopłaty do wypożyczania rowerów, udoskonalone parkingi dla rowerów oraz udoskonaloną infrastrukturę dla samochodów hybrydowych i elektrycznych;</w:t>
      </w:r>
    </w:p>
    <w:p w14:paraId="025A43CA" w14:textId="77777777" w:rsidR="00C434A1" w:rsidRPr="00C434A1" w:rsidRDefault="00C434A1" w:rsidP="00C434A1">
      <w:pPr>
        <w:spacing w:after="240"/>
        <w:ind w:left="567" w:hanging="567"/>
        <w:rPr>
          <w:b/>
          <w:bCs/>
          <w:i/>
          <w:iCs/>
        </w:rPr>
      </w:pPr>
      <w:r w:rsidRPr="00C434A1">
        <w:rPr>
          <w:b/>
          <w:bCs/>
          <w:i/>
          <w:iCs/>
        </w:rPr>
        <w:t>Współpraca międzyinstytucjonalna</w:t>
      </w:r>
    </w:p>
    <w:p w14:paraId="5BE75B19" w14:textId="77777777" w:rsidR="00C434A1" w:rsidRPr="003B48FB" w:rsidRDefault="00C434A1" w:rsidP="00C434A1">
      <w:pPr>
        <w:spacing w:after="240"/>
        <w:ind w:left="567" w:hanging="567"/>
      </w:pPr>
      <w:r w:rsidRPr="003B48FB">
        <w:t>64.</w:t>
      </w:r>
      <w:r w:rsidRPr="003B48FB">
        <w:tab/>
        <w:t>z zadowoleniem przyjmuje oszczędności budżetowe uzyskane dzięki współpracy z innymi instytucjami, a w szczególności wspólne aplikacje i usługi hostingowe oparte na umowach o gwarantowanym poziomie usług zawartych z Komisją, a także dzięki udziałowi w międzyinstytucjonalnych procedurach udzielania zamówień, które umożliwiły TSUE optymalizację kosztów i zasobów;</w:t>
      </w:r>
    </w:p>
    <w:p w14:paraId="559EA932" w14:textId="77777777" w:rsidR="00C434A1" w:rsidRPr="003B48FB" w:rsidRDefault="00C434A1" w:rsidP="00C434A1">
      <w:pPr>
        <w:spacing w:after="240"/>
        <w:ind w:left="567" w:hanging="567"/>
      </w:pPr>
      <w:r w:rsidRPr="003B48FB">
        <w:t>65.</w:t>
      </w:r>
      <w:r w:rsidRPr="003B48FB">
        <w:tab/>
        <w:t xml:space="preserve">z zadowoleniem odnotowuje wysiłki Europejskiej Sieci Szkolenia Kadr Wymiaru Sprawiedliwości (EJTN) polegające na szkoleniu sędziów krajowych w dziedzinie </w:t>
      </w:r>
      <w:r w:rsidRPr="003B48FB">
        <w:lastRenderedPageBreak/>
        <w:t>prawa UE; z uznaniem zauważa, że zgodnie z deklaracją TSUE pt. „Wspieranie EJTN w kształtowaniu zrównoważonej europejskiej kultury sądowej” w 2023 r. TSUE i EJTN starały się zwiększyć różnorodność stażystów długoterminowych i docelowo podnieść ich liczbę do jednego na państwo członkowskie; odnotowuje, że zastosowane środki już okazały się skuteczne, ponieważ TSUE przyjął stażystów z niektórych państw członkowskich, które wcześniej nie uczestniczyły aktywnie w programie; odnotowuje, że w latach 2023–2024 zaoferowano 15 płatnych staży; wzywa TSUE, aby nadal rozwijał inicjatywy wymiany wiedzy, obejmujące wspólne bazy orzecznictwa i wirtualne platformy współpracy, w celu wspierania sądów krajowych w złożonych interpretacjach prawnych;</w:t>
      </w:r>
    </w:p>
    <w:p w14:paraId="42CDCF36" w14:textId="77777777" w:rsidR="00C434A1" w:rsidRPr="003B48FB" w:rsidRDefault="00C434A1" w:rsidP="00C434A1">
      <w:pPr>
        <w:spacing w:after="240"/>
        <w:ind w:left="567" w:hanging="567"/>
      </w:pPr>
      <w:r w:rsidRPr="003B48FB">
        <w:t>66.</w:t>
      </w:r>
      <w:r w:rsidRPr="003B48FB">
        <w:tab/>
        <w:t>podkreśla, że staże powinny być płatne zgodnie z rezolucją Parlamentu Europejskiego z 14 czerwca 2023 r. w sprawie wysokiej jakości staży w Unii (2020/2005(INL)), w której Parlament apelował o wynagradzanie wszystkich stażystów w Europie; z zadowoleniem odnotowuje, że obecnie wszyscy stażyści w TSUE otrzymują podczas stażu stypendium, głównie od TSUE, a w niektórych szczególnych przypadkach – z innych źródeł; zauważa, że TSUE przyjmuje tylko niewielką liczbę stażystów (mniej niż 10 rocznie) opłacanych z innych źródeł i tylko na krótkie okresy (średnio 2 miesiące); z zadowoleniem odnotowuje, że w takich przypadkach administracja TSUE starannie sprawdza, czy stażyści otrzymują stypendium, dodatek lub wynagrodzenie za staż bezpośrednio od pracodawcy lub uczelni;</w:t>
      </w:r>
    </w:p>
    <w:p w14:paraId="6C93219B" w14:textId="77777777" w:rsidR="00C434A1" w:rsidRPr="003B48FB" w:rsidRDefault="00C434A1" w:rsidP="00C434A1">
      <w:pPr>
        <w:spacing w:after="240"/>
        <w:ind w:left="567" w:hanging="567"/>
      </w:pPr>
      <w:r w:rsidRPr="003B48FB">
        <w:t>67.</w:t>
      </w:r>
      <w:r w:rsidRPr="003B48FB">
        <w:tab/>
        <w:t>z uznaniem zauważa, że TSUE w pełni współpracuje z OLAF, Trybunałem, EIOD i Europejskim Rzecznikiem Praw Obywatelskich; zauważa, że w 2023 r. TSUE kontynuował wysiłki na rzecz podtrzymania dialogu nawiązanego z sądami krajowymi, w szczególności z sądami konstytucyjnymi i najwyższymi, oraz że TSUE był gospodarzem szeregu spotkań, w tym dorocznego spotkania sędziów krajowych; zachęca do ściślejszej współpracy między TSUE a sądami krajowymi, aby jeszcze bardziej jednolicie stosować prawo Unii; zaleca ustanowienie stałego programu wymiany sędziów z państw członkowskich, aby nawiązali współpracę z ich odpowiednikami w TSUE, co sprzyjałoby upowszechnianiu najlepszych praktyk w zakresie wykładni prawa Unii;</w:t>
      </w:r>
    </w:p>
    <w:p w14:paraId="637D3317" w14:textId="77777777" w:rsidR="00C434A1" w:rsidRPr="00C434A1" w:rsidRDefault="00C434A1" w:rsidP="00C434A1">
      <w:pPr>
        <w:spacing w:after="240"/>
        <w:ind w:left="567" w:hanging="567"/>
        <w:rPr>
          <w:b/>
          <w:bCs/>
          <w:i/>
          <w:iCs/>
        </w:rPr>
      </w:pPr>
      <w:r w:rsidRPr="00C434A1">
        <w:rPr>
          <w:b/>
          <w:bCs/>
          <w:i/>
          <w:iCs/>
        </w:rPr>
        <w:t>Komunikacja</w:t>
      </w:r>
    </w:p>
    <w:p w14:paraId="551DD5E4" w14:textId="77777777" w:rsidR="00C434A1" w:rsidRPr="003B48FB" w:rsidRDefault="00C434A1" w:rsidP="00C434A1">
      <w:pPr>
        <w:spacing w:after="240"/>
        <w:ind w:left="567" w:hanging="567"/>
      </w:pPr>
      <w:r w:rsidRPr="003B48FB">
        <w:t>68.</w:t>
      </w:r>
      <w:r w:rsidRPr="003B48FB">
        <w:tab/>
        <w:t>zauważa, że w 2023 r. TSUE zwiększył wysiłki na rzecz nawiązania kontaktu z obywatelami Unii poprzez zwiększenie swojej obecności w mediach społecznościowych; zauważa, że na koniec 2023 r. liczba subskrybentów konta LinkedIn TSUE wzrosła o 32 %, liczba obserwujących dwa konta TSUE na X (wcześniej Twitter) – o 9 %, a liczba wyświetleń na kanale YouTube – o 84,96 % w porównaniu z rokiem poprzednim;</w:t>
      </w:r>
    </w:p>
    <w:p w14:paraId="4CF1DF73" w14:textId="599C1E44" w:rsidR="00E365E1" w:rsidRPr="00DD5671" w:rsidRDefault="00C434A1" w:rsidP="00C434A1">
      <w:pPr>
        <w:spacing w:after="240"/>
        <w:ind w:left="567" w:hanging="567"/>
      </w:pPr>
      <w:r w:rsidRPr="003B48FB">
        <w:t>69.</w:t>
      </w:r>
      <w:r w:rsidRPr="003B48FB">
        <w:tab/>
        <w:t>z zadowoleniem przyjmuje wysiłki TSUE na rzecz udoskonalenia komunikacji strategicznej i zwiększenia przejrzystości wobec obywateli Unii w zakresie działalności sądowniczej TSUE, zwłaszcza poprzez organizację Dnia Otwartego, ofertę dla odwiedzających, w szczególności specjalne wizyty wirtualne, w których w 2023 r. wzięło udział 800 uczniów, oraz zmianę stylu redagowania komunikatów prasowych i publikacji internetowych dotyczących tematów interesujących media lub mających wpływ na życie obywateli na bardziej przystępny.</w:t>
      </w:r>
    </w:p>
    <w:sectPr w:rsidR="00E365E1" w:rsidRPr="00DD5671" w:rsidSect="00C434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D2FB8" w14:textId="77777777" w:rsidR="00DB408B" w:rsidRPr="00DD5671" w:rsidRDefault="00DB408B">
      <w:r w:rsidRPr="00DD5671">
        <w:separator/>
      </w:r>
    </w:p>
  </w:endnote>
  <w:endnote w:type="continuationSeparator" w:id="0">
    <w:p w14:paraId="11A94723" w14:textId="77777777" w:rsidR="00DB408B" w:rsidRPr="00DD5671" w:rsidRDefault="00DB408B">
      <w:r w:rsidRPr="00DD56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7D009" w14:textId="77777777" w:rsidR="00064002" w:rsidRPr="00DD567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6E66F" w14:textId="77777777" w:rsidR="00064002" w:rsidRPr="00DD567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A62C9" w14:textId="77777777" w:rsidR="00064002" w:rsidRPr="00DD56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604A8" w14:textId="77777777" w:rsidR="00DB408B" w:rsidRPr="00DD5671" w:rsidRDefault="00DB408B">
      <w:r w:rsidRPr="00DD5671">
        <w:separator/>
      </w:r>
    </w:p>
  </w:footnote>
  <w:footnote w:type="continuationSeparator" w:id="0">
    <w:p w14:paraId="6F4A4137" w14:textId="77777777" w:rsidR="00DB408B" w:rsidRPr="00DD5671" w:rsidRDefault="00DB408B">
      <w:r w:rsidRPr="00DD5671">
        <w:continuationSeparator/>
      </w:r>
    </w:p>
  </w:footnote>
  <w:footnote w:id="1">
    <w:p w14:paraId="1A869DE5" w14:textId="77777777" w:rsidR="00C434A1" w:rsidRPr="00CA11A2" w:rsidRDefault="00C434A1" w:rsidP="00C434A1">
      <w:pPr>
        <w:ind w:left="567" w:hanging="567"/>
      </w:pPr>
      <w:r w:rsidRPr="00CA11A2">
        <w:rPr>
          <w:rStyle w:val="FootnoteReference"/>
        </w:rPr>
        <w:footnoteRef/>
      </w:r>
      <w:r w:rsidRPr="00CA11A2">
        <w:t xml:space="preserve"> </w:t>
      </w:r>
      <w:r w:rsidRPr="003B48FB">
        <w:tab/>
        <w:t xml:space="preserve">Dz.U. L 58 z </w:t>
      </w:r>
      <w:proofErr w:type="gramStart"/>
      <w:r w:rsidRPr="003B48FB">
        <w:t>23.2.2023</w:t>
      </w:r>
      <w:proofErr w:type="gramEnd"/>
      <w:r w:rsidRPr="003B48FB">
        <w:t xml:space="preserve">, s. 1, ELI: </w:t>
      </w:r>
      <w:hyperlink r:id="rId1" w:tooltip="Dostęp do dokumentu przez ELI URI." w:history="1">
        <w:r w:rsidRPr="003B48FB">
          <w:rPr>
            <w:rStyle w:val="Hyperlink1"/>
            <w:color w:val="337AB7"/>
            <w:shd w:val="clear" w:color="auto" w:fill="FFFFFF"/>
          </w:rPr>
          <w:t>http://data.europa.eu/eli/budget/2023/1/oj</w:t>
        </w:r>
      </w:hyperlink>
      <w:r w:rsidRPr="003B48FB">
        <w:t>.</w:t>
      </w:r>
    </w:p>
  </w:footnote>
  <w:footnote w:id="2">
    <w:p w14:paraId="39641742" w14:textId="77777777" w:rsidR="00C434A1" w:rsidRPr="00C047A5" w:rsidRDefault="00C434A1" w:rsidP="00C434A1">
      <w:pPr>
        <w:pStyle w:val="FootnoteText"/>
        <w:ind w:left="567" w:hanging="567"/>
        <w:rPr>
          <w:sz w:val="24"/>
          <w:lang w:val="fi-FI"/>
        </w:rPr>
      </w:pPr>
      <w:r w:rsidRPr="00CA11A2">
        <w:rPr>
          <w:rStyle w:val="FootnoteReference"/>
          <w:sz w:val="24"/>
          <w:lang w:val="pl-PL"/>
        </w:rPr>
        <w:footnoteRef/>
      </w:r>
      <w:r w:rsidRPr="00CA11A2">
        <w:rPr>
          <w:sz w:val="24"/>
          <w:lang w:val="fi-FI"/>
        </w:rPr>
        <w:t xml:space="preserve"> </w:t>
      </w:r>
      <w:r w:rsidRPr="003B48FB">
        <w:rPr>
          <w:sz w:val="24"/>
          <w:lang w:val="fi-FI"/>
        </w:rPr>
        <w:tab/>
      </w:r>
      <w:proofErr w:type="spellStart"/>
      <w:r w:rsidRPr="003B48FB">
        <w:rPr>
          <w:sz w:val="24"/>
          <w:lang w:val="fi-FI"/>
        </w:rPr>
        <w:t>Dz.U</w:t>
      </w:r>
      <w:proofErr w:type="spellEnd"/>
      <w:r w:rsidRPr="003B48FB">
        <w:rPr>
          <w:sz w:val="24"/>
          <w:lang w:val="fi-FI"/>
        </w:rPr>
        <w:t xml:space="preserve">. C, C/2024/5462, 10.10.2024, ELI: </w:t>
      </w:r>
      <w:r w:rsidR="00251B3B">
        <w:fldChar w:fldCharType="begin"/>
      </w:r>
      <w:r w:rsidR="00251B3B" w:rsidRPr="00251B3B">
        <w:rPr>
          <w:lang w:val="fi-FI"/>
        </w:rPr>
        <w:instrText>HYPERLINK "http://data.europa.eu/eli/C/2024/5462/oj"</w:instrText>
      </w:r>
      <w:r w:rsidR="00251B3B">
        <w:fldChar w:fldCharType="separate"/>
      </w:r>
      <w:r w:rsidRPr="003B48FB">
        <w:rPr>
          <w:rStyle w:val="Hyperlink1"/>
          <w:lang w:val="fi-FI"/>
        </w:rPr>
        <w:t>http://data.europa.eu/eli/C/2024/5462/oj</w:t>
      </w:r>
      <w:r w:rsidR="00251B3B">
        <w:rPr>
          <w:rStyle w:val="Hyperlink1"/>
          <w:lang w:val="fi-FI"/>
        </w:rPr>
        <w:fldChar w:fldCharType="end"/>
      </w:r>
      <w:r w:rsidRPr="00C047A5">
        <w:rPr>
          <w:sz w:val="24"/>
          <w:lang w:val="fi-FI"/>
        </w:rPr>
        <w:t>.</w:t>
      </w:r>
    </w:p>
  </w:footnote>
  <w:footnote w:id="3">
    <w:p w14:paraId="4FDD1A3D" w14:textId="77777777" w:rsidR="00C434A1" w:rsidRPr="00C047A5" w:rsidRDefault="00C434A1" w:rsidP="00C434A1">
      <w:pPr>
        <w:pStyle w:val="FootnoteText"/>
        <w:ind w:left="567" w:hanging="567"/>
        <w:rPr>
          <w:sz w:val="24"/>
          <w:lang w:val="fi-FI"/>
        </w:rPr>
      </w:pPr>
      <w:r w:rsidRPr="00CA11A2">
        <w:rPr>
          <w:rStyle w:val="FootnoteReference"/>
          <w:sz w:val="24"/>
          <w:lang w:val="pl-PL"/>
        </w:rPr>
        <w:footnoteRef/>
      </w:r>
      <w:r w:rsidRPr="00CA11A2">
        <w:rPr>
          <w:sz w:val="24"/>
          <w:lang w:val="fi-FI"/>
        </w:rPr>
        <w:t xml:space="preserve"> </w:t>
      </w:r>
      <w:r w:rsidRPr="003B48FB">
        <w:rPr>
          <w:sz w:val="24"/>
          <w:lang w:val="fi-FI"/>
        </w:rPr>
        <w:tab/>
      </w:r>
      <w:proofErr w:type="spellStart"/>
      <w:r w:rsidRPr="003B48FB">
        <w:rPr>
          <w:sz w:val="24"/>
          <w:lang w:val="fi-FI"/>
        </w:rPr>
        <w:t>Dz.U</w:t>
      </w:r>
      <w:proofErr w:type="spellEnd"/>
      <w:r w:rsidRPr="003B48FB">
        <w:rPr>
          <w:sz w:val="24"/>
          <w:lang w:val="fi-FI"/>
        </w:rPr>
        <w:t xml:space="preserve">. C, C/2024/5882, 9.10.2024, ELI: </w:t>
      </w:r>
      <w:r w:rsidR="00251B3B">
        <w:fldChar w:fldCharType="begin"/>
      </w:r>
      <w:r w:rsidR="00251B3B" w:rsidRPr="00251B3B">
        <w:rPr>
          <w:lang w:val="fi-FI"/>
        </w:rPr>
        <w:instrText>HYPERLINK "http://data.europa.eu/eli/C/2024/5882/oj"</w:instrText>
      </w:r>
      <w:r w:rsidR="00251B3B">
        <w:fldChar w:fldCharType="separate"/>
      </w:r>
      <w:r w:rsidRPr="003B48FB">
        <w:rPr>
          <w:rStyle w:val="Hyperlink1"/>
          <w:lang w:val="fi-FI"/>
        </w:rPr>
        <w:t>http://data.europa.eu/eli/C/2024/5882/oj</w:t>
      </w:r>
      <w:r w:rsidR="00251B3B">
        <w:rPr>
          <w:rStyle w:val="Hyperlink1"/>
          <w:lang w:val="fi-FI"/>
        </w:rPr>
        <w:fldChar w:fldCharType="end"/>
      </w:r>
      <w:r w:rsidRPr="00C047A5">
        <w:rPr>
          <w:sz w:val="24"/>
          <w:lang w:val="fi-FI"/>
        </w:rPr>
        <w:t>.</w:t>
      </w:r>
    </w:p>
  </w:footnote>
  <w:footnote w:id="4">
    <w:p w14:paraId="70447923" w14:textId="77777777" w:rsidR="00C434A1" w:rsidRPr="00C047A5" w:rsidRDefault="00C434A1" w:rsidP="00C434A1">
      <w:pPr>
        <w:pStyle w:val="FootnoteText"/>
        <w:ind w:left="567" w:hanging="567"/>
        <w:rPr>
          <w:sz w:val="24"/>
          <w:lang w:val="fi-FI"/>
        </w:rPr>
      </w:pPr>
      <w:r w:rsidRPr="00CA11A2">
        <w:rPr>
          <w:rStyle w:val="FootnoteReference"/>
          <w:sz w:val="24"/>
          <w:lang w:val="pl-PL"/>
        </w:rPr>
        <w:footnoteRef/>
      </w:r>
      <w:r w:rsidRPr="00CA11A2">
        <w:rPr>
          <w:sz w:val="24"/>
          <w:lang w:val="fi-FI"/>
        </w:rPr>
        <w:t xml:space="preserve"> </w:t>
      </w:r>
      <w:r w:rsidRPr="003B48FB">
        <w:rPr>
          <w:sz w:val="24"/>
          <w:lang w:val="fi-FI"/>
        </w:rPr>
        <w:tab/>
      </w:r>
      <w:proofErr w:type="spellStart"/>
      <w:r w:rsidRPr="003B48FB">
        <w:rPr>
          <w:sz w:val="24"/>
          <w:lang w:val="fi-FI"/>
        </w:rPr>
        <w:t>Dz.U</w:t>
      </w:r>
      <w:proofErr w:type="spellEnd"/>
      <w:r w:rsidRPr="003B48FB">
        <w:rPr>
          <w:sz w:val="24"/>
          <w:lang w:val="fi-FI"/>
        </w:rPr>
        <w:t xml:space="preserve">. C, C/2024/6041, 10.10.2024, ELI: </w:t>
      </w:r>
      <w:r w:rsidR="00251B3B">
        <w:fldChar w:fldCharType="begin"/>
      </w:r>
      <w:r w:rsidR="00251B3B" w:rsidRPr="00251B3B">
        <w:rPr>
          <w:lang w:val="fi-FI"/>
        </w:rPr>
        <w:instrText>HYPERLINK "http://data.europa.eu/eli/C/2024/6041/oj"</w:instrText>
      </w:r>
      <w:r w:rsidR="00251B3B">
        <w:fldChar w:fldCharType="separate"/>
      </w:r>
      <w:r w:rsidRPr="003B48FB">
        <w:rPr>
          <w:rStyle w:val="Hyperlink1"/>
          <w:lang w:val="fi-FI"/>
        </w:rPr>
        <w:t>http://data.europa.eu/eli/C/2024/6041/oj</w:t>
      </w:r>
      <w:r w:rsidR="00251B3B">
        <w:rPr>
          <w:rStyle w:val="Hyperlink1"/>
          <w:lang w:val="fi-FI"/>
        </w:rPr>
        <w:fldChar w:fldCharType="end"/>
      </w:r>
      <w:r w:rsidRPr="00C047A5">
        <w:rPr>
          <w:sz w:val="24"/>
          <w:lang w:val="fi-FI"/>
        </w:rPr>
        <w:t>.</w:t>
      </w:r>
    </w:p>
  </w:footnote>
  <w:footnote w:id="5">
    <w:p w14:paraId="0DE831E6" w14:textId="77777777" w:rsidR="00C434A1" w:rsidRPr="00CA11A2" w:rsidRDefault="00C434A1" w:rsidP="00C434A1">
      <w:pPr>
        <w:pStyle w:val="FootnoteText"/>
        <w:ind w:left="567" w:hanging="567"/>
        <w:rPr>
          <w:sz w:val="24"/>
          <w:lang w:val="pl-PL"/>
        </w:rPr>
      </w:pPr>
      <w:r w:rsidRPr="00CA11A2">
        <w:rPr>
          <w:rStyle w:val="FootnoteReference"/>
          <w:sz w:val="24"/>
          <w:lang w:val="pl-PL"/>
        </w:rPr>
        <w:footnoteRef/>
      </w:r>
      <w:r w:rsidRPr="00CA11A2">
        <w:rPr>
          <w:sz w:val="24"/>
          <w:lang w:val="pl-PL"/>
        </w:rPr>
        <w:t xml:space="preserve"> </w:t>
      </w:r>
      <w:r w:rsidRPr="003B48FB">
        <w:rPr>
          <w:sz w:val="24"/>
          <w:lang w:val="pl-PL"/>
        </w:rPr>
        <w:tab/>
        <w:t xml:space="preserve">Dz.U. L 193 z </w:t>
      </w:r>
      <w:proofErr w:type="gramStart"/>
      <w:r w:rsidRPr="003B48FB">
        <w:rPr>
          <w:sz w:val="24"/>
          <w:lang w:val="pl-PL"/>
        </w:rPr>
        <w:t>30.7.2018</w:t>
      </w:r>
      <w:proofErr w:type="gramEnd"/>
      <w:r w:rsidRPr="003B48FB">
        <w:rPr>
          <w:sz w:val="24"/>
          <w:lang w:val="pl-PL"/>
        </w:rPr>
        <w:t xml:space="preserve">, s. 1, ELI: </w:t>
      </w:r>
      <w:hyperlink r:id="rId2" w:history="1">
        <w:r w:rsidRPr="00C434A1">
          <w:rPr>
            <w:rStyle w:val="Hyperlink1"/>
            <w:lang w:val="pl-PL"/>
          </w:rPr>
          <w:t>http://data.europa.eu/eli/reg/2018/1046/oj</w:t>
        </w:r>
      </w:hyperlink>
      <w:r w:rsidRPr="003B48FB">
        <w:rPr>
          <w:sz w:val="24"/>
          <w:lang w:val="pl-PL"/>
        </w:rPr>
        <w:t>.</w:t>
      </w:r>
    </w:p>
  </w:footnote>
  <w:footnote w:id="6">
    <w:p w14:paraId="1FCEF389" w14:textId="77777777" w:rsidR="00C434A1" w:rsidRPr="00C047A5" w:rsidRDefault="00C434A1" w:rsidP="00C434A1">
      <w:pPr>
        <w:pStyle w:val="FootnoteText"/>
        <w:ind w:left="567" w:hanging="567"/>
        <w:rPr>
          <w:sz w:val="24"/>
          <w:lang w:val="fi-FI"/>
        </w:rPr>
      </w:pPr>
      <w:r w:rsidRPr="00CA11A2">
        <w:rPr>
          <w:rStyle w:val="FootnoteReference"/>
          <w:sz w:val="24"/>
          <w:lang w:val="pl-PL"/>
        </w:rPr>
        <w:footnoteRef/>
      </w:r>
      <w:r w:rsidRPr="00CA11A2">
        <w:rPr>
          <w:sz w:val="24"/>
          <w:lang w:val="fi-FI"/>
        </w:rPr>
        <w:t xml:space="preserve"> </w:t>
      </w:r>
      <w:r w:rsidRPr="003B48FB">
        <w:rPr>
          <w:sz w:val="24"/>
          <w:lang w:val="fi-FI"/>
        </w:rPr>
        <w:tab/>
      </w:r>
      <w:proofErr w:type="spellStart"/>
      <w:r w:rsidRPr="003B48FB">
        <w:rPr>
          <w:sz w:val="24"/>
          <w:lang w:val="fi-FI"/>
        </w:rPr>
        <w:t>Dz.U</w:t>
      </w:r>
      <w:proofErr w:type="spellEnd"/>
      <w:r w:rsidRPr="003B48FB">
        <w:rPr>
          <w:sz w:val="24"/>
          <w:lang w:val="fi-FI"/>
        </w:rPr>
        <w:t xml:space="preserve">. L, 2024/2509, 26.9.2024, ELI: </w:t>
      </w:r>
      <w:r w:rsidR="00251B3B">
        <w:fldChar w:fldCharType="begin"/>
      </w:r>
      <w:r w:rsidR="00251B3B" w:rsidRPr="00251B3B">
        <w:rPr>
          <w:lang w:val="fi-FI"/>
        </w:rPr>
        <w:instrText>HYPERLINK "http://data.europa.eu/eli/reg/2024/2509/oj"</w:instrText>
      </w:r>
      <w:r w:rsidR="00251B3B">
        <w:fldChar w:fldCharType="separate"/>
      </w:r>
      <w:r w:rsidRPr="003B48FB">
        <w:rPr>
          <w:rStyle w:val="Hyperlink1"/>
          <w:lang w:val="fi-FI"/>
        </w:rPr>
        <w:t>http://data.europa.eu/eli/reg/2024/2509/oj</w:t>
      </w:r>
      <w:r w:rsidR="00251B3B">
        <w:rPr>
          <w:rStyle w:val="Hyperlink1"/>
          <w:lang w:val="fi-FI"/>
        </w:rPr>
        <w:fldChar w:fldCharType="end"/>
      </w:r>
      <w:r w:rsidRPr="00C047A5">
        <w:rPr>
          <w:sz w:val="24"/>
          <w:lang w:val="fi-FI"/>
        </w:rPr>
        <w:t>.</w:t>
      </w:r>
    </w:p>
  </w:footnote>
  <w:footnote w:id="7">
    <w:p w14:paraId="6161A456" w14:textId="77777777" w:rsidR="00C434A1" w:rsidRPr="004B5E3F" w:rsidRDefault="00C434A1" w:rsidP="00C434A1">
      <w:pPr>
        <w:pStyle w:val="FootnoteText"/>
        <w:ind w:left="567" w:hanging="567"/>
        <w:rPr>
          <w:sz w:val="24"/>
          <w:lang w:val="pl-PL"/>
        </w:rPr>
      </w:pPr>
      <w:r w:rsidRPr="004B5E3F">
        <w:rPr>
          <w:rStyle w:val="FootnoteReference"/>
          <w:sz w:val="24"/>
          <w:lang w:val="pl-PL"/>
        </w:rPr>
        <w:footnoteRef/>
      </w:r>
      <w:r w:rsidRPr="003B48FB">
        <w:rPr>
          <w:sz w:val="24"/>
          <w:lang w:val="pl-PL"/>
        </w:rPr>
        <w:tab/>
        <w:t xml:space="preserve">Rozporządzenie Parlamentu Europejskiego i Rady (UE, </w:t>
      </w:r>
      <w:proofErr w:type="spellStart"/>
      <w:r w:rsidRPr="003B48FB">
        <w:rPr>
          <w:sz w:val="24"/>
          <w:lang w:val="pl-PL"/>
        </w:rPr>
        <w:t>Euratom</w:t>
      </w:r>
      <w:proofErr w:type="spellEnd"/>
      <w:r w:rsidRPr="003B48FB">
        <w:rPr>
          <w:sz w:val="24"/>
          <w:lang w:val="pl-PL"/>
        </w:rPr>
        <w:t xml:space="preserve">) 2024/2019 z dnia 11 kwietnia 2024 r. zmieniające Protokół nr 3 w sprawie statutu Trybunału Sprawiedliwości Unii Europejskiej (Dz.U. L, 2024/2019, </w:t>
      </w:r>
      <w:proofErr w:type="gramStart"/>
      <w:r w:rsidRPr="003B48FB">
        <w:rPr>
          <w:sz w:val="24"/>
          <w:lang w:val="pl-PL"/>
        </w:rPr>
        <w:t>12.8.2024</w:t>
      </w:r>
      <w:proofErr w:type="gramEnd"/>
      <w:r w:rsidRPr="003B48FB">
        <w:rPr>
          <w:sz w:val="24"/>
          <w:lang w:val="pl-PL"/>
        </w:rPr>
        <w:t xml:space="preserve">, ELI: </w:t>
      </w:r>
      <w:hyperlink r:id="rId3" w:history="1">
        <w:r w:rsidRPr="00C434A1">
          <w:rPr>
            <w:rStyle w:val="Hyperlink1"/>
            <w:lang w:val="pl-PL"/>
          </w:rPr>
          <w:t>http://data.europa.eu/eli/reg/2024/2019/oj</w:t>
        </w:r>
      </w:hyperlink>
      <w:r w:rsidRPr="003B48FB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83203" w14:textId="77777777" w:rsidR="00064002" w:rsidRPr="00DD56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A0D67" w14:textId="77777777" w:rsidR="00064002" w:rsidRPr="00DD56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98F2B" w14:textId="77777777" w:rsidR="00064002" w:rsidRPr="00DD56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2499670">
    <w:abstractNumId w:val="9"/>
  </w:num>
  <w:num w:numId="2" w16cid:durableId="1221745298">
    <w:abstractNumId w:val="9"/>
  </w:num>
  <w:num w:numId="3" w16cid:durableId="1771510396">
    <w:abstractNumId w:val="7"/>
  </w:num>
  <w:num w:numId="4" w16cid:durableId="1070230237">
    <w:abstractNumId w:val="7"/>
  </w:num>
  <w:num w:numId="5" w16cid:durableId="89667418">
    <w:abstractNumId w:val="6"/>
  </w:num>
  <w:num w:numId="6" w16cid:durableId="1488402049">
    <w:abstractNumId w:val="6"/>
  </w:num>
  <w:num w:numId="7" w16cid:durableId="1563952503">
    <w:abstractNumId w:val="5"/>
  </w:num>
  <w:num w:numId="8" w16cid:durableId="221407125">
    <w:abstractNumId w:val="5"/>
  </w:num>
  <w:num w:numId="9" w16cid:durableId="407651325">
    <w:abstractNumId w:val="4"/>
  </w:num>
  <w:num w:numId="10" w16cid:durableId="464810606">
    <w:abstractNumId w:val="4"/>
  </w:num>
  <w:num w:numId="11" w16cid:durableId="1370912467">
    <w:abstractNumId w:val="8"/>
  </w:num>
  <w:num w:numId="12" w16cid:durableId="142935015">
    <w:abstractNumId w:val="8"/>
  </w:num>
  <w:num w:numId="13" w16cid:durableId="647634794">
    <w:abstractNumId w:val="3"/>
  </w:num>
  <w:num w:numId="14" w16cid:durableId="1525896549">
    <w:abstractNumId w:val="3"/>
  </w:num>
  <w:num w:numId="15" w16cid:durableId="822627359">
    <w:abstractNumId w:val="2"/>
  </w:num>
  <w:num w:numId="16" w16cid:durableId="899940832">
    <w:abstractNumId w:val="2"/>
  </w:num>
  <w:num w:numId="17" w16cid:durableId="1156414114">
    <w:abstractNumId w:val="1"/>
  </w:num>
  <w:num w:numId="18" w16cid:durableId="440607442">
    <w:abstractNumId w:val="1"/>
  </w:num>
  <w:num w:numId="19" w16cid:durableId="1247150553">
    <w:abstractNumId w:val="0"/>
  </w:num>
  <w:num w:numId="20" w16cid:durableId="700938438">
    <w:abstractNumId w:val="0"/>
  </w:num>
  <w:num w:numId="21" w16cid:durableId="553547571">
    <w:abstractNumId w:val="9"/>
  </w:num>
  <w:num w:numId="22" w16cid:durableId="145171168">
    <w:abstractNumId w:val="7"/>
  </w:num>
  <w:num w:numId="23" w16cid:durableId="1619214082">
    <w:abstractNumId w:val="6"/>
  </w:num>
  <w:num w:numId="24" w16cid:durableId="371275660">
    <w:abstractNumId w:val="5"/>
  </w:num>
  <w:num w:numId="25" w16cid:durableId="480200428">
    <w:abstractNumId w:val="4"/>
  </w:num>
  <w:num w:numId="26" w16cid:durableId="877856226">
    <w:abstractNumId w:val="8"/>
  </w:num>
  <w:num w:numId="27" w16cid:durableId="1487016323">
    <w:abstractNumId w:val="3"/>
  </w:num>
  <w:num w:numId="28" w16cid:durableId="542207539">
    <w:abstractNumId w:val="2"/>
  </w:num>
  <w:num w:numId="29" w16cid:durableId="189220493">
    <w:abstractNumId w:val="1"/>
  </w:num>
  <w:num w:numId="30" w16cid:durableId="72507688">
    <w:abstractNumId w:val="0"/>
  </w:num>
  <w:num w:numId="31" w16cid:durableId="1214390640">
    <w:abstractNumId w:val="9"/>
  </w:num>
  <w:num w:numId="32" w16cid:durableId="961379287">
    <w:abstractNumId w:val="7"/>
  </w:num>
  <w:num w:numId="33" w16cid:durableId="1568690052">
    <w:abstractNumId w:val="6"/>
  </w:num>
  <w:num w:numId="34" w16cid:durableId="1736123790">
    <w:abstractNumId w:val="5"/>
  </w:num>
  <w:num w:numId="35" w16cid:durableId="492648744">
    <w:abstractNumId w:val="4"/>
  </w:num>
  <w:num w:numId="36" w16cid:durableId="127558122">
    <w:abstractNumId w:val="8"/>
  </w:num>
  <w:num w:numId="37" w16cid:durableId="589780677">
    <w:abstractNumId w:val="3"/>
  </w:num>
  <w:num w:numId="38" w16cid:durableId="775641761">
    <w:abstractNumId w:val="2"/>
  </w:num>
  <w:num w:numId="39" w16cid:durableId="1601451382">
    <w:abstractNumId w:val="1"/>
  </w:num>
  <w:num w:numId="40" w16cid:durableId="1992783950">
    <w:abstractNumId w:val="0"/>
  </w:num>
  <w:num w:numId="41" w16cid:durableId="735128192">
    <w:abstractNumId w:val="10"/>
  </w:num>
  <w:num w:numId="42" w16cid:durableId="889607413">
    <w:abstractNumId w:val="10"/>
  </w:num>
  <w:num w:numId="43" w16cid:durableId="1885210753">
    <w:abstractNumId w:val="10"/>
  </w:num>
  <w:num w:numId="44" w16cid:durableId="13297940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0/2025"/>
    <w:docVar w:name="dvlangue" w:val="PL"/>
    <w:docVar w:name="dvnumam" w:val="0"/>
    <w:docVar w:name="dvpe" w:val="764.996"/>
    <w:docVar w:name="dvrapporteur" w:val="Sprawozdawca: "/>
    <w:docVar w:name="dvstar" w:val="??"/>
    <w:docVar w:name="dvtitre" w:val="Decyzja Parlamentu Europejskiego z dnia  2025 r. w sprawie absolutorium z wykonania budżetu ogólnego Unii Europejskiej za rok budżetowy 2023, sekcja IV – Trybunał Sprawiedliwości(2024/2022(DEC))"/>
  </w:docVars>
  <w:rsids>
    <w:rsidRoot w:val="00DB408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1B3B"/>
    <w:rsid w:val="00266ABB"/>
    <w:rsid w:val="002767FF"/>
    <w:rsid w:val="002B18FE"/>
    <w:rsid w:val="002B5493"/>
    <w:rsid w:val="002E64DF"/>
    <w:rsid w:val="00343214"/>
    <w:rsid w:val="00361C00"/>
    <w:rsid w:val="00395FA1"/>
    <w:rsid w:val="003E15D4"/>
    <w:rsid w:val="00411CCE"/>
    <w:rsid w:val="0041666E"/>
    <w:rsid w:val="00421060"/>
    <w:rsid w:val="00427EDC"/>
    <w:rsid w:val="00446D8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1FA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82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479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34A1"/>
    <w:rsid w:val="00C61C0C"/>
    <w:rsid w:val="00C63AFC"/>
    <w:rsid w:val="00C941CB"/>
    <w:rsid w:val="00CC2357"/>
    <w:rsid w:val="00CF071A"/>
    <w:rsid w:val="00D058B8"/>
    <w:rsid w:val="00D30697"/>
    <w:rsid w:val="00D56C11"/>
    <w:rsid w:val="00D834A0"/>
    <w:rsid w:val="00D872DF"/>
    <w:rsid w:val="00D91E21"/>
    <w:rsid w:val="00DA7FCD"/>
    <w:rsid w:val="00DB408B"/>
    <w:rsid w:val="00DD567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8BA412"/>
  <w15:chartTrackingRefBased/>
  <w15:docId w15:val="{AB105CBF-F24E-4CB3-B24D-278C5341A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8479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84791"/>
    <w:pPr>
      <w:spacing w:before="480" w:after="240"/>
    </w:pPr>
  </w:style>
  <w:style w:type="paragraph" w:customStyle="1" w:styleId="PageHeading">
    <w:name w:val="PageHeading"/>
    <w:basedOn w:val="Normal"/>
    <w:rsid w:val="00A8479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84791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A8479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847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84791"/>
    <w:rPr>
      <w:sz w:val="24"/>
      <w:lang w:val="pl-PL"/>
    </w:rPr>
  </w:style>
  <w:style w:type="paragraph" w:customStyle="1" w:styleId="EPFooter">
    <w:name w:val="EPFooter"/>
    <w:basedOn w:val="Normal"/>
    <w:rsid w:val="00A8479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A84791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84791"/>
    <w:rPr>
      <w:sz w:val="24"/>
      <w:lang w:val="pl-PL"/>
    </w:rPr>
  </w:style>
  <w:style w:type="paragraph" w:styleId="BalloonText">
    <w:name w:val="Balloon Text"/>
    <w:basedOn w:val="Normal"/>
    <w:link w:val="BalloonTextChar"/>
    <w:rsid w:val="002E64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E64DF"/>
    <w:rPr>
      <w:rFonts w:ascii="Segoe UI" w:hAnsi="Segoe UI" w:cs="Segoe UI"/>
      <w:sz w:val="18"/>
      <w:szCs w:val="18"/>
      <w:lang w:val="pl-PL"/>
    </w:rPr>
  </w:style>
  <w:style w:type="character" w:customStyle="1" w:styleId="Hyperlink1">
    <w:name w:val="Hyperlink1"/>
    <w:basedOn w:val="DefaultParagraphFont"/>
    <w:rsid w:val="00C434A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2019/oj" TargetMode="External"/><Relationship Id="rId2" Type="http://schemas.openxmlformats.org/officeDocument/2006/relationships/hyperlink" Target="http://data.europa.eu/eli/reg/2018/1046/oj" TargetMode="External"/><Relationship Id="rId1" Type="http://schemas.openxmlformats.org/officeDocument/2006/relationships/hyperlink" Target="http://data.europa.eu/eli/budget/2023/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EB199-2C00-4A80-9BB2-58AC2BB0E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6027</Words>
  <Characters>38815</Characters>
  <Application>Microsoft Office Word</Application>
  <DocSecurity>0</DocSecurity>
  <Lines>323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2025-12-04T13:08:00Z</dcterms:created>
  <dcterms:modified xsi:type="dcterms:W3CDTF">2025-12-04T13:08:00Z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P10_TA(2025)0080_</vt:lpwstr>
  </property>
  <property fmtid="{D5CDD505-2E9C-101B-9397-08002B2CF9AE}" pid="4" name="&lt;Type&gt;">
    <vt:lpwstr>RR</vt:lpwstr>
  </property>
</Properties>
</file>