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F6669" w14:paraId="77D90179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00BB61" w14:textId="77777777" w:rsidR="000F6669" w:rsidRDefault="007703F3">
            <w:pPr>
              <w:pStyle w:val="EPName"/>
            </w:pPr>
            <w:r>
              <w:t>Európsky parlament</w:t>
            </w:r>
          </w:p>
          <w:p w14:paraId="1D213FA6" w14:textId="77777777" w:rsidR="000F6669" w:rsidRDefault="007703F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937AC1" w14:textId="77777777" w:rsidR="000F6669" w:rsidRDefault="007703F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4F3B9921" wp14:editId="3C6E78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A641C" w14:textId="77777777" w:rsidR="000F6669" w:rsidRDefault="000F6669">
      <w:pPr>
        <w:pStyle w:val="LineTop"/>
      </w:pPr>
    </w:p>
    <w:p w14:paraId="1E7F6868" w14:textId="77777777" w:rsidR="000F6669" w:rsidRDefault="007703F3">
      <w:pPr>
        <w:pStyle w:val="EPBodyTA1"/>
      </w:pPr>
      <w:r>
        <w:t>PRIJATÉ TEXTY</w:t>
      </w:r>
    </w:p>
    <w:p w14:paraId="18D51648" w14:textId="77777777" w:rsidR="000F6669" w:rsidRDefault="000F6669">
      <w:pPr>
        <w:pStyle w:val="LineBottom"/>
      </w:pPr>
    </w:p>
    <w:p w14:paraId="41C479FC" w14:textId="77777777" w:rsidR="000F6669" w:rsidRDefault="007703F3">
      <w:pPr>
        <w:pStyle w:val="ATHeading1"/>
      </w:pPr>
      <w:bookmarkStart w:id="0" w:name="TANumber"/>
      <w:r>
        <w:t>P10_TA(2025)0080</w:t>
      </w:r>
      <w:bookmarkEnd w:id="0"/>
    </w:p>
    <w:p w14:paraId="29888A5F" w14:textId="77777777" w:rsidR="000F6669" w:rsidRDefault="007703F3">
      <w:pPr>
        <w:pStyle w:val="ATHeading2"/>
      </w:pPr>
      <w:bookmarkStart w:id="1" w:name="title"/>
      <w:r>
        <w:t>Absolutórium za rok 2023: všeobecný rozpočet EÚ – Súdny dvor Európskej únie</w:t>
      </w:r>
      <w:bookmarkEnd w:id="1"/>
    </w:p>
    <w:p w14:paraId="76311F79" w14:textId="77777777" w:rsidR="000F6669" w:rsidRDefault="007703F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A10-0050/2025</w:instrText>
      </w:r>
      <w:bookmarkEnd w:id="2"/>
      <w:r>
        <w:rPr>
          <w:i/>
        </w:rPr>
        <w:instrText xml:space="preserve"> - Spravodajca: Cristian Terheş)"\l3 \n&gt; \* MERGEFORMAT </w:instrText>
      </w:r>
      <w:r>
        <w:rPr>
          <w:i/>
        </w:rPr>
        <w:fldChar w:fldCharType="end"/>
      </w:r>
    </w:p>
    <w:p w14:paraId="5591514D" w14:textId="77777777" w:rsidR="000F6669" w:rsidRDefault="007703F3">
      <w:pPr>
        <w:rPr>
          <w:vanish/>
        </w:rPr>
      </w:pPr>
      <w:bookmarkStart w:id="3" w:name="Commission"/>
      <w:r>
        <w:rPr>
          <w:vanish/>
        </w:rPr>
        <w:t>Výbor pre kontrolu rozpočtu</w:t>
      </w:r>
      <w:bookmarkEnd w:id="3"/>
    </w:p>
    <w:p w14:paraId="42E8E9FD" w14:textId="77777777" w:rsidR="000F6669" w:rsidRDefault="007703F3">
      <w:pPr>
        <w:rPr>
          <w:vanish/>
        </w:rPr>
      </w:pPr>
      <w:bookmarkStart w:id="4" w:name="PE"/>
      <w:r>
        <w:rPr>
          <w:vanish/>
        </w:rPr>
        <w:t>PE764.996</w:t>
      </w:r>
      <w:bookmarkEnd w:id="4"/>
    </w:p>
    <w:p w14:paraId="7C6561C7" w14:textId="77777777" w:rsidR="000F6669" w:rsidRDefault="007703F3">
      <w:pPr>
        <w:pStyle w:val="ATHeading3"/>
      </w:pPr>
      <w:bookmarkStart w:id="5" w:name="Sujet"/>
      <w:r>
        <w:t>1. Rozhodnutie Európskeho parlamentu zo 7. mája 2025 o absolutóriu za plnenie všeobecného rozpočtu Európskej únie za rozpočtový rok 2023, oddiel IV – Súdny dvor</w:t>
      </w:r>
      <w:bookmarkEnd w:id="5"/>
      <w:r>
        <w:t xml:space="preserve"> </w:t>
      </w:r>
      <w:bookmarkStart w:id="6" w:name="References"/>
      <w:r>
        <w:t>Európskej únie(2024/2022(DEC))</w:t>
      </w:r>
      <w:bookmarkEnd w:id="6"/>
    </w:p>
    <w:p w14:paraId="58650B73" w14:textId="77777777" w:rsidR="000F6669" w:rsidRDefault="007703F3"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 w14:paraId="176AFAFE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všeobecný rozpočet Európskej únie na rozpočtový rok 2023</w:t>
      </w:r>
      <w:r w:rsidRPr="007703F3">
        <w:rPr>
          <w:kern w:val="2"/>
          <w:vertAlign w:val="superscript"/>
          <w14:ligatures w14:val="standardContextual"/>
        </w:rPr>
        <w:footnoteReference w:id="1"/>
      </w:r>
      <w:r w:rsidRPr="007703F3">
        <w:rPr>
          <w:kern w:val="2"/>
          <w14:ligatures w14:val="standardContextual"/>
        </w:rPr>
        <w:t>,</w:t>
      </w:r>
    </w:p>
    <w:p w14:paraId="7E2B94EC" w14:textId="31CFC026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 xml:space="preserve">so zreteľom na konsolidovanú ročnú účtovnú závierku Európskej únie za rozpočtový rok 2023 </w:t>
      </w:r>
      <w:r>
        <w:rPr>
          <w:kern w:val="2"/>
          <w14:ligatures w14:val="standardContextual"/>
        </w:rPr>
        <w:t>(</w:t>
      </w:r>
      <w:r w:rsidRPr="007703F3">
        <w:rPr>
          <w:kern w:val="2"/>
          <w14:ligatures w14:val="standardContextual"/>
        </w:rPr>
        <w:t>COM(2024)0272 – C10</w:t>
      </w:r>
      <w:r w:rsidRPr="007703F3">
        <w:rPr>
          <w:kern w:val="2"/>
          <w14:ligatures w14:val="standardContextual"/>
        </w:rPr>
        <w:noBreakHyphen/>
        <w:t>0070/2024</w:t>
      </w:r>
      <w:r>
        <w:rPr>
          <w:kern w:val="2"/>
          <w14:ligatures w14:val="standardContextual"/>
        </w:rPr>
        <w:t>)</w:t>
      </w:r>
      <w:r w:rsidRPr="007703F3">
        <w:rPr>
          <w:kern w:val="2"/>
          <w:vertAlign w:val="superscript"/>
          <w14:ligatures w14:val="standardContextual"/>
        </w:rPr>
        <w:footnoteReference w:id="2"/>
      </w:r>
      <w:r w:rsidRPr="007703F3">
        <w:rPr>
          <w:kern w:val="2"/>
          <w14:ligatures w14:val="standardContextual"/>
        </w:rPr>
        <w:t>,</w:t>
      </w:r>
    </w:p>
    <w:p w14:paraId="68FD19D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výročnú správu o činnosti Súdneho dvora Európskej únie za rok 2023 a jeho výročnú správu o rozpočtovom a finančnom riadení za rok 2023,</w:t>
      </w:r>
    </w:p>
    <w:p w14:paraId="50D553E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výročnú správu Dvora audítorov o plnení rozpočtu za rozpočtový rok 2023 spolu s odpoveďami inštitúcií</w:t>
      </w:r>
      <w:r w:rsidRPr="007703F3">
        <w:rPr>
          <w:kern w:val="2"/>
          <w:vertAlign w:val="superscript"/>
          <w14:ligatures w14:val="standardContextual"/>
        </w:rPr>
        <w:footnoteReference w:id="3"/>
      </w:r>
      <w:r w:rsidRPr="007703F3">
        <w:rPr>
          <w:kern w:val="2"/>
          <w14:ligatures w14:val="standardContextual"/>
        </w:rPr>
        <w:t>,</w:t>
      </w:r>
    </w:p>
    <w:p w14:paraId="230095FE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vyhlásenie o vierohodnosti</w:t>
      </w:r>
      <w:r w:rsidRPr="007703F3">
        <w:rPr>
          <w:kern w:val="2"/>
          <w:vertAlign w:val="superscript"/>
          <w14:ligatures w14:val="standardContextual"/>
        </w:rPr>
        <w:footnoteReference w:id="4"/>
      </w:r>
      <w:r w:rsidRPr="007703F3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 fungovaní Európskej únie,</w:t>
      </w:r>
    </w:p>
    <w:p w14:paraId="6886F94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článok 314 ods. 10 a články 317, 318 a 319 Zmluvy o fungovaní Európskej únie,</w:t>
      </w:r>
    </w:p>
    <w:p w14:paraId="1D1607FD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7703F3">
        <w:rPr>
          <w:kern w:val="2"/>
          <w14:ligatures w14:val="standardContextual"/>
        </w:rPr>
        <w:t>Euratom</w:t>
      </w:r>
      <w:proofErr w:type="spellEnd"/>
      <w:r w:rsidRPr="007703F3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</w:t>
      </w:r>
      <w:r w:rsidRPr="007703F3">
        <w:rPr>
          <w:kern w:val="2"/>
          <w14:ligatures w14:val="standardContextual"/>
        </w:rPr>
        <w:lastRenderedPageBreak/>
        <w:t xml:space="preserve">č. 283/2014 a rozhodnutia č. 541/2014/EÚ a o zrušení nariadenia (EÚ, </w:t>
      </w:r>
      <w:proofErr w:type="spellStart"/>
      <w:r w:rsidRPr="007703F3">
        <w:rPr>
          <w:kern w:val="2"/>
          <w14:ligatures w14:val="standardContextual"/>
        </w:rPr>
        <w:t>Euratom</w:t>
      </w:r>
      <w:proofErr w:type="spellEnd"/>
      <w:r w:rsidRPr="007703F3">
        <w:rPr>
          <w:kern w:val="2"/>
          <w14:ligatures w14:val="standardContextual"/>
        </w:rPr>
        <w:t>) č. 966/2012</w:t>
      </w:r>
      <w:r w:rsidRPr="007703F3">
        <w:rPr>
          <w:kern w:val="2"/>
          <w:vertAlign w:val="superscript"/>
          <w14:ligatures w14:val="standardContextual"/>
        </w:rPr>
        <w:footnoteReference w:id="5"/>
      </w:r>
      <w:r w:rsidRPr="007703F3">
        <w:rPr>
          <w:kern w:val="2"/>
          <w14:ligatures w14:val="standardContextual"/>
        </w:rPr>
        <w:t>, a najmä na jeho články 59, 118, 260, 261 a 262,</w:t>
      </w:r>
    </w:p>
    <w:p w14:paraId="713D3DAA" w14:textId="77777777" w:rsidR="007703F3" w:rsidRPr="007703F3" w:rsidRDefault="007703F3" w:rsidP="007703F3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7703F3">
        <w:rPr>
          <w:kern w:val="2"/>
          <w14:ligatures w14:val="standardContextual"/>
        </w:rPr>
        <w:t>Euratom</w:t>
      </w:r>
      <w:proofErr w:type="spellEnd"/>
      <w:r w:rsidRPr="007703F3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7703F3">
        <w:rPr>
          <w:kern w:val="2"/>
          <w:vertAlign w:val="superscript"/>
          <w14:ligatures w14:val="standardContextual"/>
        </w:rPr>
        <w:footnoteReference w:id="6"/>
      </w:r>
      <w:r w:rsidRPr="007703F3">
        <w:rPr>
          <w:kern w:val="2"/>
          <w14:ligatures w14:val="standardContextual"/>
        </w:rPr>
        <w:t>, a najmä na jeho články 59, 118, 266, 267 a 268,</w:t>
      </w:r>
    </w:p>
    <w:p w14:paraId="55738AE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článok 102 a prílohu V k rokovaciemu poriadku,</w:t>
      </w:r>
    </w:p>
    <w:p w14:paraId="4CA4D2B4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stanovisko Výboru pre právne veci,</w:t>
      </w:r>
    </w:p>
    <w:p w14:paraId="6A3416DC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správu Výboru pre kontrolu rozpočtu (A10-0050/2025),</w:t>
      </w:r>
    </w:p>
    <w:p w14:paraId="6B5DDD1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1.</w:t>
      </w:r>
      <w:r w:rsidRPr="007703F3">
        <w:rPr>
          <w:kern w:val="2"/>
          <w14:ligatures w14:val="standardContextual"/>
        </w:rPr>
        <w:tab/>
        <w:t>udeľuje tajomníkovi Súdneho dvora absolutórium za plnenie rozpočtu Súdneho dvora Európskej únie za rozpočtový rok 2023;</w:t>
      </w:r>
    </w:p>
    <w:p w14:paraId="0AF7E67F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2.</w:t>
      </w:r>
      <w:r w:rsidRPr="007703F3">
        <w:rPr>
          <w:kern w:val="2"/>
          <w14:ligatures w14:val="standardContextual"/>
        </w:rPr>
        <w:tab/>
        <w:t>uvádza svoje poznámky v priloženom uznesení;</w:t>
      </w:r>
    </w:p>
    <w:p w14:paraId="63524484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3.</w:t>
      </w:r>
      <w:r w:rsidRPr="007703F3">
        <w:rPr>
          <w:kern w:val="2"/>
          <w14:ligatures w14:val="standardContextual"/>
        </w:rPr>
        <w:tab/>
        <w:t>poveruje svoju predsedníčku, aby postúpila toto rozhodnutie a uznesenie, ktoré je jeho neoddeliteľnou súčasťou, Súdnemu dvoru Európskej únie, Rade, Komisii, európskemu ombudsmanovi, európskemu dozornému úradníkovi pre ochranu údajov a Dvoru audítorov a aby zabezpečila ich uverejnenie v </w:t>
      </w:r>
      <w:r w:rsidRPr="007703F3">
        <w:rPr>
          <w:i/>
          <w:iCs/>
          <w:kern w:val="2"/>
          <w14:ligatures w14:val="standardContextual"/>
        </w:rPr>
        <w:t>Úradnom vestníku Európskej únie</w:t>
      </w:r>
      <w:r w:rsidRPr="007703F3">
        <w:rPr>
          <w:kern w:val="2"/>
          <w14:ligatures w14:val="standardContextual"/>
        </w:rPr>
        <w:t xml:space="preserve"> (v sérii L).</w:t>
      </w:r>
    </w:p>
    <w:p w14:paraId="661B6680" w14:textId="77777777" w:rsidR="007703F3" w:rsidRPr="007703F3" w:rsidRDefault="007703F3" w:rsidP="007703F3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7703F3" w:rsidRPr="007703F3" w:rsidSect="007703F3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382194" w14:textId="77777777" w:rsidR="007703F3" w:rsidRPr="007703F3" w:rsidRDefault="007703F3" w:rsidP="007703F3">
      <w:pPr>
        <w:pStyle w:val="ATHeading3"/>
      </w:pPr>
      <w:r w:rsidRPr="007703F3">
        <w:lastRenderedPageBreak/>
        <w:t>2. Uznesenie Európskeho parlamentu zo 7. mája 2025 s poznámkami, ktoré je neoddeliteľnou súčasťou rozhodnutia o absolutóriu za plnenie všeobecného rozpočtu Európskej únie za rozpočtový rok 2023, oddiel IV – Súdny dvor Európskej únie (2024/2022(DEC))</w:t>
      </w:r>
    </w:p>
    <w:p w14:paraId="386D05E1" w14:textId="7FB0EA39" w:rsidR="007703F3" w:rsidRPr="007703F3" w:rsidRDefault="007703F3" w:rsidP="007703F3">
      <w:pPr>
        <w:spacing w:before="480" w:after="240"/>
        <w:rPr>
          <w:iCs/>
          <w:kern w:val="2"/>
          <w14:ligatures w14:val="standardContextual"/>
        </w:rPr>
      </w:pPr>
      <w:r>
        <w:rPr>
          <w:i/>
        </w:rPr>
        <w:t>Európsky parlament</w:t>
      </w:r>
      <w:r w:rsidRPr="007703F3">
        <w:rPr>
          <w:iCs/>
          <w:kern w:val="2"/>
          <w14:ligatures w14:val="standardContextual"/>
        </w:rPr>
        <w:t>,</w:t>
      </w:r>
    </w:p>
    <w:p w14:paraId="49875DC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svoje rozhodnutie o absolutóriu za plnenie všeobecného rozpočtu Európskej únie za rozpočtový rok 2023, oddiel IV – Súdny dvor Európskej únie,</w:t>
      </w:r>
    </w:p>
    <w:p w14:paraId="6925A1B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článok 102 a prílohu V k rokovaciemu poriadku,</w:t>
      </w:r>
    </w:p>
    <w:p w14:paraId="63B9BE1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stanovisko Výboru pre právne veci,</w:t>
      </w:r>
    </w:p>
    <w:p w14:paraId="67BDBB8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–</w:t>
      </w:r>
      <w:r w:rsidRPr="007703F3">
        <w:rPr>
          <w:kern w:val="2"/>
          <w14:ligatures w14:val="standardContextual"/>
        </w:rPr>
        <w:tab/>
        <w:t>so zreteľom na správu Výboru pre kontrolu rozpočtu (A10-0050/2025),</w:t>
      </w:r>
    </w:p>
    <w:p w14:paraId="74CF7DE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A.</w:t>
      </w:r>
      <w:r w:rsidRPr="007703F3">
        <w:rPr>
          <w:kern w:val="2"/>
          <w14:ligatures w14:val="standardContextual"/>
        </w:rPr>
        <w:tab/>
        <w:t>keďže v súvislosti s postupom udelenia absolutória chce orgán udeľujúci absolutórium podčiarknuť mimoriadny význam ďalšieho posilňovania demokratickej legitimity inštitúcií Únie zvyšovaním transparentnosti a zodpovednosti a zavedením koncepcie zostavovania rozpočtu podľa výkonnosti a dobrého riadenia ľudských zdrojov;</w:t>
      </w:r>
    </w:p>
    <w:p w14:paraId="571E2E02" w14:textId="77777777" w:rsidR="007703F3" w:rsidRPr="007703F3" w:rsidRDefault="007703F3" w:rsidP="007703F3">
      <w:pPr>
        <w:spacing w:after="240"/>
        <w:ind w:left="567" w:hanging="567"/>
        <w:rPr>
          <w:kern w:val="2"/>
          <w:u w:val="single"/>
          <w14:ligatures w14:val="standardContextual"/>
        </w:rPr>
      </w:pPr>
      <w:r w:rsidRPr="007703F3">
        <w:rPr>
          <w:kern w:val="2"/>
          <w14:ligatures w14:val="standardContextual"/>
        </w:rPr>
        <w:t>B.</w:t>
      </w:r>
      <w:r w:rsidRPr="007703F3">
        <w:rPr>
          <w:kern w:val="2"/>
          <w14:ligatures w14:val="standardContextual"/>
        </w:rPr>
        <w:tab/>
        <w:t>keďže Súdny dvor Európskej únie (ďalej len „Súdny dvor“) je súdny orgán Únie, ktorého úlohou je zabezpečovať súlad s právom Únie, a to tak, že dohliada na jednotný výklad a uplatňovanie zmlúv a zabezpečuje zákonnosť opatrení, ktoré prijímajú inštitúcie, orgány, úrady a agentúry Únie;</w:t>
      </w:r>
    </w:p>
    <w:p w14:paraId="3BD7DEF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C.</w:t>
      </w:r>
      <w:r w:rsidRPr="007703F3">
        <w:rPr>
          <w:kern w:val="2"/>
          <w14:ligatures w14:val="standardContextual"/>
        </w:rPr>
        <w:tab/>
        <w:t>keďže Súdny dvor pomáha zachovávať hodnoty Únie a prostredníctvom svojej judikatúry sa usiluje o budovanie Európy;</w:t>
      </w:r>
    </w:p>
    <w:p w14:paraId="63917435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D.</w:t>
      </w:r>
      <w:r w:rsidRPr="007703F3">
        <w:rPr>
          <w:kern w:val="2"/>
          <w14:ligatures w14:val="standardContextual"/>
        </w:rPr>
        <w:tab/>
        <w:t>keďže Súdny dvor tvoria dva súdy: Súdny dvor a Všeobecný súd;</w:t>
      </w:r>
    </w:p>
    <w:p w14:paraId="5E24043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E.</w:t>
      </w:r>
      <w:r w:rsidRPr="007703F3">
        <w:rPr>
          <w:kern w:val="2"/>
          <w14:ligatures w14:val="standardContextual"/>
        </w:rPr>
        <w:tab/>
        <w:t>keďže Európsky parlament a Rada zmenili v roku 2024 Protokol č. 3 o štatúte Súdneho dvora (ďalej len „štatút“) </w:t>
      </w:r>
      <w:r w:rsidRPr="007703F3">
        <w:rPr>
          <w:kern w:val="2"/>
          <w:vertAlign w:val="superscript"/>
          <w14:ligatures w14:val="standardContextual"/>
        </w:rPr>
        <w:footnoteReference w:id="7"/>
      </w:r>
      <w:r w:rsidRPr="007703F3">
        <w:rPr>
          <w:kern w:val="2"/>
          <w14:ligatures w14:val="standardContextual"/>
        </w:rPr>
        <w:t xml:space="preserve"> v súvislosti s prenosom právomoci vydávať prejudiciálne rozhodnutia v osobitných oblastiach na Všeobecný súd;</w:t>
      </w:r>
    </w:p>
    <w:p w14:paraId="26C2D8EC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1.</w:t>
      </w:r>
      <w:r w:rsidRPr="007703F3">
        <w:rPr>
          <w:kern w:val="2"/>
          <w14:ligatures w14:val="standardContextual"/>
        </w:rPr>
        <w:tab/>
        <w:t>konštatuje, že rozpočet Súdneho dvora patrí do okruhu 7 VFR „Európska verejná správa“, ktorý v roku 2023 predstavoval 12,3 miliardy EUR (čo predstavuje 6,4 % celkového rozpočtu Únie); konštatuje, že rozpočet Súdneho dvora vo výške približne 0,5 miliardy EUR predstavuje zhruba 3,9 % celkových administratívnych výdavkov Únie;</w:t>
      </w:r>
    </w:p>
    <w:p w14:paraId="1C08A3E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2.</w:t>
      </w:r>
      <w:r w:rsidRPr="007703F3">
        <w:rPr>
          <w:kern w:val="2"/>
          <w14:ligatures w14:val="standardContextual"/>
        </w:rPr>
        <w:tab/>
        <w:t xml:space="preserve">konštatuje, že Európsky dvor audítorov (ďalej len „Dvor audítorov“) vo svojej výročnej správe za rozpočtový rok 2023 (ďalej len „správa Dvora audítorov“) preskúmal vzorku 70 transakcií v oddiele Administratíva, teda o 10 viac než v roku 2022; Dvor audítorov ďalej uvádza, že administratívne výdavky zahŕňajú výdavky na ľudské zdroje vrátane výdavkov na dôchodky, ktoré v roku 2023 predstavovali približne 70 % celkových administratívnych výdavkov, a výdavky na budovy, zariadenie, energie, komunikáciu </w:t>
      </w:r>
      <w:r w:rsidRPr="007703F3">
        <w:rPr>
          <w:kern w:val="2"/>
          <w14:ligatures w14:val="standardContextual"/>
        </w:rPr>
        <w:lastRenderedPageBreak/>
        <w:t>a informačné technológie a že z jeho dlhoročnej práce vyplýva, že tieto výdavky sú celkovo nízkorizikové;</w:t>
      </w:r>
    </w:p>
    <w:p w14:paraId="12840041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3.</w:t>
      </w:r>
      <w:r w:rsidRPr="007703F3">
        <w:rPr>
          <w:kern w:val="2"/>
          <w14:ligatures w14:val="standardContextual"/>
        </w:rPr>
        <w:tab/>
        <w:t>konštatuje, že 21 (30 %) zo 70 operácií obsahovalo chyby, ale že Dvor audítorov na základe piatich vyčíslených chýb odhaduje, že chybovosť bola pod prahom významnosti;</w:t>
      </w:r>
    </w:p>
    <w:p w14:paraId="6D0A675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4.</w:t>
      </w:r>
      <w:r w:rsidRPr="007703F3">
        <w:rPr>
          <w:kern w:val="2"/>
          <w14:ligatures w14:val="standardContextual"/>
        </w:rPr>
        <w:tab/>
        <w:t>konštatuje, že v správe Dvora audítorov nie sú uvedené žiadne konkrétne problémy týkajúce sa Súdneho dvora;</w:t>
      </w:r>
    </w:p>
    <w:p w14:paraId="432BA1D7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Rozpočtové a finančné riadenie</w:t>
      </w:r>
    </w:p>
    <w:p w14:paraId="7BEC8D25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5.</w:t>
      </w:r>
      <w:r w:rsidRPr="007703F3">
        <w:rPr>
          <w:kern w:val="2"/>
          <w14:ligatures w14:val="standardContextual"/>
        </w:rPr>
        <w:tab/>
        <w:t>konštatuje, že rozpočet pridelený Súdnemu dvoru v roku 2023 predstavoval 486 025 796 EUR, čo znamená zvýšenie o 3,9 % v porovnaní s rokom 2022; konštatuje, že toto zvýšenie bolo spôsobené najmä úpravami platov predpokladanými na rok 2023; zdôrazňuje, že rozpočet Súdneho dvora je v zásade administratívny, pričom približne 75 % rozpočtových prostriedkov sa týka výdavkov na jeho členov a zamestnancov a takmer všetky ostatné sa týkajú výdavkov na budovy a IT;</w:t>
      </w:r>
    </w:p>
    <w:p w14:paraId="3CEFAEB1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6.</w:t>
      </w:r>
      <w:r w:rsidRPr="007703F3">
        <w:rPr>
          <w:kern w:val="2"/>
          <w14:ligatures w14:val="standardContextual"/>
        </w:rPr>
        <w:tab/>
        <w:t>konštatuje, že celková miera plnenia rozpočtu na konci roka 2023 bola 97,72 %; konštatuje, že rozpočtovému orgánu bolo predložených päť presunov v súlade s článkom 29 nariadenia o rozpočtových pravidlách s cieľom posilniť rozpočtové položky „spotreba energií“, „nákup, prevádzka a údržba technického a programového vybavenia“ a „budovy“ z iných rozpočtových položiek, najmä z položky „platy a príspevky“ pre zamestnancov; konštatuje, že útočná vojna Ruska proti Ukrajine naďalej vytvárala tlak na rozpočet Súdneho dvora, a to aj v podobe rastúcej inflácie a úprav platov, výrazného zvýšenia nákladov na energiu a nákladov na viaceré tovary a služby;</w:t>
      </w:r>
    </w:p>
    <w:p w14:paraId="520D85A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7.</w:t>
      </w:r>
      <w:r w:rsidRPr="007703F3">
        <w:rPr>
          <w:kern w:val="2"/>
          <w14:ligatures w14:val="standardContextual"/>
        </w:rPr>
        <w:tab/>
        <w:t>s uspokojením konštatuje, že povoľujúci úradník vymenovaný delegovaním vyhlásil, že pridelené zdroje boli použité na zamýšľaný účel a v súlade so zásadami správneho finančného riadenia a že zavedené kontrolné postupy poskytujú potrebné záruky, pokiaľ ide o zákonnosť a správnosť príslušných operácií;</w:t>
      </w:r>
    </w:p>
    <w:p w14:paraId="6BCD513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8.</w:t>
      </w:r>
      <w:r w:rsidRPr="007703F3">
        <w:rPr>
          <w:kern w:val="2"/>
          <w14:ligatures w14:val="standardContextual"/>
        </w:rPr>
        <w:tab/>
        <w:t>konštatuje, že priemerný čas úhrady platieb v roku 2023 bol 23,1 dňa v porovnaní s 24,32 dňa v roku 2022; vyzýva Súdny dvor, aby naďalej vyvíjal úsilie o skrátenie času na úhradu platieb, najmä vzhľadom na to, že v roku 2023 bolo 81 % faktúr prijatých elektronicky;</w:t>
      </w:r>
    </w:p>
    <w:p w14:paraId="3EB1033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9.</w:t>
      </w:r>
      <w:r w:rsidRPr="007703F3">
        <w:rPr>
          <w:kern w:val="2"/>
          <w14:ligatures w14:val="standardContextual"/>
        </w:rPr>
        <w:tab/>
        <w:t>konštatuje, že rozpočet Súdneho dvora na služobné cesty, ktorý v roku 2023 predstavoval 638 000 EUR v prípade zamestnancov aj členov, sa v roku 2023 zase znížil, a to o 3,3 % oproti roku 2022; konštatuje, že v roku 2023 sa využilo 85,1 % rozpočtových prostriedkov na služobné cesty oproti 46,6 % v roku 2022, a to z dôvodu pretrvávajúcich cestovných obmedzení, ktoré platili v tom čase;</w:t>
      </w:r>
    </w:p>
    <w:p w14:paraId="27D45DC5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Vnútorné riadenie, výkonnosť a vnútorná kontrola</w:t>
      </w:r>
    </w:p>
    <w:p w14:paraId="191E28C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10.</w:t>
      </w:r>
      <w:r w:rsidRPr="007703F3">
        <w:rPr>
          <w:kern w:val="2"/>
          <w14:ligatures w14:val="standardContextual"/>
        </w:rPr>
        <w:tab/>
        <w:t xml:space="preserve">berie na vedomie zásadné kroky, ktoré Súdny dvor prijal v roku 2023 v rámci svojho úsilia o reformu súdnictva a ktoré viedli k čiastočnému prenosu súdnej právomoci rozhodovať v prejudiciálnych otázkach zo Súdneho dvora na Všeobecný súd; konštatuje, že na konci roka 2023 dosiahli Európsky parlament a Rada politickú dohodu o zmene štatútu Súdneho dvora s cieľom zlepšiť fungovanie Súdneho dvora vzhľadom </w:t>
      </w:r>
      <w:r w:rsidRPr="007703F3">
        <w:rPr>
          <w:kern w:val="2"/>
          <w14:ligatures w14:val="standardContextual"/>
        </w:rPr>
        <w:lastRenderedPageBreak/>
        <w:t>na trvalý nárast jeho zaťaženosti a komplexnosti a citlivej povahy predložených otázok; konštatuje, že po prijatí reformy v roku 2024 boli prijaté podrobné pravidlá a postupy s cieľom dokončiť reformu a umožniť plnenie nového regulačného rámca od 1. októbra 2024;</w:t>
      </w:r>
    </w:p>
    <w:p w14:paraId="350F4ECF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11.</w:t>
      </w:r>
      <w:r w:rsidRPr="007703F3">
        <w:rPr>
          <w:kern w:val="2"/>
          <w14:ligatures w14:val="standardContextual"/>
        </w:rPr>
        <w:tab/>
        <w:t>konštatuje, že Súdny dvor v roku 2023 rozhodol v piatich veciach týkajúcich sa zásady prednosti v súvislosti so štyrmi rozhodnutiami o prejudiciálnych otázkach, ktoré predložili súdy z Nemecka, Írska, Poľska a Rumunska, ako aj jedným konaním o nesplnení povinnosti týkajúcim sa Poľska; zdôrazňuje zásadný význam zásady prednosti práva Únie, ktorá zabezpečuje jednotný výklad a uplatňovanie práva Únie vo všetkých členských štátoch a chráni právny štát ako základnú hodnotu Únie; dôrazne potvrdzuje, že prednosť práva Únie je základným kameňom právneho poriadku Únie, a zdôrazňuje kľúčovú úlohu Súdneho dvora pri presadzovaní právneho štátu v celej Únii. konštatuje ďalej, že Všeobecný súd rozhodol v šiestich veciach v súvislosti s opatreniami na ochranu rozpočtu Únie pred porušovaním zásad právneho štátu maďarskou vládou, ktorá systematicky podkopáva základné hodnoty Únie; naliehavo vyzýva Komisiu, aby prijala rozhodné opatrenia na presadzovanie práva proti každému členskému štátu, ktorý spochybňuje alebo nerešpektuje záväznú povahu rozsudkov Súdneho dvora; zdôrazňuje, že v prípadoch týkajúcich sa vyšetrovania rozpočtu Únie musia všetky príslušné orgány v plnej miere dodržiavať zásady riadneho procesu a základné práva;</w:t>
      </w:r>
    </w:p>
    <w:p w14:paraId="274F1FFC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12.</w:t>
      </w:r>
      <w:r w:rsidRPr="007703F3">
        <w:rPr>
          <w:kern w:val="2"/>
          <w14:ligatures w14:val="standardContextual"/>
        </w:rPr>
        <w:tab/>
        <w:t>konštatuje, že v článku 4 ods. 2 Zmluvy o Európskej únii je stanovené, že „Únia rešpektuje rovnosť členských štátov pred zmluvami, ako aj ich národnú identitu, obsiahnutú v ich základných, politických a ústavných systémoch vrátane regionálnych a miestnych samospráv. Rešpektuje ich základné štátne funkcie […]“;</w:t>
      </w:r>
    </w:p>
    <w:p w14:paraId="218AD6A6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13.</w:t>
      </w:r>
      <w:r w:rsidRPr="007703F3">
        <w:rPr>
          <w:kern w:val="2"/>
          <w14:ligatures w14:val="standardContextual"/>
        </w:rPr>
        <w:tab/>
        <w:t>odsudzuje všetky vnútroštátne opatrenia alebo legislatívne kroky, ktorých cieľom je oslabiť kodifikáciu a výkon rozsudkov Súdneho dvora; požaduje vytvorenie formálneho monitorovacieho mechanizmu na sledovanie dodržiavania rozsudkov Súdneho dvora zo strany členských štátov a odporúča prepojiť súlad s vyplácaním finančných prostriedkov EÚ v rámci podmienenosti právnym štátom;</w:t>
      </w:r>
    </w:p>
    <w:p w14:paraId="6659587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14.</w:t>
      </w:r>
      <w:r w:rsidRPr="007703F3">
        <w:rPr>
          <w:kern w:val="2"/>
          <w14:ligatures w14:val="standardContextual"/>
        </w:rPr>
        <w:tab/>
        <w:t xml:space="preserve">konštatuje, že Súdnemu dvoru bolo v roku 2023 predložených 821 nových vecí v porovnaní s 806 vecami v roku 2022, z ktorých 63 % tvorili žiadosti o prejudiciálne rozhodnutie a 28,6 % odvolania proti rozhodnutiam Všeobecného súdu; konštatuje, že v prípade Všeobecného súdu došlo k značnému nárastu počtu vecí, keďže v roku 2023 mu bolo predložených 1 271 nových vecí v porovnaní s 904 vecami v roku 2022, a to vrátane mimoriadnej série 404 spoločných vecí predložených v októbri 2023; konštatuje, že v roku 2023 bolo Všeobecnému súdu predložených 37 % nových vecí vrátane série 404 spoločných vecí ako žalôb týkajúcich sa inštitucionálneho práva, 24,3 % vecí sa týkalo žalôb v oblasti duševného vlastníctva a 6 % sporov medzi inštitúciami Únie a ich zamestnancami; konštatuje, že celkový počet prebiehajúcich konaní zostáva v porovnaní s predchádzajúcimi rokmi stabilný: s ohľadom na už uvedených 404 vecí, ktoré sa </w:t>
      </w:r>
      <w:proofErr w:type="spellStart"/>
      <w:r w:rsidRPr="007703F3">
        <w:rPr>
          <w:kern w:val="2"/>
          <w14:ligatures w14:val="standardContextual"/>
        </w:rPr>
        <w:t>prejednávali</w:t>
      </w:r>
      <w:proofErr w:type="spellEnd"/>
      <w:r w:rsidRPr="007703F3">
        <w:rPr>
          <w:kern w:val="2"/>
          <w14:ligatures w14:val="standardContextual"/>
        </w:rPr>
        <w:t xml:space="preserve"> ako jedna vec, bolo na konci roka 2023 otvorených 2 587 vecí v porovnaní s 2 585 vecami na konci roka 2022 a 2 541 na konci roka 2021;</w:t>
      </w:r>
    </w:p>
    <w:p w14:paraId="0CA30BD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15.</w:t>
      </w:r>
      <w:r w:rsidRPr="007703F3">
        <w:rPr>
          <w:kern w:val="2"/>
          <w14:ligatures w14:val="standardContextual"/>
        </w:rPr>
        <w:tab/>
        <w:t>konštatuje, že Súdny dvor v roku 2023 uzavrel 783 vecí v porovnaní s 808 vecami v roku 2022 a že Všeobecný súd v roku 2023 uzavrel 904 vecí v porovnaní s 858 vecami v roku 2022;</w:t>
      </w:r>
    </w:p>
    <w:p w14:paraId="66093B2C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lastRenderedPageBreak/>
        <w:t>16.</w:t>
      </w:r>
      <w:r w:rsidRPr="007703F3">
        <w:rPr>
          <w:kern w:val="2"/>
          <w14:ligatures w14:val="standardContextual"/>
        </w:rPr>
        <w:tab/>
        <w:t>víta zníženie priemernej dĺžky konaní vo veciach ukončených na Súdnom dvore, pričom v roku 2023 bola táto priemerná dĺžka 16,1 mesiaca v porovnaní so 16,4 mesiaca v roku 2022; konštatuje, že priemerná dĺžka konaní vo veciach ukončených na Všeobecnom súde bola 18,2 mesiaca v porovnaní so 16,2 mesiaca v roku 2022, pričom Všeobecný súd to vysvetlil povahou a súvisiacou komplexnosťou konaní vedených v roku 2023;</w:t>
      </w:r>
    </w:p>
    <w:p w14:paraId="0B2FF68E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17.</w:t>
      </w:r>
      <w:r w:rsidRPr="007703F3">
        <w:rPr>
          <w:kern w:val="2"/>
          <w14:ligatures w14:val="standardContextual"/>
        </w:rPr>
        <w:tab/>
        <w:t xml:space="preserve">berie na vedomie skrátenie priemerného času potrebného na </w:t>
      </w:r>
      <w:proofErr w:type="spellStart"/>
      <w:r w:rsidRPr="007703F3">
        <w:rPr>
          <w:kern w:val="2"/>
          <w14:ligatures w14:val="standardContextual"/>
        </w:rPr>
        <w:t>prejednávanie</w:t>
      </w:r>
      <w:proofErr w:type="spellEnd"/>
      <w:r w:rsidRPr="007703F3">
        <w:rPr>
          <w:kern w:val="2"/>
          <w14:ligatures w14:val="standardContextual"/>
        </w:rPr>
        <w:t xml:space="preserve"> žalôb na Súdnom dvore (z 23,5 mesiaca v roku 2022 na 20,8 mesiaca v roku 2023) a návrhov na prejudiciálne konania (zo 17,3 mesiaca na 16,8 mesiaca); konštatuje, že pokiaľ ide o spory na Súdnom dvore, výrazne sa zvýšil počet žalôb, najmä v oblasti životného prostredia, a že prejudiciálne otázky položené Súdnemu dvoru v roku 2023 sa týkali najmä priestoru slobody, bezpečnosti a spravodlivosti, po ktorom nasledovali dane, ochrana spotrebiteľa a doprava; konštatuje, že pokiaľ ide o spory pred Všeobecným súdom, počet vecí v oblasti duševného vlastníctva a hospodárskej a menovej politiky vrátane bankovníctva sa zvýšil;</w:t>
      </w:r>
    </w:p>
    <w:p w14:paraId="4A126AD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18.</w:t>
      </w:r>
      <w:r w:rsidRPr="007703F3">
        <w:rPr>
          <w:kern w:val="2"/>
          <w14:ligatures w14:val="standardContextual"/>
        </w:rPr>
        <w:tab/>
        <w:t>s uspokojením berie na vedomie vysokú mieru využívania systému e-Curia v roku 2023, pričom bolo zaregistrovaných 10 502 účtov e-Curia: 94 % podaní na Všeobecnom súde bolo podaných prostredníctvom e-Curia, čo je rovnako ako v roku 2022, zatiaľ čo miera používania e-Curia na Súdnom dvore sa zvýšila približne na 89 % v porovnaní s 87 % v roku 2022;</w:t>
      </w:r>
    </w:p>
    <w:p w14:paraId="3F98CDD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19.</w:t>
      </w:r>
      <w:r w:rsidRPr="007703F3">
        <w:rPr>
          <w:kern w:val="2"/>
          <w14:ligatures w14:val="standardContextual"/>
        </w:rPr>
        <w:tab/>
        <w:t>oceňuje pokrok dosiahnutý pri digitalizácii súdnych archívov s cieľom zachovať dokumenty pre budúce konzultácie a uľahčiť prístup výskumných pracovníkov a verejnosti prostredníctvom digitálneho portálu;</w:t>
      </w:r>
    </w:p>
    <w:p w14:paraId="641D528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20.</w:t>
      </w:r>
      <w:r w:rsidRPr="007703F3">
        <w:rPr>
          <w:kern w:val="2"/>
          <w14:ligatures w14:val="standardContextual"/>
        </w:rPr>
        <w:tab/>
        <w:t>víta prístup Súdneho dvora EÚ založený na výkonnosti, ktorý mu umožňuje prijímať rozhodnutia na základe výkonnostných výsledkov a miery dosiahnutia jeho cieľov, ktorá sa meria prostredníctvom súboru ukazovateľov pracovného zaťaženia a operačných ukazovateľov; konštatuje, že kľúčové ukazovatele výkonnosti, ktoré používa Súdny dvor, sa týkajú širokej škály osobitných oblastí na účel podpory piatich cieľov v oblasti riadenia v súvislosti s riadnym fungovaním Súdneho dvora, a to digitalizácie a vznikajúcich technológií, otvorenosti a transparentnosti, mnohojazyčnosti a riadenia ľudských zdrojov;</w:t>
      </w:r>
    </w:p>
    <w:p w14:paraId="53F3B8F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21.</w:t>
      </w:r>
      <w:r w:rsidRPr="007703F3">
        <w:rPr>
          <w:kern w:val="2"/>
          <w14:ligatures w14:val="standardContextual"/>
        </w:rPr>
        <w:tab/>
        <w:t>konštatuje, že rámec vnútornej kontroly Súdneho dvora bol v rokoch 2022 a 2023 predmetom hĺbkového hodnotenia, ktoré potvrdilo jeho spôsobilosť; konštatuje, že v rámci tohto hodnotenia boli prispôsobené postupy finančnej kontroly s cieľom zvýšiť efektívnosť týchto kontrol;</w:t>
      </w:r>
    </w:p>
    <w:p w14:paraId="480BD73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22.</w:t>
      </w:r>
      <w:r w:rsidRPr="007703F3">
        <w:rPr>
          <w:kern w:val="2"/>
          <w14:ligatures w14:val="standardContextual"/>
        </w:rPr>
        <w:tab/>
        <w:t>konštatuje, že hlavné interné audity uskutočnené v roku 2023 sa týkali výdavkov Súdneho dvora na upratovanie budov, účinnosť systémov vnútornej kontroly v záujme zabezpečenia IT aktív Súdneho dvora a konania na výber zamestnancov; konštatuje, že v rámci jedného auditu bola tiež vykonaná štúdia, ktorej predmetom bolo používanie umelej inteligencie v oblasti súdnictva v súvislosti s vykonávaním „stratégie integrácie nástrojov založených na umelej inteligencii do činností Súdneho dvora “; konštatuje, že útvary Súdneho dvora v mnohých prípadoch prijali opatrenia na realizáciu odporúčaní vnútorného auditu ešte pred formálnym dokončením vnútorných auditov a že podľa vnútorného audítora boli tieto opatrenia uspokojivé;</w:t>
      </w:r>
    </w:p>
    <w:p w14:paraId="094C19A6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Ľudské zdroje, rovnosť a dobré pracovné podmienky zamestnancov</w:t>
      </w:r>
    </w:p>
    <w:p w14:paraId="47809F6A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lastRenderedPageBreak/>
        <w:t>23.</w:t>
      </w:r>
      <w:r w:rsidRPr="007703F3">
        <w:rPr>
          <w:kern w:val="2"/>
          <w14:ligatures w14:val="standardContextual"/>
        </w:rPr>
        <w:tab/>
        <w:t>konštatuje, že Súdny dvor na konci roka 2023 zamestnával 1340 úradníkov (58 %), 765 dočasných zamestnancov (33 %) podľa článku 2 písm. a), b) a c) Podmienok zamestnávania ostatných zamestnancov Únie a 198 zmluvných zamestnancov (9 %); konštatuje, že miera obsadenosti pracovných miest v pláne pracovných miest na konci roka 2023 bola 97,11 %; ďalej konštatuje, že ročná fluktuácia zamestnancov v roku 2023 bola 7,8 %, čo vyplynulo najmä z toho, že 20 % zamestnancov, ktorí odišli zo Súdneho dvora, odišlo na dôchodok;</w:t>
      </w:r>
    </w:p>
    <w:p w14:paraId="2C70827F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24.</w:t>
      </w:r>
      <w:r w:rsidRPr="007703F3">
        <w:rPr>
          <w:kern w:val="2"/>
          <w14:ligatures w14:val="standardContextual"/>
        </w:rPr>
        <w:tab/>
        <w:t>konštatuje, že Súdny dvor sa skladá z 27 sudcov a 11 generálnych advokátov a že v roku 2023 nenastúpil do funkcie žiadny nový sudca ani generálny advokát; ďalej konštatuje, že Všeobecný súd sa skladá z 54 sudcov a že v roku 2023 nastúpili do funkcie dvaja noví sudcovia, jedna žena a jeden muž; ďalej konštatuje, že v roku 2023 bol zvolený nový tajomník Všeobecného súdu;</w:t>
      </w:r>
    </w:p>
    <w:p w14:paraId="734B059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25.</w:t>
      </w:r>
      <w:r w:rsidRPr="007703F3">
        <w:rPr>
          <w:kern w:val="2"/>
          <w14:ligatures w14:val="standardContextual"/>
        </w:rPr>
        <w:tab/>
        <w:t>víta podrobné odpovede Súdneho dvora na dotazník Výboru Európskeho parlamentu pre kontrolu rozpočtu, ktoré súd poskytol v rámci súčasného postupu udeľovania absolutória, najmä pokiaľ ide o rozdelenie zamestnancov na konci roka 2023;</w:t>
      </w:r>
      <w:r w:rsidRPr="007703F3">
        <w:rPr>
          <w:b/>
          <w:i/>
          <w:kern w:val="2"/>
          <w14:ligatures w14:val="standardContextual"/>
        </w:rPr>
        <w:t xml:space="preserve"> </w:t>
      </w:r>
      <w:r w:rsidRPr="007703F3">
        <w:rPr>
          <w:kern w:val="2"/>
          <w14:ligatures w14:val="standardContextual"/>
        </w:rPr>
        <w:t>konštatuje, že zloženie na Súdnom dvore a Všeobecnom súde z rodového hľadiska je naďalej veľmi nevyvážené; oceňuje list predsedu Všeobecného súdu predsedovi Konferencie zástupcov členských štátov v roku 2024, v ktorom vyzýva členské štáty, aby pri navrhovaní kandidátov na nahradenie sudcov a generálnych advokátov zohľadnili potrebu rodovej rovnováhy; vyzýva členské štáty, aby pri navrhovaní kandidátov na nahradenie sudcov zohľadnili potrebu rodovej rovnováhy;</w:t>
      </w:r>
    </w:p>
    <w:p w14:paraId="20219E2A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26.</w:t>
      </w:r>
      <w:r w:rsidRPr="007703F3">
        <w:rPr>
          <w:kern w:val="2"/>
          <w14:ligatures w14:val="standardContextual"/>
        </w:rPr>
        <w:tab/>
        <w:t>berie na vedomie, že z 2 303 úradníkov a zamestnancov, ktorí pôsobili na konci roka 2023, predstavovali 61 % ženy; víta skutočnosť, že podiel žien na administratívnych pozíciách bol na úrovni 55 %, a najmä to, že na radiacich pozíciách sa zvýšil na 43 %, v porovnaní so 40 % v roku 2022 a 2021, čo potvrdzuje vzostupný trend zaznamenaný od roku 2018 (41 % v roku 2020, 39 % v roku 2019 a 37,5 % v roku 2018); konštatuje však, že ženy sú najviac zastúpené v triedach asistentov a najmenej na pozíciách vyššieho manažmentu; vyzýva Súdny dvor, aby zabezpečil väčšie zastúpenie žien na vyšších riadiacich pozíciách a prijal ďalšie opatrenia na podporu rodovej rovnováhy na všetkých úrovniach;</w:t>
      </w:r>
      <w:r w:rsidRPr="007703F3">
        <w:rPr>
          <w:color w:val="FF0000"/>
          <w:kern w:val="2"/>
          <w14:ligatures w14:val="standardContextual"/>
        </w:rPr>
        <w:t xml:space="preserve"> </w:t>
      </w:r>
      <w:r w:rsidRPr="007703F3">
        <w:rPr>
          <w:kern w:val="2"/>
          <w14:ligatures w14:val="standardContextual"/>
        </w:rPr>
        <w:t>víta úsilie Súdneho dvora o zabezpečenie rovnosti, začlenenia a rozmanitosti, najmä vo fáze prijímania do zamestnania;</w:t>
      </w:r>
    </w:p>
    <w:p w14:paraId="44BD68EE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27.</w:t>
      </w:r>
      <w:r w:rsidRPr="007703F3">
        <w:rPr>
          <w:kern w:val="2"/>
          <w14:ligatures w14:val="standardContextual"/>
        </w:rPr>
        <w:tab/>
        <w:t>vyzýva Súdny dvor, aby uverejnil výročnú správu o rodovej rovnosti a rozmanitosti s cieľom zabezpečiť transparentnosť rodového zastúpenia na všetkých úrovniach inštitúcie vrátane sudcov, generálnych advokátov a administratívnych pracovníkov, ako aj stanoviť konkrétne opatrenia na zlepšenie rodovej parity na vyšších pozíciách;</w:t>
      </w:r>
    </w:p>
    <w:p w14:paraId="316F4ABA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28.</w:t>
      </w:r>
      <w:r w:rsidRPr="007703F3">
        <w:rPr>
          <w:kern w:val="2"/>
          <w14:ligatures w14:val="standardContextual"/>
        </w:rPr>
        <w:tab/>
        <w:t xml:space="preserve">víta skutočnosť, že medzi zamestnancami Súdneho dvora sú zastúpené všetky štátne príslušnosti, poznamenáva však, že niektoré štátne príslušnosti sú zastúpené viac ako iné; víta skutočnosť, že Súdny dvor sa naďalej usiloval podporovať lepšiu geografickú rovnováhu medzi zamestnancami, najmä väčším zviditeľnením a zvyšovaním atraktívnosti voľných pracovných miest, vytváraním a ponukou priaznivejších pracovných podmienok s cieľom prilákať dočasných zamestnancov z niektorých menej zastúpených členských štátov a rozsiahlejším informovaním rôznych cieľových skupín o pracovných príležitostiach na Súdnom dvore v roku 2023; konštatuje, že prostredníctvom programu stáží na Súdnom dvore bolo vynaložené značné úsilie o prilákanie mnohých talentovaných mladých ľudí z rôznych členských štátov; vyzýva Súdny dvor, aby preskúmal, či sú stážisti zo všetkých členských štátov zastúpení </w:t>
      </w:r>
      <w:r w:rsidRPr="007703F3">
        <w:rPr>
          <w:kern w:val="2"/>
          <w14:ligatures w14:val="standardContextual"/>
        </w:rPr>
        <w:lastRenderedPageBreak/>
        <w:t>proporcionálne;</w:t>
      </w:r>
    </w:p>
    <w:p w14:paraId="15929A5D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29.</w:t>
      </w:r>
      <w:r w:rsidRPr="007703F3">
        <w:rPr>
          <w:kern w:val="2"/>
          <w14:ligatures w14:val="standardContextual"/>
        </w:rPr>
        <w:tab/>
        <w:t>naliehavo žiada Súdny dvor, aby podporoval viacjazyčné pracovné prostredie, pričom uznáva jeho potenciál posilniť spravodlivé rozdelenie štátnych príslušností medzi zamestnancami; vyzýva všetky inštitúcie EÚ, aby dodržiavali a zabezpečili zásadu viacjazyčnosti;</w:t>
      </w:r>
    </w:p>
    <w:p w14:paraId="34389EA1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30.</w:t>
      </w:r>
      <w:r w:rsidRPr="007703F3">
        <w:rPr>
          <w:kern w:val="2"/>
          <w14:ligatures w14:val="standardContextual"/>
        </w:rPr>
        <w:tab/>
        <w:t xml:space="preserve">víta prácu, ktorú odviedla </w:t>
      </w:r>
      <w:proofErr w:type="spellStart"/>
      <w:r w:rsidRPr="007703F3">
        <w:rPr>
          <w:kern w:val="2"/>
          <w14:ligatures w14:val="standardContextual"/>
        </w:rPr>
        <w:t>medziinštitucionálna</w:t>
      </w:r>
      <w:proofErr w:type="spellEnd"/>
      <w:r w:rsidRPr="007703F3">
        <w:rPr>
          <w:kern w:val="2"/>
          <w14:ligatures w14:val="standardContextual"/>
        </w:rPr>
        <w:t xml:space="preserve"> skupina na vysokej úrovni v snahe zvýšiť atraktívnosť Luxemburska ako miesta výkonu práce zamestnancov; vyzýva Súdny dvor, aby v rámci rôznych iniciatív udržiaval a posilňoval spoluprácu s ostatnými inštitúciami so sídlom v Luxembursku; s uznaním konštatuje, že rozpočtový orgán schválil na rozpočtový rok 2025 potrebné rozpočtové prostriedky, aby bolo možné udeliť zamestnancom nižších tried príspevok na bývanie, ako odporučila </w:t>
      </w:r>
      <w:proofErr w:type="spellStart"/>
      <w:r w:rsidRPr="007703F3">
        <w:rPr>
          <w:kern w:val="2"/>
          <w14:ligatures w14:val="standardContextual"/>
        </w:rPr>
        <w:t>medziinštitucionálna</w:t>
      </w:r>
      <w:proofErr w:type="spellEnd"/>
      <w:r w:rsidRPr="007703F3">
        <w:rPr>
          <w:kern w:val="2"/>
          <w14:ligatures w14:val="standardContextual"/>
        </w:rPr>
        <w:t xml:space="preserve"> skupina na vysokej úrovni; žiada, aby bol Európsky parlament informovaný o napredovaní týchto iniciatív, ktoré majú zvýšiť príťažlivosť Luxemburska ako miesta výkonu práce;</w:t>
      </w:r>
    </w:p>
    <w:p w14:paraId="7B2A4CD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31.</w:t>
      </w:r>
      <w:r w:rsidRPr="007703F3">
        <w:rPr>
          <w:kern w:val="2"/>
          <w14:ligatures w14:val="standardContextual"/>
        </w:rPr>
        <w:tab/>
        <w:t>konštatuje, že Súdny dvor zrealizoval v roku 2023 niekoľko iniciatív na podporu fyzického a duševného zdravia zamestnancov, a to formou špecializovaných workshopov a opatrení na zvyšovanie povedomia; konštatuje, že vedúci pracovníci vyhodnotili systém práce na diaľku, ktorý začal platiť 1. mája 2022, pozitívne, pričom 92 % z nich uviedlo, že produktivita zamestnancov bola buď rovnaká, alebo vyššia ako pred zavedením tohto systému; konštatuje, že v záujmu dosiahnutia lepšej rovnováhy medzi súkromným a pracovným životom Súdneho dvora v roku 2023 svojim zamestnancom opäť ponúkol možnosť pracovať na diaľku mimo miesta zamestnania až desať dní za rok, najmä počas súdnych prázdnin;</w:t>
      </w:r>
    </w:p>
    <w:p w14:paraId="20D2E9D0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32.</w:t>
      </w:r>
      <w:r w:rsidRPr="007703F3">
        <w:rPr>
          <w:kern w:val="2"/>
          <w14:ligatures w14:val="standardContextual"/>
        </w:rPr>
        <w:tab/>
        <w:t>víta prebiehajúce osvetové, informačné a vzdelávacie kampane zamerané na presadzovanie začleňovania, vzájomného rešpektu, spolupráce a podpory pre osoby so zdravotným postihnutím a ich pomocníkov;</w:t>
      </w:r>
    </w:p>
    <w:p w14:paraId="5660A76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33.</w:t>
      </w:r>
      <w:r w:rsidRPr="007703F3">
        <w:rPr>
          <w:kern w:val="2"/>
          <w14:ligatures w14:val="standardContextual"/>
        </w:rPr>
        <w:tab/>
        <w:t>konštatuje, že počet pracovných dní platenej práceneschopnosti v roku 2023 bol 20 198, čo v porovnaní s rokom 2022 predstavuje zníženie o 14,78 %; so znepokojením konštatuje, že lekárska služba v roku 2023 ohlásila 11 prípadov vyhorenia; víta dôkladnú analýzu správ o diagnóze, ktorú vykonal Súdny dvor s cieľom určiť prípady pracovného vyhorenia a dôraz Súdneho dvora na preventívne opatrenia, najmä na posilnenie svojho tímu zdravotníckych a sociálnych pracovníkov, prevenciu psychosociálnych rizík pri práci a zavedenie aktivít na zvyšovanie informovanosti manažmentu o práve na odpojenie sa a o rizikách prepracovania; nabáda Súdny dvor, aby sa naďalej zameriaval na tento problém s cieľom predchádzať ďalším prípadom spojeným s vyhorením a informoval Európsky parlament o opatreniach prijatých v tejto súvislosti;</w:t>
      </w:r>
    </w:p>
    <w:p w14:paraId="5503084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34.</w:t>
      </w:r>
      <w:r w:rsidRPr="007703F3">
        <w:rPr>
          <w:kern w:val="2"/>
          <w14:ligatures w14:val="standardContextual"/>
        </w:rPr>
        <w:tab/>
        <w:t xml:space="preserve">konštatuje, že v roku 2023 sa začalo administratívne vyšetrovanie vo veci údajného sexuálneho obťažovania týkajúcej sa jedného zamestnanca a že táto vec bola v roku 2024 ukončená uložením sankcie; vyjadruje znepokojenie nad tým, že v roku 2023 bol zaznamenaný aj postup pomoci vo veci údajného obťažovania týkajúcej sa sudcu, no v tejto veci nebolo konštatované obťažovanie; konštatuje, že </w:t>
      </w:r>
      <w:proofErr w:type="spellStart"/>
      <w:r w:rsidRPr="007703F3">
        <w:rPr>
          <w:kern w:val="2"/>
          <w14:ligatures w14:val="standardContextual"/>
        </w:rPr>
        <w:t>medziútvarová</w:t>
      </w:r>
      <w:proofErr w:type="spellEnd"/>
      <w:r w:rsidRPr="007703F3">
        <w:rPr>
          <w:kern w:val="2"/>
          <w14:ligatures w14:val="standardContextual"/>
        </w:rPr>
        <w:t xml:space="preserve"> pracovná skupina zriadená v marci 2023 preto pred ratifikáciou Dohovoru Rady Európy o predchádzaní násiliu na ženách a domácemu násiliu a o boji proti nemu preskúmala existujúce pravidlá a postupy na Súdnom dvore s cieľom predchádzať obťažovaniu </w:t>
      </w:r>
      <w:r w:rsidRPr="007703F3">
        <w:rPr>
          <w:kern w:val="2"/>
          <w14:ligatures w14:val="standardContextual"/>
        </w:rPr>
        <w:lastRenderedPageBreak/>
        <w:t>a vydala niekoľko odporúčaní, aby sa tieto pravidlá a postupy zlepšili; nabáda Súdny dvor, aby sa nimi riadil a naďalej netoleroval obťažovanie na pracovisku zavedením povinnej odbornej prípravy o nevedomej zaujatosti a etických normách pre všetkých sudcov a vyšších úradníkov s cieľom zabrániť zneužívaniu moci;</w:t>
      </w:r>
    </w:p>
    <w:p w14:paraId="7060D71E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Etický rámec</w:t>
      </w:r>
    </w:p>
    <w:p w14:paraId="4E297F80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35.</w:t>
      </w:r>
      <w:r w:rsidRPr="007703F3">
        <w:rPr>
          <w:kern w:val="2"/>
          <w14:ligatures w14:val="standardContextual"/>
        </w:rPr>
        <w:tab/>
        <w:t>s uspokojením konštatuje, že v nadväznosti na požiadavku uvedenú v predchádzajúcich odporúčaniach k absolutóriu bol v roku 2023 vypracovaný a v marci 2024 prijatý nový kódex správania o právach a povinnostiach úradníkov a ostatných zamestnancov Súdneho dvora, v ktorom sa odrážajú hodnoty Súdneho dvora a jeho záväzok k etickému správaniu; konštatuje, že kódex správania obsahuje ustanovenia o konflikte záujmov, povinnosti lojality, povinnosti zachovania dôvery a diskrétnosti, mimopracovných činnostiach, pracovných činnostiach po odchode zo služby a publikáciách a že sa uplatňuje aj na vyslaných národných expertov a odborných justičných stážistov v rámci Európskej siete odbornej justičnej prípravy; konštatuje, že v roku 2023 boli pre zamestnancov a vedúcich pracovníkov zorganizované osvetové činnosti a prepracované školenia o kódexe správania, pričom sa osobitný dôraz kládol na nových zamestnancov; požaduje pravidelnú povinnú odbornú prípravu pre všetkých zamestnancov a žiada, aby bol Európsky parlament priebežne informovaný o dodržiavaní kódexu správania;</w:t>
      </w:r>
    </w:p>
    <w:p w14:paraId="290D370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36.</w:t>
      </w:r>
      <w:r w:rsidRPr="007703F3">
        <w:rPr>
          <w:kern w:val="2"/>
          <w14:ligatures w14:val="standardContextual"/>
        </w:rPr>
        <w:tab/>
        <w:t>konštatuje, že pred tým, ako kódex správania nadobudol účinnosť, bol v dvoch potenciálnych prípadoch ohlásený konflikt záujmov, ktoré boli vybavené v súlade s platnými postupmi s cieľom zabezpečiť, aby sa noví dotknutí zamestnanci nepodieľali na správe dokumentov, ktoré poznali v predchádzajúcom zamestnaní;</w:t>
      </w:r>
    </w:p>
    <w:p w14:paraId="7B04E61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37.</w:t>
      </w:r>
      <w:r w:rsidRPr="007703F3">
        <w:rPr>
          <w:kern w:val="2"/>
          <w14:ligatures w14:val="standardContextual"/>
        </w:rPr>
        <w:tab/>
        <w:t xml:space="preserve">konštatuje, že po prijatí Etického kódexu členov a bývalých členov Súdneho dvora boli vyhlásenia členov o záujmoch uverejnené online, aby sa predišlo akýmkoľvek prípadným konfliktom záujmov pri riešení prípadov; konštatuje, že Súdny dvor nepretržite prehodnocuje svoje vnútorné pravidlá v tejto oblasti, aby boli stále aktuálne a aby bola zaistená čo najvyššia úroveň etického správania; vyzýva Súdny dvor, aby zriadil nezávislý etický výbor, ktorý bude dohliadať na dodržiavanie kódexu správania a vyšetrovať možné porušenia; požaduje povinnú každoročnú odbornú prípravu v oblasti etiky pre všetkých zamestnancov Súdneho dvora vrátane sudcov a generálnych advokátov s cieľom zachovať integritu súdu; žiada Súdny </w:t>
      </w:r>
      <w:proofErr w:type="spellStart"/>
      <w:r w:rsidRPr="007703F3">
        <w:rPr>
          <w:kern w:val="2"/>
          <w14:ligatures w14:val="standardContextual"/>
        </w:rPr>
        <w:t>dvorÚ</w:t>
      </w:r>
      <w:proofErr w:type="spellEnd"/>
      <w:r w:rsidRPr="007703F3">
        <w:rPr>
          <w:kern w:val="2"/>
          <w14:ligatures w14:val="standardContextual"/>
        </w:rPr>
        <w:t>, aby informoval Európsky parlament o výsledkoch akéhokoľvek ďalšieho hodnotenia účinnosti tohto opatrenia, ktorého cieľom je predchádzať konfliktom záujmov;</w:t>
      </w:r>
    </w:p>
    <w:p w14:paraId="05FC5621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38.</w:t>
      </w:r>
      <w:r w:rsidRPr="007703F3">
        <w:rPr>
          <w:kern w:val="2"/>
          <w14:ligatures w14:val="standardContextual"/>
        </w:rPr>
        <w:tab/>
        <w:t>víta uverejnenie vyhlásení členov Súdneho dvora o záujmoch, ale požaduje zavedenie štandardného procesu preverovania pred vymenovaním s cieľom identifikovať a zmierniť potenciálne konflikty záujmov v počiatočnom štádiu; naliehavo vyzýva Radu, aby vypracovala transparentné usmernenia pre členské štáty pri navrhovaní kandidátov na sudcovské pozície na Súdnom dvore;</w:t>
      </w:r>
    </w:p>
    <w:p w14:paraId="3C80EC02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39.</w:t>
      </w:r>
      <w:r w:rsidRPr="007703F3">
        <w:rPr>
          <w:kern w:val="2"/>
          <w14:ligatures w14:val="standardContextual"/>
        </w:rPr>
        <w:tab/>
        <w:t xml:space="preserve">naliehavo žiada Súdny dvor, aby zaviedol politiku povinného vylúčenia sudcov v prípadoch, keď majú predchádzajúci profesionálny vzťah s účastníkmi konania pred Súdnym dvorom; požaduje prísnejšie preverovanie konfliktov záujmov sudcov a vysokopostavených zamestnancov vrátane pravidelných aktualizácií požiadaviek na zverejňovanie finančných informácií; žiada zverejnenie rozhodnutí o vylúčení v reálnom čase v prípadoch, keď sudcovia oznámia konflikt záujmov, čím sa zabezpečí </w:t>
      </w:r>
      <w:r w:rsidRPr="007703F3">
        <w:rPr>
          <w:kern w:val="2"/>
          <w14:ligatures w14:val="standardContextual"/>
        </w:rPr>
        <w:lastRenderedPageBreak/>
        <w:t>väčšia transparentnosť súdneho procesu a posilní dôvera verejnosti v nestrannosť a integritu Súdneho dvora;</w:t>
      </w:r>
    </w:p>
    <w:p w14:paraId="38EACF2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40.</w:t>
      </w:r>
      <w:r w:rsidRPr="007703F3">
        <w:rPr>
          <w:kern w:val="2"/>
          <w14:ligatures w14:val="standardContextual"/>
        </w:rPr>
        <w:tab/>
        <w:t>konštatuje, že v roku 2023 mali všetci členovia Súdneho dvora bydlisko v Luxembursku v súlade s článkom 14 štatútu;</w:t>
      </w:r>
    </w:p>
    <w:p w14:paraId="231A27D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41.</w:t>
      </w:r>
      <w:r w:rsidRPr="007703F3">
        <w:rPr>
          <w:kern w:val="2"/>
          <w14:ligatures w14:val="standardContextual"/>
        </w:rPr>
        <w:tab/>
        <w:t>konštatuje, že zoznam externých činností, ktoré vykonávajú členovia Súdneho dvora a Všeobecného súdu, sa od roku 2018 uverejňuje na webovom sídle Súdneho dvora;</w:t>
      </w:r>
      <w:r w:rsidRPr="007703F3">
        <w:rPr>
          <w:b/>
          <w:i/>
          <w:kern w:val="2"/>
          <w14:ligatures w14:val="standardContextual"/>
        </w:rPr>
        <w:t xml:space="preserve"> </w:t>
      </w:r>
      <w:r w:rsidRPr="007703F3">
        <w:rPr>
          <w:kern w:val="2"/>
          <w14:ligatures w14:val="standardContextual"/>
        </w:rPr>
        <w:t>ďalej poznamenáva, že zoznam je pre širokú verejnosť ťažko čitateľný, a odporúča jeho revíziu s cieľom zabezpečiť väčšiu zrozumiteľnosť a informatívnosť; konštatuje, že Súdny dvor na všeobecnej schôdzi alebo plenárne zasadnutie Všeobecného súdu udelí predbežné povolenie len vtedy, ak je externá činnosť zlučiteľná s požiadavkami etického kódexu a s povinnosťami člena byť k dispozícii na výkon súdnych činností; žiada Súdny dvor, aby v súlade s predchádzajúcimi odporúčaniami k absolutóriu informoval rozpočtový orgán o akýchkoľvek iniciatívach, ktoré majú zlepšiť zrozumiteľnosť informácií týkajúcich sa externých činností;</w:t>
      </w:r>
    </w:p>
    <w:p w14:paraId="3D775C0A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42.</w:t>
      </w:r>
      <w:r w:rsidRPr="007703F3">
        <w:rPr>
          <w:kern w:val="2"/>
          <w14:ligatures w14:val="standardContextual"/>
        </w:rPr>
        <w:tab/>
        <w:t>konštatuje, že pravidlá týkajúce sa ciest a služobných ciest členov a používania vodičov a služobných vozidiel, ktoré boli aktualizované v roku 2021, stanovujú, že Súdny dvor hradí len prevádzkové náklady vyplývajúce z použitia vozidla na účely splnenia príkazu na služobnú cestu alebo výkonu mandátu člena do vzdialenosti 10 000 km; pripomína, že vozový park by sa v žiadnom prípade nemal využívať mimo rámca výlučného plnenia povinností členov Súdneho dvora, a konštatuje, že Súdny dvor oznámil, že rokuje s ďalšími inštitúciami a orgánmi o vytvorení harmonizovaného súboru pravidiel využívania služobných vozidiel, pričom treba dbať na autonómiu jednotlivých inštitúcií a orgánov; vyzýva všetky inštitúcie Únie, aby sa dohodli na jednotnom systéme, ktorý by sa uplatňoval horizontálne, čo by znížilo zmätok a zvýšilo transparentnosť a efektívnosť pri využívaní verejných prostriedkov; žiada Súdny dvor, aby informoval Európsky parlament o pokroku v tomto prípade;</w:t>
      </w:r>
    </w:p>
    <w:p w14:paraId="2712CBEB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43.</w:t>
      </w:r>
      <w:r w:rsidRPr="007703F3">
        <w:rPr>
          <w:kern w:val="2"/>
          <w14:ligatures w14:val="standardContextual"/>
        </w:rPr>
        <w:tab/>
        <w:t>konštatuje, že v roku 2023 bol uzavretý prípad, ktorý vyšetroval úrad OLAF a ktorý bol spomenutý v predchádzajúcich uzneseniach o absolutóriu, keď išlo o konanie zamestnanca, ktoré možno predstavuje závažné porušenie povinností; konštatuje, že Súdny dvor nemá informácie o žiadnom novom vyšetrovaní úradu OLAF ani jeho odporúčaní v roku 2023;</w:t>
      </w:r>
    </w:p>
    <w:p w14:paraId="1725B98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44.</w:t>
      </w:r>
      <w:r w:rsidRPr="007703F3">
        <w:rPr>
          <w:kern w:val="2"/>
          <w14:ligatures w14:val="standardContextual"/>
        </w:rPr>
        <w:tab/>
        <w:t>konštatuje, že Súdny dvor neoznámil v roku 2023 žiadne prípady podvodu, korupcie alebo zneužitia finančných prostriedkov Únie; konštatuje, že stratégia Súdneho dvora pre boj proti podvodom je neoddeliteľnou súčasťou jeho integrovaného rámca vnútornej kontroly a riadenia rizík, s osobitným dôrazom na riziká neoprávneného zverejňovania informácií;</w:t>
      </w:r>
    </w:p>
    <w:p w14:paraId="1D4A807A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Transparentnosť a prístup občanov k spravodlivosti</w:t>
      </w:r>
    </w:p>
    <w:p w14:paraId="4E2F906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45.</w:t>
      </w:r>
      <w:r w:rsidRPr="007703F3">
        <w:rPr>
          <w:kern w:val="2"/>
          <w14:ligatures w14:val="standardContextual"/>
        </w:rPr>
        <w:tab/>
        <w:t>víta úsilie Súdneho dvora o posilnenie transparentnosti, prístupu k spravodlivosti a otvorenosti voči verejnosti, ktorým prispieva k posilneniu dôvery verejnosti v inštitúcie Únie;</w:t>
      </w:r>
    </w:p>
    <w:p w14:paraId="11C38F3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46.</w:t>
      </w:r>
      <w:r w:rsidRPr="007703F3">
        <w:rPr>
          <w:kern w:val="2"/>
          <w14:ligatures w14:val="standardContextual"/>
        </w:rPr>
        <w:tab/>
        <w:t xml:space="preserve">konštatuje, že Súdny dvor v roku 2023 posilnil službu </w:t>
      </w:r>
      <w:proofErr w:type="spellStart"/>
      <w:r w:rsidRPr="007703F3">
        <w:rPr>
          <w:kern w:val="2"/>
          <w14:ligatures w14:val="standardContextual"/>
        </w:rPr>
        <w:t>strímingu</w:t>
      </w:r>
      <w:proofErr w:type="spellEnd"/>
      <w:r w:rsidRPr="007703F3">
        <w:rPr>
          <w:kern w:val="2"/>
          <w14:ligatures w14:val="standardContextual"/>
        </w:rPr>
        <w:t xml:space="preserve"> vypočutí na Súdnom dvore a Všeobecnom súde prostredníctvom webového sídla Curia, čím uľahčil prístup občanov k súdnym aktivitám Súdneho dvora; víta zlepšenie webového sídla Curia, </w:t>
      </w:r>
      <w:r w:rsidRPr="007703F3">
        <w:rPr>
          <w:kern w:val="2"/>
          <w14:ligatures w14:val="standardContextual"/>
        </w:rPr>
        <w:lastRenderedPageBreak/>
        <w:t>pokiaľ ide o jeho štruktúru, funkcie a obsah; víta, že na webovom sídle Curia sa od roku 2023 naživo vysielajú vyhlásenia rozsudkov Súdneho dvora, prednesy stanovísk generálnych advokátov, vypočutia veľkej komory a niektoré vypočutia komôr, v ktorých zasadá päť sudcov; vyzýva Súdny dvor, aby ďalej zlepšoval transparentnosť tým, že bude na svojom webovom sídle vysielať všetky vypočutia Súdneho dvora a Všeobecného súdu a trvalo ich uchovávať online;</w:t>
      </w:r>
    </w:p>
    <w:p w14:paraId="165A1BFB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47.</w:t>
      </w:r>
      <w:r w:rsidRPr="007703F3">
        <w:rPr>
          <w:kern w:val="2"/>
          <w14:ligatures w14:val="standardContextual"/>
        </w:rPr>
        <w:tab/>
        <w:t>víta, že Súdny dvor bude v nadväznosti na reformu svojho štatútu uverejňovať vyjadrenia alebo písomné pripomienky predložené v rámci prejudiciálnych konaní po ukončení týchto konaní okrem prípadov, keď dotknutá osoba vznesie námietku proti uverejneniu svojho vyjadrenia alebo písomnej pripomienky; zdôrazňuje, že toto uverejňovanie zlepší transparentnosť a prístup občanov k spravodlivosti, a vyzýva Súdny dvor, aby na svojom webovom sídle uverejňoval všetky dokumenty súvisiace s danou vecou; vyzýva Súdny dvor, aby zaviedol postup, ktorý by mohol použiť ktokoľvek na získanie interného prístupu ku všetkým dokumentom týkajúcim sa určitej veci;</w:t>
      </w:r>
    </w:p>
    <w:p w14:paraId="19F02E5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48.</w:t>
      </w:r>
      <w:r w:rsidRPr="007703F3">
        <w:rPr>
          <w:kern w:val="2"/>
          <w14:ligatures w14:val="standardContextual"/>
        </w:rPr>
        <w:tab/>
        <w:t>konštatuje, že Všeobecný súd prijal v apríli 2023 a Súdny dvor v septembri 2024 pravidlá používania videokonferencií, podľa ktorých môže strana konania požiadať o použitie videokonferencie, ak sa jej zástupca nemôže z bezpečnostných alebo iných vážnych dôvodov osobne zúčastniť na konaní;</w:t>
      </w:r>
    </w:p>
    <w:p w14:paraId="2E2ECEB8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49.</w:t>
      </w:r>
      <w:r w:rsidRPr="007703F3">
        <w:rPr>
          <w:kern w:val="2"/>
          <w14:ligatures w14:val="standardContextual"/>
        </w:rPr>
        <w:tab/>
        <w:t>konštatuje, že pravidlá stanovené rozhodnutím Súdneho dvora z 26. novembra 2019, ktoré sa týkajú prístupu verejnosti k dokumentom v držbe Súdneho dvora pri výkone jeho administratívnych funkcií, sa nevzťahujú na súdnu dokumentáciu, v prípade ktorej sa prístup riadi rokovacím poriadkom Súdneho dvora alebo rokovacím poriadkom Všeobecného súdu; konštatuje, že Súdny dvor v roku 2023 zaregistroval 21 žiadostí o prístup verejnosti k administratívnym dokumentom a udelil prístup k administratívnym dokumentom v 12 prípadoch; konštatuje, že európska ombudsmanka v roku 2023 nezistila žiadne prípady nesprávneho úradného postupu zo strany Súdneho dvora;</w:t>
      </w:r>
    </w:p>
    <w:p w14:paraId="54BD402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50.</w:t>
      </w:r>
      <w:r w:rsidRPr="007703F3">
        <w:rPr>
          <w:kern w:val="2"/>
          <w14:ligatures w14:val="standardContextual"/>
        </w:rPr>
        <w:tab/>
        <w:t>vyzýva Súdny dvor, aby zjednodušil proces vyhľadávania konkrétnych rozhodnutí v aplikácii e-Curia; víta úsilie vynaložené na to, aby rozhranie bolo pre klientov ústretovejšie a intuitívnejšie;</w:t>
      </w:r>
    </w:p>
    <w:p w14:paraId="7B5249A4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Digitalizácia, kybernetická bezpečnosť a ochrana údajov</w:t>
      </w:r>
    </w:p>
    <w:p w14:paraId="1EE00AFF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51.</w:t>
      </w:r>
      <w:r w:rsidRPr="007703F3">
        <w:rPr>
          <w:kern w:val="2"/>
          <w14:ligatures w14:val="standardContextual"/>
        </w:rPr>
        <w:tab/>
        <w:t>konštatuje, že v porovnaní s rokom 2022 sa rozpočtové výdavky v roku 2023 zvýšili o 10,9 % na IT projekty, o 13 % na IT vybavenie, o 59 % na projekty v oblasti kybernetickej bezpečnosti a o 72 % na služby, licencie a vybavenie v oblasti kybernetickej bezpečnosti;</w:t>
      </w:r>
    </w:p>
    <w:p w14:paraId="14129A34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52.</w:t>
      </w:r>
      <w:r w:rsidRPr="007703F3">
        <w:rPr>
          <w:kern w:val="2"/>
          <w14:ligatures w14:val="standardContextual"/>
        </w:rPr>
        <w:tab/>
        <w:t>konštatuje, že jednou z priorít Súdneho dvora v roku 2023 bola naďalej realizácia hlavných projektov digitalizácie v rámci stratégie digitálnej transformácie, ako je vývoj integrovaného systému správy prípadov (SIGA), podpora využívania aplikácie e-Curia na predkladanie a doručovanie procesných dokumentov elektronickým spôsobom, prijatie elektronického podpisu (</w:t>
      </w:r>
      <w:proofErr w:type="spellStart"/>
      <w:r w:rsidRPr="007703F3">
        <w:rPr>
          <w:kern w:val="2"/>
          <w14:ligatures w14:val="standardContextual"/>
        </w:rPr>
        <w:t>eSignature</w:t>
      </w:r>
      <w:proofErr w:type="spellEnd"/>
      <w:r w:rsidRPr="007703F3">
        <w:rPr>
          <w:kern w:val="2"/>
          <w14:ligatures w14:val="standardContextual"/>
        </w:rPr>
        <w:t>) a prijatie systému HAN/</w:t>
      </w:r>
      <w:proofErr w:type="spellStart"/>
      <w:r w:rsidRPr="007703F3">
        <w:rPr>
          <w:kern w:val="2"/>
          <w14:ligatures w14:val="standardContextual"/>
        </w:rPr>
        <w:t>Ares</w:t>
      </w:r>
      <w:proofErr w:type="spellEnd"/>
      <w:r w:rsidRPr="007703F3">
        <w:rPr>
          <w:kern w:val="2"/>
          <w14:ligatures w14:val="standardContextual"/>
        </w:rPr>
        <w:t xml:space="preserve"> na elektronické zaznamenávanie a správu dokumentov; konštatuje, že Súdny dvor sleduje návratnosť investícií do projektov digitalizácie z hľadiska nákladov a efektívneho využívania zdrojov, a žiada Súdny dvor, aby informoval orgán udeľujúci absolutórium </w:t>
      </w:r>
      <w:r w:rsidRPr="007703F3">
        <w:rPr>
          <w:kern w:val="2"/>
          <w14:ligatures w14:val="standardContextual"/>
        </w:rPr>
        <w:lastRenderedPageBreak/>
        <w:t>o svojich zisteniach v tejto oblasti;</w:t>
      </w:r>
    </w:p>
    <w:p w14:paraId="28B26DE5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53.</w:t>
      </w:r>
      <w:r w:rsidRPr="007703F3">
        <w:rPr>
          <w:kern w:val="2"/>
          <w14:ligatures w14:val="standardContextual"/>
        </w:rPr>
        <w:tab/>
        <w:t>konštatuje, že Súdny dvor v rámci svojej komplexnej iniciatívy na zlepšenie prístupnosti pre zraniteľné osoby a ich začlenenie naďalej uplatňuje koncepciu tzv. prístupnosti už v štádiu návrhu v prípade akejkoľvek zmeny a vývoja svojich IT systémov; konštatuje, že v nadväznosti na audit webového sídla Curia Súdny dvor začal zlepšovať jeho prístupnosť pre celú škálu používateľov, ako sú ľudia s poruchami zraku, sluchu alebo duševnou poruchou;</w:t>
      </w:r>
    </w:p>
    <w:p w14:paraId="602EBC16" w14:textId="77777777" w:rsidR="007703F3" w:rsidRPr="007703F3" w:rsidRDefault="007703F3" w:rsidP="007703F3">
      <w:pPr>
        <w:spacing w:after="240"/>
        <w:ind w:left="567" w:hanging="567"/>
        <w:rPr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54.</w:t>
      </w:r>
      <w:r w:rsidRPr="007703F3">
        <w:rPr>
          <w:kern w:val="2"/>
          <w14:ligatures w14:val="standardContextual"/>
        </w:rPr>
        <w:tab/>
        <w:t>konštatuje, že Súdny dvor zrealizoval niekoľko projektov založených na umelej inteligencii, ako je automatizácia analýzy dokumentov na účel odkazov na platné právne predpisy a pomoc pri overovaní faktúr prostredníctvom robotických procesov a prepisu pojednávaní, v súlade so svojou novou stratégiou integrácie umelej inteligencie, ktorú prijal v júni 2023; zdôrazňuje, že je mimoriadne dôležité, aby sa umelá inteligencia používala spôsobom, ktorý v plnej miere zachová nezávislosť, kvalitu právnych procesov bez ich narušenia, riadne zohľadní etické otázky a aby sa používala pod ľudským dohľadom a umožňovala ľudský zásah s cieľom zabrániť negatívnym dôsledkom alebo rizikám, alebo zastaviť systém, ak nefunguje tak, ako bolo zamýšľané; konštatuje, že Súdny dvor v rámci tejto stratégie zriadil správnu radu pre umelú inteligenciu, ktorú tvoria členovia Súdneho dvora a Všeobecného súdu a ktorej úlohou je dohliadať na etické aspekty používania umelej inteligencie v rámci Súdneho dvora a stanovovať jasné hranice jej používania; víta usmernenia pre zamestnancov týkajúce sa používania umelej inteligencie, ktoré vypracovala rada; víta iniciatívy, ktoré boli zavedené s cieľom zvýšiť zručnosti zamestnancov v oblasti digitálnych kompetencií prostredníctvom programov odbornej prípravy v spolupráci s </w:t>
      </w:r>
      <w:proofErr w:type="spellStart"/>
      <w:r w:rsidRPr="007703F3">
        <w:rPr>
          <w:kern w:val="2"/>
          <w14:ligatures w14:val="standardContextual"/>
        </w:rPr>
        <w:t>Medziinštitucionálnym</w:t>
      </w:r>
      <w:proofErr w:type="spellEnd"/>
      <w:r w:rsidRPr="007703F3">
        <w:rPr>
          <w:kern w:val="2"/>
          <w14:ligatures w14:val="standardContextual"/>
        </w:rPr>
        <w:t xml:space="preserve"> výborom pre digitálnu transformáciu (ETA); zdôrazňuje, že digitalizácia justície a prijatie nových technológií, ako je umelá inteligencia, prinesie značné výhody pre efektívne fungovanie Súdneho dvora; odporúča však, aby sa Súdny dvor pripravil na súvisiace </w:t>
      </w:r>
      <w:proofErr w:type="spellStart"/>
      <w:r w:rsidRPr="007703F3">
        <w:rPr>
          <w:kern w:val="2"/>
          <w14:ligatures w14:val="standardContextual"/>
        </w:rPr>
        <w:t>kybernetickobezpečnostné</w:t>
      </w:r>
      <w:proofErr w:type="spellEnd"/>
      <w:r w:rsidRPr="007703F3">
        <w:rPr>
          <w:kern w:val="2"/>
          <w14:ligatures w14:val="standardContextual"/>
        </w:rPr>
        <w:t xml:space="preserve"> riziká a ešte viac posilnil svoju spoluprácu s Agentúrou EÚ pre kybernetickú bezpečnosť a tímom CERT-EU.</w:t>
      </w:r>
    </w:p>
    <w:p w14:paraId="7BF28649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55.</w:t>
      </w:r>
      <w:r w:rsidRPr="007703F3">
        <w:rPr>
          <w:kern w:val="2"/>
          <w14:ligatures w14:val="standardContextual"/>
        </w:rPr>
        <w:tab/>
        <w:t>konštatuje, že v roku 2023 neboli Súdnemu dvoru EÚ oznámené žiadne vyšetrovania európskeho dozorného úradníka pre ochranu údajov (ďalej len „EDPS“); konštatuje, že EDPS v roku 2023 nevydal žiadne špecifické odporúčanie pre Súdny dvor EÚ v nadväznosti na svoje vyšetrovanie vo veci používania cloudových služieb webovými službami spoločnosti Amazon; konštatuje, že EDPS uverejnil v roku 2023 rozhodnutie, ktorým potvrdil, že Súdny dvor používa cloudové služby videokonferencie v súlade s právnymi predpismi na ochranu údajov; opakuje však svoje obavy, pokiaľ ide o využívanie externých cloudových služieb, vzhľadom na rastúce hrozby v oblasti kybernetickej bezpečnosti a digitálnej suverenity;</w:t>
      </w:r>
    </w:p>
    <w:p w14:paraId="221686BF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56.</w:t>
      </w:r>
      <w:r w:rsidRPr="007703F3">
        <w:rPr>
          <w:kern w:val="2"/>
          <w14:ligatures w14:val="standardContextual"/>
        </w:rPr>
        <w:tab/>
        <w:t xml:space="preserve">víta skutočnosť, že Súdny dvor prijal v roku 2023 plán v kybernetickej oblasti a posilňuje svoje </w:t>
      </w:r>
      <w:proofErr w:type="spellStart"/>
      <w:r w:rsidRPr="007703F3">
        <w:rPr>
          <w:kern w:val="2"/>
          <w14:ligatures w14:val="standardContextual"/>
        </w:rPr>
        <w:t>kybernetickobezpečnostné</w:t>
      </w:r>
      <w:proofErr w:type="spellEnd"/>
      <w:r w:rsidRPr="007703F3">
        <w:rPr>
          <w:kern w:val="2"/>
          <w14:ligatures w14:val="standardContextual"/>
        </w:rPr>
        <w:t xml:space="preserve"> operatívne kapacity, aby mohol lepšie chrániť svoje systémy pred čoraz väčším počtom kybernetických útokov; okrem toho zdôrazňuje, že spoľahlivá stratégia kybernetickej bezpečnosti je základným nástrojom na boj proti zahraničnému zasahovaniu, ktorého cieľom je oslabiť integritu európskych inštitúcií; konštatuje, že Súdny dvor prijal rôzne opatrenia na posilnenie svojej pripravenosti v oblasti kybernetickej bezpečnosti a schopnosti obnoviť prevádzku po bezpečnostných incidentoch, a to aj svojím zapojením do správy </w:t>
      </w:r>
      <w:proofErr w:type="spellStart"/>
      <w:r w:rsidRPr="007703F3">
        <w:rPr>
          <w:kern w:val="2"/>
          <w14:ligatures w14:val="standardContextual"/>
        </w:rPr>
        <w:t>Medziinštitucionálnej</w:t>
      </w:r>
      <w:proofErr w:type="spellEnd"/>
      <w:r w:rsidRPr="007703F3">
        <w:rPr>
          <w:kern w:val="2"/>
          <w14:ligatures w14:val="standardContextual"/>
        </w:rPr>
        <w:t xml:space="preserve"> rady pre kybernetickú bezpečnosť a kombináciou </w:t>
      </w:r>
      <w:proofErr w:type="spellStart"/>
      <w:r w:rsidRPr="007703F3">
        <w:rPr>
          <w:kern w:val="2"/>
          <w14:ligatures w14:val="standardContextual"/>
        </w:rPr>
        <w:t>kybernetickobezpečnostných</w:t>
      </w:r>
      <w:proofErr w:type="spellEnd"/>
      <w:r w:rsidRPr="007703F3">
        <w:rPr>
          <w:kern w:val="2"/>
          <w14:ligatures w14:val="standardContextual"/>
        </w:rPr>
        <w:t xml:space="preserve"> kontrol a nástrojov v súlade s odporúčaniami tímu CERT-EU; konštatuje, že rozpočtový orgán </w:t>
      </w:r>
      <w:r w:rsidRPr="007703F3">
        <w:rPr>
          <w:kern w:val="2"/>
          <w14:ligatures w14:val="standardContextual"/>
        </w:rPr>
        <w:lastRenderedPageBreak/>
        <w:t>schválil na rozpočtový rok 2025 potrebné rozpočtové prostriedky na dve dodatočné pracovné miesta s cieľom posilniť personálne kapacity Súdneho dvora v oblasti kybernetickej bezpečnosti;</w:t>
      </w:r>
    </w:p>
    <w:p w14:paraId="553C1A5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57.</w:t>
      </w:r>
      <w:r w:rsidRPr="007703F3">
        <w:rPr>
          <w:kern w:val="2"/>
          <w14:ligatures w14:val="standardContextual"/>
        </w:rPr>
        <w:tab/>
        <w:t>víta prijaté opatrenia, ako sú audity kybernetickej bezpečnosti, odborná príprava zamestnancov a protokoly rýchlej reakcie na incidenty, na ochranu technologickej infraštruktúry Súdneho dvora pred kybernetickými hrozbami; zdôrazňuje, že digitalizácia súdnictva a používanie nových technológií, ako je umelá inteligencia, prinesie mnoho výhod, pokiaľ ide o hladké fungovanie Súdneho dvora, ale prináša aj riziká, ktorým musí Súdny dvor predchádzať a chrániť sa pred nimi; v tejto súvislosti navrhuje, aby Súdny dvor vypracoval stratégiu kybernetickej bezpečnosti a zintenzívnil spoluprácu s ostatnými inštitúciami Únie, najmä s agentúrou ENISA (Agentúra EÚ pre kybernetickú bezpečnosť), v oblasti predchádzania kybernetickým útokom, ktorých počet a sofistikovanosť v Európe exponenciálne rastú;</w:t>
      </w:r>
    </w:p>
    <w:p w14:paraId="7DCB43FC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58.</w:t>
      </w:r>
      <w:r w:rsidRPr="007703F3">
        <w:rPr>
          <w:kern w:val="2"/>
          <w14:ligatures w14:val="standardContextual"/>
        </w:rPr>
        <w:tab/>
        <w:t>víta iniciatívu prideľovania fiktívnych mien anonymizovaným prípadom prostredníctvom automatizovaného počítačového generátora mien s cieľom posilniť ochranu osobných údajov a uľahčiť identifikáciu jednotlivých prípadov;</w:t>
      </w:r>
    </w:p>
    <w:p w14:paraId="79FC063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59.</w:t>
      </w:r>
      <w:r w:rsidRPr="007703F3">
        <w:rPr>
          <w:kern w:val="2"/>
          <w14:ligatures w14:val="standardContextual"/>
        </w:rPr>
        <w:tab/>
        <w:t>s uspokojením berie na vedomie zmenu rokovacieho poriadku Všeobecného súdu, ktorou sa objasnia a zjednodušia súdne konania vrátane možnosti využívania videokonferencií na pojednávaniach, elektronického podpisovania rozhodnutí a určenia pilotných vecí;</w:t>
      </w:r>
    </w:p>
    <w:p w14:paraId="54876CEE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Budovy</w:t>
      </w:r>
    </w:p>
    <w:p w14:paraId="6A6AD787" w14:textId="77777777" w:rsidR="007703F3" w:rsidRPr="007703F3" w:rsidRDefault="007703F3" w:rsidP="007703F3">
      <w:pPr>
        <w:spacing w:before="240"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60.</w:t>
      </w:r>
      <w:r w:rsidRPr="007703F3">
        <w:rPr>
          <w:kern w:val="2"/>
          <w14:ligatures w14:val="standardContextual"/>
        </w:rPr>
        <w:tab/>
        <w:t>konštatuje, že v nadväznosti na celoplošné úvahy v rôznych útvaroch o najúčinnejšom využití priestorov Súdneho dvora, ktoré boli ukončené v roku 2023, sa spustili pilotné projekty; konštatuje, že výsledky týchto projektov budú spolu s ďalšími faktormi, ako sú environmentálne a rozpočtové aspekty, kvalita súdnictva, dobré podmienky na pracovisku, začlenenie, prístupnosť a atraktivita Súdneho dvora, zohľadnené v záverečnom rozhodnutí o využívaní budov Súdneho dvora; žiada, aby bol Parlament priebežne informovaný o vykonávaní týchto záverov a dôsledkoch pre organizáciu pracovného priestoru;</w:t>
      </w:r>
    </w:p>
    <w:p w14:paraId="1FDB338E" w14:textId="77777777" w:rsidR="007703F3" w:rsidRPr="007703F3" w:rsidRDefault="007703F3" w:rsidP="007703F3">
      <w:pPr>
        <w:spacing w:before="240"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61.</w:t>
      </w:r>
      <w:r w:rsidRPr="007703F3">
        <w:rPr>
          <w:kern w:val="2"/>
          <w14:ligatures w14:val="standardContextual"/>
        </w:rPr>
        <w:tab/>
        <w:t>konštatuje, že Súdny dvor pokračoval v roku 2023 v realizácii svojej komplexnej iniciatívy na zlepšenie prístupnosti pre osoby so zdravotným postihnutím a ich začlenenia s cieľom zaručiť všetkým jednotlivcom, účastníkom konaní aj návštevníkom fyzický aj virtuálny prístup k Súdnemu dvoru; konštatuje, že Súdny dvor začal v roku 2023 zostavovať inventár svojej infraštruktúry s cieľom dosiahnuť k 1. januáru 2032 súlad s novými vnútroštátnymi právnymi predpismi týkajúcimi sa prístupnosti; žiada, aby bol Európsky parlament priebežne informovaný o ďalších iniciatívach v tejto oblasti;</w:t>
      </w:r>
    </w:p>
    <w:p w14:paraId="37559C70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Životné prostredie a udržateľnosť</w:t>
      </w:r>
    </w:p>
    <w:p w14:paraId="6A5F43F6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62.</w:t>
      </w:r>
      <w:r w:rsidRPr="007703F3">
        <w:rPr>
          <w:kern w:val="2"/>
          <w14:ligatures w14:val="standardContextual"/>
        </w:rPr>
        <w:tab/>
        <w:t xml:space="preserve">s uspokojením konštatuje, že Súdny dvor v roku 2023 naďalej podstatne znižoval svoju spotrebu energie a uhlíkovú stopu oproti roku 2015, čo je východisko pre vykonávanie schémy pre environmentálne manažérstvo a audit v rámci stratégie Súdneho dvora, vďaka opatreniam na úsporu energií a optimalizácii infraštruktúry na kúrenie, chladenie a osvetlenie; konštatuje, že spotreba tepla klesla v roku 2023 oproti roku 2015 o 33,5 %, </w:t>
      </w:r>
      <w:r w:rsidRPr="007703F3">
        <w:rPr>
          <w:kern w:val="2"/>
          <w14:ligatures w14:val="standardContextual"/>
        </w:rPr>
        <w:lastRenderedPageBreak/>
        <w:t>elektriny o 28,7 %, vody o 20,1 %, kancelárskeho papiera o 63 %, množstvo kancelárskeho odpadu a odpadu z jedální o 43 % a emisií skleníkových plynov o 30,2 %; víta skutočnosť, že Súdny dvor uplatnil kritériá zeleného obstarávania pri 10 výzvach na predloženie ponuky s hodnotou nad 60 000 EUR; víta záväzok Súdneho dvora týkajúci sa schémy pre environmentálne manažérstvo a audit (EMAS); nabáda Súdny dvor, aby pokračoval v úsilí o zníženie svojho environmentálneho vplyvu prostredníctvom stratégie na dosiahnutie uhlíkovej neutrality do roku 2035;</w:t>
      </w:r>
    </w:p>
    <w:p w14:paraId="63BF14F3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63.</w:t>
      </w:r>
      <w:r w:rsidRPr="007703F3">
        <w:rPr>
          <w:kern w:val="2"/>
          <w14:ligatures w14:val="standardContextual"/>
        </w:rPr>
        <w:tab/>
        <w:t>víta skutočnosť, že Súdny dvor prijal niekoľko iniciatív na podporu a zvýšenie udržateľnej mobility svojich zamestnancov a členov vrátane dotácií na verejnú dopravu, dotácií na samoobslužné bicykle, zlepšenia parkovacích zariadení pre bicykle a zlepšených zariadení pre hybridné a elektrické vozidlá;</w:t>
      </w:r>
    </w:p>
    <w:p w14:paraId="34938D4A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proofErr w:type="spellStart"/>
      <w:r w:rsidRPr="007703F3">
        <w:rPr>
          <w:b/>
          <w:i/>
          <w:kern w:val="2"/>
          <w14:ligatures w14:val="standardContextual"/>
        </w:rPr>
        <w:t>Medziinštitucionálna</w:t>
      </w:r>
      <w:proofErr w:type="spellEnd"/>
      <w:r w:rsidRPr="007703F3">
        <w:rPr>
          <w:b/>
          <w:i/>
          <w:kern w:val="2"/>
          <w14:ligatures w14:val="standardContextual"/>
        </w:rPr>
        <w:t xml:space="preserve"> spolupráca</w:t>
      </w:r>
    </w:p>
    <w:p w14:paraId="1BA00FA6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64.</w:t>
      </w:r>
      <w:r w:rsidRPr="007703F3">
        <w:rPr>
          <w:kern w:val="2"/>
          <w14:ligatures w14:val="standardContextual"/>
        </w:rPr>
        <w:tab/>
        <w:t>víta rozpočtové úspory dosiahnuté prostredníctvom spolupráce s inými inštitúciami a najmä zdieľaných aplikácií a </w:t>
      </w:r>
      <w:proofErr w:type="spellStart"/>
      <w:r w:rsidRPr="007703F3">
        <w:rPr>
          <w:kern w:val="2"/>
          <w14:ligatures w14:val="standardContextual"/>
        </w:rPr>
        <w:t>hostingových</w:t>
      </w:r>
      <w:proofErr w:type="spellEnd"/>
      <w:r w:rsidRPr="007703F3">
        <w:rPr>
          <w:kern w:val="2"/>
          <w14:ligatures w14:val="standardContextual"/>
        </w:rPr>
        <w:t xml:space="preserve"> služieb používaných na základe dohôd o úrovni poskytovaných služieb s Komisiou, ako aj účasti na </w:t>
      </w:r>
      <w:proofErr w:type="spellStart"/>
      <w:r w:rsidRPr="007703F3">
        <w:rPr>
          <w:kern w:val="2"/>
          <w14:ligatures w14:val="standardContextual"/>
        </w:rPr>
        <w:t>medziinštitucionálnom</w:t>
      </w:r>
      <w:proofErr w:type="spellEnd"/>
      <w:r w:rsidRPr="007703F3">
        <w:rPr>
          <w:kern w:val="2"/>
          <w14:ligatures w14:val="standardContextual"/>
        </w:rPr>
        <w:t xml:space="preserve"> obstarávaní, ktoré Súdnemu dvoru umožnili optimalizovať náklady a zdroje;</w:t>
      </w:r>
    </w:p>
    <w:p w14:paraId="66851CE2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65.</w:t>
      </w:r>
      <w:r w:rsidRPr="007703F3">
        <w:rPr>
          <w:kern w:val="2"/>
          <w14:ligatures w14:val="standardContextual"/>
        </w:rPr>
        <w:tab/>
        <w:t>víta úsilie Európskej siete odbornej justičnej prípravy (ďalej len „EJTN“), pokiaľ ide o odbornú prípravu vnútroštátnych sudcov v oblasti práva EÚ; s uznaním konštatuje, že v súlade s vyhlásením Súdneho dvora nazvaným „Podpora Európskej siete odbornej justičnej prípravy (EJTN) pri vytváraní udržateľnej európskej justičnej kultúry“ sa Súdny dvor a EJTN v roku 2023 snažili dosiahnuť väčšiu rozmanitosť dlhodobých stážistov s cieľom zvyšovať ich počet tak, aby na každý členský štát pripadal jeden stážista; konštatuje, že prijaté opatrenia už boli úspešné, pretože Súdny dvor má stážistov z niektorých členských štátov, ktoré sa predtým aktívne nezúčastňovali na programe; konštatuje, že v roku 2023/2024 bolo ponúknutých 15 platených stáží; vyzýva Súdny dvor, aby ďalej rozvíjal svoje iniciatívy na výmenu poznatkov vrátane spoločných databáz judikatúry a virtuálnych platforiem spolupráce s cieľom podporovať vnútroštátne súdy pri komplexných právnych výkladoch;</w:t>
      </w:r>
    </w:p>
    <w:p w14:paraId="1BB1F22E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66.</w:t>
      </w:r>
      <w:r w:rsidRPr="007703F3">
        <w:rPr>
          <w:kern w:val="2"/>
          <w14:ligatures w14:val="standardContextual"/>
        </w:rPr>
        <w:tab/>
        <w:t>zdôrazňuje, že stáže by mali byť platené v súlade s uznesením Európskeho parlamentu zo 14. júna 2023 o kvalitných stážach v Únii (2020/2005(INL)), v ktorom sa požaduje, aby všetky stáže v Európe boli platené; víta, že v súčasnosti všetci stážisti na Súdnom dvore dostávajú počas svojho pobytu grant, najmä od Súdneho dvoru a v niektorých osobitných prípadoch z iných zdrojov; berie na vedomie, že Súdny dvor akceptuje len niekoľko stážistov (menej ako 10 za rok) platených z iných zdrojov a na krátke obdobia (v priemere 2 mesiace); víta skutočnosť, že v takýchto prípadoch administratíva Súdneho dvora dôkladne kontroluje, či títo stážisti dostávajú grant, príspevok alebo odmenu za túto stáž, ktorú vypláca priamo ich zamestnávateľ alebo akademická inštitúcia;</w:t>
      </w:r>
    </w:p>
    <w:p w14:paraId="14A48DA7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67.</w:t>
      </w:r>
      <w:r w:rsidRPr="007703F3">
        <w:rPr>
          <w:kern w:val="2"/>
          <w14:ligatures w14:val="standardContextual"/>
        </w:rPr>
        <w:tab/>
        <w:t xml:space="preserve">oceňuje, že Súdny dvor plne spolupracuje s úradom OLAF, Dvorom audítorov, EDPS a európskou ombudsmankou; konštatuje, že Súdny dvor v roku 2023 pokračoval v úsilí o zachovanie nadviazaného dialógu s vnútroštátnymi súdmi, a najmä s ústavnými a najvyššími súdmi a že usporiadal celý rad schôdzí vrátane výročnej schôdze s vnútroštátnymi sudcami; nabáda na užšiu spoluprácu medzi Súdnym dvorom a vnútroštátnymi súdmi s cieľom posilniť jednotné uplatňovanie práva Únie; odporúča vytvoriť stály program justičnej výmeny pre sudcov z členských štátov, aby mohli </w:t>
      </w:r>
      <w:r w:rsidRPr="007703F3">
        <w:rPr>
          <w:kern w:val="2"/>
          <w14:ligatures w14:val="standardContextual"/>
        </w:rPr>
        <w:lastRenderedPageBreak/>
        <w:t>spolupracovať so svojimi náprotivkami zo Súdneho dvora, čím sa podporia najlepšie postupy pri výklade práva Únie;</w:t>
      </w:r>
    </w:p>
    <w:p w14:paraId="07DB0954" w14:textId="77777777" w:rsidR="007703F3" w:rsidRPr="007703F3" w:rsidRDefault="007703F3" w:rsidP="007703F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703F3">
        <w:rPr>
          <w:b/>
          <w:i/>
          <w:kern w:val="2"/>
          <w14:ligatures w14:val="standardContextual"/>
        </w:rPr>
        <w:t>Komunikácia</w:t>
      </w:r>
    </w:p>
    <w:p w14:paraId="79017DD4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68.</w:t>
      </w:r>
      <w:r w:rsidRPr="007703F3">
        <w:rPr>
          <w:kern w:val="2"/>
          <w14:ligatures w14:val="standardContextual"/>
        </w:rPr>
        <w:tab/>
        <w:t xml:space="preserve">konštatuje, že v roku 2023 Súdny dvor posilnil úsilie o nadviazanie komunikácie a spolupráce s občanmi Únie tým, že zvýšil svoj dosah v sociálnych médiách; konštatuje, že oproti predchádzajúcemu roku počet odberateľov na účte Súdneho dvora na LinkedIn na konci roka 2023 vzrástol o 32 % a počet </w:t>
      </w:r>
      <w:proofErr w:type="spellStart"/>
      <w:r w:rsidRPr="007703F3">
        <w:rPr>
          <w:kern w:val="2"/>
          <w14:ligatures w14:val="standardContextual"/>
        </w:rPr>
        <w:t>sledovateľov</w:t>
      </w:r>
      <w:proofErr w:type="spellEnd"/>
      <w:r w:rsidRPr="007703F3">
        <w:rPr>
          <w:kern w:val="2"/>
          <w14:ligatures w14:val="standardContextual"/>
        </w:rPr>
        <w:t xml:space="preserve"> na jeho dvoch účtoch na X (predtým Twitter) o 9 %, zatiaľ čo počet pozretí na jeho kanáli YouTube stúpol o 84,96 %;</w:t>
      </w:r>
    </w:p>
    <w:p w14:paraId="49453590" w14:textId="77777777" w:rsidR="007703F3" w:rsidRPr="007703F3" w:rsidRDefault="007703F3" w:rsidP="007703F3">
      <w:pPr>
        <w:spacing w:after="240"/>
        <w:ind w:left="567" w:hanging="567"/>
        <w:rPr>
          <w:kern w:val="2"/>
          <w14:ligatures w14:val="standardContextual"/>
        </w:rPr>
      </w:pPr>
      <w:r w:rsidRPr="007703F3">
        <w:rPr>
          <w:kern w:val="2"/>
          <w14:ligatures w14:val="standardContextual"/>
        </w:rPr>
        <w:t>69.</w:t>
      </w:r>
      <w:r w:rsidRPr="007703F3">
        <w:rPr>
          <w:kern w:val="2"/>
          <w14:ligatures w14:val="standardContextual"/>
        </w:rPr>
        <w:tab/>
        <w:t>víta úsilie Súdneho dvora o posilnenie strategickej komunikácie a transparentnosti vo vzťahu k občanom Únie v súvislosti s jeho súdnymi činnosťami, najmä prostredníctvom dňa otvorených dverí, ponuky pre návštevníkov, najmä osobitných virtuálnych návštev, ktoré v roku 2023 absolvovalo 800 študentov, a prepracovaním zostavovania jeho tlačových správ a online publikácií o záležitostiach, ktoré sú zaujímavé pre médiá alebo majú vplyv na život občanov, tak, aby boli všeobecne prístupné.</w:t>
      </w:r>
    </w:p>
    <w:sectPr w:rsidR="007703F3" w:rsidRPr="007703F3" w:rsidSect="007703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0BEE3" w14:textId="77777777" w:rsidR="000F6669" w:rsidRDefault="007703F3">
      <w:r>
        <w:separator/>
      </w:r>
    </w:p>
  </w:endnote>
  <w:endnote w:type="continuationSeparator" w:id="0">
    <w:p w14:paraId="541BE306" w14:textId="77777777" w:rsidR="000F6669" w:rsidRDefault="0077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1B42E" w14:textId="77777777" w:rsidR="000F6669" w:rsidRDefault="000F66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98E21" w14:textId="77777777" w:rsidR="000F6669" w:rsidRDefault="000F666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0CAE" w14:textId="77777777" w:rsidR="000F6669" w:rsidRDefault="000F66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8481E" w14:textId="77777777" w:rsidR="000F6669" w:rsidRDefault="007703F3">
      <w:r>
        <w:separator/>
      </w:r>
    </w:p>
  </w:footnote>
  <w:footnote w:type="continuationSeparator" w:id="0">
    <w:p w14:paraId="1A386C77" w14:textId="77777777" w:rsidR="000F6669" w:rsidRDefault="007703F3">
      <w:r>
        <w:continuationSeparator/>
      </w:r>
    </w:p>
  </w:footnote>
  <w:footnote w:id="1">
    <w:p w14:paraId="774654C7" w14:textId="77777777" w:rsidR="007703F3" w:rsidRPr="00A94140" w:rsidRDefault="007703F3" w:rsidP="007703F3">
      <w:pPr>
        <w:ind w:left="567" w:hanging="567"/>
        <w:rPr>
          <w:szCs w:val="24"/>
          <w:lang w:val="fi-FI"/>
        </w:rPr>
      </w:pPr>
      <w:r w:rsidRPr="00A94140">
        <w:rPr>
          <w:rStyle w:val="FootnoteReference"/>
          <w:szCs w:val="24"/>
        </w:rPr>
        <w:footnoteRef/>
      </w:r>
      <w:r w:rsidRPr="00A94140">
        <w:rPr>
          <w:szCs w:val="24"/>
          <w:lang w:val="fi-FI"/>
        </w:rPr>
        <w:tab/>
        <w:t xml:space="preserve">Ú. v. EÚ L 58, 23.2.2023, s. 1, ELI: </w:t>
      </w:r>
      <w:hyperlink r:id="rId1" w:tooltip="Umožňuje prístup k tomuto dokumentu prostredníctvom identifikátorov ELI a URI." w:history="1">
        <w:r w:rsidRPr="00A94140">
          <w:rPr>
            <w:rStyle w:val="Hyperlink"/>
            <w:color w:val="337AB7"/>
            <w:szCs w:val="24"/>
            <w:shd w:val="clear" w:color="auto" w:fill="FFFFFF"/>
            <w:lang w:val="fi-FI"/>
          </w:rPr>
          <w:t>http://data.europa.eu/eli/budget/2023/1/oj</w:t>
        </w:r>
      </w:hyperlink>
      <w:r w:rsidRPr="00A94140">
        <w:rPr>
          <w:rStyle w:val="Hyperlink"/>
          <w:szCs w:val="24"/>
          <w:shd w:val="clear" w:color="auto" w:fill="FFFFFF"/>
          <w:lang w:val="fi-FI"/>
        </w:rPr>
        <w:t>.</w:t>
      </w:r>
    </w:p>
  </w:footnote>
  <w:footnote w:id="2">
    <w:p w14:paraId="602F530C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Ú. v. EÚ C, C/2024/5462, 10.10.2024, ELI: </w:t>
      </w:r>
      <w:hyperlink r:id="rId2" w:history="1">
        <w:r w:rsidRPr="00A94140">
          <w:rPr>
            <w:rStyle w:val="Hyperlink"/>
            <w:sz w:val="24"/>
            <w:szCs w:val="24"/>
            <w:lang w:val="fi-FI"/>
          </w:rPr>
          <w:t>http://data.europa.eu/eli/C/2024/5462/oj</w:t>
        </w:r>
      </w:hyperlink>
      <w:r w:rsidRPr="00A94140">
        <w:rPr>
          <w:rStyle w:val="Hyperlink"/>
          <w:sz w:val="24"/>
          <w:szCs w:val="24"/>
          <w:shd w:val="clear" w:color="auto" w:fill="FFFFFF"/>
          <w:lang w:val="fi-FI"/>
        </w:rPr>
        <w:t>.</w:t>
      </w:r>
    </w:p>
  </w:footnote>
  <w:footnote w:id="3">
    <w:p w14:paraId="1291DDD6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Ú. v. EÚ C, C/2024/5882, 9.10.2024, ELI: </w:t>
      </w:r>
      <w:hyperlink r:id="rId3" w:history="1">
        <w:r w:rsidRPr="00A94140">
          <w:rPr>
            <w:rStyle w:val="Hyperlink"/>
            <w:sz w:val="24"/>
            <w:szCs w:val="24"/>
            <w:lang w:val="fi-FI"/>
          </w:rPr>
          <w:t>http://data.europa.eu/eli/C/2024/5882/oj</w:t>
        </w:r>
      </w:hyperlink>
      <w:r w:rsidRPr="00A94140">
        <w:rPr>
          <w:rStyle w:val="Hyperlink"/>
          <w:sz w:val="24"/>
          <w:szCs w:val="24"/>
          <w:shd w:val="clear" w:color="auto" w:fill="FFFFFF"/>
          <w:lang w:val="fi-FI"/>
        </w:rPr>
        <w:t>.</w:t>
      </w:r>
    </w:p>
  </w:footnote>
  <w:footnote w:id="4">
    <w:p w14:paraId="00F8127E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Ú. v. EÚ C, C/2024/6041, 10.10.2024, ELI: </w:t>
      </w:r>
      <w:hyperlink r:id="rId4" w:history="1">
        <w:r w:rsidRPr="00A94140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A94140">
        <w:rPr>
          <w:rStyle w:val="Hyperlink"/>
          <w:sz w:val="24"/>
          <w:szCs w:val="24"/>
          <w:shd w:val="clear" w:color="auto" w:fill="FFFFFF"/>
          <w:lang w:val="fi-FI"/>
        </w:rPr>
        <w:t>.</w:t>
      </w:r>
    </w:p>
  </w:footnote>
  <w:footnote w:id="5">
    <w:p w14:paraId="47EA24A5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Ú. v. EÚ L 193, 30.7.2018, s. 1, ELI: </w:t>
      </w:r>
      <w:hyperlink r:id="rId5" w:history="1">
        <w:r w:rsidRPr="00A94140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A94140">
        <w:rPr>
          <w:rStyle w:val="Hyperlink"/>
          <w:sz w:val="24"/>
          <w:szCs w:val="24"/>
          <w:shd w:val="clear" w:color="auto" w:fill="FFFFFF"/>
          <w:lang w:val="fi-FI"/>
        </w:rPr>
        <w:t>.</w:t>
      </w:r>
    </w:p>
  </w:footnote>
  <w:footnote w:id="6">
    <w:p w14:paraId="7C8CA29C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Ú. v. EÚ L, 2024/2509, 26.9.2024, ELI: </w:t>
      </w:r>
      <w:hyperlink r:id="rId6" w:history="1">
        <w:r w:rsidRPr="00A94140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A94140">
        <w:rPr>
          <w:rStyle w:val="Hyperlink"/>
          <w:sz w:val="24"/>
          <w:szCs w:val="24"/>
          <w:shd w:val="clear" w:color="auto" w:fill="FFFFFF"/>
          <w:lang w:val="fi-FI"/>
        </w:rPr>
        <w:t>.</w:t>
      </w:r>
    </w:p>
  </w:footnote>
  <w:footnote w:id="7">
    <w:p w14:paraId="3A4729B7" w14:textId="77777777" w:rsidR="007703F3" w:rsidRPr="00A94140" w:rsidRDefault="007703F3" w:rsidP="007703F3">
      <w:pPr>
        <w:pStyle w:val="FootnoteText"/>
        <w:ind w:left="567" w:hanging="567"/>
        <w:rPr>
          <w:sz w:val="24"/>
          <w:szCs w:val="24"/>
          <w:lang w:val="sk-SK"/>
        </w:rPr>
      </w:pPr>
      <w:r w:rsidRPr="00A94140">
        <w:rPr>
          <w:rStyle w:val="FootnoteReference"/>
          <w:sz w:val="24"/>
          <w:szCs w:val="24"/>
          <w:lang w:val="sk-SK"/>
        </w:rPr>
        <w:footnoteRef/>
      </w:r>
      <w:r w:rsidRPr="00A94140">
        <w:rPr>
          <w:sz w:val="24"/>
          <w:szCs w:val="24"/>
          <w:lang w:val="sk-SK"/>
        </w:rPr>
        <w:tab/>
      </w:r>
      <w:r w:rsidRPr="00A94140">
        <w:rPr>
          <w:sz w:val="24"/>
          <w:szCs w:val="24"/>
          <w:lang w:val="sk-SK"/>
        </w:rPr>
        <w:t xml:space="preserve">Nariadenie Európskeho parlamentu a Rady (EÚ, </w:t>
      </w:r>
      <w:proofErr w:type="spellStart"/>
      <w:r w:rsidRPr="00A94140">
        <w:rPr>
          <w:sz w:val="24"/>
          <w:szCs w:val="24"/>
          <w:lang w:val="sk-SK"/>
        </w:rPr>
        <w:t>Euratom</w:t>
      </w:r>
      <w:proofErr w:type="spellEnd"/>
      <w:r w:rsidRPr="00A94140">
        <w:rPr>
          <w:sz w:val="24"/>
          <w:szCs w:val="24"/>
          <w:lang w:val="sk-SK"/>
        </w:rPr>
        <w:t xml:space="preserve">) 2024/2019 z 11. apríla 2024, ktorým sa mení Protokol č. 3 o štatúte Súdneho dvora Európskej únie (Ú. v. EÚ L, 2024/2019, 12.8.2024, ELI: </w:t>
      </w:r>
      <w:hyperlink r:id="rId7" w:history="1">
        <w:r w:rsidRPr="00A94140">
          <w:rPr>
            <w:rStyle w:val="Hyperlink"/>
            <w:sz w:val="24"/>
            <w:szCs w:val="24"/>
            <w:lang w:val="sk-SK"/>
          </w:rPr>
          <w:t>http://data.europa.eu/eli/reg/2024/2019/oj</w:t>
        </w:r>
      </w:hyperlink>
      <w:r w:rsidRPr="00A94140">
        <w:rPr>
          <w:rStyle w:val="Hyperlink"/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E020" w14:textId="77777777" w:rsidR="000F6669" w:rsidRDefault="000F66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1EC2" w14:textId="77777777" w:rsidR="000F6669" w:rsidRDefault="000F666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6C30" w14:textId="77777777" w:rsidR="000F6669" w:rsidRDefault="000F66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6846155">
    <w:abstractNumId w:val="9"/>
  </w:num>
  <w:num w:numId="2" w16cid:durableId="910769165">
    <w:abstractNumId w:val="9"/>
  </w:num>
  <w:num w:numId="3" w16cid:durableId="1074356074">
    <w:abstractNumId w:val="7"/>
  </w:num>
  <w:num w:numId="4" w16cid:durableId="394746497">
    <w:abstractNumId w:val="7"/>
  </w:num>
  <w:num w:numId="5" w16cid:durableId="1966082576">
    <w:abstractNumId w:val="6"/>
  </w:num>
  <w:num w:numId="6" w16cid:durableId="660502915">
    <w:abstractNumId w:val="6"/>
  </w:num>
  <w:num w:numId="7" w16cid:durableId="491143038">
    <w:abstractNumId w:val="5"/>
  </w:num>
  <w:num w:numId="8" w16cid:durableId="1702852797">
    <w:abstractNumId w:val="5"/>
  </w:num>
  <w:num w:numId="9" w16cid:durableId="62414367">
    <w:abstractNumId w:val="4"/>
  </w:num>
  <w:num w:numId="10" w16cid:durableId="1358964020">
    <w:abstractNumId w:val="4"/>
  </w:num>
  <w:num w:numId="11" w16cid:durableId="1761411494">
    <w:abstractNumId w:val="8"/>
  </w:num>
  <w:num w:numId="12" w16cid:durableId="1008285781">
    <w:abstractNumId w:val="8"/>
  </w:num>
  <w:num w:numId="13" w16cid:durableId="112216812">
    <w:abstractNumId w:val="3"/>
  </w:num>
  <w:num w:numId="14" w16cid:durableId="701515839">
    <w:abstractNumId w:val="3"/>
  </w:num>
  <w:num w:numId="15" w16cid:durableId="1208879800">
    <w:abstractNumId w:val="2"/>
  </w:num>
  <w:num w:numId="16" w16cid:durableId="774522414">
    <w:abstractNumId w:val="2"/>
  </w:num>
  <w:num w:numId="17" w16cid:durableId="1122572764">
    <w:abstractNumId w:val="1"/>
  </w:num>
  <w:num w:numId="18" w16cid:durableId="1575696599">
    <w:abstractNumId w:val="1"/>
  </w:num>
  <w:num w:numId="19" w16cid:durableId="472064212">
    <w:abstractNumId w:val="0"/>
  </w:num>
  <w:num w:numId="20" w16cid:durableId="414593684">
    <w:abstractNumId w:val="0"/>
  </w:num>
  <w:num w:numId="21" w16cid:durableId="993144068">
    <w:abstractNumId w:val="9"/>
  </w:num>
  <w:num w:numId="22" w16cid:durableId="807742367">
    <w:abstractNumId w:val="7"/>
  </w:num>
  <w:num w:numId="23" w16cid:durableId="1060665966">
    <w:abstractNumId w:val="6"/>
  </w:num>
  <w:num w:numId="24" w16cid:durableId="762796191">
    <w:abstractNumId w:val="5"/>
  </w:num>
  <w:num w:numId="25" w16cid:durableId="230583688">
    <w:abstractNumId w:val="4"/>
  </w:num>
  <w:num w:numId="26" w16cid:durableId="382605456">
    <w:abstractNumId w:val="8"/>
  </w:num>
  <w:num w:numId="27" w16cid:durableId="1368525767">
    <w:abstractNumId w:val="3"/>
  </w:num>
  <w:num w:numId="28" w16cid:durableId="967323006">
    <w:abstractNumId w:val="2"/>
  </w:num>
  <w:num w:numId="29" w16cid:durableId="962855158">
    <w:abstractNumId w:val="1"/>
  </w:num>
  <w:num w:numId="30" w16cid:durableId="329412683">
    <w:abstractNumId w:val="0"/>
  </w:num>
  <w:num w:numId="31" w16cid:durableId="183180333">
    <w:abstractNumId w:val="9"/>
  </w:num>
  <w:num w:numId="32" w16cid:durableId="1016806348">
    <w:abstractNumId w:val="7"/>
  </w:num>
  <w:num w:numId="33" w16cid:durableId="319966743">
    <w:abstractNumId w:val="6"/>
  </w:num>
  <w:num w:numId="34" w16cid:durableId="1296375222">
    <w:abstractNumId w:val="5"/>
  </w:num>
  <w:num w:numId="35" w16cid:durableId="610867947">
    <w:abstractNumId w:val="4"/>
  </w:num>
  <w:num w:numId="36" w16cid:durableId="216361691">
    <w:abstractNumId w:val="8"/>
  </w:num>
  <w:num w:numId="37" w16cid:durableId="1393583742">
    <w:abstractNumId w:val="3"/>
  </w:num>
  <w:num w:numId="38" w16cid:durableId="420562977">
    <w:abstractNumId w:val="2"/>
  </w:num>
  <w:num w:numId="39" w16cid:durableId="1807119150">
    <w:abstractNumId w:val="1"/>
  </w:num>
  <w:num w:numId="40" w16cid:durableId="1519004004">
    <w:abstractNumId w:val="0"/>
  </w:num>
  <w:num w:numId="41" w16cid:durableId="1191799703">
    <w:abstractNumId w:val="10"/>
  </w:num>
  <w:num w:numId="42" w16cid:durableId="289434667">
    <w:abstractNumId w:val="10"/>
  </w:num>
  <w:num w:numId="43" w16cid:durableId="444276324">
    <w:abstractNumId w:val="10"/>
  </w:num>
  <w:num w:numId="44" w16cid:durableId="1664963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0/2025"/>
    <w:docVar w:name="dvlangue" w:val="SK"/>
    <w:docVar w:name="dvnumam" w:val="0"/>
    <w:docVar w:name="dvpe" w:val="764.996"/>
    <w:docVar w:name="dvrapporteur" w:val="Spravodajca: "/>
    <w:docVar w:name="dvtitre" w:val="1. Rozhodnutie Európskeho parlamentu zo 7. mája 2025 o absolutóriu za plnenie všeobecného rozpočtu Európskej únie za rozpočtový rok 2023, oddiel IV – Súdny dvor(2024/2022(DEC))"/>
  </w:docVars>
  <w:rsids>
    <w:rsidRoot w:val="000F6669"/>
    <w:rsid w:val="000F6669"/>
    <w:rsid w:val="007703F3"/>
    <w:rsid w:val="00A94140"/>
    <w:rsid w:val="00F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8FAE9"/>
  <w15:chartTrackingRefBased/>
  <w15:docId w15:val="{219F4435-18DF-4981-8852-0D7890EB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customStyle="1" w:styleId="Footprint12b">
    <w:name w:val="Footprint12b"/>
    <w:basedOn w:val="Normal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Pr>
      <w:szCs w:val="24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styleId="BodyText">
    <w:name w:val="Body Text"/>
    <w:basedOn w:val="Normal"/>
    <w:link w:val="BodyTextChar"/>
    <w:uiPriority w:val="1"/>
    <w:unhideWhenUsed/>
    <w:qFormat/>
    <w:pPr>
      <w:autoSpaceDE w:val="0"/>
      <w:autoSpaceDN w:val="0"/>
    </w:pPr>
    <w:rPr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uiPriority w:val="1"/>
    <w:rPr>
      <w:sz w:val="24"/>
      <w:szCs w:val="24"/>
      <w:lang w:val="sk-SK" w:bidi="en-GB"/>
    </w:rPr>
  </w:style>
  <w:style w:type="paragraph" w:styleId="ListParagraph">
    <w:name w:val="List Paragraph"/>
    <w:basedOn w:val="Normal"/>
    <w:uiPriority w:val="1"/>
    <w:qFormat/>
    <w:pPr>
      <w:autoSpaceDE w:val="0"/>
      <w:autoSpaceDN w:val="0"/>
      <w:ind w:left="1382" w:right="962" w:hanging="426"/>
    </w:pPr>
    <w:rPr>
      <w:sz w:val="22"/>
      <w:szCs w:val="22"/>
      <w:lang w:bidi="en-GB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EE48-0697-45C8-931A-C96FD1EC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6122</Words>
  <Characters>36931</Characters>
  <Application>Microsoft Office Word</Application>
  <DocSecurity>0</DocSecurity>
  <Lines>307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2025-11-27T16:08:00Z</dcterms:created>
  <dcterms:modified xsi:type="dcterms:W3CDTF">2025-11-27T16:08:00Z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P10_TA(2025)0080_</vt:lpwstr>
  </property>
  <property fmtid="{D5CDD505-2E9C-101B-9397-08002B2CF9AE}" pid="4" name="&lt;Type&gt;">
    <vt:lpwstr>RR</vt:lpwstr>
  </property>
</Properties>
</file>