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3639" w14:paraId="3EE7DA16" w14:textId="77777777" w:rsidTr="0010095E">
        <w:trPr>
          <w:trHeight w:hRule="exact" w:val="1418"/>
        </w:trPr>
        <w:tc>
          <w:tcPr>
            <w:tcW w:w="6804" w:type="dxa"/>
            <w:shd w:val="clear" w:color="auto" w:fill="auto"/>
            <w:vAlign w:val="center"/>
          </w:tcPr>
          <w:p w14:paraId="7F0141E2" w14:textId="77777777" w:rsidR="00751A4A" w:rsidRPr="00613639" w:rsidRDefault="007A566B" w:rsidP="0010095E">
            <w:pPr>
              <w:pStyle w:val="EPName"/>
            </w:pPr>
            <w:r w:rsidRPr="00613639">
              <w:t>Evropski parlament</w:t>
            </w:r>
          </w:p>
          <w:p w14:paraId="6E496E44" w14:textId="77777777" w:rsidR="00751A4A" w:rsidRPr="00613639" w:rsidRDefault="005F1B17" w:rsidP="005F1B17">
            <w:pPr>
              <w:pStyle w:val="EPTerm"/>
              <w:rPr>
                <w:rStyle w:val="HideTWBExt"/>
                <w:noProof w:val="0"/>
                <w:vanish w:val="0"/>
                <w:color w:val="auto"/>
              </w:rPr>
            </w:pPr>
            <w:r w:rsidRPr="00613639">
              <w:t>2024</w:t>
            </w:r>
            <w:r w:rsidR="00817416" w:rsidRPr="00613639">
              <w:t>-202</w:t>
            </w:r>
            <w:r w:rsidRPr="00613639">
              <w:t>9</w:t>
            </w:r>
          </w:p>
        </w:tc>
        <w:tc>
          <w:tcPr>
            <w:tcW w:w="2268" w:type="dxa"/>
            <w:shd w:val="clear" w:color="auto" w:fill="auto"/>
          </w:tcPr>
          <w:p w14:paraId="12180797" w14:textId="77777777" w:rsidR="00751A4A" w:rsidRPr="00613639" w:rsidRDefault="00187494" w:rsidP="0010095E">
            <w:pPr>
              <w:pStyle w:val="EPLogo"/>
            </w:pPr>
            <w:r w:rsidRPr="00613639">
              <w:rPr>
                <w:noProof/>
              </w:rPr>
              <w:drawing>
                <wp:inline distT="0" distB="0" distL="0" distR="0" wp14:anchorId="6F7A4BBC" wp14:editId="41B850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A65A9A" w14:textId="77777777" w:rsidR="00D058B8" w:rsidRPr="00613639" w:rsidRDefault="00D058B8" w:rsidP="004C5D52">
      <w:pPr>
        <w:pStyle w:val="LineTop"/>
      </w:pPr>
    </w:p>
    <w:p w14:paraId="0BEEB345" w14:textId="77777777" w:rsidR="00680577" w:rsidRPr="00613639" w:rsidRDefault="007A566B" w:rsidP="00680577">
      <w:pPr>
        <w:pStyle w:val="EPBodyTA1"/>
      </w:pPr>
      <w:r w:rsidRPr="00613639">
        <w:t>SPREJETA BESEDILA</w:t>
      </w:r>
    </w:p>
    <w:p w14:paraId="5F601211" w14:textId="77777777" w:rsidR="00D058B8" w:rsidRPr="00613639" w:rsidRDefault="00D058B8" w:rsidP="00D058B8">
      <w:pPr>
        <w:pStyle w:val="LineBottom"/>
      </w:pPr>
    </w:p>
    <w:p w14:paraId="03A1F244" w14:textId="77777777" w:rsidR="007A566B" w:rsidRPr="00613639" w:rsidRDefault="007A566B" w:rsidP="004C3D76">
      <w:pPr>
        <w:pStyle w:val="ATHeading1"/>
      </w:pPr>
      <w:bookmarkStart w:id="0" w:name="TANumber"/>
      <w:r w:rsidRPr="00613639">
        <w:t>P10_TA(2025)</w:t>
      </w:r>
      <w:bookmarkEnd w:id="0"/>
      <w:r w:rsidR="004C3D76" w:rsidRPr="00613639">
        <w:t>0080</w:t>
      </w:r>
    </w:p>
    <w:p w14:paraId="76D7D73E" w14:textId="77777777" w:rsidR="007A566B" w:rsidRPr="00613639" w:rsidRDefault="007A566B" w:rsidP="007A566B">
      <w:pPr>
        <w:pStyle w:val="ATHeading2"/>
      </w:pPr>
      <w:bookmarkStart w:id="1" w:name="title"/>
      <w:r w:rsidRPr="00613639">
        <w:t>Razrešnica za leto 2023: splošni proračun EU – Sodišče Evropske unije</w:t>
      </w:r>
      <w:bookmarkEnd w:id="1"/>
    </w:p>
    <w:p w14:paraId="51695CBC" w14:textId="77777777" w:rsidR="007A566B" w:rsidRPr="00613639" w:rsidRDefault="007A566B" w:rsidP="007A566B">
      <w:pPr>
        <w:rPr>
          <w:i/>
          <w:vanish/>
        </w:rPr>
      </w:pPr>
      <w:r w:rsidRPr="00613639">
        <w:rPr>
          <w:i/>
        </w:rPr>
        <w:fldChar w:fldCharType="begin"/>
      </w:r>
      <w:r w:rsidRPr="00613639">
        <w:rPr>
          <w:i/>
        </w:rPr>
        <w:instrText xml:space="preserve"> TC"(</w:instrText>
      </w:r>
      <w:bookmarkStart w:id="2" w:name="DocNumber"/>
      <w:r w:rsidRPr="00613639">
        <w:rPr>
          <w:i/>
        </w:rPr>
        <w:instrText>A10-0050/2025</w:instrText>
      </w:r>
      <w:bookmarkEnd w:id="2"/>
      <w:r w:rsidRPr="00613639">
        <w:rPr>
          <w:i/>
        </w:rPr>
        <w:instrText xml:space="preserve"> - Poročevalec: Cristian Terheş)"\l3 \n&gt; \* MERGEFORMAT </w:instrText>
      </w:r>
      <w:r w:rsidRPr="00613639">
        <w:rPr>
          <w:i/>
        </w:rPr>
        <w:fldChar w:fldCharType="end"/>
      </w:r>
    </w:p>
    <w:p w14:paraId="521771D6" w14:textId="77777777" w:rsidR="007A566B" w:rsidRPr="00613639" w:rsidRDefault="007A566B" w:rsidP="007A566B">
      <w:pPr>
        <w:rPr>
          <w:vanish/>
        </w:rPr>
      </w:pPr>
      <w:bookmarkStart w:id="3" w:name="Commission"/>
      <w:r w:rsidRPr="00613639">
        <w:rPr>
          <w:vanish/>
        </w:rPr>
        <w:t>Odbor za proračunski nadzor</w:t>
      </w:r>
      <w:bookmarkEnd w:id="3"/>
    </w:p>
    <w:p w14:paraId="6876FAE7" w14:textId="77777777" w:rsidR="007A566B" w:rsidRPr="00613639" w:rsidRDefault="007A566B" w:rsidP="007A566B">
      <w:pPr>
        <w:rPr>
          <w:vanish/>
        </w:rPr>
      </w:pPr>
      <w:bookmarkStart w:id="4" w:name="PE"/>
      <w:r w:rsidRPr="00613639">
        <w:rPr>
          <w:vanish/>
        </w:rPr>
        <w:t>PE764.996</w:t>
      </w:r>
      <w:bookmarkEnd w:id="4"/>
    </w:p>
    <w:p w14:paraId="683AB340" w14:textId="22768659" w:rsidR="00613639" w:rsidRPr="00613639" w:rsidRDefault="00613639" w:rsidP="00613639">
      <w:pPr>
        <w:pStyle w:val="ATHeading3"/>
      </w:pPr>
      <w:bookmarkStart w:id="5" w:name="Sujet"/>
      <w:r w:rsidRPr="00613639">
        <w:t>1. Sklep Evropskega parlamenta z dne 7. maja 2025 o razrešnici glede izvrševanja splošnega proračuna Evropske unije za proračunsko leto 2023, oddelek IV – Sodišče Evropske unije (2024/2022(DEC))</w:t>
      </w:r>
    </w:p>
    <w:p w14:paraId="2EFB86A0" w14:textId="299BCDAE" w:rsidR="00613639" w:rsidRPr="00613639" w:rsidRDefault="00613639" w:rsidP="00613639">
      <w:pPr>
        <w:spacing w:before="480" w:after="240"/>
        <w:rPr>
          <w:i/>
          <w:kern w:val="2"/>
          <w14:ligatures w14:val="standardContextual"/>
        </w:rPr>
      </w:pPr>
      <w:r w:rsidRPr="00613639">
        <w:rPr>
          <w:i/>
          <w:kern w:val="2"/>
          <w14:ligatures w14:val="standardContextual"/>
        </w:rPr>
        <w:t>Evropski parlament,</w:t>
      </w:r>
    </w:p>
    <w:p w14:paraId="026882F1"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splošnega proračuna Evropske unije za proračunsko leto 2023 </w:t>
      </w:r>
      <w:r w:rsidRPr="00613639">
        <w:rPr>
          <w:kern w:val="2"/>
          <w:vertAlign w:val="superscript"/>
          <w14:ligatures w14:val="standardContextual"/>
        </w:rPr>
        <w:footnoteReference w:id="1"/>
      </w:r>
      <w:r w:rsidRPr="00613639">
        <w:rPr>
          <w:kern w:val="2"/>
          <w14:ligatures w14:val="standardContextual"/>
        </w:rPr>
        <w:t>,</w:t>
      </w:r>
    </w:p>
    <w:p w14:paraId="7E7410B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konsolidiranega zaključnega računa Evropske unije za proračunsko leto 2023 (COM(2024)0272 – C10</w:t>
      </w:r>
      <w:r w:rsidRPr="00613639">
        <w:rPr>
          <w:kern w:val="2"/>
          <w14:ligatures w14:val="standardContextual"/>
        </w:rPr>
        <w:noBreakHyphen/>
        <w:t>0070/2024) </w:t>
      </w:r>
      <w:r w:rsidRPr="00613639">
        <w:rPr>
          <w:kern w:val="2"/>
          <w:vertAlign w:val="superscript"/>
          <w14:ligatures w14:val="standardContextual"/>
        </w:rPr>
        <w:footnoteReference w:id="2"/>
      </w:r>
      <w:r w:rsidRPr="00613639">
        <w:rPr>
          <w:kern w:val="2"/>
          <w14:ligatures w14:val="standardContextual"/>
        </w:rPr>
        <w:t>,</w:t>
      </w:r>
    </w:p>
    <w:p w14:paraId="45B25363"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letnega poročila o dejavnostih Sodišča Evropske unije za leto 2023 in njegovega letnega poročila o upravljanju proračuna in finančnem poslovodenju za leto 2023,</w:t>
      </w:r>
    </w:p>
    <w:p w14:paraId="6535E723"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letnega poročila Računskega sodišča o izvrševanju proračuna za proračunsko leto 2023, skupaj z odgovori institucij </w:t>
      </w:r>
      <w:r w:rsidRPr="00613639">
        <w:rPr>
          <w:kern w:val="2"/>
          <w:vertAlign w:val="superscript"/>
          <w14:ligatures w14:val="standardContextual"/>
        </w:rPr>
        <w:footnoteReference w:id="3"/>
      </w:r>
      <w:r w:rsidRPr="00613639">
        <w:rPr>
          <w:kern w:val="2"/>
          <w14:ligatures w14:val="standardContextual"/>
        </w:rPr>
        <w:t>,</w:t>
      </w:r>
    </w:p>
    <w:p w14:paraId="5FF11250"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izjave o zanesljivosti </w:t>
      </w:r>
      <w:r w:rsidRPr="00613639">
        <w:rPr>
          <w:kern w:val="2"/>
          <w:vertAlign w:val="superscript"/>
          <w14:ligatures w14:val="standardContextual"/>
        </w:rPr>
        <w:footnoteReference w:id="4"/>
      </w:r>
      <w:r w:rsidRPr="00613639">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3E5876C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člena 314(10) in členov 317, 318 in 319 Pogodbe o delovanju Evropske unije,</w:t>
      </w:r>
    </w:p>
    <w:p w14:paraId="62D1A9D3"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w:t>
      </w:r>
      <w:r w:rsidRPr="00613639">
        <w:rPr>
          <w:kern w:val="2"/>
          <w14:ligatures w14:val="standardContextual"/>
        </w:rPr>
        <w:lastRenderedPageBreak/>
        <w:t>št. 283/2014 in Sklepa št. 541/2014/EU ter razveljavitvi Uredbe (EU, Euratom) št. 966/2012 </w:t>
      </w:r>
      <w:r w:rsidRPr="00613639">
        <w:rPr>
          <w:kern w:val="2"/>
          <w:vertAlign w:val="superscript"/>
          <w14:ligatures w14:val="standardContextual"/>
        </w:rPr>
        <w:footnoteReference w:id="5"/>
      </w:r>
      <w:r w:rsidRPr="00613639">
        <w:rPr>
          <w:kern w:val="2"/>
          <w14:ligatures w14:val="standardContextual"/>
        </w:rPr>
        <w:t xml:space="preserve"> in zlasti členov 59, 118, 260, 261 in 262,</w:t>
      </w:r>
    </w:p>
    <w:p w14:paraId="206CF552" w14:textId="77777777" w:rsidR="00613639" w:rsidRPr="00613639" w:rsidRDefault="00613639" w:rsidP="00613639">
      <w:pPr>
        <w:spacing w:after="240"/>
        <w:ind w:left="567" w:hanging="567"/>
        <w:rPr>
          <w:kern w:val="2"/>
          <w:szCs w:val="24"/>
          <w14:ligatures w14:val="standardContextual"/>
        </w:rPr>
      </w:pPr>
      <w:r w:rsidRPr="00613639">
        <w:rPr>
          <w:kern w:val="2"/>
          <w14:ligatures w14:val="standardContextual"/>
        </w:rPr>
        <w:t>–</w:t>
      </w:r>
      <w:r w:rsidRPr="00613639">
        <w:rPr>
          <w:kern w:val="2"/>
          <w14:ligatures w14:val="standardContextual"/>
        </w:rPr>
        <w:tab/>
        <w:t>ob upoštevanju Uredbe (EU, Euratom) 2024/2509 Evropskega parlamenta in Sveta z dne 23. septembra 2024 o finančnih pravilih, ki se uporabljajo za splošni proračun Unije </w:t>
      </w:r>
      <w:r w:rsidRPr="00613639">
        <w:rPr>
          <w:kern w:val="2"/>
          <w:vertAlign w:val="superscript"/>
          <w14:ligatures w14:val="standardContextual"/>
        </w:rPr>
        <w:footnoteReference w:id="6"/>
      </w:r>
      <w:r w:rsidRPr="00613639">
        <w:rPr>
          <w:kern w:val="2"/>
          <w14:ligatures w14:val="standardContextual"/>
        </w:rPr>
        <w:t>, zlasti členov 59, 118, 266, 267 in 268,</w:t>
      </w:r>
    </w:p>
    <w:p w14:paraId="0F0C1353"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člena 102 in Priloge V Poslovnika,</w:t>
      </w:r>
    </w:p>
    <w:p w14:paraId="5D4E040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mnenja Odbora za pravne zadeve,</w:t>
      </w:r>
    </w:p>
    <w:p w14:paraId="14FD9F8B"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poročila Odbora za proračunski nadzor (A10</w:t>
      </w:r>
      <w:r w:rsidRPr="00613639">
        <w:rPr>
          <w:kern w:val="2"/>
          <w14:ligatures w14:val="standardContextual"/>
        </w:rPr>
        <w:noBreakHyphen/>
        <w:t>0050/2025),</w:t>
      </w:r>
    </w:p>
    <w:p w14:paraId="60DE5BE7"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1.</w:t>
      </w:r>
      <w:r w:rsidRPr="00613639">
        <w:rPr>
          <w:kern w:val="2"/>
          <w14:ligatures w14:val="standardContextual"/>
        </w:rPr>
        <w:tab/>
        <w:t>podeli razrešnico sodnemu tajniku Sodišča glede izvrševanja proračuna Sodišča Evropske unije za proračunsko leto 2023;</w:t>
      </w:r>
    </w:p>
    <w:p w14:paraId="4D78A6E7"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2.</w:t>
      </w:r>
      <w:r w:rsidRPr="00613639">
        <w:rPr>
          <w:kern w:val="2"/>
          <w14:ligatures w14:val="standardContextual"/>
        </w:rPr>
        <w:tab/>
        <w:t>navaja svoje pripombe v spodnji resoluciji;</w:t>
      </w:r>
    </w:p>
    <w:p w14:paraId="28A7BAAB"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3.</w:t>
      </w:r>
      <w:r w:rsidRPr="00613639">
        <w:rPr>
          <w:kern w:val="2"/>
          <w14:ligatures w14:val="standardContextual"/>
        </w:rPr>
        <w:tab/>
        <w:t xml:space="preserve">naroči svoji predsednici, naj ta sklep in resolucijo, ki je del sklepa, posreduje Sodišču Evropske unije, Svetu, Komisiji, Evropskemu varuhu človekovih pravic, Evropskemu nadzorniku za varstvo podatkov in Računskemu sodišču ter poskrbi za objavo v </w:t>
      </w:r>
      <w:r w:rsidRPr="00613639">
        <w:rPr>
          <w:i/>
          <w:kern w:val="2"/>
          <w14:ligatures w14:val="standardContextual"/>
        </w:rPr>
        <w:t>Uradnem listu Evropske unije</w:t>
      </w:r>
      <w:r w:rsidRPr="00613639">
        <w:rPr>
          <w:kern w:val="2"/>
          <w14:ligatures w14:val="standardContextual"/>
        </w:rPr>
        <w:t xml:space="preserve"> (serija L).</w:t>
      </w:r>
    </w:p>
    <w:p w14:paraId="45B1084A" w14:textId="77777777" w:rsidR="00613639" w:rsidRPr="00613639" w:rsidRDefault="00613639" w:rsidP="00613639">
      <w:pPr>
        <w:widowControl/>
        <w:jc w:val="both"/>
        <w:rPr>
          <w:rFonts w:eastAsia="Aptos"/>
          <w:kern w:val="2"/>
          <w:szCs w:val="24"/>
          <w:lang w:eastAsia="en-US"/>
          <w14:ligatures w14:val="standardContextual"/>
        </w:rPr>
        <w:sectPr w:rsidR="00613639" w:rsidRPr="00613639" w:rsidSect="00613639">
          <w:footnotePr>
            <w:numRestart w:val="eachSect"/>
          </w:footnotePr>
          <w:pgSz w:w="11906" w:h="16838"/>
          <w:pgMar w:top="1440" w:right="1440" w:bottom="1440" w:left="1440" w:header="708" w:footer="708" w:gutter="0"/>
          <w:cols w:space="708"/>
          <w:docGrid w:linePitch="360"/>
        </w:sectPr>
      </w:pPr>
    </w:p>
    <w:p w14:paraId="3397D461" w14:textId="77777777" w:rsidR="00613639" w:rsidRPr="00613639" w:rsidRDefault="00613639" w:rsidP="00613639">
      <w:pPr>
        <w:pStyle w:val="ATHeading3"/>
      </w:pPr>
      <w:r w:rsidRPr="00613639">
        <w:lastRenderedPageBreak/>
        <w:t>2. Resolucija Evropskega parlamenta z dne 7. maja 2025 s pripombami, ki so del sklepa o razrešnici glede izvrševanja splošnega proračuna Evropske unije za proračunsko leto 2023, oddelek IV – Sodišče Evropske unije (2024/2022(DEC))</w:t>
      </w:r>
    </w:p>
    <w:p w14:paraId="62BB4A61" w14:textId="3758F7B7" w:rsidR="00613639" w:rsidRPr="00613639" w:rsidRDefault="00613639" w:rsidP="00613639">
      <w:pPr>
        <w:spacing w:before="480" w:after="240"/>
        <w:rPr>
          <w:i/>
          <w:kern w:val="2"/>
          <w14:ligatures w14:val="standardContextual"/>
        </w:rPr>
      </w:pPr>
      <w:r w:rsidRPr="00613639">
        <w:rPr>
          <w:i/>
          <w:kern w:val="2"/>
          <w14:ligatures w14:val="standardContextual"/>
        </w:rPr>
        <w:t>Evropski parlament,</w:t>
      </w:r>
    </w:p>
    <w:p w14:paraId="46214D7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sklepa o razrešnici glede izvrševanja splošnega proračuna Evropske unije za proračunsko leto 2023, oddelek IV – Sodišče Evropske unije,</w:t>
      </w:r>
    </w:p>
    <w:p w14:paraId="06A5D375"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člena 102 in Priloge V Poslovnika,</w:t>
      </w:r>
    </w:p>
    <w:p w14:paraId="22ADE155"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mnenja Odbora za pravne zadeve,</w:t>
      </w:r>
    </w:p>
    <w:p w14:paraId="03AA4BB4"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w:t>
      </w:r>
      <w:r w:rsidRPr="00613639">
        <w:rPr>
          <w:kern w:val="2"/>
          <w14:ligatures w14:val="standardContextual"/>
        </w:rPr>
        <w:tab/>
        <w:t>ob upoštevanju poročila Odbora za proračunski nadzor (A10-0050/2025),</w:t>
      </w:r>
    </w:p>
    <w:p w14:paraId="3726F95B"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A.</w:t>
      </w:r>
      <w:r w:rsidRPr="00613639">
        <w:rPr>
          <w:kern w:val="2"/>
          <w14:ligatures w14:val="standardContextual"/>
        </w:rPr>
        <w:tab/>
        <w:t>ker želi organ za podelitev razrešnice med postopkom podelitve poudariti poseben pomen nadaljnjega povečevanja demokratične legitimnosti institucij Unije z izboljšanjem preglednosti in odgovornosti, izvajanjem koncepta smotrnostne priprave proračuna in dobrega upravljanja človeških virov;</w:t>
      </w:r>
    </w:p>
    <w:p w14:paraId="6D38DE0A" w14:textId="77777777" w:rsidR="00613639" w:rsidRPr="00613639" w:rsidRDefault="00613639" w:rsidP="00613639">
      <w:pPr>
        <w:spacing w:after="240"/>
        <w:ind w:left="567" w:hanging="567"/>
        <w:rPr>
          <w:kern w:val="2"/>
          <w:u w:val="single"/>
          <w14:ligatures w14:val="standardContextual"/>
        </w:rPr>
      </w:pPr>
      <w:r w:rsidRPr="00613639">
        <w:rPr>
          <w:kern w:val="2"/>
          <w14:ligatures w14:val="standardContextual"/>
        </w:rPr>
        <w:t>B.</w:t>
      </w:r>
      <w:r w:rsidRPr="00613639">
        <w:rPr>
          <w:kern w:val="2"/>
          <w14:ligatures w14:val="standardContextual"/>
        </w:rPr>
        <w:tab/>
        <w:t>ker je Sodišče Evropske unije sodna institucija Unije, ki nadzira, ali se primarni pogodbi razlagata in uporabljata enotno in ali so ukrepi, ki jih sprejmejo institucije, organi, uradi in agencije Unije, zakoniti, s čimer zagotavlja skladnost s pravom Unije;</w:t>
      </w:r>
    </w:p>
    <w:p w14:paraId="39AB1880"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C.</w:t>
      </w:r>
      <w:r w:rsidRPr="00613639">
        <w:rPr>
          <w:kern w:val="2"/>
          <w14:ligatures w14:val="standardContextual"/>
        </w:rPr>
        <w:tab/>
        <w:t>ker Sodišče Evropske unije prispeva k ohranjanju vrednot Unije in si s svojo sodno prakso prizadeva za gradnjo Evrope;</w:t>
      </w:r>
    </w:p>
    <w:p w14:paraId="73D7AB82"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D.</w:t>
      </w:r>
      <w:r w:rsidRPr="00613639">
        <w:rPr>
          <w:kern w:val="2"/>
          <w14:ligatures w14:val="standardContextual"/>
        </w:rPr>
        <w:tab/>
        <w:t>ker Sodišče Evropske unije sestavljata dve sodišči: Sodišče in Splošno sodišče;</w:t>
      </w:r>
    </w:p>
    <w:p w14:paraId="33DB7F3B"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E.</w:t>
      </w:r>
      <w:r w:rsidRPr="00613639">
        <w:rPr>
          <w:kern w:val="2"/>
          <w14:ligatures w14:val="standardContextual"/>
        </w:rPr>
        <w:tab/>
        <w:t>ker sta Parlament in Svet leta 2024 spremenila Protokol št. 3 o Statutu Sodišča Evropske unije (v nadaljnjem besedilu: Statut) </w:t>
      </w:r>
      <w:r w:rsidRPr="00613639">
        <w:rPr>
          <w:kern w:val="2"/>
          <w:vertAlign w:val="superscript"/>
          <w14:ligatures w14:val="standardContextual"/>
        </w:rPr>
        <w:footnoteReference w:id="7"/>
      </w:r>
      <w:r w:rsidRPr="00613639">
        <w:rPr>
          <w:kern w:val="2"/>
          <w14:ligatures w14:val="standardContextual"/>
        </w:rPr>
        <w:t xml:space="preserve"> v zvezi s prenosom predhodnih odločb na določenih področjih v pristojnost Splošnega sodišča;</w:t>
      </w:r>
    </w:p>
    <w:p w14:paraId="06ACCE95"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1.</w:t>
      </w:r>
      <w:r w:rsidRPr="00613639">
        <w:rPr>
          <w:kern w:val="2"/>
          <w14:ligatures w14:val="standardContextual"/>
        </w:rPr>
        <w:tab/>
        <w:t>ugotavlja, da je proračun Sodišča Evropske unije del razdelka 7 večletnega finančnega okvira „Evropska javna uprava“, ki je v letu 2023 skupaj znašal 12,3 milijarde EUR (kar je 6,4 % proračuna Unije); ugotavlja, da je proračun Sodišča Evropske unije znašal približno 0,5 milijarde EUR oziroma 3,9 % skupnih upravnih odhodkov Unije;</w:t>
      </w:r>
    </w:p>
    <w:p w14:paraId="2E7DDCEF"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2.</w:t>
      </w:r>
      <w:r w:rsidRPr="00613639">
        <w:rPr>
          <w:kern w:val="2"/>
          <w14:ligatures w14:val="standardContextual"/>
        </w:rPr>
        <w:tab/>
        <w:t>ugotavlja, da je Računsko sodišče v svojem letnem poročilu za proračunsko leto 2023 preučilo vzorec 70 transakcij v razdelku za upravo, torej 10 več kot leta 2022; Računsko sodišče navaja tudi, da med upravne odhodke sodijo odhodki za človeške vire, vključno z odhodki za pokojnine, ki so leta 2023 znašali približno 70 % vseh upravnih odhodkov, ter odhodki za stavbe, opremo, energijo, komunikacije in informacijsko tehnologijo ter da njegovo delo že mnogo let kaže, da je pri tej porabi tveganje na splošno majhno;</w:t>
      </w:r>
    </w:p>
    <w:p w14:paraId="2D917625"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3.</w:t>
      </w:r>
      <w:r w:rsidRPr="00613639">
        <w:rPr>
          <w:kern w:val="2"/>
          <w14:ligatures w14:val="standardContextual"/>
        </w:rPr>
        <w:tab/>
        <w:t xml:space="preserve">ugotavlja, da je 21 (30 %) od 70 transakcij vsebovalo napake, vendar je Računsko sodišče na podlagi petih količinsko opredeljenih napak ocenilo, da je stopnja napake </w:t>
      </w:r>
      <w:r w:rsidRPr="00613639">
        <w:rPr>
          <w:kern w:val="2"/>
          <w14:ligatures w14:val="standardContextual"/>
        </w:rPr>
        <w:lastRenderedPageBreak/>
        <w:t>pod pragom pomembnosti;</w:t>
      </w:r>
    </w:p>
    <w:p w14:paraId="406E418F"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4.</w:t>
      </w:r>
      <w:r w:rsidRPr="00613639">
        <w:rPr>
          <w:kern w:val="2"/>
          <w14:ligatures w14:val="standardContextual"/>
        </w:rPr>
        <w:tab/>
        <w:t>ugotavlja, da Računsko sodišče v svojem poročilu ni opredelilo posebnih težav v zvezi s Sodiščem Evropske unije;</w:t>
      </w:r>
    </w:p>
    <w:p w14:paraId="60D5D5CD" w14:textId="77777777" w:rsidR="00613639" w:rsidRPr="00613639" w:rsidRDefault="00613639" w:rsidP="00613639">
      <w:pPr>
        <w:spacing w:after="240"/>
        <w:rPr>
          <w:b/>
          <w:i/>
          <w:iCs/>
          <w:kern w:val="2"/>
          <w14:ligatures w14:val="standardContextual"/>
        </w:rPr>
      </w:pPr>
      <w:r w:rsidRPr="00613639">
        <w:rPr>
          <w:b/>
          <w:i/>
          <w:iCs/>
          <w:kern w:val="2"/>
          <w14:ligatures w14:val="standardContextual"/>
        </w:rPr>
        <w:t>Upravljanje proračuna in finančno poslovodenje</w:t>
      </w:r>
    </w:p>
    <w:p w14:paraId="067804EC"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5.</w:t>
      </w:r>
      <w:r w:rsidRPr="00613639">
        <w:rPr>
          <w:kern w:val="2"/>
          <w14:ligatures w14:val="standardContextual"/>
        </w:rPr>
        <w:tab/>
        <w:t>ugotavlja, da je proračun, dodeljen Sodišču Evropske unije v letu 2023, znašal 486 025 796 EUR, kar je 3,9 % več kot leta 2022; ugotavlja, da je bilo to povečanje povezano predvsem s prilagoditvami plač, napovedanimi za leto 2023; poudarja, da je proračun Sodišča Evropske unije predvsem upravne narave, saj se 75 % sredstev porabi za člane in uslužbence, skoraj celoten preostanek pa za stavbe in informacijsko tehnologijo;</w:t>
      </w:r>
    </w:p>
    <w:p w14:paraId="4561975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6.</w:t>
      </w:r>
      <w:r w:rsidRPr="00613639">
        <w:rPr>
          <w:kern w:val="2"/>
          <w14:ligatures w14:val="standardContextual"/>
        </w:rPr>
        <w:tab/>
        <w:t>ugotavlja, da je bila ob koncu leta 2023 skupna stopnja izvrševanja proračuna 97,72 %; ugotavlja, da je bilo proračunskemu organu v skladu s členom 29 finančne uredbe predloženih pet prerazporeditev za okrepitev proračunskih vrstic, in sicer za „Poraba energije“, „Nakup, delovanje, oskrbovanje in vzdrževanje opreme in programske opreme“ ter „Stavbe“, iz drugih proračunskih vrstic, zlasti proračunske vrstice za uslužbence „Osebni prejemki in dodatki“; ugotavlja, da se je zaradi ruske vojaške agresije proti Ukrajini nadaljeval pritisk na proračun Sodišča Evropske unije, med drugim z naraščajočo inflacijo in prilagoditvami plač, močno naraščajočimi stroški energije in stroški za številne vrste blaga in storitev;</w:t>
      </w:r>
    </w:p>
    <w:p w14:paraId="4BF7DAFE"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7.</w:t>
      </w:r>
      <w:r w:rsidRPr="00613639">
        <w:rPr>
          <w:kern w:val="2"/>
          <w14:ligatures w14:val="standardContextual"/>
        </w:rPr>
        <w:tab/>
        <w:t>z zadovoljstvom ugotavlja, da je odredbodajalec na podlagi prenosa pooblastil izjavil, da so bila dodeljena sredstva porabljena za predvideni namen in v skladu z načeli dobrega finančnega poslovodenja ter da so vzpostavljeni kontrolni postopki zagotovili potrebna jamstva glede zakonitosti in pravilnosti z izkazi povezanih transakcij;</w:t>
      </w:r>
    </w:p>
    <w:p w14:paraId="7E991BCF"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8.</w:t>
      </w:r>
      <w:r w:rsidRPr="00613639">
        <w:rPr>
          <w:kern w:val="2"/>
          <w14:ligatures w14:val="standardContextual"/>
        </w:rPr>
        <w:tab/>
        <w:t>ugotavlja, da je povprečni čas plačila v letu 2023 znašal 23,1 dneva v primerjavi s 24,32 dneva v letu 2022; poziva Sodišče Evropske unije, naj si še naprej prizadeva skrajšati rok za plačilo, zlasti glede na to, da je bilo 81 % računov v letu 2023 prejetih elektronsko;</w:t>
      </w:r>
    </w:p>
    <w:p w14:paraId="52CCD6B9"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9.</w:t>
      </w:r>
      <w:r w:rsidRPr="00613639">
        <w:rPr>
          <w:kern w:val="2"/>
          <w14:ligatures w14:val="standardContextual"/>
        </w:rPr>
        <w:tab/>
        <w:t>ugotavlja, da se je proračun Sodišča Evropske unije za službena potovanja uslužbencev in članov, ki je leta 2023 znašal 638 000 EUR, ponovno zmanjšal, in sicer za 3,3 % v primerjavi z letom 2022; ugotavlja, da je bilo v letu 2023 porabljenih 85,1 % odobrenih sredstev za službena potovanja, medtem ko jih je bilo v letu 2022 zaradi stalnih omejitev potovanj, ki so bile takrat v veljavi, porabljenih 46,6 %;</w:t>
      </w:r>
    </w:p>
    <w:p w14:paraId="1756613C" w14:textId="77777777" w:rsidR="00613639" w:rsidRPr="00613639" w:rsidRDefault="00613639" w:rsidP="00613639">
      <w:pPr>
        <w:spacing w:after="240"/>
        <w:rPr>
          <w:b/>
          <w:i/>
          <w:iCs/>
          <w:kern w:val="2"/>
          <w14:ligatures w14:val="standardContextual"/>
        </w:rPr>
      </w:pPr>
      <w:r w:rsidRPr="00613639">
        <w:rPr>
          <w:b/>
          <w:i/>
          <w:iCs/>
          <w:kern w:val="2"/>
          <w14:ligatures w14:val="standardContextual"/>
        </w:rPr>
        <w:t>Notranje upravljanje, uspešnost in notranja kontrola</w:t>
      </w:r>
    </w:p>
    <w:p w14:paraId="67DCEF1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10.</w:t>
      </w:r>
      <w:r w:rsidRPr="00613639">
        <w:rPr>
          <w:kern w:val="2"/>
          <w14:ligatures w14:val="standardContextual"/>
        </w:rPr>
        <w:tab/>
        <w:t>je seznanjen s pomembnimi ukrepi, ki jih je Sodišče Evropske unije sprejelo v letu 2023, in sicer v zvezi z reformo pravosodja, s katerimi so se pristojnosti za predhodno odločanje deloma prenesle s Sodišča na Splošno sodišče; ugotavlja, da je bil konec leta 2023 dosežen politični dogovor s Parlamentom in Svetom zaradi spremembe Statuta Sodišča Evropske unije in da bi se izboljšalo delovanje Sodišča Evropske unije, saj se število zadev ter zapletenost in občutljivost zastavljenih vprašanj stalno povečuje; ugotavlja, da so bila po sprejetju reforme leta 2024 sprejeta podrobna pravila in postopki, da bi dokončali reformo in omogočili izvajanje novega regulativnega okvira od 1. oktobra 2024 dalje;</w:t>
      </w:r>
    </w:p>
    <w:p w14:paraId="21CD63AE"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lastRenderedPageBreak/>
        <w:t>11.</w:t>
      </w:r>
      <w:r w:rsidRPr="00613639">
        <w:rPr>
          <w:kern w:val="2"/>
          <w14:ligatures w14:val="standardContextual"/>
        </w:rPr>
        <w:tab/>
        <w:t>ugotavlja, da je Sodišče leta 2023 razsodilo v petih zadevah v zvezi z načelom primarnosti v okviru štirih predhodnih odločb, ki so jih vložila sodišča v Nemčiji, na Irskem, Poljskem in v Romuniji, ter o enem postopku za ugotavljanje kršitev v zvezi s Poljsko; poudarja temeljni pomen načela primarnosti prava Unije, ki zagotavlja enotno razlago in uporabo prava Unije v vseh državah članicah ter ščiti pravno državo kot temeljno vrednoto Unije; odločno potrjuje, da je primarnost prava Unije temelj pravnega reda Unije, in poudarja ključno vlogo Sodišča Evropske unije pri ohranjanju pravne države po vsej Uniji; ugotavlja tudi, da je Splošno sodišče razsodilo v šestih zadevah v zvezi z ukrepi za zaščito proračuna Unije pred kršitvami načel pravne države s strani madžarske vlade, ki sistematično spodkopava temeljne vrednote Unije; poziva Komisijo, naj sprejme odločne izvršilne ukrepe proti vsaki državi članici, ki izpodbija ali ne upošteva zavezujoče narave sodb Sodišča Evropske unije; poudarja, da morajo v primerih, povezanih s preiskavo proračuna Unije, vsi pristojni organi v celoti spoštovati načela dolžnega pravnega postopanja in temeljnih pravic;</w:t>
      </w:r>
    </w:p>
    <w:p w14:paraId="5F75DCA1"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12.</w:t>
      </w:r>
      <w:r w:rsidRPr="00613639">
        <w:rPr>
          <w:kern w:val="2"/>
          <w14:ligatures w14:val="standardContextual"/>
        </w:rPr>
        <w:tab/>
        <w:t>ugotavlja, da člen 4(2) Pogodbe o Evropski uniji določa, da „Unija spoštuje enakost držav članic pred Pogodbama kot tudi njihovo nacionalno identiteto, ki je neločljivo povezana z njihovimi temeljnimi političnimi in ustavnimi strukturami, vključno z regionalno in lokalno samoupravo. Spoštuje njihove temeljne državne funkcije […]“;</w:t>
      </w:r>
    </w:p>
    <w:p w14:paraId="479E0533" w14:textId="77777777" w:rsidR="00613639" w:rsidRPr="00613639" w:rsidRDefault="00613639" w:rsidP="00613639">
      <w:pPr>
        <w:spacing w:after="240"/>
        <w:ind w:left="567" w:hanging="567"/>
        <w:rPr>
          <w:b/>
          <w:i/>
          <w:kern w:val="2"/>
          <w14:ligatures w14:val="standardContextual"/>
        </w:rPr>
      </w:pPr>
      <w:r w:rsidRPr="00613639">
        <w:rPr>
          <w:kern w:val="2"/>
          <w14:ligatures w14:val="standardContextual"/>
        </w:rPr>
        <w:t>13.</w:t>
      </w:r>
      <w:r w:rsidRPr="00613639">
        <w:rPr>
          <w:kern w:val="2"/>
          <w14:ligatures w14:val="standardContextual"/>
        </w:rPr>
        <w:tab/>
        <w:t>obsoja vse nacionalne ali zakonodajne ukrepe, katerih namen je oslabiti kodifikacijo in izvrševanje sodb Sodišča Evropske unije; poziva k vzpostavitvi formalnega mehanizma, s katerim bi spremljali, ali države članice spoštujejo sodbe Sodišča Evropske unije, in priporoča, naj se spoštovanje sodb poveže z izplačili sredstev EU v okviru pogojevanja s pravno državo;</w:t>
      </w:r>
    </w:p>
    <w:p w14:paraId="143A40E9"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14.</w:t>
      </w:r>
      <w:r w:rsidRPr="00613639">
        <w:rPr>
          <w:kern w:val="2"/>
          <w14:ligatures w14:val="standardContextual"/>
        </w:rPr>
        <w:tab/>
        <w:t>ugotavlja, da je bilo v letu 2023 Sodišču predloženih 821 novih zadev (v primerjavi z 806 v letu 2022), od tega 63 % predlogov za predhodno odločanje in 28,6 % pritožb zoper odločbe Splošnega sodišča; ugotavlja, da se je v letu 2023 močno povečalo število zadev na Splošnem sodišču, in sicer z 904 v letu 2022 na 1 271 v letu 2023, kar vključuje tudi izjemen sklop 404 združenih zadev, predloženih oktobra 2023; ugotavlja, da se je v letu 2023 na Splošnem sodišču 37 % novih zadev, vključno s sklopom 404 združenih zadev, nanašalo na ukrepe v zvezi z institucionalnim pravom, 24,3 % na tožbe v zvezi z intelektualno lastnino, 6 % pa na spore med institucijami Unije in njihovimi uslužbenci; ugotavlja, da skupno število nerešenih zadev v primerjavi s prejšnjimi leti ostaja nespremenjeno: če omenjene 404 zadeve štejemo kot eno samo, je bilo konec leta 2023 nerešenih 2 587 zadev v primerjavi z 2 585 ob koncu leta 2022 in 2 541 ob koncu leta 2021;</w:t>
      </w:r>
    </w:p>
    <w:p w14:paraId="19D8D3C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15.</w:t>
      </w:r>
      <w:r w:rsidRPr="00613639">
        <w:rPr>
          <w:kern w:val="2"/>
          <w14:ligatures w14:val="standardContextual"/>
        </w:rPr>
        <w:tab/>
        <w:t>ugotavlja, da je Sodišče v letu 2023 zaključilo 783 zadev v primerjavi z 808 zadevami v letu 2022 in da je Splošno sodišče leta 2023 zaključilo 904 zadeve v primerjavi z 858 zadevami v letu 2022;</w:t>
      </w:r>
    </w:p>
    <w:p w14:paraId="2E416EC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16.</w:t>
      </w:r>
      <w:r w:rsidRPr="00613639">
        <w:rPr>
          <w:kern w:val="2"/>
          <w14:ligatures w14:val="standardContextual"/>
        </w:rPr>
        <w:tab/>
        <w:t>pozdravlja, da se je povprečno trajanje postopkov, ki jih je Sodišče zaključilo v letu 2023, skrajšalo z 16,4 meseca v letu 2022 na 16,1 meseca; ugotavlja, da so zadeve, ki jih je Splošno sodišče zaključilo, v povprečju trajale 18,2 meseca v primerjavi s 16,2 meseca v letu 2022, kar je Splošno sodišče pojasnilo z naravo in zapletenostjo postopkov v letu 2023;</w:t>
      </w:r>
    </w:p>
    <w:p w14:paraId="1F43C14E"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17.</w:t>
      </w:r>
      <w:r w:rsidRPr="00613639">
        <w:rPr>
          <w:kern w:val="2"/>
          <w14:ligatures w14:val="standardContextual"/>
        </w:rPr>
        <w:tab/>
        <w:t xml:space="preserve">ugotavlja, da se je skrajšalo povprečno obdobje za obravnavo direktnih tožb pred Sodiščem (s 23,5 meseca v letu 2022 na 20,8 meseca v letu 2023) in predlogov za </w:t>
      </w:r>
      <w:r w:rsidRPr="00613639">
        <w:rPr>
          <w:kern w:val="2"/>
          <w14:ligatures w14:val="standardContextual"/>
        </w:rPr>
        <w:lastRenderedPageBreak/>
        <w:t>sprejetje predhodnih odločb (s 17,3 meseca na 16,8 meseca); ugotavlja, da se je z vidika sodnih postopkov na Sodišču znatno povečalo število direktnih tožb, zlasti na področju okolja, in da so se vprašanja, ki so bila Sodišču predložena v predhodno odločanje v letu 2023, nanašala predvsem na območje svobode, varnosti in pravice, čemur so sledili obdavčitev, varstvo potrošnikov in promet; ugotavlja, da se je z vidika sodnih postopkov na Splošnem sodišču povečalo število zadev na področju intelektualne lastnine ter ekonomske in monetarne politike, vključno z bančništvom;</w:t>
      </w:r>
    </w:p>
    <w:p w14:paraId="055B8E3A"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18.</w:t>
      </w:r>
      <w:r w:rsidRPr="00613639">
        <w:rPr>
          <w:kern w:val="2"/>
          <w14:ligatures w14:val="standardContextual"/>
        </w:rPr>
        <w:tab/>
        <w:t>z zadovoljstvom ugotavlja, da je bila stopnja uporabe aplikacije e-Curia v letu 2023 visoka, saj sta bila registrirana 10 502 računa: prek nje je bilo predloženih 94 % vlog na Splošnem sodišču, kar je enako kot leta 2022, stopnja uporabe aplikacije e-Curia na Sodišču pa se je povečala na približno 89 % v primerjavi s 87 % leta 2022;</w:t>
      </w:r>
    </w:p>
    <w:p w14:paraId="246C0616"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19.</w:t>
      </w:r>
      <w:r w:rsidRPr="00613639">
        <w:rPr>
          <w:kern w:val="2"/>
          <w14:ligatures w14:val="standardContextual"/>
        </w:rPr>
        <w:tab/>
        <w:t>ceni napredek pri digitalizaciji sodnih arhivov, da bi ohranili dokumente za prihodnja posvetovanja ter raziskovalcem in javnosti olajšali dostop prek digitalnega portala;</w:t>
      </w:r>
    </w:p>
    <w:p w14:paraId="5F324A9D"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20.</w:t>
      </w:r>
      <w:r w:rsidRPr="00613639">
        <w:rPr>
          <w:kern w:val="2"/>
          <w14:ligatures w14:val="standardContextual"/>
        </w:rPr>
        <w:tab/>
        <w:t>pozdravlja, da je Sodišče Evropske unije razvilo pristop na podlagi uspešnosti, ki mu omogoča sprejemanje odločitev z vidika doseženih rezultatov in ravni doseganja ciljev, pri čemer za merjenje uporablja sklop kazalnikov za delovno obremenitev in operativno delovanje; ugotavlja, da ključni kazalniki uspešnosti, ki jih uporablja Sodišče Evropske unije, zajemajo širok nabor posebnih področij v podporo petim ciljem upravljanja, ki se nanašajo na pravilno delovanje Sodišča Evropske unije, digitalizacijo in nastajajoče tehnologije, odprtost in preglednost, večjezičnost in upravljanje človeških virov;</w:t>
      </w:r>
    </w:p>
    <w:p w14:paraId="276553F6"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21.</w:t>
      </w:r>
      <w:r w:rsidRPr="00613639">
        <w:rPr>
          <w:kern w:val="2"/>
          <w14:ligatures w14:val="standardContextual"/>
        </w:rPr>
        <w:tab/>
        <w:t>ugotavlja, da je bila v obdobju 2022–2023 opravljena poglobljena ocena okvira notranje kontrole Sodišča Evropske unije, ki je potrdila njegovo zanesljivost; ugotavlja, da so bili v okviru te ocene prilagojeni tokovi finančnega nadzora, da bi bile kontrole učinkovitejše;</w:t>
      </w:r>
    </w:p>
    <w:p w14:paraId="7552BF8F"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22.</w:t>
      </w:r>
      <w:r w:rsidRPr="00613639">
        <w:rPr>
          <w:kern w:val="2"/>
          <w14:ligatures w14:val="standardContextual"/>
        </w:rPr>
        <w:tab/>
        <w:t xml:space="preserve">ugotavlja, da so se najpomembnejše notranje revizije, izvedene v letu 2023, nanašale na odhodke Sodišča Evropske unije za čiščenje stavb, učinkovitost sistema notranje kontrole pri varovanju sredstev Sodišča Evropske unije za informacijsko tehnologijo in postopke za izbor uslužbencev; ugotavlja, da je bila z notranjo revizijo izvedena tudi študija o uporabi umetne inteligence na področju pravosodja </w:t>
      </w:r>
      <w:bookmarkStart w:id="6" w:name="_bookmark0"/>
      <w:bookmarkEnd w:id="6"/>
      <w:r w:rsidRPr="00613639">
        <w:rPr>
          <w:kern w:val="2"/>
          <w14:ligatures w14:val="standardContextual"/>
        </w:rPr>
        <w:t>v zvezi z izvajanjem strategije za vključevanje orodij, ki temeljijo na umetni inteligenci, v delovanje Sodišča Evropske unije; ugotavlja, da so službe Sodišča Evropske unije v številnih primerih sprejele ukrepe za izvajanje priporočil notranje revizije še pred uradnim zaključkom notranjih revizij in da je notranji revizor te ukrepe ocenil kot zadovoljive;</w:t>
      </w:r>
    </w:p>
    <w:p w14:paraId="028BBDD3" w14:textId="77777777" w:rsidR="00613639" w:rsidRPr="00613639" w:rsidRDefault="00613639" w:rsidP="00613639">
      <w:pPr>
        <w:spacing w:after="240"/>
        <w:rPr>
          <w:b/>
          <w:i/>
          <w:iCs/>
          <w:kern w:val="2"/>
          <w14:ligatures w14:val="standardContextual"/>
        </w:rPr>
      </w:pPr>
      <w:r w:rsidRPr="00613639">
        <w:rPr>
          <w:b/>
          <w:i/>
          <w:iCs/>
          <w:kern w:val="2"/>
          <w14:ligatures w14:val="standardContextual"/>
        </w:rPr>
        <w:t>Človeški viri, enakost in dobro počutje zaposlenih</w:t>
      </w:r>
    </w:p>
    <w:p w14:paraId="45FDF84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23.</w:t>
      </w:r>
      <w:r w:rsidRPr="00613639">
        <w:rPr>
          <w:kern w:val="2"/>
          <w14:ligatures w14:val="standardContextual"/>
        </w:rPr>
        <w:tab/>
        <w:t>ugotavlja, da je Sodišče Evropske unije konec leta 2023 zaposlovalo 1 340 uradnikov (58 %), 765 začasnih uslužbencev (33 %) v skladu s členi 2(a), 2(b) in 2(c) Pogojev za zaposlitev drugih uslužbencev EU ter 198 pogodbenih uslužbencev (9 %); ugotavlja, da je konec leta 2023 stopnja zasedenosti delovnih mest v kadrovskem načrtu znašala 97,11 %; ugotavlja tudi, da je letna fluktuacija zaposlenih v letu 2023 znašala 7,8 %, zlasti zato, ker se je 20 % uslužbencev Sodišča Evropske unije upokojilo;</w:t>
      </w:r>
    </w:p>
    <w:p w14:paraId="3B2AB794"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24.</w:t>
      </w:r>
      <w:r w:rsidRPr="00613639">
        <w:rPr>
          <w:kern w:val="2"/>
          <w14:ligatures w14:val="standardContextual"/>
        </w:rPr>
        <w:tab/>
        <w:t xml:space="preserve">ugotavlja, da Sodišče sestavlja 27 sodnikov in 11 generalnih pravobranilcev in da v letu 2023 ni nastopil funkcije noben nov sodnik ali generalni pravobranilec; ugotavlja tudi, da Splošno sodišče sestavlja 54 sodnikov in da sta v letu 2023 funkcijo nastopila </w:t>
      </w:r>
      <w:r w:rsidRPr="00613639">
        <w:rPr>
          <w:kern w:val="2"/>
          <w14:ligatures w14:val="standardContextual"/>
        </w:rPr>
        <w:lastRenderedPageBreak/>
        <w:t>dva nova sodnika, in sicer ena ženska in en moški; ugotavlja tudi, da je bil leta 2023 izvoljen nov sodni tajnik Splošnega sodišča;</w:t>
      </w:r>
    </w:p>
    <w:p w14:paraId="70D175F0"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25.</w:t>
      </w:r>
      <w:r w:rsidRPr="00613639">
        <w:rPr>
          <w:kern w:val="2"/>
          <w14:ligatures w14:val="standardContextual"/>
        </w:rPr>
        <w:tab/>
        <w:t>pozdravlja podrobne odgovore Sodišča Evropske unije na vprašalnik Odbora za proračunski nadzor, ki je bil predložen kot del sedanjega postopka razrešnice, zlasti v zvezi z razporeditvijo zaposlenih konec leta 2023;</w:t>
      </w:r>
      <w:r w:rsidRPr="00613639">
        <w:rPr>
          <w:b/>
          <w:i/>
          <w:kern w:val="2"/>
          <w14:ligatures w14:val="standardContextual"/>
        </w:rPr>
        <w:t xml:space="preserve"> </w:t>
      </w:r>
      <w:r w:rsidRPr="00613639">
        <w:rPr>
          <w:kern w:val="2"/>
          <w14:ligatures w14:val="standardContextual"/>
        </w:rPr>
        <w:t>ugotavlja, da je zastopanost spolov na Sodišču in Splošnem sodišču še vedno zelo neuravnotežena; izraža zadovoljstvo, da je predsednik Splošnega sodišča v letu 2024 poslal pismo predsedniku konference predstavnikov vlad držav članic, v katerem je države članice pozval, naj pri imenovanju kandidatov za zamenjavo sodnikov in generalnih pravobranilcev upoštevajo potrebo po uravnoteženi zastopanosti spolov; poziva države članice, naj pri imenovanju kandidatov za zamenjavo sodnikov upoštevajo potrebo po uravnoteženi zastopanosti spolov;</w:t>
      </w:r>
    </w:p>
    <w:p w14:paraId="2EA67BD7"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26.</w:t>
      </w:r>
      <w:r w:rsidRPr="00613639">
        <w:rPr>
          <w:kern w:val="2"/>
          <w14:ligatures w14:val="standardContextual"/>
        </w:rPr>
        <w:tab/>
        <w:t>ugotavlja, da je od 2 303 uradnikov in uslužbencev, ki so bili zaposleni konec leta 2023, 61 % žensk; pozdravlja, da je na upravnih delovnih mestih 55 % žensk, predvsem pa dejstvo, da se je njihov delež na vodstvenih položajih povečal na 43 % (leta 2022 in leta 2021 je znašal 40 %), kar potrjuje splošni trend naraščanja od leta 2018 (41 % leta 2020, 39 % leta 2019 in 37,5 % leta 2018); ugotavlja pa, da je bila zastopanost žensk najvišja v razredih asistentov, medtem ko je bila najnižja na višjih vodstvenih položajih; poziva Sodišče Evropske unije, naj poskrbi za večjo zastopanost žensk na višjih vodstvenih položajih in sprejme dodatne ukrepe za spodbujanje uravnotežene zastopanosti spolov na vseh ravneh;</w:t>
      </w:r>
      <w:r w:rsidRPr="00613639">
        <w:rPr>
          <w:color w:val="FF0000"/>
          <w:kern w:val="2"/>
          <w14:ligatures w14:val="standardContextual"/>
        </w:rPr>
        <w:t xml:space="preserve"> </w:t>
      </w:r>
      <w:r w:rsidRPr="00613639">
        <w:rPr>
          <w:kern w:val="2"/>
          <w14:ligatures w14:val="standardContextual"/>
        </w:rPr>
        <w:t>pozdravlja prizadevanja Sodišča Evropske unije za enakost, vključevanje in raznolikost, zlasti v fazi zaposlovanja;</w:t>
      </w:r>
    </w:p>
    <w:p w14:paraId="43E9A020" w14:textId="77777777" w:rsidR="00613639" w:rsidRPr="00613639" w:rsidRDefault="00613639" w:rsidP="00613639">
      <w:pPr>
        <w:spacing w:after="240"/>
        <w:ind w:left="567" w:hanging="567"/>
        <w:rPr>
          <w:b/>
          <w:i/>
          <w:kern w:val="2"/>
          <w14:ligatures w14:val="standardContextual"/>
        </w:rPr>
      </w:pPr>
      <w:r w:rsidRPr="00613639">
        <w:rPr>
          <w:kern w:val="2"/>
          <w14:ligatures w14:val="standardContextual"/>
        </w:rPr>
        <w:t>27.</w:t>
      </w:r>
      <w:r w:rsidRPr="00613639">
        <w:rPr>
          <w:kern w:val="2"/>
          <w14:ligatures w14:val="standardContextual"/>
        </w:rPr>
        <w:tab/>
        <w:t>poziva Sodišče Evropske unije, naj objavi letno poročilo o enakosti spolov in raznolikosti, da bi zagotovilo preglednost zastopanosti spolov na vseh ravneh institucije, vključno s sodniki, generalnimi pravobranilci in uslužbenci v upravi, ter predvidilo konkretne ukrepe za izboljšanje enake zastopanosti spolov na vodilnih položajih;</w:t>
      </w:r>
    </w:p>
    <w:p w14:paraId="74B0CE3A" w14:textId="77777777" w:rsidR="00613639" w:rsidRPr="00613639" w:rsidRDefault="00613639" w:rsidP="00613639">
      <w:pPr>
        <w:spacing w:after="240"/>
        <w:ind w:left="567" w:hanging="567"/>
        <w:rPr>
          <w:b/>
          <w:i/>
          <w:kern w:val="2"/>
          <w14:ligatures w14:val="standardContextual"/>
        </w:rPr>
      </w:pPr>
      <w:r w:rsidRPr="00613639">
        <w:rPr>
          <w:kern w:val="2"/>
          <w14:ligatures w14:val="standardContextual"/>
        </w:rPr>
        <w:t>28.</w:t>
      </w:r>
      <w:r w:rsidRPr="00613639">
        <w:rPr>
          <w:kern w:val="2"/>
          <w14:ligatures w14:val="standardContextual"/>
        </w:rPr>
        <w:tab/>
        <w:t>pozdravlja, da so med uslužbenci Sodišča Evropske unije zastopane vse države članice Unije, vendar ugotavlja, da so nekatere zastopane bolj kot druge; pozdravlja, da si je Sodišče Evropske unije tudi v letu 2023 prizadevalo za spodbujanje boljšega geografskega ravnovesja med svojimi uslužbenci, zlasti s spodbujanjem prepoznavnosti in privlačnosti prostih delovnih mest, zagotavljanjem in ponujanjem ugodnejših delovnih pogojev, da bi privabilo začasne uslužbence iz nekaterih manj zastopanih držav članic, ter širšim obveščanjem raznolikega občinstva o zaposlitvenih možnostih na Sodišču Evropske unije; ugotavlja, da je s programom pripravništva Sodišče Evropske unije vložilo znatna prizadevanja v privabljanje številnih nadarjenih mladih iz različnih držav članic; poziva Sodišče Evropske unije, naj preuči, ali praktikanti sorazmerno zastopajo vse države članice;</w:t>
      </w:r>
    </w:p>
    <w:p w14:paraId="3DE488C6" w14:textId="77777777" w:rsidR="00613639" w:rsidRPr="00613639" w:rsidRDefault="00613639" w:rsidP="00613639">
      <w:pPr>
        <w:spacing w:after="240"/>
        <w:ind w:left="567" w:hanging="567"/>
        <w:rPr>
          <w:b/>
          <w:i/>
          <w:kern w:val="2"/>
          <w14:ligatures w14:val="standardContextual"/>
        </w:rPr>
      </w:pPr>
      <w:r w:rsidRPr="00613639">
        <w:rPr>
          <w:kern w:val="2"/>
          <w14:ligatures w14:val="standardContextual"/>
        </w:rPr>
        <w:t>29.</w:t>
      </w:r>
      <w:r w:rsidRPr="00613639">
        <w:rPr>
          <w:kern w:val="2"/>
          <w14:ligatures w14:val="standardContextual"/>
        </w:rPr>
        <w:tab/>
        <w:t>poziva Sodišče Evropske unije, naj spodbuja večjezično delovno okolje in prizna njegov potencial za izboljšanje uravnotežene zastopanosti narodnosti med zaposlenimi; poziva vse institucije EU, naj spoštujejo in zagotavljajo načelo večjezičnosti;</w:t>
      </w:r>
    </w:p>
    <w:p w14:paraId="035FD79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30.</w:t>
      </w:r>
      <w:r w:rsidRPr="00613639">
        <w:rPr>
          <w:kern w:val="2"/>
          <w14:ligatures w14:val="standardContextual"/>
        </w:rPr>
        <w:tab/>
        <w:t xml:space="preserve">pozdravlja delo, ki ga je opravila medinstitucionalna skupina na visoki ravni, da bi se za uslužbence povečala privlačnost Luksemburga kot kraja zaposlitve; poziva Sodišče Evropske unije, naj pri različnih pobudah ohrani in okrepi sodelovanje z drugimi institucijami, ki imajo sedež v Luksemburgu; z zadovoljstvom ugotavlja, da je proračunski organ v skladu s priporočili medinstitucionalne skupine na visoki ravni za proračunsko leto 2025 odobril potrebna sredstva za dodelitev stanovanjskega dodatka </w:t>
      </w:r>
      <w:r w:rsidRPr="00613639">
        <w:rPr>
          <w:kern w:val="2"/>
          <w14:ligatures w14:val="standardContextual"/>
        </w:rPr>
        <w:lastRenderedPageBreak/>
        <w:t>zaposlenim v nižjih razredih; poziva, naj se Parlament obvešča o napredku pri pobudah, katerih namen je povečati privlačnost Luksemburga kot kraja zaposlitve;</w:t>
      </w:r>
    </w:p>
    <w:p w14:paraId="0EDE9686"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31.</w:t>
      </w:r>
      <w:r w:rsidRPr="00613639">
        <w:rPr>
          <w:kern w:val="2"/>
          <w14:ligatures w14:val="standardContextual"/>
        </w:rPr>
        <w:tab/>
        <w:t>ugotavlja, da je v letu 2023 Sodišče Evropske unije izvedlo več pobud za spodbujanje telesnega in duševnega dobrega počutja uslužbencev, in sicer s specializiranimi delavnicami in dejavnostmi ozaveščanja; ugotavlja, da so vodstveni delavci pozitivno ocenili shemo dela na daljavo, ki je začela veljati 1. maja 2022, pri čemer jih je 92 % odgovorilo, da je produktivnost uslužbencev pri delu na daljavo enakovredna ali boljša kot pred uvedbo sheme dela na daljavo; ugotavlja, da je za boljše usklajevanje poklicnega in zasebnega življenja Sodišče Evropske unije v letu 2023 svojim uslužbencem ponovno omogočilo delo na daljavo zunaj kraja zaposlitve, in sicer do največ 10 dni na leto, zlasti med sodnimi počitnicami;</w:t>
      </w:r>
    </w:p>
    <w:p w14:paraId="0C413DEB" w14:textId="77777777" w:rsidR="00613639" w:rsidRPr="00613639" w:rsidRDefault="00613639" w:rsidP="00613639">
      <w:pPr>
        <w:spacing w:after="240"/>
        <w:ind w:left="567" w:hanging="567"/>
        <w:rPr>
          <w:b/>
          <w:i/>
          <w:kern w:val="2"/>
          <w14:ligatures w14:val="standardContextual"/>
        </w:rPr>
      </w:pPr>
      <w:r w:rsidRPr="00613639">
        <w:rPr>
          <w:kern w:val="2"/>
          <w14:ligatures w14:val="standardContextual"/>
        </w:rPr>
        <w:t>32.</w:t>
      </w:r>
      <w:r w:rsidRPr="00613639">
        <w:rPr>
          <w:kern w:val="2"/>
          <w14:ligatures w14:val="standardContextual"/>
        </w:rPr>
        <w:tab/>
        <w:t>pozdravlja redne kampanje ozaveščanja, obveščanja in usposabljanja, namenjene spodbujanju vključevanja, medsebojnega spoštovanja, sodelovanja in podpore invalidom in njihovim pomočnikom;</w:t>
      </w:r>
    </w:p>
    <w:p w14:paraId="3DF10C6E"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33.</w:t>
      </w:r>
      <w:r w:rsidRPr="00613639">
        <w:rPr>
          <w:kern w:val="2"/>
          <w14:ligatures w14:val="standardContextual"/>
        </w:rPr>
        <w:tab/>
        <w:t>ugotavlja, da je v letu 2023 število dni bolniškega dopusta znašalo 20 198 dni, kar je 14,78 % manj kot leta 2022; z zaskrbljenostjo ugotavlja, da je zdravstvena služba v letu 2023 poročala o 11 primerih izgorelosti; pozdravlja, da je Sodišče Evropske unije izvedlo temeljito analizo diagnostičnih poročil, da bi odkrilo primere poklicne izgorelosti, in da se je osredotočilo na preventivne ukrepe, zlasti na okrepitev ekipe zdravstvenih in socialnih delavcev, preprečevanje psihosocialnih tveganj na delovnem mestu ter uvedbo dejavnosti ozaveščanja o pravici do odklopa in tveganjih, povezanih z nadpovprečnimi rezultati, ki so namenjene zaposlenim na vodilnem položaju; spodbuja Sodišče Evropske unije, naj se še naprej ukvarja s to težavo, da bi preprečilo nadaljnje primere izgorelosti, in obvešča Parlament o ukrepih, ki jih je sprejelo v zvezi s tem;</w:t>
      </w:r>
    </w:p>
    <w:p w14:paraId="6376AA4E"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34.</w:t>
      </w:r>
      <w:r w:rsidRPr="00613639">
        <w:rPr>
          <w:kern w:val="2"/>
          <w14:ligatures w14:val="standardContextual"/>
        </w:rPr>
        <w:tab/>
        <w:t>ugotavlja, da se je v letu 2023 začela upravna preiskava domnevnega primera spolnega nadlegovanja v zvezi z uslužbencem in da je bil ta primer leta 2024 zaključen s sankcijo; izraža zaskrbljenost, da je bil v letu 2023 sprožen tudi postopek v zvezi s sodnikom zaradi pomoči pri domnevnem nadlegovanju, vendar v tej zadevi nadlegovanje ni bilo ugotovljeno; ugotavlja, da je medresorska delovna skupina, ustanovljena marca 2023, torej pred ratifikacijo Konvencije Sveta Evrope o preprečevanju nasilja nad ženskami in nasilja v družini ter o boju proti njima, preučila pravila in postopke, ki jih Sodišče Evropske unije uporablja za preprečevanje nadlegovanja, ter podala nekatera priporočila za izboljšanje teh pravil in postopkov; spodbuja Sodišče Evropske unije, naj bo še naprej pozorno na nadlegovanje na delovnem mestu in naj ga tudi v prihodnje ne tolerira ter naj zato uvede obvezno usposabljanje o nezavednih predsodkih in etičnih standardih za vse sodnike in visoke uradnike, da se prepreči zloraba pooblastil;</w:t>
      </w:r>
    </w:p>
    <w:p w14:paraId="5A706413" w14:textId="77777777" w:rsidR="00613639" w:rsidRPr="00613639" w:rsidRDefault="00613639" w:rsidP="00613639">
      <w:pPr>
        <w:spacing w:after="240"/>
        <w:rPr>
          <w:b/>
          <w:i/>
          <w:iCs/>
          <w:kern w:val="2"/>
          <w14:ligatures w14:val="standardContextual"/>
        </w:rPr>
      </w:pPr>
      <w:r w:rsidRPr="00613639">
        <w:rPr>
          <w:b/>
          <w:i/>
          <w:iCs/>
          <w:kern w:val="2"/>
          <w14:ligatures w14:val="standardContextual"/>
        </w:rPr>
        <w:t>Etični okvir</w:t>
      </w:r>
    </w:p>
    <w:p w14:paraId="24BC22C4"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35.</w:t>
      </w:r>
      <w:r w:rsidRPr="00613639">
        <w:rPr>
          <w:kern w:val="2"/>
          <w14:ligatures w14:val="standardContextual"/>
        </w:rPr>
        <w:tab/>
        <w:t xml:space="preserve">z zadovoljstvom ugotavlja, da je bil novi kodeks ravnanja o pravicah in obveznostih uradnikov in drugih uslužbencev Sodišča Evropske unije, ki odraža njegove vrednote in zavezanost etiki, pripravljen leta 2023 in sprejet marca 2024, kot je bilo zahtevano v prejšnjih priporočilih v zvezi z razrešnico; ugotavlja, da kodeks ravnanja vključuje določbe o nasprotju interesov, dolžnosti lojalnosti, dolžnosti zaupnosti in diskretnosti, zunanjih dejavnostih, poklicnih dejavnostih po prenehanju delovnega razmerja in publikacijah ter velja tudi za napotene nacionalne strokovnjake in sodnike pripravnike, </w:t>
      </w:r>
      <w:r w:rsidRPr="00613639">
        <w:rPr>
          <w:kern w:val="2"/>
          <w14:ligatures w14:val="standardContextual"/>
        </w:rPr>
        <w:lastRenderedPageBreak/>
        <w:t>ki jih gosti Evropska mreža institucij za izobraževanje v pravosodju; ugotavlja, da so bile v letu 2023 za zaposlene in vodstvene delavce organizirane dejavnosti ozaveščanja in prenovljeno usposabljanje o kodeksu ravnanja, s posebnim poudarkom na novincih; poziva k rednemu obveznemu usposabljanju za vse zaposlene in poziva, naj se Parlament obvešča o izvajanju kodeksa ravnanja;</w:t>
      </w:r>
    </w:p>
    <w:p w14:paraId="608E8853"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36.</w:t>
      </w:r>
      <w:r w:rsidRPr="00613639">
        <w:rPr>
          <w:kern w:val="2"/>
          <w14:ligatures w14:val="standardContextual"/>
        </w:rPr>
        <w:tab/>
        <w:t>ugotavlja, da sta bila dva morebitna primera nasprotja interesov prijavljena in obravnavana v skladu z veljavnimi postopki pred začetkom veljavnosti kodeksa ravnanja, da zadevni novi uslužbenci ne bi bili vključeni v obravnavo spisov, ki so jih poznali že na prejšnjem delovnem mestu;</w:t>
      </w:r>
    </w:p>
    <w:p w14:paraId="5710D129"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37.</w:t>
      </w:r>
      <w:r w:rsidRPr="00613639">
        <w:rPr>
          <w:kern w:val="2"/>
          <w14:ligatures w14:val="standardContextual"/>
        </w:rPr>
        <w:tab/>
        <w:t>ugotavlja, da je bila po sprejetju kodeksa ravnanja za člane in nekdanje člane Sodišča Evropske unije izjava o interesih članov objavljena na spletu, da bi se izognili morebitnemu nasprotju interesov pri obravnavi zadev; ugotavlja, da Sodišče Evropske unije nenehno ocenjuje svoja notranja pravila na tem področju, da bi jih posodobilo in zagotovilo najvišje možne standarde etičnega ravnanja; poziva Sodišče Evropske unije, naj ustanovi neodvisen odbor za etiko, ki bo nadzoroval skladnost s kodeksom ravnanja in preiskoval morebitne kršitve; poziva k obveznemu letnemu usposabljanju o etiki za vse zaposlene na Sodišču Evropske unije, vključno s sodniki in generalnimi pravobranilci, da bi ohranili integriteto sodišča; poziva Sodišče Evropske unije, naj Parlament obvesti o rezultatih vseh nadaljnjih ocen učinkovitosti tega ukrepa, namenjenega preprečevanju nasprotij interesov;</w:t>
      </w:r>
    </w:p>
    <w:p w14:paraId="3B34F925" w14:textId="77777777" w:rsidR="00613639" w:rsidRPr="00613639" w:rsidRDefault="00613639" w:rsidP="00613639">
      <w:pPr>
        <w:spacing w:after="240"/>
        <w:ind w:left="567" w:hanging="567"/>
        <w:rPr>
          <w:b/>
          <w:i/>
          <w:kern w:val="2"/>
          <w14:ligatures w14:val="standardContextual"/>
        </w:rPr>
      </w:pPr>
      <w:r w:rsidRPr="00613639">
        <w:rPr>
          <w:kern w:val="2"/>
          <w14:ligatures w14:val="standardContextual"/>
        </w:rPr>
        <w:t>38.</w:t>
      </w:r>
      <w:r w:rsidRPr="00613639">
        <w:rPr>
          <w:kern w:val="2"/>
          <w14:ligatures w14:val="standardContextual"/>
        </w:rPr>
        <w:tab/>
        <w:t>pozdravlja objavo izjav o interesih članov Sodišča Evropske unije, vendar poziva k uvedbi standardnega postopka preverjanja pred imenovanjem, da bi že v zgodnji fazi odkrili in ublažili morebitna nasprotja interesov; poziva Svet, naj pripravi pregledne smernice za države članice pri imenovanju kandidatov za sodniška mesta na Sodišču Evropske unije;</w:t>
      </w:r>
    </w:p>
    <w:p w14:paraId="7A46E5D1" w14:textId="77777777" w:rsidR="00613639" w:rsidRPr="00613639" w:rsidRDefault="00613639" w:rsidP="00613639">
      <w:pPr>
        <w:spacing w:after="240"/>
        <w:ind w:left="567" w:hanging="567"/>
        <w:rPr>
          <w:b/>
          <w:i/>
          <w:kern w:val="2"/>
          <w14:ligatures w14:val="standardContextual"/>
        </w:rPr>
      </w:pPr>
      <w:r w:rsidRPr="00613639">
        <w:rPr>
          <w:kern w:val="2"/>
          <w14:ligatures w14:val="standardContextual"/>
        </w:rPr>
        <w:t>39.</w:t>
      </w:r>
      <w:r w:rsidRPr="00613639">
        <w:rPr>
          <w:kern w:val="2"/>
          <w14:ligatures w14:val="standardContextual"/>
        </w:rPr>
        <w:tab/>
        <w:t>poziva Sodišče Evropske unije, naj uvede zavezujoče pravilo o izločitvi sodnikov v primerih, v katerih v sodnem postopku nastopajo stranke, s katerimi so bili v preteklosti poklicno povezani; poziva k strožjemu preverjanju nasprotja interesov za sodnike in visoke uslužbence, vključno z rednimi posodobitvami zahtev glede razkritja finančnih informacij; poziva, naj se v primerih, ko sodniki prijavijo nasprotje interesov, odločitve o izločitvi objavijo v realnem času, da bi zagotovili večjo preglednost sodnega postopka in okrepili zaupanje javnosti v nepristranskost in integriteto Sodišča Evropske unije;</w:t>
      </w:r>
    </w:p>
    <w:p w14:paraId="0CEB79EA"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40.</w:t>
      </w:r>
      <w:r w:rsidRPr="00613639">
        <w:rPr>
          <w:kern w:val="2"/>
          <w14:ligatures w14:val="standardContextual"/>
        </w:rPr>
        <w:tab/>
        <w:t>ugotavlja, da so leta 2023 vsi člani Sodišča Evropske unije v skladu s členom 14 statuta prebivali v Luksemburgu;</w:t>
      </w:r>
    </w:p>
    <w:p w14:paraId="40B0CA91"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41.</w:t>
      </w:r>
      <w:r w:rsidRPr="00613639">
        <w:rPr>
          <w:kern w:val="2"/>
          <w14:ligatures w14:val="standardContextual"/>
        </w:rPr>
        <w:tab/>
        <w:t>ugotavlja, da je seznam zunanjih dejavnosti, ki jih izvajajo člani Sodišča in Splošnega sodišča, od leta 2018 objavljen na spletišču Sodišča Evropske unije;</w:t>
      </w:r>
      <w:r w:rsidRPr="00613639">
        <w:rPr>
          <w:b/>
          <w:i/>
          <w:kern w:val="2"/>
          <w14:ligatures w14:val="standardContextual"/>
        </w:rPr>
        <w:t xml:space="preserve"> </w:t>
      </w:r>
      <w:r w:rsidRPr="00613639">
        <w:rPr>
          <w:kern w:val="2"/>
          <w14:ligatures w14:val="standardContextual"/>
        </w:rPr>
        <w:t>ugotavlja tudi, da je seznam za širšo javnost težko razumljiv, in priporoča, da se ga revidira, da bi bil bolj jasen in informativen; ugotavlja, da se predhodna odobritev upravne seje Sodišča ali senata Splošnega sodišča izda le, če je zunanja dejavnost združljiva z zahtevami kodeksa ravnanja in obveznostmi članov, da so na voljo za sodne dejavnosti; poziva Sodišče Evropske unije, naj organ za podelitev razrešnice obvesti o vseh pobudah za izboljšanje preglednosti informacij, povezanih z zunanjimi dejavnostmi, v skladu s prejšnjimi priporočili v zvezi z razrešnico;</w:t>
      </w:r>
    </w:p>
    <w:p w14:paraId="5957FE3B"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42.</w:t>
      </w:r>
      <w:r w:rsidRPr="00613639">
        <w:rPr>
          <w:kern w:val="2"/>
          <w14:ligatures w14:val="standardContextual"/>
        </w:rPr>
        <w:tab/>
        <w:t xml:space="preserve">ugotavlja, da pravila o potovanjih, službenih potovanjih in uporabi voznikov in </w:t>
      </w:r>
      <w:r w:rsidRPr="00613639">
        <w:rPr>
          <w:kern w:val="2"/>
          <w14:ligatures w14:val="standardContextual"/>
        </w:rPr>
        <w:lastRenderedPageBreak/>
        <w:t>avtomobilov, ki od leta 2021 veljajo za člane, določajo, da Sodišče Evropske unije krije le tekoče stroške, ki nastanejo pri uporabi avtomobila za namene, povezane z izvrševanjem službenega naloga ali izvajanjem mandata v oddaljenosti do največ 10 000 km; ponovno izraža svoje stališče, da se vozni park ne bi smel uporabljati v nobenem primeru, ki ni strogo povezan z izvajanjem nalog članov Sodišča Evropske unije; je seznanjen, da je Sodišče Evropske unije poročalo, da z drugimi institucijami razpravlja o uvedbi usklajenega sklopa pravil o uporabi službenih vozil, pri čemer bi se spoštovala avtonomija vsake institucije; poziva vse institucije Unije, naj se dogovorijo o enotnem sistemu, ki bi se uporabljal horizontalno, kar bi zmanjšalo zmedo ter povečalo preglednost in učinkovitost porabe javnega denarja; poziva Sodišče Evropske unije, naj Parlament obvešča o napredku v zvezi s tem;</w:t>
      </w:r>
    </w:p>
    <w:p w14:paraId="1FC10A4F"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43.</w:t>
      </w:r>
      <w:r w:rsidRPr="00613639">
        <w:rPr>
          <w:kern w:val="2"/>
          <w14:ligatures w14:val="standardContextual"/>
        </w:rPr>
        <w:tab/>
        <w:t>ugotavlja, da je bil primer urada OLAF, omenjen v predhodnih resolucijah o razrešnici, ki se je nanašal na ravnanje uslužbenca, ki bi lahko pomenilo resno kršitev njegovih obveznosti, zaključen leta 2023; ugotavlja, da Sodišče Evropske unije v letu 2023 ni seznanjeno z nobeno novo preiskavo ali priporočilom urada OLAF;</w:t>
      </w:r>
    </w:p>
    <w:p w14:paraId="4BB52941"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44.</w:t>
      </w:r>
      <w:r w:rsidRPr="00613639">
        <w:rPr>
          <w:kern w:val="2"/>
          <w14:ligatures w14:val="standardContextual"/>
        </w:rPr>
        <w:tab/>
        <w:t>ugotavlja, da Sodišče Evropske unije v letu 2023 ni poročalo o primerih goljufije, korupcije ali zlorabe sredstev Unije; ugotavlja, da je strategija Sodišča Evropske unije za boj proti goljufijam sestavni del njegovega integriranega okvira notranje kontrole in obvladovanja tveganj, s posebnim poudarkom na tveganjih nepravilnega razkritja informacij;</w:t>
      </w:r>
    </w:p>
    <w:p w14:paraId="7FFC710F" w14:textId="77777777" w:rsidR="00613639" w:rsidRPr="00613639" w:rsidRDefault="00613639" w:rsidP="00613639">
      <w:pPr>
        <w:spacing w:after="240"/>
        <w:rPr>
          <w:b/>
          <w:i/>
          <w:iCs/>
          <w:kern w:val="2"/>
          <w14:ligatures w14:val="standardContextual"/>
        </w:rPr>
      </w:pPr>
      <w:r w:rsidRPr="00613639">
        <w:rPr>
          <w:b/>
          <w:i/>
          <w:iCs/>
          <w:kern w:val="2"/>
          <w14:ligatures w14:val="standardContextual"/>
        </w:rPr>
        <w:t>Preglednost in dostop državljanov do pravnega varstva</w:t>
      </w:r>
    </w:p>
    <w:p w14:paraId="128A5379"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45.</w:t>
      </w:r>
      <w:r w:rsidRPr="00613639">
        <w:rPr>
          <w:kern w:val="2"/>
          <w14:ligatures w14:val="standardContextual"/>
        </w:rPr>
        <w:tab/>
        <w:t>pozdravlja prizadevanja Sodišča Evropske unije, da bi povečalo preglednost, dostop do pravnega varstva in dostop javnosti, s čimer prispeva k spodbujanju zaupanja javnosti v institucije Unije;</w:t>
      </w:r>
    </w:p>
    <w:p w14:paraId="5FB108B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46.</w:t>
      </w:r>
      <w:r w:rsidRPr="00613639">
        <w:rPr>
          <w:kern w:val="2"/>
          <w14:ligatures w14:val="standardContextual"/>
        </w:rPr>
        <w:tab/>
        <w:t>ugotavlja, da je Sodišče Evropske unije leta 2023 konsolidiralo storitev pretočnega predvajanja obravnav Sodišča in Splošnega sodišča na spletišču Curia, s čimer je državljanom olajšalo dostop do svojih sodnih dejavnosti; pozdravlja, da se je spletišče CURIA izboljšalo z vidika strukture, funkcionalnosti in vsebine; pozdravlja, da se od leta 2023 na spletišču Curia v živo prenašajo izrekanje sodb Sodišča, branje sklepnih predlogov generalnih pravobranilcev, obravnave pred velikim senatom in nekatere obravnave pred senatom s petimi sodniki; poziva Sodišče Evropske unije, naj še izboljša preglednost, tako da vse obravnave tako Sodišča kot Splošnega sodišča prenaša na svojem spletišču ter jih trajno shrani na spletu;</w:t>
      </w:r>
    </w:p>
    <w:p w14:paraId="25A86ACA"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47.</w:t>
      </w:r>
      <w:r w:rsidRPr="00613639">
        <w:rPr>
          <w:kern w:val="2"/>
          <w14:ligatures w14:val="standardContextual"/>
        </w:rPr>
        <w:tab/>
        <w:t>pozdravlja, da bo Sodišče Evropske unije po reformi svojega statuta objavilo vloge ali pisna stališča, vložena v postopkih predhodnega odločanja, in sicer po koncu teh postopkov, razen če oseba nasprotuje objavi svoje vloge ali pisnih stališč; poudarja, da bo takšna objava izboljšala preglednost in dostop državljanov do pravnega varstva, ter poziva Sodišče Evropske unije, naj na svojem spletišču objavi vse dokumente, povezane s spisom; poziva Sodišče Evropske unije, naj uvede postopek, ki bi ga lahko katera koli oseba uporabila za pridobitev notranjega dostopa do vseh dokumentov, povezanih z zadevo;</w:t>
      </w:r>
    </w:p>
    <w:p w14:paraId="49158918"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48.</w:t>
      </w:r>
      <w:r w:rsidRPr="00613639">
        <w:rPr>
          <w:kern w:val="2"/>
          <w14:ligatures w14:val="standardContextual"/>
        </w:rPr>
        <w:tab/>
        <w:t xml:space="preserve">ugotavlja, da sta Splošno sodišče v aprilu 2023 in Sodišče v septembru 2024 sprejela pravila o uporabi videokonferenc, na podlagi katerih lahko stranka zahteva videokonferenco, kadar predstavnik stranke iz varnostnih ali drugih resnih razlogov ne </w:t>
      </w:r>
      <w:r w:rsidRPr="00613639">
        <w:rPr>
          <w:kern w:val="2"/>
          <w14:ligatures w14:val="standardContextual"/>
        </w:rPr>
        <w:lastRenderedPageBreak/>
        <w:t>more osebno sodelovati na obravnavi;</w:t>
      </w:r>
    </w:p>
    <w:p w14:paraId="5A394305"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49.</w:t>
      </w:r>
      <w:r w:rsidRPr="00613639">
        <w:rPr>
          <w:kern w:val="2"/>
          <w14:ligatures w14:val="standardContextual"/>
        </w:rPr>
        <w:tab/>
        <w:t>ugotavlja, da se pravila iz sklepa Sodišča Evropske unije z dne 26. novembra 2019 o dostopu javnosti do dokumentov, ki jih pri opravljanju svoje upravne funkcije hrani Sodišče Evropske unije, ne uporabljajo za sodne dokumente, katerih dostop je urejen s poslovnikom Sodišča ali poslovnikom Splošnega sodišča; ugotavlja, da je Sodišče Evropske unije v letu 2023 evidentiralo 21 prošenj za dostop javnosti do upravnih dokumentov, pri čemer je dostop do njih odobrilo v 12 primerih; ugotavlja, da Evropski varuh človekovih pravic v letu 2023 ni odkril primerov nepravilnosti na Sodišču Evropske unije;</w:t>
      </w:r>
    </w:p>
    <w:p w14:paraId="61CD06D5"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50.</w:t>
      </w:r>
      <w:r w:rsidRPr="00613639">
        <w:rPr>
          <w:kern w:val="2"/>
          <w14:ligatures w14:val="standardContextual"/>
        </w:rPr>
        <w:tab/>
        <w:t>poziva Sodišče Evropske unije, naj poenostavi postopek iskanja konkretnih sodb prek spletišča e-curia; pozdravlja prizadevanja za oblikovanje vmesnika, ki bi bil uporabnikom prijaznejši in bolj intuitiven;</w:t>
      </w:r>
    </w:p>
    <w:p w14:paraId="118C086D" w14:textId="77777777" w:rsidR="00613639" w:rsidRPr="00613639" w:rsidRDefault="00613639" w:rsidP="00613639">
      <w:pPr>
        <w:spacing w:after="240"/>
        <w:rPr>
          <w:b/>
          <w:i/>
          <w:iCs/>
          <w:kern w:val="2"/>
          <w14:ligatures w14:val="standardContextual"/>
        </w:rPr>
      </w:pPr>
      <w:r w:rsidRPr="00613639">
        <w:rPr>
          <w:b/>
          <w:i/>
          <w:iCs/>
          <w:kern w:val="2"/>
          <w14:ligatures w14:val="standardContextual"/>
        </w:rPr>
        <w:t>Digitalizacija, kibernetska varnost in varstvo podatkov</w:t>
      </w:r>
    </w:p>
    <w:p w14:paraId="442BF86B"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51.</w:t>
      </w:r>
      <w:r w:rsidRPr="00613639">
        <w:rPr>
          <w:kern w:val="2"/>
          <w14:ligatures w14:val="standardContextual"/>
        </w:rPr>
        <w:tab/>
        <w:t>ugotavlja, da so se v letu 2023 proračunski odhodki v primerjavi z letom 2022 povečali za 10,9 % za projekte IT, 13 % za opremo IT, 59 % za projekte kibernetske varnosti in 72 % za storitve, licence in opremo na področju kibernetske varnosti;</w:t>
      </w:r>
    </w:p>
    <w:p w14:paraId="65E5EAE6"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52.</w:t>
      </w:r>
      <w:r w:rsidRPr="00613639">
        <w:rPr>
          <w:kern w:val="2"/>
          <w14:ligatures w14:val="standardContextual"/>
        </w:rPr>
        <w:tab/>
        <w:t xml:space="preserve">ugotavlja, da je izvajanje večjih projektov digitalizacije v okviru strategije za digitalno preobrazbo v </w:t>
      </w:r>
      <w:r w:rsidRPr="00613639">
        <w:rPr>
          <w:rFonts w:eastAsia="Aptos"/>
          <w:kern w:val="2"/>
          <w:szCs w:val="24"/>
          <w:lang w:eastAsia="en-US"/>
          <w14:ligatures w14:val="standardContextual"/>
        </w:rPr>
        <w:t>letu 2023</w:t>
      </w:r>
      <w:r w:rsidRPr="00613639">
        <w:rPr>
          <w:kern w:val="2"/>
          <w14:ligatures w14:val="standardContextual"/>
        </w:rPr>
        <w:t xml:space="preserve"> ostalo prednostna naloga Sodišča Evropske unije, kot so razvoj integriranega sistema vodenja zadev (SIGA), spodbujanje uporabe aplikacije e-Curia za vložitev in priglasitev postopkovnih dokumentov z elektronskimi sredstvi, sprejetje elektronskega podpisa in sprejetje elektronskega sistema HAN/Ares za evidentiranje in upravljanje dokumentov; ugotavlja, da Sodišče Evropske unije spremlja donosnost naložb v projekte digitalizacije, in sicer z vidika stroškov in učinkovitosti virov, ter ga poziva, naj organ za podelitev razrešnice obvešča o svojih ugotovitvah na tem področju;</w:t>
      </w:r>
    </w:p>
    <w:p w14:paraId="40716514"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53.</w:t>
      </w:r>
      <w:r w:rsidRPr="00613639">
        <w:rPr>
          <w:kern w:val="2"/>
          <w14:ligatures w14:val="standardContextual"/>
        </w:rPr>
        <w:tab/>
        <w:t>ugotavlja, da je Sodišče Evropske unije v okviru svoje celovite pobude za povečanje dostopnosti in vključevanja ranljivih oseb še naprej izvajalo pristop „vgrajene dostopnosti“ pri vseh spremembah in razvoju sistemov IT; ugotavlja, da je Sodišče Evropske unije po reviziji spletišča Curia začelo izboljševati dostopnost spletišča za najrazličnejše uporabnike, kot so slabovidne osebe, osebe z okvarami sluha ali osebe z motnjami pri učenju;</w:t>
      </w:r>
    </w:p>
    <w:p w14:paraId="593F7CD7" w14:textId="77777777" w:rsidR="00613639" w:rsidRPr="00613639" w:rsidRDefault="00613639" w:rsidP="00613639">
      <w:pPr>
        <w:spacing w:after="240"/>
        <w:ind w:left="567" w:hanging="567"/>
        <w:rPr>
          <w:i/>
          <w:kern w:val="2"/>
          <w14:ligatures w14:val="standardContextual"/>
        </w:rPr>
      </w:pPr>
      <w:r w:rsidRPr="00613639">
        <w:rPr>
          <w:kern w:val="2"/>
          <w14:ligatures w14:val="standardContextual"/>
        </w:rPr>
        <w:t>54.</w:t>
      </w:r>
      <w:r w:rsidRPr="00613639">
        <w:rPr>
          <w:kern w:val="2"/>
          <w14:ligatures w14:val="standardContextual"/>
        </w:rPr>
        <w:tab/>
        <w:t xml:space="preserve">ugotavlja, da je Sodišče Evropske unije izvedlo več projektov, ki temeljijo na umetni inteligenci, kot so avtomatizacija analize dokumentov za sklicevanja na veljavno zakonodajo, pomoč pri preverjanju računov z robotskimi postopki in zapisi obravnav, v skladu z novo strategijo za vključevanje umetne inteligence, sprejeto junija 2023; poudarja, da je bistvenega pomena, da se umetna inteligenca uporablja na način, ki v celoti ohranja neodvisnost, kakovost in trdnost pravnih postopkov ter da se pri tem v celoti upoštevajo etična vprašanja in da se uporablja pod človeškim nadzorom ter omogoča človekovo posredovanje, da bi se izognili negativnim posledicam ali tveganjem ali ustavili sistem, če ne deluje, kot je bilo predvideno; ugotavlja, da je Sodišče Evropske unije v okviru te strategije ustanovilo upravni odbor za umetno inteligenco, sestavljen iz članov Sodišča in Splošnega sodišča, ki bo nadzoroval etične vidike uporabe umetne inteligence na Sodišču Evropske unije in določil jasne meje za njeno uporabo; pozdravlja smernice za zaposlene o uporabi umetne inteligence, ki jih je izdal upravni odbor; pozdravlja obstoječe pobude za izpopolnjevanje zaposlenih na </w:t>
      </w:r>
      <w:r w:rsidRPr="00613639">
        <w:rPr>
          <w:kern w:val="2"/>
          <w14:ligatures w14:val="standardContextual"/>
        </w:rPr>
        <w:lastRenderedPageBreak/>
        <w:t>področju digitalnih kompetenc z usposabljanjem, razvitim v sodelovanju z medinstitucionalnim odborom za digitalno preobrazbo; poudarja, da bosta digitalizacija pravosodja in uvajanje novih tehnologij, kot je umetna inteligenca, prinesla pomembne prednosti za učinkovito delovanje Sodišča Evropske unije; vendar priporoča, naj Sodišče Evropske unije predvidi s tem povezana tveganja za kibernetsko varnost in še bolj okrepi svoje sodelovanje z Agencijo EU za kibernetsko varnost in CERT-EU;</w:t>
      </w:r>
    </w:p>
    <w:p w14:paraId="73A5365E"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55.</w:t>
      </w:r>
      <w:r w:rsidRPr="00613639">
        <w:rPr>
          <w:kern w:val="2"/>
          <w14:ligatures w14:val="standardContextual"/>
        </w:rPr>
        <w:tab/>
        <w:t>ugotavlja, da Evropski nadzornik za varstvo podatkov v letu 2023 ni posredoval nobenih poizvedb Sodišču Evropske unije; ugotavlja, da Evropski nadzornik za varstvo podatkov po preiskavi o uporabi storitev v oblaku, ki jih zagotavlja Amazon Web Services, v letu 2023 na Sodišče Evropske unije ni naslovil nobenega posebnega priporočila; ugotavlja, da je Evropski nadzornik za varstvo podatkov leta 2023 objavil sklep, s katerim je potrdil, da Sodišče Evropske unije uporablja videokonferenčne storitve v oblaku v skladu z zakonodajo o varstvu podatkov; vendar ponovno izraža zaskrbljenost glede uporabe zunanjih storitev v oblaku zaradi vse večjih groženj na področju kibernetske varnosti in digitalne suverenosti;</w:t>
      </w:r>
    </w:p>
    <w:p w14:paraId="2423B46D"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56.</w:t>
      </w:r>
      <w:r w:rsidRPr="00613639">
        <w:rPr>
          <w:kern w:val="2"/>
          <w14:ligatures w14:val="standardContextual"/>
        </w:rPr>
        <w:tab/>
        <w:t>pozdravlja, da je Sodišče Evropske unije v letu 2023 sprejelo načrt za kibernetsko varnost in okrepilo svoje operativne zmogljivosti za kibernetsko varnost, da bi svoje sisteme bolje zaščitilo pred vse večjim številom kibernetskih napadov; poleg tega poudarja, da je trdna strategija za kibernetsko varnost bistveno orodje za boj proti tujemu vmešavanju, katerega cilj je spodkopati integriteto evropskih institucij; ugotavlja, da je Sodišče Evropske unije sprejelo različne ukrepe za okrepitev svoje pripravljenosti na področju kibernetske varnosti in sposobnosti okrevanja po varnostnih incidentih, tudi s sodelovanjem pri upravljanju Medinstitucionalnega odbora za kibernetsko varnost ter s kombinacijo kontrol in orodij na področju kibernetske varnosti v skladu s priporočili skupine CERT-EU; ugotavlja, da je proračunski organ za proračunsko leto 2025 odobril potrebna sredstva za dve dodatni delovni mesti, da bi okrepili kadrovske zmogljivosti Sodišča Evropske unije na področju kibernetske varnosti;</w:t>
      </w:r>
    </w:p>
    <w:p w14:paraId="08CD923E"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57.</w:t>
      </w:r>
      <w:r w:rsidRPr="00613639">
        <w:rPr>
          <w:kern w:val="2"/>
          <w14:ligatures w14:val="standardContextual"/>
        </w:rPr>
        <w:tab/>
        <w:t>pozdravlja sprejete ukrepe, kot so revizije kibernetske varnosti, usposabljanje zaposlenih in protokoli za hitro odzivanje na incidente, da bi tehnološko infrastrukturo Sodišča Evropske unije zaščitili pred kibernetskimi grožnjami; poudarja, da bosta digitalizacija pravosodja in uporaba novih tehnologij, kot je umetna inteligenca, prinesli številne koristi v smislu nemotenega delovanja Sodišča Evropske unije, pa tudi tveganja, ki jih mora Sodišče Evropske unije predvideti in se pred njimi zaščititi; v zvezi s tem predlaga, naj Sodišče Evropske unije razvije strategijo za kibernetsko varnost in izboljša sodelovanje z drugimi institucijami Unije, zlasti agencijo ENISA (Agencija EU za kibernetsko varnost), pri preprečevanju kibernetskih napadov, katerih število in izpopolnjenost se v Evropi eksponentno povečujeta;</w:t>
      </w:r>
    </w:p>
    <w:p w14:paraId="5170036E"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58.</w:t>
      </w:r>
      <w:r w:rsidRPr="00613639">
        <w:rPr>
          <w:kern w:val="2"/>
          <w14:ligatures w14:val="standardContextual"/>
        </w:rPr>
        <w:tab/>
        <w:t>pozdravlja pobudo, da se anonimiziranim primerom z računalniškim samodejnim generatorjem imen dodelijo izmišljena imena, s čimer bi izboljšali varstvo osebnih podatkov in olajšali identifikacijo posameznih primerov;</w:t>
      </w:r>
    </w:p>
    <w:p w14:paraId="5140618F"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59.</w:t>
      </w:r>
      <w:r w:rsidRPr="00613639">
        <w:rPr>
          <w:kern w:val="2"/>
          <w14:ligatures w14:val="standardContextual"/>
        </w:rPr>
        <w:tab/>
        <w:t>z zadovoljstvom ugotavlja, da je bil spremenjen poslovnik Splošnega sodišča, ki bo pojasnil in poenostavil sodne postopke, vključno z možnostjo uporabe videokonferenc za obravnave, elektronskim podpisom sklepov in določitvijo pilotnih zadev;</w:t>
      </w:r>
    </w:p>
    <w:p w14:paraId="2DEB998B" w14:textId="77777777" w:rsidR="00613639" w:rsidRPr="00613639" w:rsidRDefault="00613639" w:rsidP="00613639">
      <w:pPr>
        <w:spacing w:after="240"/>
        <w:rPr>
          <w:b/>
          <w:i/>
          <w:iCs/>
          <w:kern w:val="2"/>
          <w14:ligatures w14:val="standardContextual"/>
        </w:rPr>
      </w:pPr>
      <w:r w:rsidRPr="00613639">
        <w:rPr>
          <w:b/>
          <w:i/>
          <w:iCs/>
          <w:kern w:val="2"/>
          <w14:ligatures w14:val="standardContextual"/>
        </w:rPr>
        <w:t>Stavbe</w:t>
      </w:r>
    </w:p>
    <w:p w14:paraId="426E473B" w14:textId="77777777" w:rsidR="00613639" w:rsidRPr="00613639" w:rsidRDefault="00613639" w:rsidP="00613639">
      <w:pPr>
        <w:spacing w:before="240" w:after="240"/>
        <w:ind w:left="567" w:hanging="567"/>
        <w:rPr>
          <w:kern w:val="2"/>
          <w14:ligatures w14:val="standardContextual"/>
        </w:rPr>
      </w:pPr>
      <w:r w:rsidRPr="00613639">
        <w:rPr>
          <w:kern w:val="2"/>
          <w14:ligatures w14:val="standardContextual"/>
        </w:rPr>
        <w:lastRenderedPageBreak/>
        <w:t>60.</w:t>
      </w:r>
      <w:r w:rsidRPr="00613639">
        <w:rPr>
          <w:kern w:val="2"/>
          <w14:ligatures w14:val="standardContextual"/>
        </w:rPr>
        <w:tab/>
        <w:t>ugotavlja, da so se na podlagi razmisleka o najučinkovitejši uporabi prostorov Sodišča Evropske unije, v katerem je sodelovalo več služb in ki je bil zaključen leta 2023, začeli izvajati pilotni projekti; ugotavlja, da se bodo rezultati teh projektov, skupaj z drugimi dejavniki, kot so okoljski in proračunski vidiki, kakovost pravosodja, dobro počutje na delovnem mestu, vključevanje, dostopnost in privlačnost Sodišča Evropske unije, upoštevali pri končni odločitvi o uporabi stavb Sodišča Evropske unije; poziva, naj se Parlament obvešča o izvajanju teh sklepov in posledicah za organizacijo delovnega prostora;</w:t>
      </w:r>
    </w:p>
    <w:p w14:paraId="1BAF8531" w14:textId="77777777" w:rsidR="00613639" w:rsidRPr="00613639" w:rsidRDefault="00613639" w:rsidP="00613639">
      <w:pPr>
        <w:spacing w:before="240" w:after="240"/>
        <w:ind w:left="567" w:hanging="567"/>
        <w:rPr>
          <w:kern w:val="2"/>
          <w14:ligatures w14:val="standardContextual"/>
        </w:rPr>
      </w:pPr>
      <w:r w:rsidRPr="00613639">
        <w:rPr>
          <w:kern w:val="2"/>
          <w14:ligatures w14:val="standardContextual"/>
        </w:rPr>
        <w:t>61.</w:t>
      </w:r>
      <w:r w:rsidRPr="00613639">
        <w:rPr>
          <w:kern w:val="2"/>
          <w14:ligatures w14:val="standardContextual"/>
        </w:rPr>
        <w:tab/>
        <w:t>ugotavlja, da je Sodišče Evropske unije v letu 2023 nadaljevalo s celovito pobudo, katere namen je povečati dostopnost in vključevanje za invalide, da se vsem posameznikom, udeležencem v postopkih in obiskovalcem zagotovi fizični ali virtualni dostop do Sodišča Evropske unije; ugotavlja tudi, da je Sodišče Evropske unije leta 2023 začelo pripravljati popis svoje infrastrukture, da bi od 1. januarja 2032 izpolnjevalo novo nacionalno zakonodajo o dostopnosti; poziva, naj se Parlament obvešča o nadaljnjih pobudah na tem področju;</w:t>
      </w:r>
    </w:p>
    <w:p w14:paraId="37956BB6" w14:textId="77777777" w:rsidR="00613639" w:rsidRPr="00613639" w:rsidRDefault="00613639" w:rsidP="00613639">
      <w:pPr>
        <w:spacing w:after="240"/>
        <w:rPr>
          <w:b/>
          <w:i/>
          <w:iCs/>
          <w:kern w:val="2"/>
          <w14:ligatures w14:val="standardContextual"/>
        </w:rPr>
      </w:pPr>
      <w:r w:rsidRPr="00613639">
        <w:rPr>
          <w:b/>
          <w:i/>
          <w:iCs/>
          <w:kern w:val="2"/>
          <w14:ligatures w14:val="standardContextual"/>
        </w:rPr>
        <w:t>Okolje in trajnostnost</w:t>
      </w:r>
    </w:p>
    <w:p w14:paraId="7A5206D2" w14:textId="77777777" w:rsidR="00613639" w:rsidRPr="00613639" w:rsidRDefault="00613639" w:rsidP="00613639">
      <w:pPr>
        <w:spacing w:after="240"/>
        <w:ind w:left="567" w:hanging="567"/>
        <w:rPr>
          <w:b/>
          <w:i/>
          <w:kern w:val="2"/>
          <w14:ligatures w14:val="standardContextual"/>
        </w:rPr>
      </w:pPr>
      <w:r w:rsidRPr="00613639">
        <w:rPr>
          <w:kern w:val="2"/>
          <w14:ligatures w14:val="standardContextual"/>
        </w:rPr>
        <w:t>62.</w:t>
      </w:r>
      <w:r w:rsidRPr="00613639">
        <w:rPr>
          <w:kern w:val="2"/>
          <w14:ligatures w14:val="standardContextual"/>
        </w:rPr>
        <w:tab/>
        <w:t>z zadovoljstvom ugotavlja, da je Sodišče Evropske unije v letu 2023 z ukrepi varčevanja z energijo in optimizacije infrastrukture za ogrevanje, hlajenje in razsvetljavo še dodatno znatno zmanjšalo porabo energije in ogljični odtis v primerjavi z letom 2015, ki je izhodišče za izvajanje strategije Sodišča Evropske unije za okoljsko ravnanje in presojo; ugotavlja, da se je v letu 2023 v primerjavi z letom 2015 poraba ogrevanja zmanjšala za 33,5 %, električne energije za 28,7 %, vode za 20,1 %, pisarniškega papirja za 63 %, odpadki iz pisarn in menz za 43 %, emisije toplogrednih plinov pa za 30,2 %; pozdravlja, da je Sodišče Evropske unije uporabilo merila za zelena javna naročila pri desetih razpisih za zbiranje ponudb v vrednosti nad 60 000 EUR; pozdravlja njegovo zavezanost sistemu za okoljsko ravnanje in presojo (EMAS); ga spodbuja, naj si še naprej prizadeva zmanjšati svoj vpliv na okolje s strategijo za doseganje ogljične nevtralnosti do leta 2035;</w:t>
      </w:r>
    </w:p>
    <w:p w14:paraId="37DCA119"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63.</w:t>
      </w:r>
      <w:r w:rsidRPr="00613639">
        <w:rPr>
          <w:kern w:val="2"/>
          <w14:ligatures w14:val="standardContextual"/>
        </w:rPr>
        <w:tab/>
        <w:t>pozdravlja, da je Sodišče Evropske unije sprejelo več pobud za podporo in povečanje trajnostne mobilnosti svojih zaposlenih in članov, vključno s subvencijami za javni prevoz, subvencijami za samopostrežna kolesa, izboljšanimi parkirišči za kolesa ter boljšo infrastrukturo za hibridne in električne avtomobile;</w:t>
      </w:r>
    </w:p>
    <w:p w14:paraId="261D0AD5" w14:textId="77777777" w:rsidR="00613639" w:rsidRPr="00613639" w:rsidRDefault="00613639" w:rsidP="00613639">
      <w:pPr>
        <w:spacing w:after="240"/>
        <w:rPr>
          <w:b/>
          <w:i/>
          <w:iCs/>
          <w:kern w:val="2"/>
          <w14:ligatures w14:val="standardContextual"/>
        </w:rPr>
      </w:pPr>
      <w:r w:rsidRPr="00613639">
        <w:rPr>
          <w:b/>
          <w:i/>
          <w:iCs/>
          <w:kern w:val="2"/>
          <w14:ligatures w14:val="standardContextual"/>
        </w:rPr>
        <w:t>Medinstitucionalno sodelovanje</w:t>
      </w:r>
    </w:p>
    <w:p w14:paraId="4335638C"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64.</w:t>
      </w:r>
      <w:r w:rsidRPr="00613639">
        <w:rPr>
          <w:kern w:val="2"/>
          <w14:ligatures w14:val="standardContextual"/>
        </w:rPr>
        <w:tab/>
        <w:t>pozdravlja proračunske prihranke, dosežene s sodelovanjem z drugimi institucijami, zlasti s skupnimi aplikacijami in storitvami gostovanja na podlagi sporazumov o ravni storitev s Komisijo, pa tudi s sodelovanjem v medinstitucionalnih postopkih javnega naročanja, ki so Sodišču Evropske unije omogočili optimizacijo stroškov in virov;</w:t>
      </w:r>
    </w:p>
    <w:p w14:paraId="7238C75A"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65.</w:t>
      </w:r>
      <w:r w:rsidRPr="00613639">
        <w:rPr>
          <w:kern w:val="2"/>
          <w14:ligatures w14:val="standardContextual"/>
        </w:rPr>
        <w:tab/>
        <w:t xml:space="preserve">pozdravlja prizadevanja Evropske mreže institucij za izobraževanje v pravosodju (EJTN) pri usposabljanju nacionalnih sodnikov o pravu EU; z zadovoljstvom ugotavlja, da sta si v letu 2023 Sodišče Evropske unije in Evropska mreža institucij za izobraževanje v pravosodju v skladu z izjavo Sodišča Evropske unije z naslovom Podpora Evropski mreži institucij za izobraževanje v pravosodju pri oblikovanju trajnostne evropske pravosodne kulture prizadevala povečati raznolikost pripravnikov, ki pripravništvo opravljajo daljši čas, da bi se njihovo število v končni fazi povečalo na </w:t>
      </w:r>
      <w:r w:rsidRPr="00613639">
        <w:rPr>
          <w:kern w:val="2"/>
          <w14:ligatures w14:val="standardContextual"/>
        </w:rPr>
        <w:lastRenderedPageBreak/>
        <w:t>enega na državo članico; ugotavlja, da so bili sprejeti ukrepi že uspešni, saj ima Sodišče Evropske unije pripravnike iz nekaterih držav članic, ki prej niso dejavno sodelovale v programu; ugotavlja, da je bilo za obdobje 2023–2024 ponujenih 15 plačanih pripravništev; poziva Sodišče Evropske unije, naj še naprej razvija svoje pobude za izmenjavo znanja, vključno s skupnimi podatkovnimi zbirkami sodne prakse in virtualnimi platformami za sodelovanje, da bi podprl nacionalna sodišča pri zapletenih pravnih razlagah;</w:t>
      </w:r>
    </w:p>
    <w:p w14:paraId="0744AB34"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66.</w:t>
      </w:r>
      <w:r w:rsidRPr="00613639">
        <w:rPr>
          <w:kern w:val="2"/>
          <w14:ligatures w14:val="standardContextual"/>
        </w:rPr>
        <w:tab/>
        <w:t>poudarja, da bi moralo biti pripravništvo plačano, da bi ga uskladili z resolucijo Evropskega parlamenta z dne 14. junija 2023 o kakovostnih pripravništvih v Uniji (2020/2005 INL), ki zahteva, naj bodo vsa pripravništva v Evropi plačana; pozdravlja, da trenutno vsi pripravniki na Sodišču Evropske unije prejemajo nadomestilo, predvsem od Sodišča Evropske unije, v nekaterih posebnih primerih pa iz drugih virov; ugotavlja, da Sodišče Evropske unije sprejema za kratka obdobja (v povprečju 2 meseca) le nekaj pripravnikov (manj kot 10 na leto), ki jih plačujejo drugi viri; pozdravlja, da uprava Sodišča Evropske unije v takih primerih skrbno preveri, ali ti pripravniki prejemajo nadomestilo, dodatek ali plačilo za pripravništvo, ki ga neposredno plača njihov delodajalec ali akademska ustanova;</w:t>
      </w:r>
    </w:p>
    <w:p w14:paraId="7068A5C1"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67.</w:t>
      </w:r>
      <w:r w:rsidRPr="00613639">
        <w:rPr>
          <w:kern w:val="2"/>
          <w14:ligatures w14:val="standardContextual"/>
        </w:rPr>
        <w:tab/>
        <w:t>ceni, da Sodišče Evropske unije v celoti sodeluje z uradom OLAF, Sodiščem, Evropskim nadzornikom za varstvo podatkov in Evropskim varuhom človekovih pravic; ugotavlja, da si je Sodišče Evropske unije v letu 2023 še naprej prizadevalo za ohranitev vzpostavljenega dialoga z nacionalnimi sodišči, zlasti z ustavnimi in vrhovnimi sodišči, ter da je Sodišče Evropske unije gostilo številna srečanja, med drugim letno srečanje nacionalnih sodnikov; spodbuja tesnejše sodelovanje med Sodiščem Evropske unije in nacionalnimi sodišči, da bi okrepili enotno uporabo prava Unije; priporoča vzpostavitev stalnega programa izmenjav za sodnike iz držav članic, ki bo sodnikom iz držav članic omogočil skupno delo s kolegi sodniki s Sodišča Evropske unije, s čimer bi se spodbujale najboljše prakse pri razlagi prava Unije;</w:t>
      </w:r>
    </w:p>
    <w:p w14:paraId="79ABE255" w14:textId="77777777" w:rsidR="00613639" w:rsidRPr="00613639" w:rsidRDefault="00613639" w:rsidP="00613639">
      <w:pPr>
        <w:spacing w:after="240"/>
        <w:rPr>
          <w:b/>
          <w:i/>
          <w:iCs/>
          <w:kern w:val="2"/>
          <w14:ligatures w14:val="standardContextual"/>
        </w:rPr>
      </w:pPr>
      <w:r w:rsidRPr="00613639">
        <w:rPr>
          <w:b/>
          <w:i/>
          <w:iCs/>
          <w:kern w:val="2"/>
          <w14:ligatures w14:val="standardContextual"/>
        </w:rPr>
        <w:t>Komuniciranje</w:t>
      </w:r>
    </w:p>
    <w:p w14:paraId="5216D595" w14:textId="77777777" w:rsidR="00613639" w:rsidRPr="00613639" w:rsidRDefault="00613639" w:rsidP="00613639">
      <w:pPr>
        <w:spacing w:after="240"/>
        <w:ind w:left="567" w:hanging="567"/>
        <w:rPr>
          <w:kern w:val="2"/>
          <w14:ligatures w14:val="standardContextual"/>
        </w:rPr>
      </w:pPr>
      <w:r w:rsidRPr="00613639">
        <w:rPr>
          <w:kern w:val="2"/>
          <w14:ligatures w14:val="standardContextual"/>
        </w:rPr>
        <w:t>68.</w:t>
      </w:r>
      <w:r w:rsidRPr="00613639">
        <w:rPr>
          <w:kern w:val="2"/>
          <w14:ligatures w14:val="standardContextual"/>
        </w:rPr>
        <w:tab/>
        <w:t>ugotavlja, da je Sodišče Evropske unije leta 2023 okrepilo svoja prizadevanja za komunikacijo z državljani Unije, tako da je povečalo svojo prisotnost v družbenih medijih; ugotavlja, da se je konec leta 2023 število naročnikov na račun Sodišča Evropske unije na platformi Linkedin povečalo za 32 %, število sledilcev na dveh računih Sodišča Evropske unije na platformi X (prej Twitterju) pa za 9 %, medtem ko so se ogledi na njegovem kanalu YouTube v primerjavi s prejšnjim letom povečali za 84,96 %;</w:t>
      </w:r>
    </w:p>
    <w:p w14:paraId="0407C778" w14:textId="3F79DE32" w:rsidR="00613639" w:rsidRPr="00613639" w:rsidRDefault="00613639" w:rsidP="00613639">
      <w:pPr>
        <w:ind w:left="567" w:hanging="567"/>
      </w:pPr>
      <w:r w:rsidRPr="00613639">
        <w:rPr>
          <w:kern w:val="2"/>
          <w14:ligatures w14:val="standardContextual"/>
        </w:rPr>
        <w:t>69.</w:t>
      </w:r>
      <w:r w:rsidRPr="00613639">
        <w:rPr>
          <w:kern w:val="2"/>
          <w14:ligatures w14:val="standardContextual"/>
        </w:rPr>
        <w:tab/>
        <w:t>pozdravlja prizadevanja Sodišča Evropske unije, da bi v odnosu do državljanov Unije izboljšalo strateško komuniciranje in preglednost v zvezi s sodnimi dejavnostmi Sodišča Evropske unije, predvsem z organizacijo dneva odprtih vrat, ponudbo za obiskovalce, zlasti posebnimi virtualnimi obiski, pri katerih je leta 2023 sodelovalo 800 študentov, ter s prenovo priprave sporočil za javnost in spletnih publikacij o zadevah, ki so v interesu medijev ali vplivajo na življenje državljanov, tako da bodo bolj dostopne.</w:t>
      </w:r>
    </w:p>
    <w:bookmarkEnd w:id="5"/>
    <w:sectPr w:rsidR="00613639" w:rsidRPr="00613639" w:rsidSect="006136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710FE" w14:textId="77777777" w:rsidR="007A566B" w:rsidRPr="00433D23" w:rsidRDefault="007A566B">
      <w:r w:rsidRPr="00433D23">
        <w:separator/>
      </w:r>
    </w:p>
  </w:endnote>
  <w:endnote w:type="continuationSeparator" w:id="0">
    <w:p w14:paraId="62AE1F95" w14:textId="77777777" w:rsidR="007A566B" w:rsidRPr="00433D23" w:rsidRDefault="007A566B">
      <w:r w:rsidRPr="00433D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EA356" w14:textId="77777777" w:rsidR="00064002" w:rsidRPr="00433D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ECD22" w14:textId="77777777" w:rsidR="00064002" w:rsidRPr="00433D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D85FE" w14:textId="77777777" w:rsidR="00064002" w:rsidRPr="00433D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99D30" w14:textId="77777777" w:rsidR="007A566B" w:rsidRPr="00433D23" w:rsidRDefault="007A566B">
      <w:r w:rsidRPr="00433D23">
        <w:separator/>
      </w:r>
    </w:p>
  </w:footnote>
  <w:footnote w:type="continuationSeparator" w:id="0">
    <w:p w14:paraId="7A19EA33" w14:textId="77777777" w:rsidR="007A566B" w:rsidRPr="00433D23" w:rsidRDefault="007A566B">
      <w:r w:rsidRPr="00433D23">
        <w:continuationSeparator/>
      </w:r>
    </w:p>
  </w:footnote>
  <w:footnote w:id="1">
    <w:p w14:paraId="278A8AD3" w14:textId="77777777" w:rsidR="00613639" w:rsidRPr="006E1E81" w:rsidRDefault="00613639" w:rsidP="00613639">
      <w:pPr>
        <w:ind w:left="567" w:hanging="567"/>
        <w:rPr>
          <w:szCs w:val="24"/>
        </w:rPr>
      </w:pPr>
      <w:r w:rsidRPr="006E1E81">
        <w:rPr>
          <w:rStyle w:val="FootnoteReference"/>
          <w:szCs w:val="24"/>
        </w:rPr>
        <w:footnoteRef/>
      </w:r>
      <w:r w:rsidRPr="006E1E81">
        <w:rPr>
          <w:szCs w:val="24"/>
        </w:rPr>
        <w:tab/>
        <w:t>UL L 58, 23.2.2023, str. 1, ELI: </w:t>
      </w:r>
      <w:hyperlink r:id="rId1" w:history="1">
        <w:r w:rsidRPr="006E1E81">
          <w:rPr>
            <w:rStyle w:val="Hyperlink"/>
            <w:szCs w:val="24"/>
            <w:shd w:val="clear" w:color="auto" w:fill="FFFFFF"/>
          </w:rPr>
          <w:t>http://data.europa.eu/eli/budget/2023/1/oj</w:t>
        </w:r>
      </w:hyperlink>
      <w:r w:rsidRPr="006E1E81">
        <w:rPr>
          <w:rStyle w:val="Hyperlink1"/>
          <w:szCs w:val="24"/>
          <w:shd w:val="clear" w:color="auto" w:fill="FFFFFF"/>
        </w:rPr>
        <w:t>.</w:t>
      </w:r>
    </w:p>
  </w:footnote>
  <w:footnote w:id="2">
    <w:p w14:paraId="08FC799A" w14:textId="77777777" w:rsidR="00613639" w:rsidRPr="006E1E81" w:rsidRDefault="00613639" w:rsidP="00613639">
      <w:pPr>
        <w:pStyle w:val="FootnoteText"/>
        <w:ind w:left="567" w:hanging="567"/>
        <w:rPr>
          <w:sz w:val="24"/>
          <w:szCs w:val="24"/>
          <w:lang w:val="sl-SI"/>
        </w:rPr>
      </w:pPr>
      <w:r w:rsidRPr="006E1E81">
        <w:rPr>
          <w:rStyle w:val="FootnoteReference"/>
          <w:sz w:val="24"/>
          <w:szCs w:val="24"/>
          <w:lang w:val="sl-SI"/>
        </w:rPr>
        <w:footnoteRef/>
      </w:r>
      <w:r w:rsidRPr="006E1E81">
        <w:rPr>
          <w:sz w:val="24"/>
          <w:szCs w:val="24"/>
          <w:lang w:val="sl-SI"/>
        </w:rPr>
        <w:tab/>
      </w:r>
      <w:r w:rsidRPr="006E1E81">
        <w:rPr>
          <w:sz w:val="24"/>
          <w:szCs w:val="24"/>
          <w:lang w:val="sl-SI"/>
        </w:rPr>
        <w:t>UL C, C/2024/5462, 10.10.2024, ELI: </w:t>
      </w:r>
      <w:hyperlink r:id="rId2" w:history="1">
        <w:r w:rsidRPr="006E1E81">
          <w:rPr>
            <w:rStyle w:val="Hyperlink"/>
            <w:sz w:val="24"/>
            <w:szCs w:val="24"/>
            <w:lang w:val="sl-SI"/>
          </w:rPr>
          <w:t>http://data.europa.eu/eli/C/2024/5462/oj</w:t>
        </w:r>
      </w:hyperlink>
      <w:r w:rsidRPr="006E1E81">
        <w:rPr>
          <w:rStyle w:val="Hyperlink1"/>
          <w:sz w:val="24"/>
          <w:szCs w:val="24"/>
          <w:shd w:val="clear" w:color="auto" w:fill="FFFFFF"/>
          <w:lang w:val="sl-SI"/>
        </w:rPr>
        <w:t>.</w:t>
      </w:r>
    </w:p>
  </w:footnote>
  <w:footnote w:id="3">
    <w:p w14:paraId="58D1BE38" w14:textId="77777777" w:rsidR="00613639" w:rsidRPr="006E1E81" w:rsidRDefault="00613639" w:rsidP="00613639">
      <w:pPr>
        <w:pStyle w:val="FootnoteText"/>
        <w:ind w:left="567" w:hanging="567"/>
        <w:rPr>
          <w:sz w:val="24"/>
          <w:szCs w:val="24"/>
          <w:lang w:val="sl-SI"/>
        </w:rPr>
      </w:pPr>
      <w:r w:rsidRPr="006E1E81">
        <w:rPr>
          <w:rStyle w:val="FootnoteReference"/>
          <w:sz w:val="24"/>
          <w:szCs w:val="24"/>
          <w:lang w:val="sl-SI"/>
        </w:rPr>
        <w:footnoteRef/>
      </w:r>
      <w:r w:rsidRPr="006E1E81">
        <w:rPr>
          <w:sz w:val="24"/>
          <w:szCs w:val="24"/>
          <w:lang w:val="sl-SI"/>
        </w:rPr>
        <w:tab/>
      </w:r>
      <w:r w:rsidRPr="006E1E81">
        <w:rPr>
          <w:sz w:val="24"/>
          <w:szCs w:val="24"/>
          <w:lang w:val="sl-SI"/>
        </w:rPr>
        <w:t>UL C, C/2024/5882, 9.10.2024, ELI: </w:t>
      </w:r>
      <w:hyperlink r:id="rId3" w:history="1">
        <w:r w:rsidRPr="006E1E81">
          <w:rPr>
            <w:rStyle w:val="Hyperlink"/>
            <w:sz w:val="24"/>
            <w:szCs w:val="24"/>
            <w:lang w:val="sl-SI"/>
          </w:rPr>
          <w:t>http://data.europa.eu/eli/C/2024/5882/oj</w:t>
        </w:r>
      </w:hyperlink>
      <w:r w:rsidRPr="006E1E81">
        <w:rPr>
          <w:rStyle w:val="Hyperlink1"/>
          <w:sz w:val="24"/>
          <w:szCs w:val="24"/>
          <w:shd w:val="clear" w:color="auto" w:fill="FFFFFF"/>
          <w:lang w:val="sl-SI"/>
        </w:rPr>
        <w:t>.</w:t>
      </w:r>
    </w:p>
  </w:footnote>
  <w:footnote w:id="4">
    <w:p w14:paraId="017B49CE" w14:textId="77777777" w:rsidR="00613639" w:rsidRPr="006E1E81" w:rsidRDefault="00613639" w:rsidP="00613639">
      <w:pPr>
        <w:pStyle w:val="FootnoteText"/>
        <w:ind w:left="567" w:hanging="567"/>
        <w:rPr>
          <w:sz w:val="24"/>
          <w:szCs w:val="24"/>
          <w:lang w:val="sl-SI"/>
        </w:rPr>
      </w:pPr>
      <w:r w:rsidRPr="006E1E81">
        <w:rPr>
          <w:rStyle w:val="FootnoteReference"/>
          <w:sz w:val="24"/>
          <w:szCs w:val="24"/>
          <w:lang w:val="sl-SI"/>
        </w:rPr>
        <w:footnoteRef/>
      </w:r>
      <w:r w:rsidRPr="006E1E81">
        <w:rPr>
          <w:sz w:val="24"/>
          <w:szCs w:val="24"/>
          <w:lang w:val="sl-SI"/>
        </w:rPr>
        <w:tab/>
      </w:r>
      <w:r w:rsidRPr="006E1E81">
        <w:rPr>
          <w:sz w:val="24"/>
          <w:szCs w:val="24"/>
          <w:lang w:val="sl-SI"/>
        </w:rPr>
        <w:t>UL C, C/2024/6041, 10.10.2024, ELI: </w:t>
      </w:r>
      <w:hyperlink r:id="rId4" w:history="1">
        <w:r w:rsidRPr="006E1E81">
          <w:rPr>
            <w:rStyle w:val="Hyperlink1"/>
            <w:sz w:val="24"/>
            <w:szCs w:val="24"/>
            <w:lang w:val="sl-SI"/>
          </w:rPr>
          <w:t>http://data.europa.eu/eli/C/2024/6041/oj</w:t>
        </w:r>
      </w:hyperlink>
      <w:r w:rsidRPr="006E1E81">
        <w:rPr>
          <w:rStyle w:val="Hyperlink1"/>
          <w:sz w:val="24"/>
          <w:szCs w:val="24"/>
          <w:shd w:val="clear" w:color="auto" w:fill="FFFFFF"/>
          <w:lang w:val="sl-SI"/>
        </w:rPr>
        <w:t>.</w:t>
      </w:r>
    </w:p>
  </w:footnote>
  <w:footnote w:id="5">
    <w:p w14:paraId="71CB270B" w14:textId="77777777" w:rsidR="00613639" w:rsidRPr="006E1E81" w:rsidRDefault="00613639" w:rsidP="00613639">
      <w:pPr>
        <w:pStyle w:val="FootnoteText"/>
        <w:ind w:left="567" w:hanging="567"/>
        <w:rPr>
          <w:sz w:val="24"/>
          <w:szCs w:val="24"/>
          <w:lang w:val="sl-SI"/>
        </w:rPr>
      </w:pPr>
      <w:r w:rsidRPr="006E1E81">
        <w:rPr>
          <w:rStyle w:val="FootnoteReference"/>
          <w:sz w:val="24"/>
          <w:szCs w:val="24"/>
          <w:lang w:val="sl-SI"/>
        </w:rPr>
        <w:footnoteRef/>
      </w:r>
      <w:r w:rsidRPr="006E1E81">
        <w:rPr>
          <w:sz w:val="24"/>
          <w:szCs w:val="24"/>
          <w:lang w:val="sl-SI"/>
        </w:rPr>
        <w:tab/>
      </w:r>
      <w:r w:rsidRPr="006E1E81">
        <w:rPr>
          <w:sz w:val="24"/>
          <w:szCs w:val="24"/>
          <w:lang w:val="sl-SI"/>
        </w:rPr>
        <w:t>UL L 193, 30.7.2018, str. 1, ELI: </w:t>
      </w:r>
      <w:hyperlink r:id="rId5" w:history="1">
        <w:r w:rsidRPr="006E1E81">
          <w:rPr>
            <w:rStyle w:val="Hyperlink"/>
            <w:sz w:val="24"/>
            <w:szCs w:val="24"/>
            <w:lang w:val="sl-SI"/>
          </w:rPr>
          <w:t>http://data.europa.eu/eli/reg/2018/1046/oj</w:t>
        </w:r>
      </w:hyperlink>
      <w:r w:rsidRPr="006E1E81">
        <w:rPr>
          <w:rStyle w:val="Hyperlink1"/>
          <w:sz w:val="24"/>
          <w:szCs w:val="24"/>
          <w:shd w:val="clear" w:color="auto" w:fill="FFFFFF"/>
          <w:lang w:val="sl-SI"/>
        </w:rPr>
        <w:t>.</w:t>
      </w:r>
    </w:p>
  </w:footnote>
  <w:footnote w:id="6">
    <w:p w14:paraId="19A5CE94" w14:textId="77777777" w:rsidR="00613639" w:rsidRPr="006E1E81" w:rsidRDefault="00613639" w:rsidP="00613639">
      <w:pPr>
        <w:pStyle w:val="FootnoteText"/>
        <w:ind w:left="567" w:hanging="567"/>
        <w:rPr>
          <w:sz w:val="24"/>
          <w:szCs w:val="24"/>
          <w:lang w:val="sl-SI"/>
        </w:rPr>
      </w:pPr>
      <w:r w:rsidRPr="006E1E81">
        <w:rPr>
          <w:rStyle w:val="FootnoteReference"/>
          <w:sz w:val="24"/>
          <w:szCs w:val="24"/>
          <w:lang w:val="sl-SI"/>
        </w:rPr>
        <w:footnoteRef/>
      </w:r>
      <w:r w:rsidRPr="006E1E81">
        <w:rPr>
          <w:sz w:val="24"/>
          <w:szCs w:val="24"/>
          <w:lang w:val="sl-SI"/>
        </w:rPr>
        <w:tab/>
      </w:r>
      <w:r w:rsidRPr="006E1E81">
        <w:rPr>
          <w:sz w:val="24"/>
          <w:szCs w:val="24"/>
          <w:lang w:val="sl-SI"/>
        </w:rPr>
        <w:t>UL L, 2024/2509, 26.9.2024, ELI: </w:t>
      </w:r>
      <w:hyperlink r:id="rId6" w:history="1">
        <w:r w:rsidRPr="006E1E81">
          <w:rPr>
            <w:rStyle w:val="Hyperlink1"/>
            <w:sz w:val="24"/>
            <w:szCs w:val="24"/>
            <w:lang w:val="sl-SI"/>
          </w:rPr>
          <w:t>http://data.europa.eu/eli/reg/2024/2509/oj</w:t>
        </w:r>
      </w:hyperlink>
      <w:r w:rsidRPr="006E1E81">
        <w:rPr>
          <w:rStyle w:val="Hyperlink1"/>
          <w:sz w:val="24"/>
          <w:szCs w:val="24"/>
          <w:shd w:val="clear" w:color="auto" w:fill="FFFFFF"/>
          <w:lang w:val="sl-SI"/>
        </w:rPr>
        <w:t>.</w:t>
      </w:r>
    </w:p>
  </w:footnote>
  <w:footnote w:id="7">
    <w:p w14:paraId="08F2D345" w14:textId="77777777" w:rsidR="00613639" w:rsidRPr="006E1E81" w:rsidRDefault="00613639" w:rsidP="00613639">
      <w:pPr>
        <w:pStyle w:val="FootnoteText"/>
        <w:ind w:left="567" w:hanging="567"/>
        <w:rPr>
          <w:sz w:val="24"/>
          <w:szCs w:val="24"/>
          <w:lang w:val="sl-SI"/>
        </w:rPr>
      </w:pPr>
      <w:r w:rsidRPr="006E1E81">
        <w:rPr>
          <w:rStyle w:val="FootnoteReference"/>
          <w:sz w:val="24"/>
          <w:szCs w:val="24"/>
          <w:lang w:val="sl-SI"/>
        </w:rPr>
        <w:footnoteRef/>
      </w:r>
      <w:r w:rsidRPr="006E1E81">
        <w:rPr>
          <w:sz w:val="24"/>
          <w:szCs w:val="24"/>
          <w:lang w:val="sl-SI"/>
        </w:rPr>
        <w:tab/>
      </w:r>
      <w:r w:rsidRPr="006E1E81">
        <w:rPr>
          <w:sz w:val="24"/>
          <w:szCs w:val="24"/>
          <w:lang w:val="sl-SI"/>
        </w:rPr>
        <w:t>Uredba (EU, Euratom) 2024/2019 Evropskega parlamenta in Sveta z dne 11. aprila 2024 o spremembi Protokola št. 3 o Statutu Sodišča Evropske unije (UL L, 2024/2019, 12.8.2024, ELI: </w:t>
      </w:r>
      <w:hyperlink r:id="rId7" w:history="1">
        <w:r w:rsidRPr="006E1E81">
          <w:rPr>
            <w:rStyle w:val="Hyperlink"/>
            <w:sz w:val="24"/>
            <w:szCs w:val="24"/>
            <w:lang w:val="sl-SI"/>
          </w:rPr>
          <w:t>http://data.europa.eu/eli/reg/2024/2019/oj</w:t>
        </w:r>
      </w:hyperlink>
      <w:r w:rsidRPr="006E1E81">
        <w:rPr>
          <w:rStyle w:val="Hyperlink1"/>
          <w:color w:val="000000"/>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D4926" w14:textId="77777777" w:rsidR="00064002" w:rsidRPr="00433D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0523F" w14:textId="77777777" w:rsidR="00064002" w:rsidRPr="00433D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94065" w14:textId="77777777" w:rsidR="00064002" w:rsidRPr="00433D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8218066">
    <w:abstractNumId w:val="9"/>
  </w:num>
  <w:num w:numId="2" w16cid:durableId="1382823863">
    <w:abstractNumId w:val="9"/>
  </w:num>
  <w:num w:numId="3" w16cid:durableId="786319859">
    <w:abstractNumId w:val="7"/>
  </w:num>
  <w:num w:numId="4" w16cid:durableId="2092582500">
    <w:abstractNumId w:val="7"/>
  </w:num>
  <w:num w:numId="5" w16cid:durableId="40252138">
    <w:abstractNumId w:val="6"/>
  </w:num>
  <w:num w:numId="6" w16cid:durableId="802964481">
    <w:abstractNumId w:val="6"/>
  </w:num>
  <w:num w:numId="7" w16cid:durableId="391537198">
    <w:abstractNumId w:val="5"/>
  </w:num>
  <w:num w:numId="8" w16cid:durableId="1723869640">
    <w:abstractNumId w:val="5"/>
  </w:num>
  <w:num w:numId="9" w16cid:durableId="572933447">
    <w:abstractNumId w:val="4"/>
  </w:num>
  <w:num w:numId="10" w16cid:durableId="1760978024">
    <w:abstractNumId w:val="4"/>
  </w:num>
  <w:num w:numId="11" w16cid:durableId="1426340646">
    <w:abstractNumId w:val="8"/>
  </w:num>
  <w:num w:numId="12" w16cid:durableId="1632831874">
    <w:abstractNumId w:val="8"/>
  </w:num>
  <w:num w:numId="13" w16cid:durableId="115871594">
    <w:abstractNumId w:val="3"/>
  </w:num>
  <w:num w:numId="14" w16cid:durableId="1056271270">
    <w:abstractNumId w:val="3"/>
  </w:num>
  <w:num w:numId="15" w16cid:durableId="1467580120">
    <w:abstractNumId w:val="2"/>
  </w:num>
  <w:num w:numId="16" w16cid:durableId="168571052">
    <w:abstractNumId w:val="2"/>
  </w:num>
  <w:num w:numId="17" w16cid:durableId="1865288512">
    <w:abstractNumId w:val="1"/>
  </w:num>
  <w:num w:numId="18" w16cid:durableId="1620725834">
    <w:abstractNumId w:val="1"/>
  </w:num>
  <w:num w:numId="19" w16cid:durableId="338703524">
    <w:abstractNumId w:val="0"/>
  </w:num>
  <w:num w:numId="20" w16cid:durableId="497884227">
    <w:abstractNumId w:val="0"/>
  </w:num>
  <w:num w:numId="21" w16cid:durableId="1419716975">
    <w:abstractNumId w:val="9"/>
  </w:num>
  <w:num w:numId="22" w16cid:durableId="1844587839">
    <w:abstractNumId w:val="7"/>
  </w:num>
  <w:num w:numId="23" w16cid:durableId="1548103255">
    <w:abstractNumId w:val="6"/>
  </w:num>
  <w:num w:numId="24" w16cid:durableId="426466287">
    <w:abstractNumId w:val="5"/>
  </w:num>
  <w:num w:numId="25" w16cid:durableId="1055472988">
    <w:abstractNumId w:val="4"/>
  </w:num>
  <w:num w:numId="26" w16cid:durableId="1630624362">
    <w:abstractNumId w:val="8"/>
  </w:num>
  <w:num w:numId="27" w16cid:durableId="1153108683">
    <w:abstractNumId w:val="3"/>
  </w:num>
  <w:num w:numId="28" w16cid:durableId="708802770">
    <w:abstractNumId w:val="2"/>
  </w:num>
  <w:num w:numId="29" w16cid:durableId="2090156329">
    <w:abstractNumId w:val="1"/>
  </w:num>
  <w:num w:numId="30" w16cid:durableId="460540925">
    <w:abstractNumId w:val="0"/>
  </w:num>
  <w:num w:numId="31" w16cid:durableId="504132818">
    <w:abstractNumId w:val="9"/>
  </w:num>
  <w:num w:numId="32" w16cid:durableId="584533697">
    <w:abstractNumId w:val="7"/>
  </w:num>
  <w:num w:numId="33" w16cid:durableId="256864195">
    <w:abstractNumId w:val="6"/>
  </w:num>
  <w:num w:numId="34" w16cid:durableId="1526288205">
    <w:abstractNumId w:val="5"/>
  </w:num>
  <w:num w:numId="35" w16cid:durableId="223025264">
    <w:abstractNumId w:val="4"/>
  </w:num>
  <w:num w:numId="36" w16cid:durableId="2123843143">
    <w:abstractNumId w:val="8"/>
  </w:num>
  <w:num w:numId="37" w16cid:durableId="1672105629">
    <w:abstractNumId w:val="3"/>
  </w:num>
  <w:num w:numId="38" w16cid:durableId="926496082">
    <w:abstractNumId w:val="2"/>
  </w:num>
  <w:num w:numId="39" w16cid:durableId="627708013">
    <w:abstractNumId w:val="1"/>
  </w:num>
  <w:num w:numId="40" w16cid:durableId="1274676406">
    <w:abstractNumId w:val="0"/>
  </w:num>
  <w:num w:numId="41" w16cid:durableId="1692409551">
    <w:abstractNumId w:val="10"/>
  </w:num>
  <w:num w:numId="42" w16cid:durableId="1974359834">
    <w:abstractNumId w:val="10"/>
  </w:num>
  <w:num w:numId="43" w16cid:durableId="41440785">
    <w:abstractNumId w:val="10"/>
  </w:num>
  <w:num w:numId="44" w16cid:durableId="1681085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SL"/>
    <w:docVar w:name="dvnumam" w:val="0"/>
    <w:docVar w:name="dvpe" w:val="764.996"/>
    <w:docVar w:name="dvrapporteur" w:val="Poročevalec: "/>
    <w:docVar w:name="dvtitre" w:val="1. Sklep Evropskega parlamenta z dne 7. maja 2025 o razrešnici glede izvrševanja splošnega proračuna Evropske unije za proračunsko leto 2023, oddelek IV - Sodišče Evropske unije(2024/2022(DEC))"/>
  </w:docVars>
  <w:rsids>
    <w:rsidRoot w:val="007A566B"/>
    <w:rsid w:val="00002272"/>
    <w:rsid w:val="00003D62"/>
    <w:rsid w:val="00064002"/>
    <w:rsid w:val="000677B9"/>
    <w:rsid w:val="000831BA"/>
    <w:rsid w:val="000A42CC"/>
    <w:rsid w:val="000E7DD9"/>
    <w:rsid w:val="0010095E"/>
    <w:rsid w:val="0011379A"/>
    <w:rsid w:val="00125B37"/>
    <w:rsid w:val="00187494"/>
    <w:rsid w:val="001F32AE"/>
    <w:rsid w:val="002767FF"/>
    <w:rsid w:val="002B18FE"/>
    <w:rsid w:val="002B5493"/>
    <w:rsid w:val="00343214"/>
    <w:rsid w:val="00361C00"/>
    <w:rsid w:val="00395FA1"/>
    <w:rsid w:val="003E15D4"/>
    <w:rsid w:val="00411CCE"/>
    <w:rsid w:val="0041666E"/>
    <w:rsid w:val="00421060"/>
    <w:rsid w:val="00433D23"/>
    <w:rsid w:val="00471C19"/>
    <w:rsid w:val="004867E3"/>
    <w:rsid w:val="00494A28"/>
    <w:rsid w:val="004C0004"/>
    <w:rsid w:val="004C3D76"/>
    <w:rsid w:val="004C5D52"/>
    <w:rsid w:val="0050519A"/>
    <w:rsid w:val="005072A1"/>
    <w:rsid w:val="00511AE0"/>
    <w:rsid w:val="00514517"/>
    <w:rsid w:val="00545827"/>
    <w:rsid w:val="00560270"/>
    <w:rsid w:val="005C2568"/>
    <w:rsid w:val="005F1B17"/>
    <w:rsid w:val="006037C0"/>
    <w:rsid w:val="00613639"/>
    <w:rsid w:val="006631B6"/>
    <w:rsid w:val="00680577"/>
    <w:rsid w:val="006E1E81"/>
    <w:rsid w:val="006F5072"/>
    <w:rsid w:val="006F74FA"/>
    <w:rsid w:val="00707293"/>
    <w:rsid w:val="00731ADD"/>
    <w:rsid w:val="00734777"/>
    <w:rsid w:val="00747932"/>
    <w:rsid w:val="00751A4A"/>
    <w:rsid w:val="00756632"/>
    <w:rsid w:val="00762C74"/>
    <w:rsid w:val="00786EC0"/>
    <w:rsid w:val="007A566B"/>
    <w:rsid w:val="007D1690"/>
    <w:rsid w:val="007E22AD"/>
    <w:rsid w:val="00817416"/>
    <w:rsid w:val="00841D55"/>
    <w:rsid w:val="00842779"/>
    <w:rsid w:val="00865F67"/>
    <w:rsid w:val="00881A7B"/>
    <w:rsid w:val="008840E5"/>
    <w:rsid w:val="00887B3E"/>
    <w:rsid w:val="008C2AC6"/>
    <w:rsid w:val="00930C23"/>
    <w:rsid w:val="0093193B"/>
    <w:rsid w:val="009509D8"/>
    <w:rsid w:val="00950B64"/>
    <w:rsid w:val="00981893"/>
    <w:rsid w:val="009F7CF2"/>
    <w:rsid w:val="00A1687D"/>
    <w:rsid w:val="00A43E52"/>
    <w:rsid w:val="00A4678D"/>
    <w:rsid w:val="00A778C7"/>
    <w:rsid w:val="00AB441E"/>
    <w:rsid w:val="00AB6293"/>
    <w:rsid w:val="00AE0928"/>
    <w:rsid w:val="00AF3B82"/>
    <w:rsid w:val="00B12E95"/>
    <w:rsid w:val="00B22876"/>
    <w:rsid w:val="00B558F0"/>
    <w:rsid w:val="00BA4208"/>
    <w:rsid w:val="00BC6D5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2E9"/>
    <w:rsid w:val="00DA7FCD"/>
    <w:rsid w:val="00E365E1"/>
    <w:rsid w:val="00E820A4"/>
    <w:rsid w:val="00EB006A"/>
    <w:rsid w:val="00EB4772"/>
    <w:rsid w:val="00ED169E"/>
    <w:rsid w:val="00ED4235"/>
    <w:rsid w:val="00EE6FE0"/>
    <w:rsid w:val="00F04346"/>
    <w:rsid w:val="00F075DC"/>
    <w:rsid w:val="00F149E9"/>
    <w:rsid w:val="00F5134D"/>
    <w:rsid w:val="00F74202"/>
    <w:rsid w:val="00F87713"/>
    <w:rsid w:val="00FA211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35682"/>
  <w15:chartTrackingRefBased/>
  <w15:docId w15:val="{051DFF03-74DA-4307-A7F9-58F7C6A9B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F7CF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F7CF2"/>
    <w:pPr>
      <w:spacing w:before="480" w:after="240"/>
    </w:pPr>
  </w:style>
  <w:style w:type="paragraph" w:customStyle="1" w:styleId="PageHeading">
    <w:name w:val="PageHeading"/>
    <w:basedOn w:val="Normal"/>
    <w:rsid w:val="009F7CF2"/>
    <w:pPr>
      <w:keepNext/>
      <w:spacing w:after="480"/>
      <w:jc w:val="center"/>
    </w:pPr>
    <w:rPr>
      <w:rFonts w:ascii="Arial" w:hAnsi="Arial" w:cs="Arial"/>
      <w:b/>
    </w:rPr>
  </w:style>
  <w:style w:type="paragraph" w:customStyle="1" w:styleId="NormalBold">
    <w:name w:val="NormalBold"/>
    <w:basedOn w:val="Normal"/>
    <w:rsid w:val="009F7CF2"/>
    <w:rPr>
      <w:b/>
    </w:rPr>
  </w:style>
  <w:style w:type="paragraph" w:customStyle="1" w:styleId="NormalHanging12a">
    <w:name w:val="NormalHanging12a"/>
    <w:basedOn w:val="Normal"/>
    <w:link w:val="NormalHanging12aChar"/>
    <w:qFormat/>
    <w:rsid w:val="009F7CF2"/>
    <w:pPr>
      <w:spacing w:after="240"/>
      <w:ind w:left="567" w:hanging="567"/>
    </w:pPr>
  </w:style>
  <w:style w:type="paragraph" w:styleId="Header">
    <w:name w:val="header"/>
    <w:basedOn w:val="Normal"/>
    <w:link w:val="HeaderChar"/>
    <w:rsid w:val="009F7CF2"/>
    <w:pPr>
      <w:tabs>
        <w:tab w:val="center" w:pos="4513"/>
        <w:tab w:val="right" w:pos="9026"/>
      </w:tabs>
    </w:pPr>
  </w:style>
  <w:style w:type="character" w:customStyle="1" w:styleId="HeaderChar">
    <w:name w:val="Header Char"/>
    <w:basedOn w:val="DefaultParagraphFont"/>
    <w:link w:val="Header"/>
    <w:rsid w:val="009F7CF2"/>
    <w:rPr>
      <w:sz w:val="24"/>
      <w:lang w:val="sl-SI"/>
    </w:rPr>
  </w:style>
  <w:style w:type="paragraph" w:customStyle="1" w:styleId="EPFooter">
    <w:name w:val="EPFooter"/>
    <w:basedOn w:val="Normal"/>
    <w:rsid w:val="009F7CF2"/>
    <w:pPr>
      <w:tabs>
        <w:tab w:val="center" w:pos="4535"/>
        <w:tab w:val="right" w:pos="9071"/>
      </w:tabs>
      <w:spacing w:before="240" w:after="240"/>
    </w:pPr>
    <w:rPr>
      <w:color w:val="010000"/>
      <w:sz w:val="22"/>
    </w:rPr>
  </w:style>
  <w:style w:type="character" w:styleId="Hyperlink">
    <w:name w:val="Hyperlink"/>
    <w:basedOn w:val="DefaultParagraphFont"/>
    <w:uiPriority w:val="99"/>
    <w:rsid w:val="009F7CF2"/>
    <w:rPr>
      <w:color w:val="0563C1" w:themeColor="hyperlink"/>
      <w:u w:val="single"/>
    </w:rPr>
  </w:style>
  <w:style w:type="character" w:customStyle="1" w:styleId="NormalHanging12aChar">
    <w:name w:val="NormalHanging12a Char"/>
    <w:basedOn w:val="DefaultParagraphFont"/>
    <w:link w:val="NormalHanging12a"/>
    <w:locked/>
    <w:rsid w:val="009F7CF2"/>
    <w:rPr>
      <w:sz w:val="24"/>
      <w:lang w:val="sl-SI"/>
    </w:rPr>
  </w:style>
  <w:style w:type="paragraph" w:styleId="Footer">
    <w:name w:val="footer"/>
    <w:basedOn w:val="Normal"/>
    <w:link w:val="FooterChar"/>
    <w:rsid w:val="00BC6D55"/>
    <w:pPr>
      <w:tabs>
        <w:tab w:val="center" w:pos="4513"/>
        <w:tab w:val="right" w:pos="9026"/>
      </w:tabs>
    </w:pPr>
  </w:style>
  <w:style w:type="character" w:customStyle="1" w:styleId="FooterChar">
    <w:name w:val="Footer Char"/>
    <w:basedOn w:val="DefaultParagraphFont"/>
    <w:link w:val="Footer"/>
    <w:rsid w:val="00BC6D55"/>
    <w:rPr>
      <w:sz w:val="24"/>
      <w:lang w:val="sl-SI"/>
    </w:rPr>
  </w:style>
  <w:style w:type="paragraph" w:styleId="BalloonText">
    <w:name w:val="Balloon Text"/>
    <w:basedOn w:val="Normal"/>
    <w:link w:val="BalloonTextChar"/>
    <w:rsid w:val="00707293"/>
    <w:rPr>
      <w:rFonts w:ascii="Segoe UI" w:hAnsi="Segoe UI" w:cs="Segoe UI"/>
      <w:sz w:val="18"/>
      <w:szCs w:val="18"/>
    </w:rPr>
  </w:style>
  <w:style w:type="character" w:customStyle="1" w:styleId="BalloonTextChar">
    <w:name w:val="Balloon Text Char"/>
    <w:basedOn w:val="DefaultParagraphFont"/>
    <w:link w:val="BalloonText"/>
    <w:rsid w:val="00707293"/>
    <w:rPr>
      <w:rFonts w:ascii="Segoe UI" w:hAnsi="Segoe UI" w:cs="Segoe UI"/>
      <w:sz w:val="18"/>
      <w:szCs w:val="18"/>
      <w:lang w:val="sl-SI"/>
    </w:rPr>
  </w:style>
  <w:style w:type="character" w:customStyle="1" w:styleId="Hyperlink1">
    <w:name w:val="Hyperlink1"/>
    <w:basedOn w:val="DefaultParagraphFont"/>
    <w:rsid w:val="00613639"/>
    <w:rPr>
      <w:color w:val="0563C1"/>
      <w:u w:val="single"/>
    </w:rPr>
  </w:style>
  <w:style w:type="character" w:styleId="CommentReference">
    <w:name w:val="annotation reference"/>
    <w:basedOn w:val="DefaultParagraphFont"/>
    <w:uiPriority w:val="99"/>
    <w:unhideWhenUsed/>
    <w:rsid w:val="00613639"/>
    <w:rPr>
      <w:sz w:val="16"/>
      <w:szCs w:val="16"/>
    </w:rPr>
  </w:style>
  <w:style w:type="paragraph" w:customStyle="1" w:styleId="CommentText1">
    <w:name w:val="Comment Text1"/>
    <w:basedOn w:val="Normal"/>
    <w:next w:val="CommentText"/>
    <w:link w:val="CommentTextChar"/>
    <w:uiPriority w:val="99"/>
    <w:semiHidden/>
    <w:unhideWhenUsed/>
    <w:rsid w:val="00613639"/>
    <w:pPr>
      <w:widowControl/>
      <w:jc w:val="both"/>
    </w:pPr>
    <w:rPr>
      <w:sz w:val="20"/>
      <w:lang w:val="en-GB"/>
    </w:rPr>
  </w:style>
  <w:style w:type="character" w:customStyle="1" w:styleId="CommentTextChar">
    <w:name w:val="Comment Text Char"/>
    <w:basedOn w:val="DefaultParagraphFont"/>
    <w:link w:val="CommentText1"/>
    <w:uiPriority w:val="99"/>
    <w:semiHidden/>
    <w:rsid w:val="00613639"/>
    <w:rPr>
      <w:rFonts w:ascii="Times New Roman" w:hAnsi="Times New Roman"/>
      <w:sz w:val="20"/>
      <w:szCs w:val="20"/>
    </w:rPr>
  </w:style>
  <w:style w:type="paragraph" w:styleId="CommentText">
    <w:name w:val="annotation text"/>
    <w:basedOn w:val="Normal"/>
    <w:link w:val="CommentTextChar1"/>
    <w:rsid w:val="00613639"/>
    <w:rPr>
      <w:sz w:val="20"/>
    </w:rPr>
  </w:style>
  <w:style w:type="character" w:customStyle="1" w:styleId="CommentTextChar1">
    <w:name w:val="Comment Text Char1"/>
    <w:basedOn w:val="DefaultParagraphFont"/>
    <w:link w:val="CommentText"/>
    <w:rsid w:val="00613639"/>
    <w:rPr>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F041B-62EA-4C04-AA4F-92246C368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6271</Words>
  <Characters>36911</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2025-12-04T08:38:00Z</dcterms:created>
  <dcterms:modified xsi:type="dcterms:W3CDTF">2025-12-04T08:38:00Z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P10_TA(2025)0080_</vt:lpwstr>
  </property>
  <property fmtid="{D5CDD505-2E9C-101B-9397-08002B2CF9AE}" pid="4" name="&lt;Type&gt;">
    <vt:lpwstr>RR</vt:lpwstr>
  </property>
</Properties>
</file>