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3C91" w14:paraId="4F8B61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5F8982" w14:textId="77777777" w:rsidR="00751A4A" w:rsidRPr="00283C91" w:rsidRDefault="00B114A0" w:rsidP="0010095E">
            <w:pPr>
              <w:pStyle w:val="EPName"/>
            </w:pPr>
            <w:r w:rsidRPr="00283C91">
              <w:t>Evropský parlament</w:t>
            </w:r>
          </w:p>
          <w:p w14:paraId="0D2AEF49" w14:textId="77777777" w:rsidR="00751A4A" w:rsidRPr="00283C9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3C91">
              <w:t>2024</w:t>
            </w:r>
            <w:r w:rsidR="00817416" w:rsidRPr="00283C91">
              <w:t>-202</w:t>
            </w:r>
            <w:r w:rsidRPr="00283C91">
              <w:t>9</w:t>
            </w:r>
          </w:p>
        </w:tc>
        <w:tc>
          <w:tcPr>
            <w:tcW w:w="2268" w:type="dxa"/>
            <w:shd w:val="clear" w:color="auto" w:fill="auto"/>
          </w:tcPr>
          <w:p w14:paraId="432A79B1" w14:textId="77777777" w:rsidR="00751A4A" w:rsidRPr="00283C91" w:rsidRDefault="00187494" w:rsidP="0010095E">
            <w:pPr>
              <w:pStyle w:val="EPLogo"/>
            </w:pPr>
            <w:r w:rsidRPr="00283C91">
              <w:rPr>
                <w:noProof/>
                <w:lang w:val="en-GB"/>
              </w:rPr>
              <w:drawing>
                <wp:inline distT="0" distB="0" distL="0" distR="0" wp14:anchorId="4D5E15A8" wp14:editId="2D71A4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2E2227" w14:textId="77777777" w:rsidR="00D058B8" w:rsidRPr="00283C91" w:rsidRDefault="00D058B8" w:rsidP="004C5D52">
      <w:pPr>
        <w:pStyle w:val="LineTop"/>
      </w:pPr>
    </w:p>
    <w:p w14:paraId="51E10DE1" w14:textId="77777777" w:rsidR="00680577" w:rsidRPr="00283C91" w:rsidRDefault="00B114A0" w:rsidP="00680577">
      <w:pPr>
        <w:pStyle w:val="EPBodyTA1"/>
      </w:pPr>
      <w:r w:rsidRPr="00283C91">
        <w:t>PŘIJATÉ TEXTY</w:t>
      </w:r>
    </w:p>
    <w:p w14:paraId="41DE572A" w14:textId="77777777" w:rsidR="00D058B8" w:rsidRPr="00283C91" w:rsidRDefault="00D058B8" w:rsidP="00D058B8">
      <w:pPr>
        <w:pStyle w:val="LineBottom"/>
      </w:pPr>
    </w:p>
    <w:p w14:paraId="09C2CBB7" w14:textId="77777777" w:rsidR="00B114A0" w:rsidRPr="00283C91" w:rsidRDefault="00B114A0" w:rsidP="00B114A0">
      <w:pPr>
        <w:pStyle w:val="ATHeading1"/>
      </w:pPr>
      <w:bookmarkStart w:id="0" w:name="TANumber"/>
      <w:r w:rsidRPr="00283C91">
        <w:t>P10_</w:t>
      </w:r>
      <w:proofErr w:type="gramStart"/>
      <w:r w:rsidRPr="00283C91">
        <w:t>TA(</w:t>
      </w:r>
      <w:proofErr w:type="gramEnd"/>
      <w:r w:rsidRPr="00283C91">
        <w:t>2025)00</w:t>
      </w:r>
      <w:r w:rsidR="00072B7C">
        <w:t>81</w:t>
      </w:r>
      <w:bookmarkEnd w:id="0"/>
    </w:p>
    <w:p w14:paraId="110DDCB6" w14:textId="77777777" w:rsidR="00B114A0" w:rsidRPr="00283C91" w:rsidRDefault="00B114A0" w:rsidP="00B114A0">
      <w:pPr>
        <w:pStyle w:val="ATHeading2"/>
      </w:pPr>
      <w:bookmarkStart w:id="1" w:name="title"/>
      <w:r w:rsidRPr="00283C91">
        <w:t xml:space="preserve">Udělení absolutoria za rok 2023: souhrnný rozpočet </w:t>
      </w:r>
      <w:proofErr w:type="gramStart"/>
      <w:r w:rsidRPr="00283C91">
        <w:t>EU - Účetní</w:t>
      </w:r>
      <w:proofErr w:type="gramEnd"/>
      <w:r w:rsidRPr="00283C91">
        <w:t xml:space="preserve"> dvůr</w:t>
      </w:r>
      <w:bookmarkEnd w:id="1"/>
    </w:p>
    <w:p w14:paraId="5BD8F28E" w14:textId="77777777" w:rsidR="00B114A0" w:rsidRPr="00283C91" w:rsidRDefault="00B114A0" w:rsidP="00B114A0">
      <w:pPr>
        <w:rPr>
          <w:i/>
          <w:vanish/>
        </w:rPr>
      </w:pPr>
      <w:r w:rsidRPr="00283C91">
        <w:rPr>
          <w:i/>
        </w:rPr>
        <w:fldChar w:fldCharType="begin"/>
      </w:r>
      <w:r w:rsidRPr="00283C91">
        <w:rPr>
          <w:i/>
        </w:rPr>
        <w:instrText xml:space="preserve"> TC"(</w:instrText>
      </w:r>
      <w:bookmarkStart w:id="2" w:name="DocNumber"/>
      <w:r w:rsidRPr="00283C91">
        <w:rPr>
          <w:i/>
        </w:rPr>
        <w:instrText>A10-0047/2025</w:instrText>
      </w:r>
      <w:bookmarkEnd w:id="2"/>
      <w:r w:rsidRPr="00283C91">
        <w:rPr>
          <w:i/>
        </w:rPr>
        <w:instrText xml:space="preserve"> - Zpravodaj: Dick </w:instrText>
      </w:r>
      <w:proofErr w:type="spellStart"/>
      <w:r w:rsidRPr="00283C91">
        <w:rPr>
          <w:i/>
        </w:rPr>
        <w:instrText>Erixon</w:instrText>
      </w:r>
      <w:proofErr w:type="spellEnd"/>
      <w:r w:rsidRPr="00283C91">
        <w:rPr>
          <w:i/>
        </w:rPr>
        <w:instrText xml:space="preserve">)"\l3 \n&gt; \* MERGEFORMAT </w:instrText>
      </w:r>
      <w:r w:rsidRPr="00283C91">
        <w:rPr>
          <w:i/>
        </w:rPr>
        <w:fldChar w:fldCharType="end"/>
      </w:r>
    </w:p>
    <w:p w14:paraId="2CDE1385" w14:textId="77777777" w:rsidR="00B114A0" w:rsidRPr="00283C91" w:rsidRDefault="00B114A0" w:rsidP="00B114A0">
      <w:pPr>
        <w:rPr>
          <w:vanish/>
        </w:rPr>
      </w:pPr>
      <w:bookmarkStart w:id="3" w:name="Commission"/>
      <w:r w:rsidRPr="00283C91">
        <w:rPr>
          <w:vanish/>
        </w:rPr>
        <w:t>Výbor pro rozpočtovou kontrolu</w:t>
      </w:r>
      <w:bookmarkEnd w:id="3"/>
    </w:p>
    <w:p w14:paraId="5E9F984D" w14:textId="77777777" w:rsidR="00B114A0" w:rsidRPr="00283C91" w:rsidRDefault="00B114A0" w:rsidP="00B114A0">
      <w:pPr>
        <w:rPr>
          <w:vanish/>
        </w:rPr>
      </w:pPr>
      <w:bookmarkStart w:id="4" w:name="PE"/>
      <w:r w:rsidRPr="00283C91">
        <w:rPr>
          <w:vanish/>
        </w:rPr>
        <w:t>PE764.995</w:t>
      </w:r>
      <w:bookmarkEnd w:id="4"/>
    </w:p>
    <w:p w14:paraId="6F13AB37" w14:textId="33F85FF3" w:rsidR="00445362" w:rsidRPr="00543248" w:rsidRDefault="00445362" w:rsidP="00445362">
      <w:pPr>
        <w:pStyle w:val="ATHeading3"/>
      </w:pPr>
      <w:r w:rsidRPr="00543248">
        <w:t>1. Rozhodnutí Evropského parlamentu ze dne 7. května 2025 o udělení absolutoria za plnění souhrnného rozpočtu Evropské unie na rozpočtový rok 2023, oddíl V – Účetní dvůr (2024/2023(DEC))</w:t>
      </w:r>
    </w:p>
    <w:p w14:paraId="609C498D" w14:textId="77777777" w:rsidR="00445362" w:rsidRPr="00543248" w:rsidRDefault="00445362" w:rsidP="00445362">
      <w:pPr>
        <w:spacing w:before="480" w:after="240"/>
      </w:pPr>
      <w:r w:rsidRPr="00543248">
        <w:rPr>
          <w:i/>
          <w:iCs/>
        </w:rPr>
        <w:t>Evropský parlament</w:t>
      </w:r>
      <w:r w:rsidRPr="00543248">
        <w:t>,</w:t>
      </w:r>
    </w:p>
    <w:p w14:paraId="66BE87B4" w14:textId="77777777" w:rsidR="00445362" w:rsidRPr="00543248" w:rsidRDefault="00445362" w:rsidP="00445362">
      <w:pPr>
        <w:spacing w:after="240"/>
        <w:ind w:left="567" w:hanging="567"/>
      </w:pPr>
      <w:r w:rsidRPr="00543248">
        <w:t>–</w:t>
      </w:r>
      <w:r w:rsidRPr="00543248">
        <w:tab/>
        <w:t>s ohledem na souhrnný rozpočet Evropské unie na rozpočtový rok 2023</w:t>
      </w:r>
      <w:r w:rsidRPr="00543248">
        <w:rPr>
          <w:vertAlign w:val="superscript"/>
        </w:rPr>
        <w:footnoteReference w:id="1"/>
      </w:r>
      <w:r w:rsidRPr="00543248">
        <w:t>,</w:t>
      </w:r>
    </w:p>
    <w:p w14:paraId="3668EA4B" w14:textId="77777777" w:rsidR="00445362" w:rsidRPr="00543248" w:rsidRDefault="00445362" w:rsidP="00445362">
      <w:pPr>
        <w:spacing w:after="240"/>
        <w:ind w:left="567" w:hanging="567"/>
      </w:pPr>
      <w:r w:rsidRPr="00543248">
        <w:t>–</w:t>
      </w:r>
      <w:r w:rsidRPr="00543248">
        <w:tab/>
        <w:t>s ohledem na konsolidovanou roční účetní závěrku Evropské unie za rozpočtový rok 2023 (</w:t>
      </w:r>
      <w:proofErr w:type="gramStart"/>
      <w:r w:rsidRPr="00543248">
        <w:t>COM(</w:t>
      </w:r>
      <w:proofErr w:type="gramEnd"/>
      <w:r w:rsidRPr="00543248">
        <w:t>2024)0272 – C10</w:t>
      </w:r>
      <w:r w:rsidRPr="00543248">
        <w:noBreakHyphen/>
        <w:t>0071/2024)</w:t>
      </w:r>
      <w:r w:rsidRPr="00543248">
        <w:rPr>
          <w:vertAlign w:val="superscript"/>
        </w:rPr>
        <w:footnoteReference w:id="2"/>
      </w:r>
      <w:r w:rsidRPr="00543248">
        <w:t>,</w:t>
      </w:r>
    </w:p>
    <w:p w14:paraId="71F11A48" w14:textId="77777777" w:rsidR="00445362" w:rsidRPr="00543248" w:rsidRDefault="00445362" w:rsidP="00445362">
      <w:pPr>
        <w:tabs>
          <w:tab w:val="left" w:pos="2835"/>
        </w:tabs>
        <w:spacing w:after="240"/>
        <w:ind w:left="567" w:hanging="567"/>
      </w:pPr>
      <w:r w:rsidRPr="00543248">
        <w:t>–</w:t>
      </w:r>
      <w:r w:rsidRPr="00543248">
        <w:tab/>
        <w:t>s ohledem na výroční zprávu o činnosti Účetního dvora za rozpočtový rok 2023 a jeho výroční zprávu o rozpočtovém a finančním řízení za rok 2023,</w:t>
      </w:r>
    </w:p>
    <w:p w14:paraId="498A3098" w14:textId="77777777" w:rsidR="00445362" w:rsidRPr="00543248" w:rsidRDefault="00445362" w:rsidP="00445362">
      <w:pPr>
        <w:spacing w:after="240"/>
        <w:ind w:left="567" w:hanging="567"/>
      </w:pPr>
      <w:r w:rsidRPr="00543248">
        <w:t>–</w:t>
      </w:r>
      <w:r w:rsidRPr="00543248">
        <w:tab/>
        <w:t>s ohledem na výroční zprávu Účetního dvora o plnění rozpočtu na rozpočtový rok 2023 spolu s odpověďmi orgánů</w:t>
      </w:r>
      <w:r w:rsidRPr="00543248">
        <w:rPr>
          <w:vertAlign w:val="superscript"/>
        </w:rPr>
        <w:footnoteReference w:id="3"/>
      </w:r>
      <w:r w:rsidRPr="00543248">
        <w:t>,</w:t>
      </w:r>
    </w:p>
    <w:p w14:paraId="55771B8C" w14:textId="77777777" w:rsidR="00445362" w:rsidRPr="00543248" w:rsidRDefault="00445362" w:rsidP="00445362">
      <w:pPr>
        <w:spacing w:after="240"/>
        <w:ind w:left="567" w:hanging="567"/>
      </w:pPr>
      <w:r w:rsidRPr="00543248">
        <w:t>–</w:t>
      </w:r>
      <w:r w:rsidRPr="00543248">
        <w:tab/>
        <w:t>s ohledem na prohlášení o věrohodnosti účetnictví</w:t>
      </w:r>
      <w:r w:rsidRPr="00543248">
        <w:rPr>
          <w:vertAlign w:val="superscript"/>
        </w:rPr>
        <w:footnoteReference w:id="4"/>
      </w:r>
      <w:r w:rsidRPr="00543248">
        <w:t xml:space="preserve"> a o legalitě a správnosti uskutečněných operací, které předložil Účetní dvůr za rozpočtový rok 2023 podle článku 287 Smlouvy o fungování Evropské unie,</w:t>
      </w:r>
    </w:p>
    <w:p w14:paraId="5568AC04" w14:textId="77777777" w:rsidR="00445362" w:rsidRPr="00543248" w:rsidRDefault="00445362" w:rsidP="00445362">
      <w:pPr>
        <w:spacing w:after="240"/>
        <w:ind w:left="567" w:hanging="567"/>
      </w:pPr>
      <w:r w:rsidRPr="00543248">
        <w:t>–</w:t>
      </w:r>
      <w:r w:rsidRPr="00543248">
        <w:tab/>
        <w:t>s ohledem na čl. 314 odst. 10 a články 317, 318 a 319 Smlouvy o fungování Evropské unie,</w:t>
      </w:r>
    </w:p>
    <w:p w14:paraId="2B9BED58" w14:textId="77777777" w:rsidR="00445362" w:rsidRPr="00543248" w:rsidRDefault="00445362" w:rsidP="00445362">
      <w:pPr>
        <w:spacing w:after="240"/>
        <w:ind w:left="567" w:hanging="567"/>
      </w:pPr>
      <w:r w:rsidRPr="00543248">
        <w:t>–</w:t>
      </w:r>
      <w:r w:rsidRPr="00543248">
        <w:tab/>
        <w:t>s ohledem na nařízení Evropského parlamentu a 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 rozhodnutí č. 541/2014/EU a zrušuje nařízení (EU, Euratom) č. 966/2012</w:t>
      </w:r>
      <w:r w:rsidRPr="00543248">
        <w:rPr>
          <w:vertAlign w:val="superscript"/>
        </w:rPr>
        <w:footnoteReference w:id="5"/>
      </w:r>
      <w:r w:rsidRPr="00543248">
        <w:t>, a zejména na články 59, 118, 260, 261 a 262 tohoto nařízení,</w:t>
      </w:r>
    </w:p>
    <w:p w14:paraId="17ED2548" w14:textId="77777777" w:rsidR="00445362" w:rsidRPr="00543248" w:rsidRDefault="00445362" w:rsidP="00445362">
      <w:pPr>
        <w:spacing w:after="240"/>
        <w:ind w:left="567" w:hanging="567"/>
      </w:pPr>
      <w:r w:rsidRPr="00543248">
        <w:t>–</w:t>
      </w:r>
      <w:r w:rsidRPr="00543248">
        <w:tab/>
        <w:t xml:space="preserve">s ohledem na </w:t>
      </w:r>
      <w:r w:rsidRPr="00543248">
        <w:rPr>
          <w:color w:val="333333"/>
          <w:shd w:val="clear" w:color="auto" w:fill="FFFFFF"/>
        </w:rPr>
        <w:t>nařízení Evropského parlamentu a Rady (EU, Euratom) 2024/2509 ze dne 23. září 2024, kterým se stanoví finanční pravidla pro souhrnný rozpočet Unie</w:t>
      </w:r>
      <w:r w:rsidRPr="00543248">
        <w:rPr>
          <w:bCs/>
          <w:color w:val="333333"/>
          <w:shd w:val="clear" w:color="auto" w:fill="FFFFFF"/>
          <w:vertAlign w:val="superscript"/>
        </w:rPr>
        <w:footnoteReference w:id="6"/>
      </w:r>
      <w:r w:rsidRPr="00543248">
        <w:rPr>
          <w:color w:val="333333"/>
          <w:shd w:val="clear" w:color="auto" w:fill="FFFFFF"/>
        </w:rPr>
        <w:t>, a zejména na články 59, 118, 266, 267 a 268 tohoto nařízení</w:t>
      </w:r>
      <w:r w:rsidRPr="00543248">
        <w:t>,</w:t>
      </w:r>
    </w:p>
    <w:p w14:paraId="7FBC0C9A" w14:textId="77777777" w:rsidR="00445362" w:rsidRPr="00543248" w:rsidRDefault="00445362" w:rsidP="00445362">
      <w:pPr>
        <w:spacing w:after="240"/>
        <w:ind w:left="567" w:hanging="567"/>
      </w:pPr>
      <w:r w:rsidRPr="00543248">
        <w:t>–</w:t>
      </w:r>
      <w:r w:rsidRPr="00543248">
        <w:tab/>
        <w:t>s ohledem na článek 102 a přílohu V jednacího řádu,</w:t>
      </w:r>
    </w:p>
    <w:p w14:paraId="6C3C5ACA" w14:textId="77777777" w:rsidR="00445362" w:rsidRPr="00543248" w:rsidRDefault="00445362" w:rsidP="00445362">
      <w:pPr>
        <w:spacing w:after="240"/>
        <w:ind w:left="567" w:hanging="567"/>
      </w:pPr>
      <w:r w:rsidRPr="00543248">
        <w:t>–</w:t>
      </w:r>
      <w:r w:rsidRPr="00543248">
        <w:tab/>
        <w:t>s ohledem na zprávu Výboru pro rozpočtovou kontrolu (A10</w:t>
      </w:r>
      <w:r w:rsidRPr="00543248">
        <w:noBreakHyphen/>
        <w:t>0047/2025),</w:t>
      </w:r>
    </w:p>
    <w:p w14:paraId="6273F87C" w14:textId="77777777" w:rsidR="00445362" w:rsidRPr="00543248" w:rsidRDefault="00445362" w:rsidP="00445362">
      <w:pPr>
        <w:spacing w:after="240"/>
        <w:ind w:left="567" w:hanging="567"/>
      </w:pPr>
      <w:r w:rsidRPr="00543248">
        <w:t>1.</w:t>
      </w:r>
      <w:r w:rsidRPr="00543248">
        <w:tab/>
        <w:t>uděluje generálnímu tajemníkovi Účetního dvora absolutorium za plnění rozpočtu Účetního dvora na rozpočtový rok 2023;</w:t>
      </w:r>
    </w:p>
    <w:p w14:paraId="161085B1" w14:textId="77777777" w:rsidR="00445362" w:rsidRPr="00543248" w:rsidRDefault="00445362" w:rsidP="00445362">
      <w:pPr>
        <w:spacing w:after="240"/>
        <w:ind w:left="567" w:hanging="567"/>
      </w:pPr>
      <w:r w:rsidRPr="00543248">
        <w:t>2.</w:t>
      </w:r>
      <w:r w:rsidRPr="00543248">
        <w:tab/>
        <w:t>předkládá své připomínky v níže uvedeném usnesení;</w:t>
      </w:r>
    </w:p>
    <w:p w14:paraId="12E58635" w14:textId="77777777" w:rsidR="00445362" w:rsidRPr="00543248" w:rsidRDefault="00445362" w:rsidP="00445362">
      <w:pPr>
        <w:spacing w:after="240"/>
        <w:ind w:left="567" w:hanging="567"/>
      </w:pPr>
      <w:r w:rsidRPr="00543248">
        <w:t>3.</w:t>
      </w:r>
      <w:r w:rsidRPr="00543248">
        <w:tab/>
        <w:t>pověřuje svou předsedkyni, aby předala toto rozhodnutí a usnesení, které je jeho nedílnou součástí, Radě, Komisi a Účetnímu dvoru, a aby zajistila jeho zveřejnění v </w:t>
      </w:r>
      <w:r w:rsidRPr="00543248">
        <w:rPr>
          <w:i/>
        </w:rPr>
        <w:t>Úředním věstníku Evropské unie</w:t>
      </w:r>
      <w:r w:rsidRPr="00543248">
        <w:t xml:space="preserve"> (řada L).</w:t>
      </w:r>
    </w:p>
    <w:p w14:paraId="0A5A6DDB" w14:textId="77777777" w:rsidR="00445362" w:rsidRPr="00EF6E3B" w:rsidRDefault="00445362" w:rsidP="00445362">
      <w:pPr>
        <w:sectPr w:rsidR="00445362" w:rsidRPr="00EF6E3B" w:rsidSect="00445362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A3532CA" w14:textId="77777777" w:rsidR="00445362" w:rsidRPr="00543248" w:rsidRDefault="00445362" w:rsidP="00445362">
      <w:pPr>
        <w:pStyle w:val="ATHeading3"/>
      </w:pPr>
      <w:r w:rsidRPr="00543248">
        <w:t>2. Usnesení Evropského parlamentu ze dne 7. května 2025 obsahující připomínky, které jsou nedílnou součástí rozhodnutí o udělení absolutoria za plnění souhrnného rozpočtu Evropské unie na rozpočtový rok 2023, oddíl V – Účetní dvůr (2024/2023(DEC))</w:t>
      </w:r>
    </w:p>
    <w:p w14:paraId="75EA4D1D" w14:textId="77777777" w:rsidR="00445362" w:rsidRPr="00543248" w:rsidRDefault="00445362" w:rsidP="00445362">
      <w:pPr>
        <w:spacing w:before="360" w:after="240"/>
      </w:pPr>
      <w:r w:rsidRPr="00543248">
        <w:rPr>
          <w:i/>
          <w:iCs/>
        </w:rPr>
        <w:t>Evropský parlament</w:t>
      </w:r>
      <w:r w:rsidRPr="00543248">
        <w:t>,</w:t>
      </w:r>
    </w:p>
    <w:p w14:paraId="389D5AA8" w14:textId="401404AF" w:rsidR="00445362" w:rsidRPr="00543248" w:rsidRDefault="00445362" w:rsidP="00445362">
      <w:pPr>
        <w:spacing w:after="240"/>
        <w:ind w:left="567" w:hanging="567"/>
      </w:pPr>
      <w:r w:rsidRPr="00543248">
        <w:t>–</w:t>
      </w:r>
      <w:r w:rsidRPr="00543248">
        <w:tab/>
        <w:t>s ohledem na své rozhodnutí o udělení absolutoria za plnění souhrnného rozpočtu Evropské unie na rozpočtový rok 2023, oddíl V – Účetní dvůr,</w:t>
      </w:r>
    </w:p>
    <w:p w14:paraId="07ABA219" w14:textId="576FC351" w:rsidR="00445362" w:rsidRPr="00543248" w:rsidRDefault="00445362" w:rsidP="00445362">
      <w:pPr>
        <w:spacing w:after="240"/>
        <w:ind w:left="567" w:hanging="567"/>
      </w:pPr>
      <w:r w:rsidRPr="00543248">
        <w:t>–</w:t>
      </w:r>
      <w:r w:rsidRPr="00543248">
        <w:tab/>
        <w:t>s ohledem na článek 102 a přílohu V jednacího řádu,</w:t>
      </w:r>
    </w:p>
    <w:p w14:paraId="5E763BFF" w14:textId="51E2AA2E" w:rsidR="00445362" w:rsidRPr="00543248" w:rsidRDefault="00445362" w:rsidP="00445362">
      <w:pPr>
        <w:spacing w:after="240"/>
        <w:ind w:left="567" w:hanging="567"/>
      </w:pPr>
      <w:r w:rsidRPr="00543248">
        <w:t>–</w:t>
      </w:r>
      <w:r w:rsidRPr="00543248">
        <w:tab/>
        <w:t>s ohledem na zprávu Výboru pro rozpočtovou kontrolu (A10-0047/2025),</w:t>
      </w:r>
    </w:p>
    <w:p w14:paraId="78E89833" w14:textId="77777777" w:rsidR="00445362" w:rsidRPr="00543248" w:rsidRDefault="00445362" w:rsidP="00445362">
      <w:pPr>
        <w:spacing w:after="240"/>
        <w:ind w:left="567" w:hanging="567"/>
      </w:pPr>
      <w:r w:rsidRPr="00543248">
        <w:t>A.</w:t>
      </w:r>
      <w:r w:rsidRPr="00543248">
        <w:tab/>
        <w:t>vzhledem k tomu, že v souvislosti s postupem udělování absolutoria chce orgán příslušný k udělení absolutoria zdůraznit zvláštní význam dalšího posilování demokratické legitimity orgánů Unie zlepšením transparentnosti a odpovědnosti a prováděním koncepce sestavování rozpočtu podle výkonnosti a řádné správy lidských zdrojů;</w:t>
      </w:r>
    </w:p>
    <w:p w14:paraId="0E23D251" w14:textId="77777777" w:rsidR="00445362" w:rsidRPr="00543248" w:rsidRDefault="00445362" w:rsidP="00445362">
      <w:pPr>
        <w:spacing w:after="240"/>
        <w:ind w:left="567" w:hanging="567"/>
      </w:pPr>
      <w:r w:rsidRPr="00543248">
        <w:t>B.</w:t>
      </w:r>
      <w:r w:rsidRPr="00543248">
        <w:tab/>
        <w:t>vzhledem k tomu, že Evropský účetní dvůr (dále jen „Účetní dvůr“) je externím auditorem Unie pověřeným tím, aby prostřednictvím nezávislé a profesionální auditní práce s významným dopadem hodnotil hospodárnost, účelnost, účinnost, legalitu a správnost opatření Unie s cílem zlepšit odpovědnost, transparentnost a finanční řízení, a tím posílit důvěru občanů a účinně reagovat na současné a budoucí výzvy, kterým Unie čelí;</w:t>
      </w:r>
    </w:p>
    <w:p w14:paraId="0F483596" w14:textId="77777777" w:rsidR="00445362" w:rsidRPr="00543248" w:rsidRDefault="00445362" w:rsidP="00445362">
      <w:pPr>
        <w:spacing w:after="240"/>
        <w:ind w:left="567" w:hanging="567"/>
      </w:pPr>
      <w:r w:rsidRPr="00543248">
        <w:t>C.</w:t>
      </w:r>
      <w:r w:rsidRPr="00543248">
        <w:tab/>
        <w:t>vzhledem k tomu, že aniž jsou dotčena ustanovení článků 287 a 319 Smlouvy o fungování Evropské unie (dále jen „Smlouva o fungování EU“), nechává Účetní dvůr od konce rozpočtového roku 1987 každý rok provádět audit svých příjmů a výdajů nezávislým externím auditorem a od zprávy za rozpočtový rok 1992 jsou zprávy externího auditora zveřejňovány v </w:t>
      </w:r>
      <w:r w:rsidRPr="00543248">
        <w:rPr>
          <w:i/>
        </w:rPr>
        <w:t>Úředním věstníku Evropské unie</w:t>
      </w:r>
      <w:r w:rsidRPr="00543248">
        <w:t>;</w:t>
      </w:r>
    </w:p>
    <w:p w14:paraId="603C6BE5" w14:textId="77777777" w:rsidR="00445362" w:rsidRPr="00543248" w:rsidRDefault="00445362" w:rsidP="00445362">
      <w:pPr>
        <w:spacing w:after="240"/>
        <w:ind w:left="567" w:hanging="567"/>
      </w:pPr>
      <w:r w:rsidRPr="00543248">
        <w:t>D.</w:t>
      </w:r>
      <w:r w:rsidRPr="00543248">
        <w:tab/>
        <w:t>vzhledem k tomu, že odpovědnost za řízení vůči rozpočtovým orgánům je zajištěna prostřednictvím výroční zprávy o činnosti generálního tajemníka Účetního dvora, jejímž účelem je podle čl. 74 odst. 9 finančního nařízení poskytovat informace o využívání zdrojů včetně systémů a o efektivnosti a účinnosti systémů vnitřní kontroly Účetního dvora;</w:t>
      </w:r>
    </w:p>
    <w:p w14:paraId="09041712" w14:textId="77777777" w:rsidR="00445362" w:rsidRPr="00543248" w:rsidRDefault="00445362" w:rsidP="00445362">
      <w:pPr>
        <w:spacing w:after="240"/>
        <w:ind w:left="567" w:hanging="567"/>
      </w:pPr>
      <w:r w:rsidRPr="00543248">
        <w:t>E.</w:t>
      </w:r>
      <w:r w:rsidRPr="00543248">
        <w:tab/>
        <w:t>vzhledem k tomu, že Účetní dvůr tím, že vykonává svou činnost transparentním a nezávislým způsobem, přispívá k demokratickému dohledu, veřejné debatě a řádnému finančnímu řízení Unie;</w:t>
      </w:r>
    </w:p>
    <w:p w14:paraId="7CF5D012" w14:textId="77777777" w:rsidR="00445362" w:rsidRPr="00543248" w:rsidRDefault="00445362" w:rsidP="00445362">
      <w:pPr>
        <w:spacing w:after="240"/>
        <w:ind w:left="567" w:hanging="567"/>
      </w:pPr>
      <w:r w:rsidRPr="00543248">
        <w:t>F.</w:t>
      </w:r>
      <w:r w:rsidRPr="00543248">
        <w:tab/>
        <w:t>vzhledem k tomu, že Účetní dvůr zaujal postoj, podle něhož by nejlepším řešením pro posouzení správy Unie, její odpovědnosti a transparentnosti a kvality a spolehlivosti vykázaných informací a údajů o provádění politik Unie bylo pověřit Účetní dvůr auditem všech orgánů, institucí a jiných subjektů Unie zřízených Smlouvami nebo podle Smluv a všech mezivládních struktur, jež mají klíčový význam pro fungování Unie; vzhledem k tomu, že Parlament důrazně podporuje Účetní dvůr a uvítal by iniciativy, které by posílily schopnost Účetního dvora naplnit jeho mandát;</w:t>
      </w:r>
    </w:p>
    <w:p w14:paraId="7D3C4E21" w14:textId="77777777" w:rsidR="00445362" w:rsidRPr="00543248" w:rsidRDefault="00445362" w:rsidP="00445362">
      <w:pPr>
        <w:spacing w:after="240"/>
        <w:ind w:left="567" w:hanging="567"/>
      </w:pPr>
      <w:r w:rsidRPr="00543248">
        <w:t>1.</w:t>
      </w:r>
      <w:r w:rsidRPr="00543248">
        <w:tab/>
        <w:t>konstatuje, že rozpočet Účetního dvora spadá do okruhu 7 VFR „Evropská veřejná správa“, který v roce 2023 činil 12,3 miliardy EUR (což představuje 6,4 % celkového rozpočtu Unie); konstatuje, že rozpočet Účetního dvora v přibližné výši 0,2 miliardy EUR představuje asi 1,5 % všech správních výdajů Unie a méně než 0,1 % celkových výdajů Unie;</w:t>
      </w:r>
    </w:p>
    <w:p w14:paraId="0D8E311E" w14:textId="77777777" w:rsidR="00445362" w:rsidRPr="00543248" w:rsidRDefault="00445362" w:rsidP="00445362">
      <w:pPr>
        <w:spacing w:after="240"/>
        <w:ind w:left="567" w:hanging="567"/>
      </w:pPr>
      <w:r w:rsidRPr="00543248">
        <w:t>2.</w:t>
      </w:r>
      <w:r w:rsidRPr="00543248">
        <w:tab/>
        <w:t>konstatuje, že Účetní dvůr ve své výroční zprávě za rozpočtový rok 2023 zkoumal vzorek 70 transakcí v oddílu Správa, což je o 10 více než v roce 2022; dále uvádí, že Účetní dvůr uvedl, že správní výdaje zahrnují výdaje na lidské zdroje, včetně výdajů na důchody, které v roce 2023 představovaly přibližně 70 % celkových správních výdajů, a výdaje na budovy, vybavení, energie, komunikační a informační technologie, a že z jeho dlouholeté práce vyplývá, že tyto výdaje celkově vykazují nízké riziko;</w:t>
      </w:r>
    </w:p>
    <w:p w14:paraId="22FEF962" w14:textId="77777777" w:rsidR="00445362" w:rsidRPr="00543248" w:rsidRDefault="00445362" w:rsidP="00445362">
      <w:pPr>
        <w:spacing w:after="240"/>
        <w:ind w:left="567" w:hanging="567"/>
      </w:pPr>
      <w:r w:rsidRPr="00543248">
        <w:t>3.</w:t>
      </w:r>
      <w:r w:rsidRPr="00543248">
        <w:tab/>
        <w:t>vítá soustavný nárůst počtu transakcí kontrolovaných Účetním dvorem v rámci okruhu Správa; bere na vědomí plánovaný audit veřejné služby Unie, připomíná však, že správní výdaje je důležité prošetřovat důkladněji, a opakuje svou výzvu, aby do této činnosti byly zahrnuty komplexní údaje o všech orgánech a institucích s cílem poskytnout soudržný základ pro jednotný postup udělování absolutoria;</w:t>
      </w:r>
    </w:p>
    <w:p w14:paraId="2AB1E1E5" w14:textId="77777777" w:rsidR="00445362" w:rsidRPr="00543248" w:rsidRDefault="00445362" w:rsidP="00445362">
      <w:pPr>
        <w:spacing w:after="240"/>
        <w:ind w:left="567" w:hanging="567"/>
      </w:pPr>
      <w:r w:rsidRPr="00543248">
        <w:t>4.</w:t>
      </w:r>
      <w:r w:rsidRPr="00543248">
        <w:tab/>
        <w:t>konstatuje, že 21 (30 %) ze 70 transakcí obsahovalo chyby, ale že na základě pěti chyb, které byly vyčísleny, Účetní dvůr odhaduje, že míra chyb je pod prahem významnosti;</w:t>
      </w:r>
    </w:p>
    <w:p w14:paraId="0533D800" w14:textId="77777777" w:rsidR="00445362" w:rsidRPr="00543248" w:rsidRDefault="00445362" w:rsidP="00445362">
      <w:pPr>
        <w:spacing w:after="240"/>
        <w:ind w:left="567" w:hanging="567"/>
      </w:pPr>
      <w:r w:rsidRPr="00543248">
        <w:t>5.</w:t>
      </w:r>
      <w:r w:rsidRPr="00543248">
        <w:tab/>
        <w:t>bere na vědomí, že finanční výkazy Účetního dvora kontroluje nezávislý externí auditor, aby bylo zajištěno dodržování týchž zásad transparentnosti, odpovědnosti a nezávislosti, jaké Účetní dvůr uplatňuje na jím kontrolované subjekty;</w:t>
      </w:r>
    </w:p>
    <w:p w14:paraId="30F22841" w14:textId="77777777" w:rsidR="00445362" w:rsidRPr="00543248" w:rsidRDefault="00445362" w:rsidP="00445362">
      <w:pPr>
        <w:spacing w:after="240"/>
        <w:ind w:left="567" w:hanging="567"/>
        <w:rPr>
          <w:b/>
          <w:i/>
        </w:rPr>
      </w:pPr>
      <w:r w:rsidRPr="00543248">
        <w:rPr>
          <w:b/>
          <w:i/>
        </w:rPr>
        <w:t>Rozpočtové a finanční řízení</w:t>
      </w:r>
    </w:p>
    <w:p w14:paraId="54FF1E8D" w14:textId="77777777" w:rsidR="00445362" w:rsidRPr="00543248" w:rsidRDefault="00445362" w:rsidP="00445362">
      <w:pPr>
        <w:spacing w:after="240"/>
        <w:ind w:left="567" w:hanging="567"/>
      </w:pPr>
      <w:r w:rsidRPr="00543248">
        <w:t>6.</w:t>
      </w:r>
      <w:r w:rsidRPr="00543248">
        <w:tab/>
        <w:t xml:space="preserve">konstatuje, že celkový rozpočet Účetního dvora na rok 2023 činil 175 059 922 EUR, což odpovídá nárůstu o 7,97 % oproti 162 141 175 EUR v roce 2022; konstatuje, že nárůst byl způsoben především úpravami platů a devíti novými dočasnými pracovními místy v souvislosti s nástrojem </w:t>
      </w:r>
      <w:proofErr w:type="spellStart"/>
      <w:r w:rsidRPr="00543248">
        <w:t>NextGenerationEU</w:t>
      </w:r>
      <w:proofErr w:type="spellEnd"/>
      <w:r w:rsidRPr="00543248">
        <w:t xml:space="preserve"> (NGEU); konstatuje, že v roce 2023 bylo 88,5 % prostředků určeno pro jeho členy a zaměstnance, zatímco 11,5 % bylo určeno na budovy, vybavení a různé výdaje;</w:t>
      </w:r>
    </w:p>
    <w:p w14:paraId="5A43F85D" w14:textId="77777777" w:rsidR="00445362" w:rsidRPr="00543248" w:rsidRDefault="00445362" w:rsidP="00445362">
      <w:pPr>
        <w:spacing w:after="240"/>
        <w:ind w:left="567" w:hanging="567"/>
      </w:pPr>
      <w:r w:rsidRPr="00543248">
        <w:t>7.</w:t>
      </w:r>
      <w:r w:rsidRPr="00543248">
        <w:tab/>
        <w:t>konstatuje, že míra plnění závazků a plateb byla vysoká, avšak mírně nižší než v roce 2022; konstatuje, že míra využití prostředků činila 97,92 % (oproti 98,12 % v roce 2022) a platby představovaly 94,45 % (oproti 95,26 % v roce 2022) celkových závazků;</w:t>
      </w:r>
    </w:p>
    <w:p w14:paraId="7C9BEC43" w14:textId="77777777" w:rsidR="00445362" w:rsidRPr="00543248" w:rsidRDefault="00445362" w:rsidP="00445362">
      <w:pPr>
        <w:spacing w:after="240"/>
        <w:ind w:left="567" w:hanging="567"/>
      </w:pPr>
      <w:r w:rsidRPr="00543248">
        <w:t>8.</w:t>
      </w:r>
      <w:r w:rsidRPr="00543248">
        <w:tab/>
        <w:t>konstatuje, že ruská nezákonná a neoprávněná útočná válka proti Ukrajině vytvářela různými způsoby rozpočtový tlak na Účetní dvůr, mimo jiné v důsledku rostoucí inflace a úpravy platů a výrazného zvýšení nákladů na elektřinu a vytápění;</w:t>
      </w:r>
    </w:p>
    <w:p w14:paraId="04C3B670" w14:textId="77777777" w:rsidR="00445362" w:rsidRPr="00543248" w:rsidRDefault="00445362" w:rsidP="00445362">
      <w:pPr>
        <w:spacing w:after="240"/>
        <w:ind w:left="567" w:hanging="567"/>
      </w:pPr>
      <w:r w:rsidRPr="00543248">
        <w:t>9.</w:t>
      </w:r>
      <w:r w:rsidRPr="00543248">
        <w:tab/>
        <w:t>zdůrazňuje, že plnění rozpočtu na rok 2023 bylo poznamenáno dvěma faktory, které vysvětlují o něco nižší míru plnění než v roce 2022:</w:t>
      </w:r>
    </w:p>
    <w:p w14:paraId="633A8FF9" w14:textId="77777777" w:rsidR="00445362" w:rsidRPr="00543248" w:rsidRDefault="00445362" w:rsidP="00445362">
      <w:pPr>
        <w:spacing w:after="240"/>
        <w:ind w:left="1134" w:hanging="567"/>
      </w:pPr>
      <w:r w:rsidRPr="00543248">
        <w:t>1.</w:t>
      </w:r>
      <w:r w:rsidRPr="00543248">
        <w:tab/>
        <w:t>vyšší než plánovanou mírou inflace a následnými indexacemi cen, což mělo dopad na nové a stávající smlouvy a vyvolalo to další potřeby v rámci rozpočtu, kdy bylo třeba pokrýt výdaje nesouvisející s platy, a zejména rozpočtové položky týkající se energií a IT; navýšení prostředků bylo nakonec možné zejména díky neúplnému využití některých prostředků v kapitole 1 0 (Členové orgánu), v kapitole 1 2 (Úředníci a dočasní zaměstnanci) a v hlavě 2 u rozpočtových položek, jako jsou Publikace, Specializované konzultace, studie a průzkumy a Náklady na tlumočení;</w:t>
      </w:r>
    </w:p>
    <w:p w14:paraId="58B22084" w14:textId="77777777" w:rsidR="00445362" w:rsidRPr="00543248" w:rsidRDefault="00445362" w:rsidP="00445362">
      <w:pPr>
        <w:spacing w:after="240"/>
        <w:ind w:left="1134" w:hanging="567"/>
      </w:pPr>
      <w:r w:rsidRPr="00543248">
        <w:t>2.</w:t>
      </w:r>
      <w:r w:rsidRPr="00543248">
        <w:tab/>
        <w:t>vyšší fluktuací smluvních zaměstnanců a vyslaných národních odborníků (některé smlouvy pro vyslané národní odborníky nebyly prodlouženy a několik vyslaných národních odborníků uspělo v interním výběrovém řízení na pozice dočasných zaměstnanců), zpožděními a potížemi v náborových procesech, například v evropských orgánech v Lucemburku;</w:t>
      </w:r>
    </w:p>
    <w:p w14:paraId="449658B8" w14:textId="77777777" w:rsidR="00445362" w:rsidRPr="00543248" w:rsidRDefault="00445362" w:rsidP="00445362">
      <w:pPr>
        <w:spacing w:after="240"/>
        <w:ind w:left="567" w:hanging="567"/>
      </w:pPr>
      <w:r w:rsidRPr="00543248">
        <w:t>10.</w:t>
      </w:r>
      <w:r w:rsidRPr="00543248">
        <w:tab/>
        <w:t>konstatuje, že v průběhu roku 2023 Účetní dvůr provedl 36 rozpočtových převodů v celkové výši 5 676 379 EUR, jejichž cílem bylo zajistit bezproblémový chod jednotlivých oddělení Účetního dvora a uspokojit veškeré související potřeby;</w:t>
      </w:r>
    </w:p>
    <w:p w14:paraId="56D672D8" w14:textId="77777777" w:rsidR="00445362" w:rsidRPr="00543248" w:rsidRDefault="00445362" w:rsidP="00445362">
      <w:pPr>
        <w:spacing w:after="240"/>
        <w:ind w:left="567" w:hanging="567"/>
      </w:pPr>
      <w:r w:rsidRPr="00543248">
        <w:t>11.</w:t>
      </w:r>
      <w:r w:rsidRPr="00543248">
        <w:tab/>
        <w:t>konstatuje, že v roce 2023 Účetní dvůr nakoupil zboží a služby v celkové výši 23 426 750,05 EUR (5 512 853 EUR v roce 2022 a 15 215 515 EUR v roce 2021), z čehož nákupy od místních dodavatelů činily 21 453 665,05 EUR (4 848 701 EUR v roce 2022 a 10 144 812 EUR v roce 2021);</w:t>
      </w:r>
    </w:p>
    <w:p w14:paraId="7C00A6CD" w14:textId="77777777" w:rsidR="00445362" w:rsidRPr="00543248" w:rsidRDefault="00445362" w:rsidP="00445362">
      <w:pPr>
        <w:spacing w:after="240"/>
        <w:ind w:left="567" w:hanging="567"/>
      </w:pPr>
      <w:r w:rsidRPr="00543248">
        <w:t>12.</w:t>
      </w:r>
      <w:r w:rsidRPr="00543248">
        <w:tab/>
        <w:t>s uspokojením konstatuje, že externí auditor prohlásil, že přidělené prostředky byly použity k určenému účelu a že kontrolní postupy zavedené schvalujícími osobami poskytují nezbytné záruky, že finanční operace jsou v souladu s platnými pravidly a předpisy;</w:t>
      </w:r>
    </w:p>
    <w:p w14:paraId="400BFA9D" w14:textId="77777777" w:rsidR="00445362" w:rsidRPr="00543248" w:rsidRDefault="00445362" w:rsidP="00445362">
      <w:pPr>
        <w:spacing w:after="240"/>
        <w:ind w:left="567" w:hanging="567"/>
      </w:pPr>
      <w:r w:rsidRPr="00543248">
        <w:t>13.</w:t>
      </w:r>
      <w:r w:rsidRPr="00543248">
        <w:tab/>
        <w:t>vítá skutečnost, že celkový rozpočet Účetního dvora na služební cesty (členové a zaměstnanci), původně stanovený na 2 722 500 EUR, se snížil o 4,4 % na 2 602 500 EUR vzhledem ke změnám v pracovních postupech Účetního dvora po pandemii;</w:t>
      </w:r>
    </w:p>
    <w:p w14:paraId="269A217E" w14:textId="77777777" w:rsidR="00445362" w:rsidRPr="00543248" w:rsidRDefault="00445362" w:rsidP="00445362">
      <w:pPr>
        <w:spacing w:after="240"/>
        <w:ind w:left="567" w:hanging="567"/>
      </w:pPr>
      <w:r w:rsidRPr="00543248">
        <w:t>14.</w:t>
      </w:r>
      <w:r w:rsidRPr="00543248">
        <w:tab/>
        <w:t>vyzývá Účetní dvůr, aby provedl komplexní přezkum příspěvků na cestu a účast na schůzích a zajistil, aby výdaje byly nákladově efektivní, odůvodněné a environmentálně udržitelné, včetně častějšího využívání hybridních schůzí s cílem snížit zbytečné výdaje a emise uhlíku;</w:t>
      </w:r>
    </w:p>
    <w:p w14:paraId="0203AB0E" w14:textId="77777777" w:rsidR="00445362" w:rsidRPr="00543248" w:rsidRDefault="00445362" w:rsidP="00445362">
      <w:pPr>
        <w:spacing w:after="240"/>
        <w:ind w:left="567" w:hanging="567"/>
        <w:rPr>
          <w:b/>
          <w:i/>
        </w:rPr>
      </w:pPr>
      <w:r w:rsidRPr="00543248">
        <w:rPr>
          <w:b/>
          <w:i/>
        </w:rPr>
        <w:t>Vnitřní řízení, výkonnost a interní kontrola</w:t>
      </w:r>
    </w:p>
    <w:p w14:paraId="61C5E81D" w14:textId="77777777" w:rsidR="00445362" w:rsidRPr="00543248" w:rsidRDefault="00445362" w:rsidP="00445362">
      <w:pPr>
        <w:spacing w:after="240"/>
        <w:ind w:left="567" w:hanging="567"/>
      </w:pPr>
      <w:r w:rsidRPr="00543248">
        <w:t>15.</w:t>
      </w:r>
      <w:r w:rsidRPr="00543248">
        <w:tab/>
        <w:t>vítá skutečnost, že v roce 2023 Účetní dvůr ve srovnání s předchozími třemi roky, kdy ještě částečně platila cestovní omezení související s onemocněním COVID-19 a veřejným zdravím, výrazně zvýšil počet návštěv na místě; konstatuje, že v členských státech a mimo Unii strávil Účetní dvůr celkem 4 897 dnů ve srovnání s 2 984 dny v roce 2022, 1 156 dny v roce 2021, 1 190 dny v roce 2020 a 3 605 dny v roce 2019;</w:t>
      </w:r>
    </w:p>
    <w:p w14:paraId="00668AF1" w14:textId="77777777" w:rsidR="00445362" w:rsidRPr="00543248" w:rsidRDefault="00445362" w:rsidP="00445362">
      <w:pPr>
        <w:spacing w:after="240"/>
        <w:ind w:left="567" w:hanging="567"/>
      </w:pPr>
      <w:r w:rsidRPr="00543248">
        <w:t>16.</w:t>
      </w:r>
      <w:r w:rsidRPr="00543248">
        <w:tab/>
        <w:t>konstatuje, že během roku 2023 Účetní dvůr předložil 2 výroční zprávy, 4 specifické výroční zprávy, 29 zvláštních zpráv, 4 stanoviska a 6 přezkumů, celkem 45 položek;</w:t>
      </w:r>
    </w:p>
    <w:p w14:paraId="78ECE0F7" w14:textId="77777777" w:rsidR="00445362" w:rsidRPr="00543248" w:rsidRDefault="00445362" w:rsidP="00445362">
      <w:pPr>
        <w:spacing w:after="240"/>
        <w:ind w:left="567" w:hanging="567"/>
      </w:pPr>
      <w:r w:rsidRPr="00543248">
        <w:t>17.</w:t>
      </w:r>
      <w:r w:rsidRPr="00543248">
        <w:tab/>
        <w:t>konstatuje, že z 29 strategických opatření uvedených ve strategii Účetního dvora na období 2021–2025 bylo 1 zrušeno a zbylých 28 bylo provedeno;</w:t>
      </w:r>
    </w:p>
    <w:p w14:paraId="327F6463" w14:textId="77777777" w:rsidR="00445362" w:rsidRPr="00543248" w:rsidRDefault="00445362" w:rsidP="00445362">
      <w:pPr>
        <w:spacing w:after="240"/>
        <w:ind w:left="567" w:hanging="567"/>
      </w:pPr>
      <w:r w:rsidRPr="00543248">
        <w:t>18.</w:t>
      </w:r>
      <w:r w:rsidRPr="00543248">
        <w:tab/>
        <w:t>oceňuje, že Účetní dvůr měří provádění svých doporučení na základě návazných opatření provedených jeho auditory; konstatuje, že v roce 2023 Účetní dvůr analyzoval doporučení určená Komisi a jiným orgánům, která jsou uvedena v jeho zprávách za rok 2019; oceňuje, že z analýzy vyplynulo, že z doporučení, k nimž byla přijata návazná opatření, bylo 100 % z 15 doporučení uvedených ve výroční zprávě Účetního dvora za rok 2019 a 85 % z 208 doporučení uvedených ve zvláštních zprávách Účetního dvora z roku 2019 provedeno buď v plném rozsahu, nebo v některých či většině ohledů;</w:t>
      </w:r>
    </w:p>
    <w:p w14:paraId="5C3AE72E" w14:textId="77777777" w:rsidR="00445362" w:rsidRPr="00543248" w:rsidRDefault="00445362" w:rsidP="00445362">
      <w:pPr>
        <w:spacing w:after="240"/>
        <w:ind w:left="567" w:hanging="567"/>
      </w:pPr>
      <w:r w:rsidRPr="00543248">
        <w:t>19.</w:t>
      </w:r>
      <w:r w:rsidRPr="00543248">
        <w:tab/>
        <w:t>vítá připravenost Účetního dvora vyhovět žádosti Parlamentu, aby zaměřil svou auditní činnost na nejnaléhavější výzvy a dále zlepšoval vzájemnou spolupráci s Konferencí předsedů výborů Evropského parlamentu; zdůrazňuje, že Účetní dvůr by měl mít plný přístup k nástrojům pro posuzování rizika podvodů, včetně databází Komise a členských států týkajících se podvodů s finančními prostředky Unie, s cílem zlepšit systémy včasného varování před podvodnými činnostmi; hluboce lituje skutečnosti, že přístup Účetního dvora k nástroji FENIX, což je nový nástroj pro podávání zpráv o Nástroji pro oživení a odolnost (RRF), zůstává neuzavřeným problémem vzhledem k tomu, že Komise uděluje Účetnímu dvoru přístup pouze k některým modulům nástroje FENIX a informace v něm uvedené nejsou včas aktualizovány; naléhavě vyzývá Komisi, aby Účetnímu dvoru neprodleně poskytla plný a okamžitý přístup ke všem modulům nástroje FENIX; konstatuje, že Generální ředitelství Komise pro hospodářské a finanční záležitosti usiluje o to, aby měl Účetní dvůr přístup k souborům modulu FENIX do 2 týdnů od schválení žádosti o platbu; je však znepokojen tím, že v praxi tato lhůta často není splněna a že v některých případech byla zjištěna zpoždění v délce až 2,5 měsíce, což významně zpomalilo předkládání závěrů Účetního dvora; připomíná, že komisař pro rozpočet na schůzi výboru CONT dne 10. října 2024 otevřeně uvedl, že Účetní dvůr má v souvislosti s nástrojem RRF plný mandát, což znamená, že je třeba urychleně zlepšit jeho přístup ke všem nástrojům, aby mohl svůj mandát plnit;</w:t>
      </w:r>
    </w:p>
    <w:p w14:paraId="5AC3B8E9" w14:textId="77777777" w:rsidR="00445362" w:rsidRPr="00543248" w:rsidRDefault="00445362" w:rsidP="00445362">
      <w:pPr>
        <w:spacing w:after="240"/>
        <w:ind w:left="567" w:hanging="567"/>
      </w:pPr>
      <w:r w:rsidRPr="00543248">
        <w:t>20.</w:t>
      </w:r>
      <w:r w:rsidRPr="00543248">
        <w:tab/>
        <w:t>vyzývá Účetní dvůr, aby vzhledem k rostoucí úloze Evropské investiční banky (EIB) v hospodářské, finanční a průmyslové politice EU rozšířil rozsah svého auditu i na operace EIB financované z jejích vlastních prostředků; naléhavě vyzývá Komisi a členské státy, aby Účetnímu dvoru udělily právní mandát k tomuto rozšíření;</w:t>
      </w:r>
    </w:p>
    <w:p w14:paraId="21999D63" w14:textId="77777777" w:rsidR="00445362" w:rsidRPr="00543248" w:rsidRDefault="00445362" w:rsidP="00445362">
      <w:pPr>
        <w:spacing w:after="240"/>
        <w:ind w:left="567" w:hanging="567"/>
      </w:pPr>
      <w:r w:rsidRPr="00543248">
        <w:t>21.</w:t>
      </w:r>
      <w:r w:rsidRPr="00543248">
        <w:tab/>
        <w:t>oceňuje včasné a relevantní zvláštní zprávy o provádění nástroje RRF, které orgánu příslušnému k udělení absolutoria umožňují účinně vykonávat jeho výsady a předkládat Komisi doporučení ke zlepšení fungování tohoto nástroje; naléhavě vyzývá Účetní dvůr, aby posílil svou úlohu v boji proti podvodům v rozpočtu Unie tím, že bude odhalovat nedostatky, povede diskuse o boji proti podvodům, zintenzivní audity, bude spolupracovat se subjekty pro odhalování podvodů a bude poskytovat příslušnou zpětnou vazbu orgánu příslušnému k udělení absolutoria;</w:t>
      </w:r>
    </w:p>
    <w:p w14:paraId="1D37912B" w14:textId="77777777" w:rsidR="00445362" w:rsidRPr="00543248" w:rsidRDefault="00445362" w:rsidP="00445362">
      <w:pPr>
        <w:spacing w:after="240"/>
        <w:ind w:left="567" w:hanging="567"/>
      </w:pPr>
      <w:r w:rsidRPr="00543248">
        <w:t>22.</w:t>
      </w:r>
      <w:r w:rsidRPr="00543248">
        <w:tab/>
        <w:t>konstatuje, že na konci roku 2023 měl Účetní dvůr 969 zaměstnanců; konstatuje, že v roce 2023 tvořily ženy 53 % a muži 47 % zaměstnanců, což se oproti předchozímu roku 2022 nezměnilo; vyjadřuje politování nad tím, že ve vrcholném vedení činí zastoupení žen pouze 30 %, což představuje významný pokles oproti 36,4 % v roce 2022; zdůrazňuje, že celkový podíl žen na vedoucích pozicích se v roce 2023 snížil; vyzývá Účetní dvůr, aby pokračoval ve svém úsilí o podporu vyváženého zastoupení žen a mužů ve středním a vrcholném vedení;</w:t>
      </w:r>
    </w:p>
    <w:p w14:paraId="77C8ECEB" w14:textId="77777777" w:rsidR="00445362" w:rsidRPr="00543248" w:rsidRDefault="00445362" w:rsidP="00445362">
      <w:pPr>
        <w:spacing w:after="240"/>
        <w:ind w:left="567" w:hanging="567"/>
        <w:rPr>
          <w:b/>
          <w:i/>
        </w:rPr>
      </w:pPr>
      <w:r w:rsidRPr="00543248">
        <w:rPr>
          <w:b/>
          <w:i/>
        </w:rPr>
        <w:t>Lidské zdroje, rovnost a dobré pracovní podmínky zaměstnanců</w:t>
      </w:r>
    </w:p>
    <w:p w14:paraId="7235EC74" w14:textId="77777777" w:rsidR="00445362" w:rsidRPr="00543248" w:rsidRDefault="00445362" w:rsidP="00445362">
      <w:pPr>
        <w:spacing w:after="240"/>
        <w:ind w:left="567" w:hanging="567"/>
        <w:rPr>
          <w:b/>
          <w:i/>
        </w:rPr>
      </w:pPr>
      <w:r w:rsidRPr="00543248">
        <w:t>23.</w:t>
      </w:r>
      <w:r w:rsidRPr="00543248">
        <w:tab/>
        <w:t>je znepokojen tím, že proces náboru vyžadoval značné úsilí, protože asi 50 % uchazečů pracovní nabídky od Účetního dvora odmítlo, částečně kvůli omezené přitažlivosti Lucemburku jako místa pro výkon zaměstnání a vysokým životním nákladům; konstatuje však, že velké auditní společnosti působící v Lucemburku také čelí výzvám a hledají nyní auditory na asijských trzích; zdůrazňuje, že takovýto přístup Účetní dvůr uplatňovat nemůže kvůli bezpečnosti a způsobilosti; bere na vědomí úsilí Účetního dvora a vybízí jej, aby spolupracoval s ostatními orgány se sídlem v Lucemburku v rámci interinstitucionální skupiny na vysoké úrovni s cílem zvýšit přitažlivost Lucemburku pro potenciální zaměstnance prostřednictvím konkrétních opatření, jako jsou zvláštní příspěvky na bydlení, s cílem snížit vysoké náklady na pronájem u zaměstnanců nižších platových tříd a zajistit dočasné bydlení za přiměřené ceny pro krátkodobé pobyty;</w:t>
      </w:r>
    </w:p>
    <w:p w14:paraId="19BD0C5D" w14:textId="77777777" w:rsidR="00445362" w:rsidRPr="00543248" w:rsidRDefault="00445362" w:rsidP="00445362">
      <w:pPr>
        <w:spacing w:after="240"/>
        <w:ind w:left="567" w:hanging="567"/>
      </w:pPr>
      <w:r w:rsidRPr="00543248">
        <w:t>24.</w:t>
      </w:r>
      <w:r w:rsidRPr="00543248">
        <w:tab/>
        <w:t>připomíná, že Smlouva o Evropské unii stanoví, že EU a její orgány a instituce podporují solidaritu a rovnost žen a mužů;</w:t>
      </w:r>
    </w:p>
    <w:p w14:paraId="049006C2" w14:textId="77777777" w:rsidR="00445362" w:rsidRPr="00543248" w:rsidRDefault="00445362" w:rsidP="00445362">
      <w:pPr>
        <w:spacing w:after="240"/>
        <w:ind w:left="567" w:hanging="567"/>
        <w:rPr>
          <w:b/>
          <w:i/>
        </w:rPr>
      </w:pPr>
      <w:r w:rsidRPr="00543248">
        <w:t>25.</w:t>
      </w:r>
      <w:r w:rsidRPr="00543248">
        <w:tab/>
        <w:t>sdílí obavy Účetního dvora, že auditorské povolání čelí obecně problémům s náborem kvůli nedostatečnému zájmu o auditní a kontrolní pozice mezi mladými pracovníky; vyzývá k proaktivním řešením a okamžité systematické interinstitucionální spolupráci při řešení tohoto problému;</w:t>
      </w:r>
    </w:p>
    <w:p w14:paraId="245FF215" w14:textId="77777777" w:rsidR="00445362" w:rsidRPr="00543248" w:rsidRDefault="00445362" w:rsidP="00445362">
      <w:pPr>
        <w:spacing w:after="240"/>
        <w:ind w:left="567" w:hanging="567"/>
        <w:rPr>
          <w:b/>
          <w:i/>
        </w:rPr>
      </w:pPr>
      <w:r w:rsidRPr="00543248">
        <w:t>26.</w:t>
      </w:r>
      <w:r w:rsidRPr="00543248">
        <w:tab/>
        <w:t>souhlasí s připomínkami Účetního dvora, že výběrová řízení pořádaná úřadem EPSO ne vždy naplní cíl přilákat a vybrat relevantní profily uchazečů ze soukromého sektoru; zdůrazňuje několik problémů s výběrovými řízeními pořádanými úřadem EPSO, například technické problémy se zkouškami na dálku, které vedly ke zrušení jednoho řízení a pozastavení všech ostatních; bere na vědomí obavy týkající se náboru a výběrových řízení na nové zaměstnance; vybízí Účetní dvůr, aby pokračoval ve svém úsilí o řešení této situace s cílem zajistit kontinuitu činnosti Účetního dvora; s uznáním bere na vědomí, že Účetní dvůr zahájil spolupráci s Evropským úřadem pro výběr personálu s cílem pořádat v pravidelných intervalech výběrová řízení na místa v oblasti auditu; navrhuje případnou spolupráci s ostatními příslušnými orgány Unie s cílem optimalizovat postupy přijímání zaměstnanců;</w:t>
      </w:r>
    </w:p>
    <w:p w14:paraId="0FD6CC8D" w14:textId="77777777" w:rsidR="00445362" w:rsidRPr="00543248" w:rsidRDefault="00445362" w:rsidP="00445362">
      <w:pPr>
        <w:spacing w:after="240"/>
        <w:ind w:left="567" w:hanging="567"/>
      </w:pPr>
      <w:r w:rsidRPr="00543248">
        <w:t>27.</w:t>
      </w:r>
      <w:r w:rsidRPr="00543248">
        <w:tab/>
        <w:t>oceňuje skutečnost, že Účetní dvůr pořádá flexibilní a rozmanitá výběrová řízení, jak je stanoveno ve služebním řádu a pracovním řádu ostatních zaměstnanců Evropské unie, a zavedl postupy s cílem udržet si talentované zaměstnance;</w:t>
      </w:r>
    </w:p>
    <w:p w14:paraId="3E71E430" w14:textId="77777777" w:rsidR="00445362" w:rsidRPr="00543248" w:rsidRDefault="00445362" w:rsidP="00445362">
      <w:pPr>
        <w:spacing w:after="240"/>
        <w:ind w:left="567" w:hanging="567"/>
      </w:pPr>
      <w:r w:rsidRPr="00543248">
        <w:t>28.</w:t>
      </w:r>
      <w:r w:rsidRPr="00543248">
        <w:tab/>
        <w:t>bere na vědomí režim práce na dálku (až 10 dnů měsíčně), který Účetní dvůr nabízí ke zmírnění problémů, s nimiž se potýká při náboru; vítá opatření, která Účetní dvůr přijal v roce 2023 s cílem zajistit fyzickou a duševní pohodu zaměstnanců;</w:t>
      </w:r>
    </w:p>
    <w:p w14:paraId="324BCA4C" w14:textId="77777777" w:rsidR="00445362" w:rsidRPr="00543248" w:rsidRDefault="00445362" w:rsidP="00445362">
      <w:pPr>
        <w:spacing w:after="240"/>
        <w:ind w:left="567" w:hanging="567"/>
      </w:pPr>
      <w:r w:rsidRPr="00543248">
        <w:t>29.</w:t>
      </w:r>
      <w:r w:rsidRPr="00543248">
        <w:tab/>
        <w:t>konstatuje, že míra volných pracovních míst činila v prosinci 2023 2,27 % a míra fluktuace zaměstnanců (počet odcházejících zaměstnanců jako podíl na celkovém počtu zaměstnanců) činila 6,6 %;</w:t>
      </w:r>
    </w:p>
    <w:p w14:paraId="209C9CAE" w14:textId="77777777" w:rsidR="00445362" w:rsidRPr="00543248" w:rsidRDefault="00445362" w:rsidP="00445362">
      <w:pPr>
        <w:spacing w:after="240"/>
        <w:ind w:left="567" w:hanging="567"/>
      </w:pPr>
      <w:r w:rsidRPr="00543248">
        <w:t>30.</w:t>
      </w:r>
      <w:r w:rsidRPr="00543248">
        <w:tab/>
        <w:t>oceňuje úsilí Účetního dvora udržet míru volných pracovních míst v roce 2023 na nízké úrovni; plně však sdílí obavy ohledně nedostatečné zeměpisné vyváženosti, pokud jde o nově přijaté zaměstnance, kvůli čemuž vykazuje původ zaměstnanců Účetního dvora jako celku ještě menší zeměpisnou reprezentativnost; konstatuje, že podle Účetního dvora hrozí, že do pěti let nebude několik severských členských států auditováno, protože budou chybět auditoři z těchto členských států;</w:t>
      </w:r>
    </w:p>
    <w:p w14:paraId="3333753C" w14:textId="77777777" w:rsidR="00445362" w:rsidRPr="00543248" w:rsidRDefault="00445362" w:rsidP="00445362">
      <w:pPr>
        <w:spacing w:after="240"/>
        <w:ind w:left="567" w:hanging="567"/>
      </w:pPr>
      <w:r w:rsidRPr="00543248">
        <w:t>31.</w:t>
      </w:r>
      <w:r w:rsidRPr="00543248">
        <w:tab/>
        <w:t>vítá skutečnost, že Účetní dvůr podnikl různé kroky k řešení problému zeměpisné vyváženosti, jako je zvýšení viditelnosti výběrových řízení Účetního dvora a oznamování volných pracovních míst ve významně nedostatečně zastoupených členských státech, a že spolupracuje s členy Účetního dvora na distribuci těchto oznámení a oslovování případných uchazečů účastí na pracovních veletrzích v některých členských státech; vybízí k tomu, aby byly zváženy další kroky, jako jsou strategie včasného zapojení, které přilákají mladé talenty ze zemí s nízkým zastoupením; s určitým politováním konstatuje, že Účetní dvůr má před sebou ještě dlouhou cestu k dosažení vyváženého zastoupení žen a mužů ve středním a vrcholném vedení;</w:t>
      </w:r>
    </w:p>
    <w:p w14:paraId="58255736" w14:textId="77777777" w:rsidR="00445362" w:rsidRPr="00543248" w:rsidRDefault="00445362" w:rsidP="00445362">
      <w:pPr>
        <w:spacing w:after="240"/>
        <w:ind w:left="567" w:hanging="567"/>
        <w:rPr>
          <w:i/>
        </w:rPr>
      </w:pPr>
      <w:r w:rsidRPr="00543248">
        <w:t>32.</w:t>
      </w:r>
      <w:r w:rsidRPr="00543248">
        <w:tab/>
        <w:t>vítá skutečnost, že na konci roku 2023 bylo obsazeno všech 29 dodatečných pracovních míst nezbytných pro audit nástroje RRF v hodnotě 723,8 miliardy EUR; podtrhuje však, že významnost, složitost, velké objemy a rychlé vyplácení prostředků z nástroje RRF i nadále představují výzvy a že nelze pokrýt všechny aspekty nástroje RRF při dostupných zdrojích, které Účetnímu dvoru umožňují posuzovat uspokojivé plnění milníků a cílů, a tudíž legalitu a správnost plateb z nástroje RRF, ale nepostačují k tomu, aby systematicky pokrýval soulad výdajů z tohoto nástroje s právními předpisy Unie a vnitrostátními právními předpisy; zdůrazňuje, že je důležité zajistit, aby měl Účetní dvůr trvale k dispozici odpovídající počet zaměstnanců, a mohl tak plnit svůj mandát i další povinnosti vyplývající z nových finančních nástrojů, jako je nástroj RRF; oceňuje úsilí, které Účetní dvůr dosud vynaložil při plnění svých povinností v souvislosti s nástrojem RRF, a to navzdory tomu, že nejsou k dispozici plně odpovídající zdroje;</w:t>
      </w:r>
    </w:p>
    <w:p w14:paraId="2B8F9958" w14:textId="77777777" w:rsidR="00445362" w:rsidRPr="00543248" w:rsidRDefault="00445362" w:rsidP="00445362">
      <w:pPr>
        <w:spacing w:after="240"/>
        <w:ind w:left="567" w:hanging="567"/>
      </w:pPr>
      <w:r w:rsidRPr="00543248">
        <w:t>33.</w:t>
      </w:r>
      <w:r w:rsidRPr="00543248">
        <w:tab/>
        <w:t>je si vědom toho, že Účetní dvůr nemá žádnou úlohu v postupu výběru členů podle čl. 286 odst. 2 Smlouvy o fungování EU; poukazuje však na to, že mezi členy Účetního dvora stále existuje významná genderová nerovnováha, neboť z 27 členů je pouze 10 žen; vyjadřuje politování nad tím, že 12 členských států do sboru Účetního dvora nikdy nejmenovalo ženu; vyzývá Účetní dvůr, aby zhodnotil své celkové složení a předložil tuto analýzu Radě a členským státům a aby zajistil, že v budoucích procesech jmenování bude náležitě zajištěna genderová vyváženost; znovu vyzývá členské státy, aby navrhovaly kandidáty různých pohlaví s cílem dosáhnout vyváženějšího a reprezentativnějšího složení Účetního dvora;</w:t>
      </w:r>
    </w:p>
    <w:p w14:paraId="3EFA9FEF" w14:textId="77777777" w:rsidR="00445362" w:rsidRPr="00543248" w:rsidRDefault="00445362" w:rsidP="00445362">
      <w:pPr>
        <w:spacing w:after="240"/>
        <w:ind w:left="567" w:hanging="567"/>
      </w:pPr>
      <w:r w:rsidRPr="00543248">
        <w:t>34.</w:t>
      </w:r>
      <w:r w:rsidRPr="00543248">
        <w:tab/>
        <w:t>vyjadřuje politování nad tím, že Rada opakovaně jmenovala členy Účetního dvora, které Parlament odmítl; zdůrazňuje, že Parlament by měl mít při posuzování vhodnosti kandidátů na členy Účetního dvora závaznou úlohu;</w:t>
      </w:r>
    </w:p>
    <w:p w14:paraId="2FD65AEF" w14:textId="77777777" w:rsidR="00445362" w:rsidRPr="00543248" w:rsidRDefault="00445362" w:rsidP="00445362">
      <w:pPr>
        <w:spacing w:after="240"/>
        <w:ind w:left="567" w:hanging="567"/>
      </w:pPr>
      <w:r w:rsidRPr="00543248">
        <w:t>35.</w:t>
      </w:r>
      <w:r w:rsidRPr="00543248">
        <w:tab/>
        <w:t>konstatuje, že v roce 2023 činila průměrná absence kvůli nemoci 10 dnů na zaměstnance oproti 12,2 dne v roce 2022; kromě toho konstatuje, že v roce 2023 nebyli na pracovišti přítomni 4 zaměstnanci (oproti 8 v roce 2022) kvůli dlouhodobé nemoci, která je definována tak, že trvá déle než 200 dnů v roce;</w:t>
      </w:r>
    </w:p>
    <w:p w14:paraId="4D6B44C3" w14:textId="77777777" w:rsidR="00445362" w:rsidRPr="00543248" w:rsidRDefault="00445362" w:rsidP="00445362">
      <w:pPr>
        <w:spacing w:after="240"/>
        <w:ind w:left="567" w:hanging="567"/>
      </w:pPr>
      <w:r w:rsidRPr="00543248">
        <w:t>36.</w:t>
      </w:r>
      <w:r w:rsidRPr="00543248">
        <w:tab/>
        <w:t>se znepokojením konstatuje, že v roce 2023 bylo zaznamenáno sedm případů syndromu vyhoření, což je tentýž znepokojivý počet jako v roce 2022; vítá skutečnost, že Účetní dvůr podnikl několik kroků ke snížení rizika vzniku syndromu vyhoření zavedením plnohodnotného programu pro dobré pracovní podmínky a nabídl školení o odolnosti, zveřejnil a zavedl pokyny pro návrat do práce po dlouhodobé nemocenské, pokračoval v nabídce první pomoci v oblasti duševního zdraví a poskytoval finanční podporu pro zaměstnance, která pokryje náklady na 10 sezení s psychologem podle vlastního výběru;</w:t>
      </w:r>
    </w:p>
    <w:p w14:paraId="2739C0B0" w14:textId="77777777" w:rsidR="00445362" w:rsidRPr="00543248" w:rsidRDefault="00445362" w:rsidP="00445362">
      <w:pPr>
        <w:spacing w:after="240"/>
        <w:ind w:left="567" w:hanging="567"/>
      </w:pPr>
      <w:r w:rsidRPr="00543248">
        <w:t>37.</w:t>
      </w:r>
      <w:r w:rsidRPr="00543248">
        <w:tab/>
        <w:t>s uspokojením konstatuje, že v roce 2023 Účetní dvůr opět překročil cíl v oblasti odborné přípravy, kterým je v souladu s doporučeními Mezinárodní federace účetních pět dnů nejazykové odborné přípravy pro auditory (6,7 dne) za rok; bere na vědomí zejména odbornou přípravu zaměstnanců Účetního dvora zaměřenou na nástroje NGEU a RRF;</w:t>
      </w:r>
    </w:p>
    <w:p w14:paraId="6DA1DD3A" w14:textId="77777777" w:rsidR="00445362" w:rsidRPr="00543248" w:rsidRDefault="00445362" w:rsidP="00445362">
      <w:pPr>
        <w:spacing w:after="240"/>
        <w:ind w:left="567" w:hanging="567"/>
      </w:pPr>
      <w:r w:rsidRPr="00543248">
        <w:t>38.</w:t>
      </w:r>
      <w:r w:rsidRPr="00543248">
        <w:tab/>
        <w:t>oceňuje, že v prosinci 2022 byla přijata nová politika, která má zajistit pracoviště vyznačující se respektem bez obtěžování a která se zaměřuje na prevenci obtěžování, zvyšování informovanosti o této problematice a včasné odhalování takových případů; poukazuje na opatření, jako byla prezentace této politiky všem zaměstnancům v lednu 2023, která má zajistit její lepší pochopení, a jako je zavedení harmonizovaného formuláře pro nahlašování případů obtěžování a zveřejnění první souhrnné výroční zprávy o uplatňování této politiky;</w:t>
      </w:r>
    </w:p>
    <w:p w14:paraId="75B0EA3C" w14:textId="77777777" w:rsidR="00445362" w:rsidRPr="00543248" w:rsidRDefault="00445362" w:rsidP="00445362">
      <w:pPr>
        <w:spacing w:after="240"/>
        <w:ind w:left="567" w:hanging="567"/>
      </w:pPr>
      <w:r w:rsidRPr="00543248">
        <w:t>39.</w:t>
      </w:r>
      <w:r w:rsidRPr="00543248">
        <w:tab/>
        <w:t xml:space="preserve">vítá akční plán Účetního dvora pro rozmanitost a začleňování na období 2021–2025; s uspokojením bere na vědomí uspořádání třetího Týdne zvyšování povědomí o zdravotním postižení a interinstitucionálních iniciativ na podporu </w:t>
      </w:r>
      <w:proofErr w:type="spellStart"/>
      <w:r w:rsidRPr="00543248">
        <w:t>inkluzivnosti</w:t>
      </w:r>
      <w:proofErr w:type="spellEnd"/>
      <w:r w:rsidRPr="00543248">
        <w:t>; poukazuje na úsilí Účetního dvora, včetně jeho průzkumu týkajícího se přístupnosti pracovišť, účasti v soutěži o Cenu veřejného ochránce práv za řádnou správu a externího auditu přístupnosti budov v souladu s lucemburskými právními předpisy v oblasti přístupnosti z roku 2023;</w:t>
      </w:r>
    </w:p>
    <w:p w14:paraId="1F16FCDB" w14:textId="77777777" w:rsidR="00445362" w:rsidRPr="00543248" w:rsidRDefault="00445362" w:rsidP="00445362">
      <w:pPr>
        <w:spacing w:after="240"/>
        <w:ind w:left="567" w:hanging="567"/>
      </w:pPr>
      <w:r w:rsidRPr="00543248">
        <w:t>40.</w:t>
      </w:r>
      <w:r w:rsidRPr="00543248">
        <w:tab/>
        <w:t>poukazuje na zásadní úlohu Účetního dvora jako nezávislého externího auditora Unie a strážce jeho financí, což vyžaduje, aby dodržoval nejvyšší standardy bezúhonnosti, profesionality a odpovědnosti a sloužil jako vzorový orgán, který vzbuzuje důvěru a důvěryhodnost; připomíná, že v souladu s článkem 285 Smlouvy o fungování EU musejí být členové Účetního dvora zcela nezávislí, dodržovat nejvyšší etické zásady a prokazovat bezúhonnost, objektivitu, profesionální chování, důstojnost, odhodlání a loajalitu;</w:t>
      </w:r>
    </w:p>
    <w:p w14:paraId="4FEF172E" w14:textId="77777777" w:rsidR="00445362" w:rsidRPr="00543248" w:rsidRDefault="00445362" w:rsidP="00445362">
      <w:pPr>
        <w:spacing w:after="240"/>
        <w:ind w:left="567" w:hanging="567"/>
        <w:rPr>
          <w:b/>
          <w:i/>
        </w:rPr>
      </w:pPr>
      <w:r w:rsidRPr="00543248">
        <w:rPr>
          <w:b/>
          <w:i/>
        </w:rPr>
        <w:t>Etický rámec a transparentnost</w:t>
      </w:r>
    </w:p>
    <w:p w14:paraId="22590D57" w14:textId="77777777" w:rsidR="00445362" w:rsidRPr="00543248" w:rsidRDefault="00445362" w:rsidP="00445362">
      <w:pPr>
        <w:spacing w:after="240"/>
        <w:ind w:left="567" w:hanging="567"/>
      </w:pPr>
      <w:r w:rsidRPr="00543248">
        <w:t>41.</w:t>
      </w:r>
      <w:r w:rsidRPr="00543248">
        <w:tab/>
        <w:t>vítá skutečnost, že interní pravidla o podávání zpráv o závažných nesrovnalostech (</w:t>
      </w:r>
      <w:proofErr w:type="spellStart"/>
      <w:r w:rsidRPr="00543248">
        <w:t>whistleblowing</w:t>
      </w:r>
      <w:proofErr w:type="spellEnd"/>
      <w:r w:rsidRPr="00543248">
        <w:t xml:space="preserve">) byla aktualizována, aby byla jasnější a podrobnější a poskytovala zaměstnancům více informací; konstatuje, že v roce 2023 se v Účetním dvoře nevyskytly žádné případy </w:t>
      </w:r>
      <w:proofErr w:type="spellStart"/>
      <w:r w:rsidRPr="00543248">
        <w:t>whistleblowingu</w:t>
      </w:r>
      <w:proofErr w:type="spellEnd"/>
      <w:r w:rsidRPr="00543248">
        <w:t>; dále konstatuje, že v roce 2023 Účetní dvůr rovněž zahájil proces aktualizace svých pravidel pro provádění správních šetření a disciplinárních řízení, která byla dokončena na začátku roku 2024;</w:t>
      </w:r>
    </w:p>
    <w:p w14:paraId="4D617CF9" w14:textId="77777777" w:rsidR="00445362" w:rsidRPr="00543248" w:rsidRDefault="00445362" w:rsidP="00445362">
      <w:pPr>
        <w:spacing w:after="240"/>
        <w:ind w:left="567" w:hanging="567"/>
      </w:pPr>
      <w:r w:rsidRPr="00543248">
        <w:t>42.</w:t>
      </w:r>
      <w:r w:rsidRPr="00543248">
        <w:tab/>
        <w:t>konstatuje, že v roce 2023 uspořádal Účetní dvůr 3 školení konkrétně zaměřená na etiku, která přilákala 60 účastníků; zohledňuje skutečnost, že školení Účetního dvora o etice byla přístupná všem zaměstnancům, včetně vedoucích pracovníků, a že standardní školení jsou pro nové zaměstnance povinná a zabývají se veřejnou etikou a politikou Účetního dvora proti obtěžování; vyjadřuje politování nad tím, že kurzy týkající se etiky nejsou pravidelně povinné pro všechny zaměstnance;</w:t>
      </w:r>
    </w:p>
    <w:p w14:paraId="30044967" w14:textId="77777777" w:rsidR="00445362" w:rsidRPr="00543248" w:rsidRDefault="00445362" w:rsidP="00445362">
      <w:pPr>
        <w:spacing w:after="240"/>
        <w:ind w:left="567" w:hanging="567"/>
      </w:pPr>
      <w:r w:rsidRPr="00543248">
        <w:t>43.</w:t>
      </w:r>
      <w:r w:rsidRPr="00543248">
        <w:tab/>
        <w:t>oceňuje skutečnost, že Účetní dvůr uspořádal 6 školení týkajících se podvodů, včetně podvodů v oblasti zadávání zakázek, podvodů s DPH a podvodů v souvislosti s nástrojem RRF; vítá skutečnost, že v červnu 2023 zajistil Evropský úřad pro boj proti podvodům (OLAF) školení na téma výslechů v případě podezření z podvodu nebo korupce; konstatuje, že v listopadu 2023 Účetní dvůr společně s Úřadem evropského veřejného žalobce (EPPO) a úřadem OLAF uspořádaly dvoudenní školení na téma podvodů v oblasti zadávání veřejných zakázek v Unii;</w:t>
      </w:r>
    </w:p>
    <w:p w14:paraId="2F80D24E" w14:textId="77777777" w:rsidR="00445362" w:rsidRPr="00543248" w:rsidRDefault="00445362" w:rsidP="00445362">
      <w:pPr>
        <w:spacing w:after="240"/>
        <w:ind w:left="567" w:hanging="567"/>
      </w:pPr>
      <w:r w:rsidRPr="00543248">
        <w:t>44.</w:t>
      </w:r>
      <w:r w:rsidRPr="00543248">
        <w:tab/>
        <w:t>je znepokojen zprávou ve sdělovacích prostředcích, že vyšetřování ze strany EPPO týkající se zneužití finančních prostředků bývalým předsedou Účetního dvora je v současné době zablokováno rozhodnutím Účetního dvora nezbavit jej imunity; žádá Účetní dvůr, aby plně spolupracoval s EPPO na veškerých vyšetřováních, která by mohl zahájit, a aby informoval o důvodech rozhodnutí nezbavit svého bývalého předsedu imunity;</w:t>
      </w:r>
    </w:p>
    <w:p w14:paraId="7C10C4A9" w14:textId="77777777" w:rsidR="00445362" w:rsidRPr="00543248" w:rsidRDefault="00445362" w:rsidP="00445362">
      <w:pPr>
        <w:spacing w:after="240"/>
        <w:ind w:left="567" w:hanging="567"/>
      </w:pPr>
      <w:r w:rsidRPr="00543248">
        <w:t>45.</w:t>
      </w:r>
      <w:r w:rsidRPr="00543248">
        <w:tab/>
        <w:t>vyzývá Účetní dvůr, aby zajistil, aby všichni členové a vedoucí pracovníci zveřejňovali v souladu s osvědčenými postupy uvedenými v unijních pravidlech transparentnosti svá prohlášení o finančních zájmech, darech a projevech pohostinnosti ve veřejné online databázi;</w:t>
      </w:r>
    </w:p>
    <w:p w14:paraId="2A558ECB" w14:textId="77777777" w:rsidR="00445362" w:rsidRPr="00543248" w:rsidRDefault="00445362" w:rsidP="00445362">
      <w:pPr>
        <w:spacing w:after="240"/>
        <w:ind w:left="567" w:hanging="567"/>
      </w:pPr>
      <w:r w:rsidRPr="00543248">
        <w:t>46.</w:t>
      </w:r>
      <w:r w:rsidRPr="00543248">
        <w:tab/>
        <w:t>vyjadřuje politování nad tím, že Účetní dvůr plně nespolupracoval s EPPO tím, že odmítl zbavit svého bývalého předsedu imunity a odepřel EPPO možnost prohledat jeho prostory v souvislosti s vyšetřováním možného protiprávního jednání, což by podle EPPO mohlo být považováno za zásah do řádného vedení vyšetřování; připomíná, že Účetní dvůr je jakožto externí auditor Unie vázán zásadami odpovědnosti, bezúhonnosti a transparentnosti a také zásadou vzájemné loajální spolupráce mezi orgány EU; vyzývá Účetní dvůr, aby zajistil, že nebude imunitu využívat k tomu, aby bránil legitimním soudním řízením, a aby přijal veškerá nezbytná opatření k zajištění neomezené interinstitucionální spolupráce při předcházení podvodům a jejich vyšetřování;</w:t>
      </w:r>
    </w:p>
    <w:p w14:paraId="2F53BDEA" w14:textId="77777777" w:rsidR="00445362" w:rsidRPr="00543248" w:rsidRDefault="00445362" w:rsidP="00445362">
      <w:pPr>
        <w:spacing w:after="240"/>
        <w:ind w:left="567" w:hanging="567"/>
      </w:pPr>
      <w:r w:rsidRPr="00543248">
        <w:t>47.</w:t>
      </w:r>
      <w:r w:rsidRPr="00543248">
        <w:tab/>
        <w:t>se znepokojením konstatuje, že podle zpráv sdělovacích prostředků požádal Úřad evropského veřejného žalobce (EPPO) v roce 2023 o zbavení několika zaměstnanců Účetního dvora imunity a že Účetní dvůr dosud odmítá této žádosti vyhovět; zdůrazňuje, že imunita sice slouží k ochraně nezávislosti orgánů EU, ale neměla by být zneužívána k ochraně jednotlivců před legitimním soudním přezkumem; domnívá se, že žádosti o zbavení imunity by měly být zamítány pouze za výjimečných okolností; vyzývá Účetní dvůr, aby orgánu příslušnému k udělení absolutoria poskytl podrobné odůvodnění svého rozhodnutí v tomto případě a nastínil případné konkrétní právní a procesní obavy, které vedly k zamítnutí žádosti; dále naléhavě vyzývá Účetní dvůr, aby v rámci své spolupráce s EPPO a dalšími subjekty EU odpovědnými za boj proti podvodům a protiprávnímu jednání zachoval vysokou míru transparentnosti a odpovědnosti;</w:t>
      </w:r>
    </w:p>
    <w:p w14:paraId="3AA98E61" w14:textId="77777777" w:rsidR="00445362" w:rsidRPr="00543248" w:rsidRDefault="00445362" w:rsidP="00445362">
      <w:pPr>
        <w:spacing w:after="240"/>
        <w:ind w:left="567" w:hanging="567"/>
      </w:pPr>
      <w:r w:rsidRPr="00543248">
        <w:t>48.</w:t>
      </w:r>
      <w:r w:rsidRPr="00543248">
        <w:tab/>
        <w:t>konstatuje, že v roce 2023 nezahájil úřad OLAF ani evropská veřejná ochránkyně práv žádné šetření týkající se Účetního dvora;</w:t>
      </w:r>
    </w:p>
    <w:p w14:paraId="15C7E6F3" w14:textId="77777777" w:rsidR="00445362" w:rsidRPr="00543248" w:rsidRDefault="00445362" w:rsidP="00445362">
      <w:pPr>
        <w:spacing w:after="240"/>
        <w:ind w:left="567" w:hanging="567"/>
      </w:pPr>
      <w:r w:rsidRPr="00543248">
        <w:t>49.</w:t>
      </w:r>
      <w:r w:rsidRPr="00543248">
        <w:tab/>
        <w:t>oceňuje, že v roce 2024 vyzval Účetní dvůr spolu se Soudním dvorem Komisi, aby se zapojila do interinstitucionálního dialogu s cílem dohodnout se na společných pravidlech týkajících se využívání služebních vozidel, což je v souladu s připomínkou uvedenou v usneseních Parlamentu ze dne 11. dubna 2022 o udělení absolutoria za plnění rozpočtů Účetního dvora a Soudního dvora; zdůrazňuje výzvu všem orgánům Unie, aby se dohodly na jednotném systému, který by byl uplatňován horizontálně, což by omezilo zmatek a zvýšilo transparentnost a efektivitu využívání veřejných prostředků; konstatuje, že bude v rámci interinstitucionálního přípravného výboru pro otázky týkající se služebního řádu vytvořena pracovní skupina; oceňuje ochotu Účetního dvora sladit uvedená pravidla s platnými pravidly Komise, opakuje však kritiku, která již byla vyjádřena v souvislosti s předchozími usneseními o udělení absolutoria ohledně nového rozhodnutí z roku 2022 týkajícího se služebních a dalších cest členů a využívání řidičů a automobilů, což je v rozporu s obecnou zásadou, že by za žádných okolností nemělo docházet k využívání vozového parku mimo striktní plnění povinností členů Účetního dvora;</w:t>
      </w:r>
    </w:p>
    <w:p w14:paraId="30F3A53C" w14:textId="77777777" w:rsidR="00445362" w:rsidRPr="00543248" w:rsidRDefault="00445362" w:rsidP="00445362">
      <w:pPr>
        <w:spacing w:after="240"/>
        <w:ind w:left="567" w:hanging="567"/>
      </w:pPr>
      <w:r w:rsidRPr="00543248">
        <w:t>50.</w:t>
      </w:r>
      <w:r w:rsidRPr="00543248">
        <w:tab/>
        <w:t>konstatuje, že v roce 2023 Útvar interního auditu (IAS) Účetního dvora předložil 16 auditních doporučení, pokud jde o etiku, portál transparentnosti, střet zájmů pro zaměstnance, etický výbor a členy Účetního dvora; bere na vědomí, že z 16 doporučení bylo do 30. července 2024 dokončeno 5 doporučení, 8 doporučení bude dokončeno do konce roku 2024 a dokončení 3 doporučení bylo opožděno;</w:t>
      </w:r>
    </w:p>
    <w:p w14:paraId="0E16C80A" w14:textId="77777777" w:rsidR="00445362" w:rsidRPr="00543248" w:rsidRDefault="00445362" w:rsidP="00445362">
      <w:pPr>
        <w:spacing w:after="240"/>
        <w:ind w:left="567" w:hanging="567"/>
      </w:pPr>
      <w:r w:rsidRPr="00543248">
        <w:t>51.</w:t>
      </w:r>
      <w:r w:rsidRPr="00543248">
        <w:tab/>
        <w:t>vítá rozšíření rozsahu informací zveřejňovaných o pracovních cestách členů Účetního dvora, připomíná však žádost Parlamentu o poskytnutí informací o pracovních cestách během celého jejich mandátu; vítá revizi kodexu chování poslanců, která jim zakazuje zastávat jakoukoli čestnou funkci v politické organizaci, čímž byla splněna žádost Parlamentu, aby členové Účetního dvora neměli žádné oficiální politické vazby; bere na vědomí, že závěry zprávy o interním auditu v oblasti etiky měly být ve třetím čtvrtletí roku 2024 sděleny předsedkyni EP a předsedovi Výboru pro rozpočtovou kontrolu, a vyzývá Účetní dvůr, aby tyto informace poskytl celému Výboru pro rozpočtovou kontrolu; vyzývá Účetní dvůr, aby zveřejňoval zamítavá rozhodnutí v případech, kdy členové Účetního dvora nebo jeho zaměstnanci oznámí střet zájmů, a zajistil tak větší transparentnost auditního procesu;</w:t>
      </w:r>
    </w:p>
    <w:p w14:paraId="1B04E7ED" w14:textId="77777777" w:rsidR="00445362" w:rsidRPr="00543248" w:rsidRDefault="00445362" w:rsidP="00445362">
      <w:pPr>
        <w:spacing w:after="240"/>
        <w:ind w:left="567" w:hanging="567"/>
      </w:pPr>
      <w:r w:rsidRPr="00543248">
        <w:t>52.</w:t>
      </w:r>
      <w:r w:rsidRPr="00543248">
        <w:tab/>
        <w:t>konstatuje, že všichni členové Účetního dvora mají primární bydliště v Lucembursku, jak stanoví článek 10 kodexu chování členů a bývalých členů Účetního dvora;</w:t>
      </w:r>
    </w:p>
    <w:p w14:paraId="26421CBB" w14:textId="77777777" w:rsidR="00445362" w:rsidRPr="00543248" w:rsidRDefault="00445362" w:rsidP="00445362">
      <w:pPr>
        <w:spacing w:after="240"/>
        <w:ind w:left="567" w:hanging="567"/>
      </w:pPr>
      <w:r w:rsidRPr="00543248">
        <w:t>53.</w:t>
      </w:r>
      <w:r w:rsidRPr="00543248">
        <w:tab/>
        <w:t>vítá skutečnost, že Účetní dvůr přezkoumal politiku týkající se přístupu veřejnosti k dokumentům, aby odrážela vývoj evropské judikatury, a zjednodušil postup pro vyřizování žádostí o přístup k dokumentům a potvrzujících žádostí; připomíná skutečnost, že uplatnění skandinávské zásady přístupu veřejnosti k úředním záznamům v Unii bylo jednou z podmínek pro to, aby některé členské státy vstoupily do Unie, a podtrhuje skutečnost, že neplnění této povinnosti by poškodilo dobré jméno Unie jako společenství založeného na zásadách právního státu;</w:t>
      </w:r>
    </w:p>
    <w:p w14:paraId="5154FD29" w14:textId="77777777" w:rsidR="00445362" w:rsidRPr="00543248" w:rsidRDefault="00445362" w:rsidP="00445362">
      <w:pPr>
        <w:spacing w:after="240"/>
        <w:ind w:left="567" w:hanging="567"/>
      </w:pPr>
      <w:r w:rsidRPr="00543248">
        <w:t>54.</w:t>
      </w:r>
      <w:r w:rsidRPr="00543248">
        <w:tab/>
        <w:t>vyjadřuje politování nad tím, že na webových stránkách Účetního dvora není k dispozici roční přehled smluv překračujících prahovou hodnotu stanovenou směrnicí (&gt; 140 000 EUR na služby/dodávky</w:t>
      </w:r>
      <w:proofErr w:type="gramStart"/>
      <w:r w:rsidRPr="00543248">
        <w:t>; &gt;</w:t>
      </w:r>
      <w:proofErr w:type="gramEnd"/>
      <w:r w:rsidRPr="00543248">
        <w:t> 5 382 000 EUR na stavební práce) uzavřených v roce 2023;</w:t>
      </w:r>
      <w:r w:rsidRPr="00543248">
        <w:rPr>
          <w:i/>
        </w:rPr>
        <w:t xml:space="preserve"> </w:t>
      </w:r>
      <w:r w:rsidRPr="00543248">
        <w:t>vyzývá Účetní dvůr, aby tento přehled neprodleně zveřejnil jako samostatný dokument a zajistil k němu uživatelsky vstřícný přístup;</w:t>
      </w:r>
    </w:p>
    <w:p w14:paraId="4480F5D2" w14:textId="77777777" w:rsidR="00445362" w:rsidRPr="00543248" w:rsidRDefault="00445362" w:rsidP="00445362">
      <w:pPr>
        <w:spacing w:after="240"/>
        <w:ind w:left="567" w:hanging="567"/>
      </w:pPr>
      <w:r w:rsidRPr="00543248">
        <w:t>55.</w:t>
      </w:r>
      <w:r w:rsidRPr="00543248">
        <w:tab/>
        <w:t>oceňuje a netrpělivě očekává, že Účetní dvůr zkonsoliduje všechna interní pravidla strategie boje proti podvodům do jednoho společného dokumentu;</w:t>
      </w:r>
    </w:p>
    <w:p w14:paraId="226350A8" w14:textId="77777777" w:rsidR="00445362" w:rsidRPr="00543248" w:rsidRDefault="00445362" w:rsidP="00445362">
      <w:pPr>
        <w:spacing w:after="240"/>
        <w:ind w:left="567" w:hanging="567"/>
      </w:pPr>
      <w:r w:rsidRPr="00543248">
        <w:t>56.</w:t>
      </w:r>
      <w:r w:rsidRPr="00543248">
        <w:tab/>
        <w:t>i nadále odmítá odůvodnění Účetního dvora, pokud jde o jeho rozhodnutí nepřipojit se k rejstříku transparentnosti, protože nemá osobní zájem na ovlivňování rozhodování, jen poskytuje fakta a objektivní zpětnou vazbu o programech Unie; konstatuje, že všechny zprávy Účetního dvora jsou veřejně dostupné a podléhají důslednému postupu vyjasňování se subjekty, které byly předmětem auditu; znovu důrazně vyzývá Účetní dvůr, aby se připojil k unijnímu rejstříku transparentnosti, a tak dodržel základní zásady transparentnosti a zároveň by nevznikly žádné překážky pro úplnou nezávislost Účetního dvora;</w:t>
      </w:r>
    </w:p>
    <w:p w14:paraId="571A0EED" w14:textId="77777777" w:rsidR="00445362" w:rsidRPr="00543248" w:rsidRDefault="00445362" w:rsidP="00445362">
      <w:pPr>
        <w:spacing w:after="240"/>
        <w:ind w:left="567" w:hanging="567"/>
      </w:pPr>
      <w:r w:rsidRPr="00543248">
        <w:t>57.</w:t>
      </w:r>
      <w:r w:rsidRPr="00543248">
        <w:tab/>
        <w:t>důrazně doporučuje, aby Účetní dvůr přehodnotil svůj postoj k unijnímu rejstříku transparentnosti zřízenému interinstitucionální dohodou ze dne 20. května 2021 mezi Evropským parlamentem, Radou Evropské unie a Evropskou komisí o povinném rejstříku transparentnosti1a;</w:t>
      </w:r>
    </w:p>
    <w:p w14:paraId="1DBB8865" w14:textId="77777777" w:rsidR="00445362" w:rsidRPr="00543248" w:rsidRDefault="00445362" w:rsidP="00445362">
      <w:pPr>
        <w:spacing w:after="240"/>
        <w:ind w:left="567" w:hanging="567"/>
      </w:pPr>
      <w:r w:rsidRPr="00543248">
        <w:t>58.</w:t>
      </w:r>
      <w:r w:rsidRPr="00543248">
        <w:tab/>
        <w:t>oceňuje, že v roce 2023 bylo dosaženo významného pokroku při zavádění ekosystému pro správu dokumentů (DOME), konkrétně vytvoření a uplatňování nového elektronického podpisu i základního schvalovacího modulu pro PASS (postup schvalování, podepisování a zasílání dokumentů) prostřednictvím konkrétních postupů schvalování dokumentů; vybízí Účetní dvůr, aby dále sledoval své cíle, kterými je digitalizace pracovních postupů v oblasti přezkumu a schvalování a zvýšení jejich účinnosti;</w:t>
      </w:r>
    </w:p>
    <w:p w14:paraId="3E6C4C8E" w14:textId="77777777" w:rsidR="00445362" w:rsidRPr="00543248" w:rsidRDefault="00445362" w:rsidP="00445362">
      <w:pPr>
        <w:spacing w:after="240"/>
        <w:ind w:left="567" w:hanging="567"/>
      </w:pPr>
      <w:r w:rsidRPr="00543248">
        <w:t>59.</w:t>
      </w:r>
      <w:r w:rsidRPr="00543248">
        <w:tab/>
        <w:t>konstatuje, že Účetní dvůr byl i nadále aktivně zapojen do činnosti skupiny pro vznikající technologie v rámci Interinstitucionálního výboru pro digitální transformaci; konstatuje, že tým DATA (data a technologie pro audit) ustavený v roce 2021 pokračoval v provádění plánu rozvoje pro lepší využívání technologií na podporu cílů auditu stanovených Účetním dvorem; bere na vědomí zejména přípravu analýzy příležitostí a výzev v oblasti umělé inteligence pro Účetní dvůr a pro jeho auditní činnost; připomíná, že je důležité zlepšit digitalizaci auditní činnosti; vítá veškeré úsilí, které v tomto směru Účetní dvůr i nadále vyvíjí, jelikož digitalizace spolu s vyšším počtem návštěv na místě, může přispět k vytvoření systému účinné a přesné auditní práce;</w:t>
      </w:r>
    </w:p>
    <w:p w14:paraId="5BC1B076" w14:textId="77777777" w:rsidR="00445362" w:rsidRPr="00543248" w:rsidRDefault="00445362" w:rsidP="00445362">
      <w:pPr>
        <w:spacing w:after="240"/>
        <w:ind w:left="567" w:hanging="567"/>
        <w:rPr>
          <w:b/>
          <w:i/>
        </w:rPr>
      </w:pPr>
      <w:r w:rsidRPr="00543248">
        <w:rPr>
          <w:b/>
          <w:i/>
        </w:rPr>
        <w:t>Digitalizace, kybernetická bezpečnost a ochrana údajů</w:t>
      </w:r>
    </w:p>
    <w:p w14:paraId="309B86A5" w14:textId="77777777" w:rsidR="00445362" w:rsidRPr="00543248" w:rsidRDefault="00445362" w:rsidP="00445362">
      <w:pPr>
        <w:spacing w:after="240"/>
        <w:ind w:left="567" w:hanging="567"/>
      </w:pPr>
      <w:r w:rsidRPr="00543248">
        <w:t>60.</w:t>
      </w:r>
      <w:r w:rsidRPr="00543248">
        <w:tab/>
        <w:t>chválí Účetní dvůr za značný pokrok dosažený v uplynulých dvou letech při provádění plánu kybernetické bezpečnosti na období 2022–2024; konstatuje, že sedm úkolů s vysokou prioritou bylo dokončeno, šest probíhá a jeden je odložen; konstatuje, že dva úkoly se střední prioritou byly dokončeny, čtyři probíhají a tři dosud nebyly započaty;</w:t>
      </w:r>
    </w:p>
    <w:p w14:paraId="5989315F" w14:textId="77777777" w:rsidR="00445362" w:rsidRPr="00543248" w:rsidRDefault="00445362" w:rsidP="00445362">
      <w:pPr>
        <w:spacing w:after="240"/>
        <w:ind w:left="567" w:hanging="567"/>
      </w:pPr>
      <w:r w:rsidRPr="00543248">
        <w:t>61.</w:t>
      </w:r>
      <w:r w:rsidRPr="00543248">
        <w:tab/>
        <w:t>oceňuje skutečnost, že mezi dokončenými jsou následující úkoly:</w:t>
      </w:r>
    </w:p>
    <w:p w14:paraId="7F37E3A6" w14:textId="77777777" w:rsidR="00445362" w:rsidRPr="00543248" w:rsidRDefault="00445362" w:rsidP="00445362">
      <w:pPr>
        <w:spacing w:after="240"/>
        <w:ind w:left="1134" w:hanging="567"/>
      </w:pPr>
      <w:r w:rsidRPr="00543248">
        <w:t>1.</w:t>
      </w:r>
      <w:r w:rsidRPr="00543248">
        <w:tab/>
        <w:t>zavedení řešení EDR v koncových bodech a přijetí cloudového řešení XDR, které odpovídá telemetrii odeslané agenty EDR spolu se zpravodajskými údaji o hrozbách z různých zdrojů s cílem odhalit ukazatele svědčící o narušení bezpečnosti;</w:t>
      </w:r>
    </w:p>
    <w:p w14:paraId="1E2544DA" w14:textId="77777777" w:rsidR="00445362" w:rsidRPr="00543248" w:rsidRDefault="00445362" w:rsidP="00445362">
      <w:pPr>
        <w:spacing w:after="240"/>
        <w:ind w:left="1134" w:hanging="567"/>
      </w:pPr>
      <w:r w:rsidRPr="00543248">
        <w:t>2.</w:t>
      </w:r>
      <w:r w:rsidRPr="00543248">
        <w:tab/>
        <w:t>přepracování architektury a nastavení platformy SIEM, což zlepšilo výkonnost a spolehlivost systému spolu s dalšími zdroji protokolů, které byly doplněny za účelem zlepšení monitorování zabezpečení IT prostředí;</w:t>
      </w:r>
    </w:p>
    <w:p w14:paraId="16CF2841" w14:textId="77777777" w:rsidR="00445362" w:rsidRPr="00543248" w:rsidRDefault="00445362" w:rsidP="00445362">
      <w:pPr>
        <w:spacing w:after="240"/>
        <w:ind w:left="1134" w:hanging="567"/>
      </w:pPr>
      <w:r w:rsidRPr="00543248">
        <w:t>3.</w:t>
      </w:r>
      <w:r w:rsidRPr="00543248">
        <w:tab/>
        <w:t>nahrazení přístrojů VPN pro vzdálený přístup cloudovou službou SASE na bázi nulové důvěry, která omezuje prostor k útoku a umožňuje granulární vzdálený přístup k aplikacím;</w:t>
      </w:r>
    </w:p>
    <w:p w14:paraId="2447FCEA" w14:textId="77777777" w:rsidR="00445362" w:rsidRPr="00543248" w:rsidRDefault="00445362" w:rsidP="00445362">
      <w:pPr>
        <w:spacing w:after="240"/>
        <w:ind w:left="1134" w:hanging="567"/>
      </w:pPr>
      <w:r w:rsidRPr="00543248">
        <w:t>4.</w:t>
      </w:r>
      <w:r w:rsidRPr="00543248">
        <w:tab/>
        <w:t>posílení ochrany před e-mailovými hrozbami povolením nových funkcí ve filtrech e-mailové bezpečnosti, které umožňují lepší odhalování spamu a nebezpečných příloh;</w:t>
      </w:r>
    </w:p>
    <w:p w14:paraId="78BE526E" w14:textId="77777777" w:rsidR="00445362" w:rsidRPr="00543248" w:rsidRDefault="00445362" w:rsidP="00445362">
      <w:pPr>
        <w:spacing w:after="240"/>
        <w:ind w:left="1134" w:hanging="567"/>
      </w:pPr>
      <w:r w:rsidRPr="00543248">
        <w:t>5.</w:t>
      </w:r>
      <w:r w:rsidRPr="00543248">
        <w:tab/>
        <w:t>provedení penetračních testů oddělení Účetního dvora, která jsou vystavena internetu;</w:t>
      </w:r>
    </w:p>
    <w:p w14:paraId="386D335B" w14:textId="77777777" w:rsidR="00445362" w:rsidRPr="00543248" w:rsidRDefault="00445362" w:rsidP="00445362">
      <w:pPr>
        <w:spacing w:after="240"/>
        <w:ind w:left="1134" w:hanging="567"/>
      </w:pPr>
      <w:r w:rsidRPr="00543248">
        <w:t>6.</w:t>
      </w:r>
      <w:r w:rsidRPr="00543248">
        <w:tab/>
        <w:t>zavedení softwarového nástroje na ochranu důvěrnosti citlivých informací předávaných v rámci sdílení souborů;</w:t>
      </w:r>
    </w:p>
    <w:p w14:paraId="50580B64" w14:textId="77777777" w:rsidR="00445362" w:rsidRPr="00543248" w:rsidRDefault="00445362" w:rsidP="00445362">
      <w:pPr>
        <w:spacing w:after="240"/>
        <w:ind w:left="567" w:hanging="567"/>
      </w:pPr>
      <w:r w:rsidRPr="00543248">
        <w:t>62.</w:t>
      </w:r>
      <w:r w:rsidRPr="00543248">
        <w:tab/>
        <w:t>naléhavě vyzývá Účetní dvůr, aby pro orgány a agentury EU vytvořil rámec pro audity kybernetické bezpečnosti, který by zajistil harmonizované bezpečnostní normy a opatření na zvýšení odolnosti vůči kybernetickým hrozbám;</w:t>
      </w:r>
    </w:p>
    <w:p w14:paraId="5CB9D34B" w14:textId="77777777" w:rsidR="00445362" w:rsidRPr="00543248" w:rsidRDefault="00445362" w:rsidP="00445362">
      <w:pPr>
        <w:spacing w:after="240"/>
        <w:ind w:left="567" w:hanging="567"/>
      </w:pPr>
      <w:r w:rsidRPr="00543248">
        <w:t>63.</w:t>
      </w:r>
      <w:r w:rsidRPr="00543248">
        <w:tab/>
        <w:t xml:space="preserve">s uznáním konstatuje, že Účetní dvůr provádí nejméně tři simulovaná cvičení napadení formou </w:t>
      </w:r>
      <w:proofErr w:type="spellStart"/>
      <w:r w:rsidRPr="00543248">
        <w:t>phishingu</w:t>
      </w:r>
      <w:proofErr w:type="spellEnd"/>
      <w:r w:rsidRPr="00543248">
        <w:t xml:space="preserve"> ročně, aby zvýšil povědomí uživatelů o této kybernetické hrozbě; dále konstatuje, že Účetní dvůr provádí každé tři roky komplexní posouzení rizik v oblasti kybernetické bezpečnosti; navrhuje Účetnímu dvoru, aby pro všechny zaměstnance pravidelně organizoval povinné školení o kybernetických hrozbách, mj. o osvědčených postupech zajišťujících bezpečné používání umělé inteligence;</w:t>
      </w:r>
    </w:p>
    <w:p w14:paraId="5FEBC786" w14:textId="77777777" w:rsidR="00445362" w:rsidRPr="00543248" w:rsidRDefault="00445362" w:rsidP="00445362">
      <w:pPr>
        <w:spacing w:after="240"/>
        <w:ind w:left="567" w:hanging="567"/>
      </w:pPr>
      <w:r w:rsidRPr="00543248">
        <w:t>64.</w:t>
      </w:r>
      <w:r w:rsidRPr="00543248">
        <w:tab/>
        <w:t xml:space="preserve">s úlevou konstatuje, že nebyly nalezeny žádné stopy po </w:t>
      </w:r>
      <w:proofErr w:type="spellStart"/>
      <w:r w:rsidRPr="00543248">
        <w:t>exfiltraci</w:t>
      </w:r>
      <w:proofErr w:type="spellEnd"/>
      <w:r w:rsidRPr="00543248">
        <w:t xml:space="preserve"> dat nebo laterálním pohybu útočníka do jiných IT systémů Účetního dvora během kybernetického incidentu v červenci 2023, během něhož byla prolomena jedna perimetrická ochranná brána využitím zranitelnosti softwaru; konstatuje, že zranitelnost softwaru odhalil prodejce teprve dva dny před incidentem;</w:t>
      </w:r>
    </w:p>
    <w:p w14:paraId="7352535E" w14:textId="77777777" w:rsidR="00445362" w:rsidRPr="00543248" w:rsidRDefault="00445362" w:rsidP="00445362">
      <w:pPr>
        <w:spacing w:after="240"/>
        <w:ind w:left="567" w:hanging="567"/>
      </w:pPr>
      <w:r w:rsidRPr="00543248">
        <w:t>65.</w:t>
      </w:r>
      <w:r w:rsidRPr="00543248">
        <w:tab/>
        <w:t>chválí činnost Služby kybernetické bezpečnosti pro orgány, instituce a jiné subjekty Unie (CERT-EU), která uvědomila Účetní dvůr o incidentu, pomohla vyšetřit jeho rozsah a provedla forenzní analýzu; konstatuje, že v návaznosti na incident obnovil Účetní dvůr systém z neporušené zálohy a nainstaloval aktualizaci softwaru, která odstranila zranitelnosti, jichž využil útočník; dále konstatuje, že v nadcházejících týdnech Účetní dvůr postupně uplatnil několik dalších preventivních opatření doporučených službou CERT-EU na dané přístroje, aby se zajistilo, že budou odstraněny veškeré možné nezjištěné stopy malwaru;</w:t>
      </w:r>
    </w:p>
    <w:p w14:paraId="3855285F" w14:textId="77777777" w:rsidR="00445362" w:rsidRPr="00543248" w:rsidRDefault="00445362" w:rsidP="00445362">
      <w:pPr>
        <w:spacing w:after="240"/>
        <w:ind w:left="567" w:hanging="567"/>
      </w:pPr>
      <w:r w:rsidRPr="00543248">
        <w:t>66.</w:t>
      </w:r>
      <w:r w:rsidRPr="00543248">
        <w:tab/>
        <w:t>s uznáním konstatuje, že Účetní dvůr v roce 2023 přezkoumal a aktualizoval svůj plán reakce na incidenty v oblasti kybernetické bezpečnosti a vytvořil formulář pro zaznamenávání těchto incidentů v nástroji řízení IT služeb; zdůrazňuje skutečnost, že formulář zohlednil ponaučení vyvozená z incidentu, ke kterému došlo v červenci 2023, a to v tom smyslu, že směřoval ke shromažďování všech informací, které by mohly být užitečné při zvládání incidentu v oblasti kybernetické bezpečnosti;</w:t>
      </w:r>
    </w:p>
    <w:p w14:paraId="35FA9BA7" w14:textId="77777777" w:rsidR="00445362" w:rsidRPr="00543248" w:rsidRDefault="00445362" w:rsidP="00445362">
      <w:pPr>
        <w:spacing w:after="240"/>
        <w:ind w:left="567" w:hanging="567"/>
        <w:rPr>
          <w:b/>
          <w:i/>
        </w:rPr>
      </w:pPr>
      <w:r w:rsidRPr="00543248">
        <w:rPr>
          <w:b/>
          <w:i/>
        </w:rPr>
        <w:t>Budovy</w:t>
      </w:r>
    </w:p>
    <w:p w14:paraId="6A323905" w14:textId="77777777" w:rsidR="00445362" w:rsidRPr="00543248" w:rsidRDefault="00445362" w:rsidP="00445362">
      <w:pPr>
        <w:spacing w:after="240"/>
        <w:ind w:left="567" w:hanging="567"/>
      </w:pPr>
      <w:r w:rsidRPr="00543248">
        <w:t>67.</w:t>
      </w:r>
      <w:r w:rsidRPr="00543248">
        <w:tab/>
        <w:t>konstatuje, že v roce 2023 byly dokončeny stavební práce za účelem zlepšení technických instalací na všech patrech budovy K2 a optimalizace využívání společných prostor; konstatuje, že z celkového rozpočtu 6 902 185,54 EUR vyčlenil Účetní dvůr na závazky částku 6 445 635,82 EUR; chválí Účetní dvůr za to, že nepřekročil odhadovaný rozpočet; vyzývá ostatní orgány Unie, aby si z příkladného rozpočtového řízení Účetního dvora vzaly ponaučení;</w:t>
      </w:r>
    </w:p>
    <w:p w14:paraId="23C26F7A" w14:textId="77777777" w:rsidR="00445362" w:rsidRPr="00543248" w:rsidRDefault="00445362" w:rsidP="00445362">
      <w:pPr>
        <w:spacing w:after="240"/>
        <w:ind w:left="567" w:hanging="567"/>
      </w:pPr>
      <w:r w:rsidRPr="00543248">
        <w:t>68.</w:t>
      </w:r>
      <w:r w:rsidRPr="00543248">
        <w:tab/>
        <w:t>oceňuje, že v únoru 2023 byly dodány výsledky auditu přístupnosti všech budov Účetního dvora, aby byly uspokojeny potřeby lidí s omezenou schopností pohybu a orientace nebo s jiným zdravotním postižením, a tyto audity provedl externí konzultant; konstatuje, že audit zahrnoval všechny tři budovy, společné prostory, parkoviště a jiné prostory; je si vědom toho, že navrhovaná opatření prochází přezkumem a obyčejně by se na ně zaměřil specifický projekt, ale jejich provádění bude z velké části záviset na dostupnosti prostředků v rozpočtu;</w:t>
      </w:r>
    </w:p>
    <w:p w14:paraId="753B5C0E" w14:textId="77777777" w:rsidR="00445362" w:rsidRPr="00543248" w:rsidRDefault="00445362" w:rsidP="00445362">
      <w:pPr>
        <w:spacing w:after="240"/>
        <w:ind w:left="567" w:hanging="567"/>
        <w:rPr>
          <w:b/>
          <w:i/>
        </w:rPr>
      </w:pPr>
      <w:r w:rsidRPr="00543248">
        <w:rPr>
          <w:b/>
          <w:i/>
        </w:rPr>
        <w:t>Životní prostředí a udržitelnost</w:t>
      </w:r>
    </w:p>
    <w:p w14:paraId="014782E5" w14:textId="77777777" w:rsidR="00445362" w:rsidRPr="00543248" w:rsidRDefault="00445362" w:rsidP="00445362">
      <w:pPr>
        <w:spacing w:after="240"/>
        <w:ind w:left="567" w:hanging="567"/>
      </w:pPr>
      <w:r w:rsidRPr="00543248">
        <w:t>69.</w:t>
      </w:r>
      <w:r w:rsidRPr="00543248">
        <w:tab/>
        <w:t>konstatuje, že v roce 2023 Účetní dvůr investoval velkou část svého úsilí o snížení environmentálního dopadu do opatření na úsporu energie, jako je nahrazení tradičních žárovek světly LED, omezení počtu hodin větrání a přepracování některých technických systémů v jeho budovách; dále konstatuje, že Účetní dvůr v létě 2023 zavedl zvláštní opatření na úsporu energie, díky nimž se snížila spotřeba elektrické energie o 12 % oproti létu 2022, čímž byly vytvořeny úspory ve výši 26 976 EUR;</w:t>
      </w:r>
    </w:p>
    <w:p w14:paraId="2F753DC5" w14:textId="77777777" w:rsidR="00445362" w:rsidRPr="00543248" w:rsidRDefault="00445362" w:rsidP="00445362">
      <w:pPr>
        <w:spacing w:after="240"/>
        <w:ind w:left="567" w:hanging="567"/>
      </w:pPr>
      <w:r w:rsidRPr="00543248">
        <w:t>70.</w:t>
      </w:r>
      <w:r w:rsidRPr="00543248">
        <w:tab/>
        <w:t>konstatuje, že v roce 2023 Účetní dvůr podepsal dohodu s lucemburskými orgány na vytvoření plánu mobility; netrpělivě očekává aktuální informace o této iniciativě;</w:t>
      </w:r>
    </w:p>
    <w:p w14:paraId="3FCF7959" w14:textId="77777777" w:rsidR="00445362" w:rsidRPr="00543248" w:rsidRDefault="00445362" w:rsidP="00445362">
      <w:pPr>
        <w:spacing w:after="240"/>
        <w:ind w:left="567" w:hanging="567"/>
        <w:rPr>
          <w:b/>
          <w:i/>
        </w:rPr>
      </w:pPr>
      <w:r w:rsidRPr="00543248">
        <w:rPr>
          <w:b/>
          <w:i/>
        </w:rPr>
        <w:t>Interinstitucionální spolupráce</w:t>
      </w:r>
    </w:p>
    <w:p w14:paraId="156F14F4" w14:textId="77777777" w:rsidR="00445362" w:rsidRPr="00543248" w:rsidRDefault="00445362" w:rsidP="00445362">
      <w:pPr>
        <w:spacing w:after="240"/>
        <w:ind w:left="567" w:hanging="567"/>
      </w:pPr>
      <w:r w:rsidRPr="00543248">
        <w:t>71.</w:t>
      </w:r>
      <w:r w:rsidRPr="00543248">
        <w:tab/>
        <w:t>zdůrazňuje skutečnost, že v roce 2023 auditoři Účetního dvora strávili 1 370 dnů v orgánech, institucích a jiných subjektech Unie a v různých mezinárodních organizacích a soukromých auditorských společnostech ve srovnání s 945 dny v roce 2022;</w:t>
      </w:r>
    </w:p>
    <w:p w14:paraId="618386B1" w14:textId="77777777" w:rsidR="00445362" w:rsidRPr="00543248" w:rsidRDefault="00445362" w:rsidP="00445362">
      <w:pPr>
        <w:spacing w:after="240"/>
        <w:ind w:left="567" w:hanging="567"/>
      </w:pPr>
      <w:r w:rsidRPr="00543248">
        <w:t>72.</w:t>
      </w:r>
      <w:r w:rsidRPr="00543248">
        <w:tab/>
        <w:t>vyzývá k formalizaci každoročního interinstitucionálního dialogu mezi Účetním dvorem, Evropským parlamentem, Radou a Komisí o rozpočtové kontrole a zajištění systematických opatření v návaznosti na zjištění auditu a lepšího dohledu nad výdaji EU;</w:t>
      </w:r>
    </w:p>
    <w:p w14:paraId="0DD31B08" w14:textId="77777777" w:rsidR="00445362" w:rsidRPr="00543248" w:rsidRDefault="00445362" w:rsidP="00445362">
      <w:pPr>
        <w:spacing w:after="240"/>
        <w:ind w:left="567" w:hanging="567"/>
      </w:pPr>
      <w:r w:rsidRPr="00543248">
        <w:t>73.</w:t>
      </w:r>
      <w:r w:rsidRPr="00543248">
        <w:tab/>
        <w:t>znovu připomíná, že účinná spolupráce mezi Účetním dvorem a Komisí bude i nadále omezená, pokud Komise nepřijme metodiku Účetního dvora pro posuzování míry chyb, která je založena na nezávislém a komplexním hodnocení všech porušení pravidel, na rozdíl od Komise, která klade důraz na chyby, které lze napravit;</w:t>
      </w:r>
    </w:p>
    <w:p w14:paraId="76C0B681" w14:textId="77777777" w:rsidR="00445362" w:rsidRPr="00543248" w:rsidRDefault="00445362" w:rsidP="00445362">
      <w:pPr>
        <w:spacing w:after="240"/>
        <w:ind w:left="567" w:hanging="567"/>
        <w:rPr>
          <w:b/>
          <w:i/>
        </w:rPr>
      </w:pPr>
      <w:r w:rsidRPr="00543248">
        <w:t>74.</w:t>
      </w:r>
      <w:r w:rsidRPr="00543248">
        <w:tab/>
        <w:t>vítá skutečnost, že Účetní dvůr úzce spolupracuje s úřadem OLAF i EPPO, mimo jiné i pořádáním workshopů a osvětových akcí a výměnou poznatků a odborných znalostí; dále konstatuje, že Účetní dvůr v roce 2023 předal 20 případů podezření na podvod úřadu OLAF a 17 případů úřadu EPPO; poukazuje na své stanovisko, že veškerá podezření na podvod by měla být za účelem důkladného vyšetření ihned předána úřadu OLAF a úřadu EPPO;</w:t>
      </w:r>
    </w:p>
    <w:p w14:paraId="5A266055" w14:textId="77777777" w:rsidR="00445362" w:rsidRPr="00543248" w:rsidRDefault="00445362" w:rsidP="00445362">
      <w:pPr>
        <w:spacing w:after="240"/>
        <w:ind w:left="567" w:hanging="567"/>
      </w:pPr>
      <w:r w:rsidRPr="00543248">
        <w:t>75.</w:t>
      </w:r>
      <w:r w:rsidRPr="00543248">
        <w:tab/>
        <w:t>vyzývá Účetní dvůr, aby zavedl strukturovaný mechanismus spolupráce s úřadem OLAF a EPPO za účelem odhalování podvodů, včetně dohod o sdílení údajů v reálném čase a přístupu společného auditu rizikových oblastí financování EU;</w:t>
      </w:r>
    </w:p>
    <w:p w14:paraId="0D4A8542" w14:textId="77777777" w:rsidR="00445362" w:rsidRPr="00543248" w:rsidRDefault="00445362" w:rsidP="00445362">
      <w:pPr>
        <w:spacing w:after="240"/>
        <w:ind w:left="567" w:hanging="567"/>
      </w:pPr>
      <w:r w:rsidRPr="00543248">
        <w:t>76.</w:t>
      </w:r>
      <w:r w:rsidRPr="00543248">
        <w:tab/>
        <w:t>je přesvědčen, že jednotný integrovaný IT systém pro vytěžování dat a hodnocení rizik by mohl být cenným zdrojem údajů, který by Účetnímu dvoru, úřadu OLAF a úřadu EPPO umožnil posílit činnost v oblasti auditu a kontroly; zdůrazňuje, že by k tomuto systému a k datům v něm obsaženým měl být poskytnut neomezený přístup, že by neměla být zavedena žádná neodůvodněná omezení tohoto přístupu a že by mělo být okamžitě umožněno zkoumání a využívání dalších digitálních nástrojů a nových technologií jako součást auditů Účetního dvora;</w:t>
      </w:r>
    </w:p>
    <w:p w14:paraId="7EE6E96C" w14:textId="77777777" w:rsidR="00445362" w:rsidRPr="00543248" w:rsidRDefault="00445362" w:rsidP="00445362">
      <w:pPr>
        <w:spacing w:after="240"/>
        <w:ind w:left="567" w:hanging="567"/>
      </w:pPr>
      <w:r w:rsidRPr="00543248">
        <w:t>77.</w:t>
      </w:r>
      <w:r w:rsidRPr="00543248">
        <w:tab/>
        <w:t>lituje, že navzdory lepšímu přístupu k dokumentům a informacím Evropské investiční banky (EIB) nemá Účetní dvůr mandát provádět audit operací financovaných z vlastních prostředků EIB; požaduje, aby byl tento mandát Účetnímu dvoru udělen vzhledem k poslání EIB naplňovat cíle Unie a k jejímu rostoucímu významu v hospodářském a politickém prostředí Unie, který překračuje pouhé využívání rozpočtu Unie k zaručení jejích činností; upozorňuje na zvláštní zprávu Účetního dvora 05/2023 nazvanou „Finanční prostředí EU – Nesourodý soubor nástrojů vyžadující další zjednodušení a lepší vyvozování odpovědnosti“, ve které Účetní dvůr uvedl, že u všech typů financování politik Unie je třeba definovat mandáty veřejného auditu;</w:t>
      </w:r>
    </w:p>
    <w:p w14:paraId="7B95DA21" w14:textId="77777777" w:rsidR="00445362" w:rsidRPr="00543248" w:rsidRDefault="00445362" w:rsidP="00445362">
      <w:pPr>
        <w:spacing w:after="240"/>
        <w:ind w:left="567" w:hanging="567"/>
      </w:pPr>
      <w:r w:rsidRPr="00543248">
        <w:t>78.</w:t>
      </w:r>
      <w:r w:rsidRPr="00543248">
        <w:tab/>
        <w:t>konstatuje, že v roce 2023 Účetní dvůr předložil 22 různým výborům a pracovním skupinám Rady 29 zvláštních zpráv, 1 přezkum a 1 stanovisko; dále konstatuje, že v témže roce se zástupci Účetního dvora zúčastnili 23 schůzí zaměřených na udělení absolutoria za plnění rozpočtu Unie v rozpočtových letech 2021 a 2022;</w:t>
      </w:r>
    </w:p>
    <w:p w14:paraId="3EDE149B" w14:textId="77777777" w:rsidR="00445362" w:rsidRPr="00543248" w:rsidRDefault="00445362" w:rsidP="00445362">
      <w:pPr>
        <w:spacing w:after="240"/>
        <w:ind w:left="567" w:hanging="567"/>
      </w:pPr>
      <w:r w:rsidRPr="00543248">
        <w:t>79.</w:t>
      </w:r>
      <w:r w:rsidRPr="00543248">
        <w:tab/>
        <w:t>s uznáním konstatuje, že členové a vedení Účetního dvora v roce 2023 prokázali aktivní angažovanost a představili svoji činnost na 120 schůzkách s vnitrostátními vládami a vládními orgány ve 25 členských státech, přičemž většiny z nich se účastnili ministři nebo ministerstva financí; dále konstatuje, že v témže roce členové a zaměstnanci Účetního dvora představili svou činnost na 91 schůzích s vnitrostátními a regionálními parlamenty v 19 členských státech, primárně prostřednictvím výborů zaměřených na rozpočtové, finanční, auditorské nebo evropské záležitosti; naléhavě vyzývá Účetní dvůr, aby posílil svou angažovanost v kontaktech s vládami zemí, kde jsou míry chyb nejvyšší, čímž podpoří větší dialog a spolupráci s cílem účinně tyto problémy řešit;</w:t>
      </w:r>
    </w:p>
    <w:p w14:paraId="68C95872" w14:textId="77777777" w:rsidR="00445362" w:rsidRPr="00543248" w:rsidRDefault="00445362" w:rsidP="00445362">
      <w:pPr>
        <w:spacing w:after="240"/>
        <w:ind w:left="567" w:hanging="567"/>
        <w:rPr>
          <w:b/>
          <w:i/>
        </w:rPr>
      </w:pPr>
      <w:r w:rsidRPr="00543248">
        <w:rPr>
          <w:b/>
          <w:i/>
        </w:rPr>
        <w:t>Komunikace</w:t>
      </w:r>
    </w:p>
    <w:p w14:paraId="0F52FAF6" w14:textId="77777777" w:rsidR="00445362" w:rsidRPr="00543248" w:rsidRDefault="00445362" w:rsidP="00445362">
      <w:pPr>
        <w:spacing w:after="240"/>
        <w:ind w:left="567" w:hanging="567"/>
      </w:pPr>
      <w:r w:rsidRPr="00543248">
        <w:t>80.</w:t>
      </w:r>
      <w:r w:rsidRPr="00543248">
        <w:tab/>
        <w:t>konstatuje, že v roce 2023 činil rozpočet vyčleněný na komunikační a propagační činnosti Účetního dvora 225 000 EUR, přičemž míra využívání činila 81,13 % (182 549,84 EUR); konstatuje, že většina rozpočtu byla vynaložena na služby monitorování sdělovacích prostředků (81 650 EUR) a na činnosti týkající se tisku (12 348 EUR), po nich následovaly výdaje na vztahy se zúčastněnými stranami, které tvořily hlavně náklady na platformu pro informace o politikách (57 891 EUR), komunikační činnosti (28 002,88 EUR), sociální sítě (1 486,52 EUR) a publikace (1 171,44 EUR);</w:t>
      </w:r>
    </w:p>
    <w:p w14:paraId="7D727845" w14:textId="77777777" w:rsidR="00445362" w:rsidRPr="00543248" w:rsidRDefault="00445362" w:rsidP="00445362">
      <w:pPr>
        <w:spacing w:after="240"/>
        <w:ind w:left="567" w:hanging="567"/>
      </w:pPr>
      <w:r w:rsidRPr="00543248">
        <w:t>81.</w:t>
      </w:r>
      <w:r w:rsidRPr="00543248">
        <w:tab/>
        <w:t>důrazně podporuje strategii Účetního dvora na zvýšení přítomnosti v médiích, která přinesla nebývale vysoký počet více než 22 000 novinových článků online, jež pojednávaly o jeho zprávách o auditu a obecně dalších publikacích Účetního dvora, čímž se potvrdil vzestupný trend většího pokrytí, který byl pozorován již v předešlých letech (2022: 20 000; 2021: 18 000); zdůrazňuje skutečnost, že téměř 54 000 příspěvků na sociálních sítích svědčí o pokračování organického růstu, přičemž čísla za rok 2022 představují odchylku (2022: 110 000; 2021: 49 000);</w:t>
      </w:r>
    </w:p>
    <w:p w14:paraId="2B7CE528" w14:textId="77777777" w:rsidR="00445362" w:rsidRPr="00543248" w:rsidRDefault="00445362" w:rsidP="00445362">
      <w:pPr>
        <w:spacing w:after="240"/>
        <w:ind w:left="567" w:hanging="567"/>
      </w:pPr>
      <w:r w:rsidRPr="00543248">
        <w:t>82.</w:t>
      </w:r>
      <w:r w:rsidRPr="00543248">
        <w:tab/>
        <w:t>vítá skutečnost, že v roce 2023 vydal Účetní dvůr 45 tiskových prohlášení ve 24 jazycích Unie a také různá informační sdělení, sdělení pro média a okamžitě použitelná zvuková prohlášení v některých jazycích; konstatuje dále, že Účetní dvůr v souvislosti s výroční zprávou uspořádal 21 tiskových konferencí online a dalších šest tiskových konferencí zaměřených na jednotlivé země; zdůrazňuje skutečnost, že celkem se tiskových konferencí Účetního dvora zúčastnilo 590 novinářů, z nichž většina zastupovala významné sdělovací prostředky z členských států;</w:t>
      </w:r>
    </w:p>
    <w:p w14:paraId="716FED32" w14:textId="77777777" w:rsidR="00445362" w:rsidRPr="00543248" w:rsidRDefault="00445362" w:rsidP="00445362">
      <w:pPr>
        <w:spacing w:after="240"/>
        <w:ind w:left="567" w:hanging="567"/>
      </w:pPr>
      <w:r w:rsidRPr="00543248">
        <w:t>83.</w:t>
      </w:r>
      <w:r w:rsidRPr="00543248">
        <w:tab/>
        <w:t>s uznáním konstatuje, že v roce 2023 Účetní dvůr spustil novou webovou stránku a počet návštěv dosáhl více než jeden a půl milionu, přičemž jednotlivých návštěvníků bylo přibližně 700 000, což ve srovnání s rokem 2022 představuje zvýšení o více než 14 %; vítá skutečnost, že do konce roku 2023 přilákaly účty Účetního dvora na třech hlavních sociálních médiích (X – dříve Twitter–, LinkedIn, Facebook) přes 48 000 sledujících, což je oproti 45 000 v roce 2022 a 39 000 v roce 2021 nárůst;</w:t>
      </w:r>
    </w:p>
    <w:p w14:paraId="3B8A8D5E" w14:textId="7FC6CA0B" w:rsidR="005812D8" w:rsidRDefault="00445362" w:rsidP="00445362">
      <w:pPr>
        <w:spacing w:after="240"/>
        <w:ind w:left="567" w:hanging="567"/>
      </w:pPr>
      <w:r w:rsidRPr="00543248">
        <w:t>84.</w:t>
      </w:r>
      <w:r w:rsidRPr="00543248">
        <w:tab/>
        <w:t>velmi oceňuje, že Účetní dvůr hodnotí pravděpodobný dopad a užitečnost své práce, jak je vnímají čtenáři zpráv Účetního dvora v Parlamentu, Radě, Komisi, agenturách Unie, stálých zastoupeních členských států, agenturách a nejvyšších kontrolních orgánech členských států, nevládních organizacích, akademické obci, sdělovacích prostředcích a dalších subjektech; v této souvislosti konstatuje, že od roku 2018 Účetní dvůr provádí anonymizované elektronické průzkumy, v nichž své čtenáře žádá, aby se vyjádřili ke kvalitě vybraných zpráv a předkládali obecné návrhy týkající se práce Účetního dvora; zdůrazňuje, že v roce 2023 pokládalo 85 % z asi 1 060 respondentů zprávy Účetního dvora za užitečné pro svou práci a 78 % z nich se domnívalo, že mají dopad.</w:t>
      </w:r>
    </w:p>
    <w:sectPr w:rsidR="005812D8" w:rsidSect="004453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BF768" w14:textId="77777777" w:rsidR="00B114A0" w:rsidRPr="00283C91" w:rsidRDefault="00B114A0">
      <w:r w:rsidRPr="00283C91">
        <w:separator/>
      </w:r>
    </w:p>
  </w:endnote>
  <w:endnote w:type="continuationSeparator" w:id="0">
    <w:p w14:paraId="2056035F" w14:textId="77777777" w:rsidR="00B114A0" w:rsidRPr="00283C91" w:rsidRDefault="00B114A0">
      <w:r w:rsidRPr="00283C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46803" w14:textId="77777777" w:rsidR="00064002" w:rsidRPr="00283C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0EBB3" w14:textId="77777777" w:rsidR="00064002" w:rsidRPr="00283C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A688F" w14:textId="77777777" w:rsidR="00064002" w:rsidRPr="00283C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7DC3A" w14:textId="77777777" w:rsidR="00B114A0" w:rsidRPr="00283C91" w:rsidRDefault="00B114A0">
      <w:r w:rsidRPr="00283C91">
        <w:separator/>
      </w:r>
    </w:p>
  </w:footnote>
  <w:footnote w:type="continuationSeparator" w:id="0">
    <w:p w14:paraId="458E051B" w14:textId="77777777" w:rsidR="00B114A0" w:rsidRPr="00283C91" w:rsidRDefault="00B114A0">
      <w:r w:rsidRPr="00283C91">
        <w:continuationSeparator/>
      </w:r>
    </w:p>
  </w:footnote>
  <w:footnote w:id="1">
    <w:p w14:paraId="34448F3E" w14:textId="77777777" w:rsidR="00445362" w:rsidRPr="00EF6E3B" w:rsidRDefault="00445362" w:rsidP="00445362">
      <w:pPr>
        <w:ind w:left="567" w:hanging="567"/>
        <w:rPr>
          <w:lang w:val="fi-FI"/>
        </w:rPr>
      </w:pPr>
      <w:r w:rsidRPr="00976E9F">
        <w:rPr>
          <w:rStyle w:val="FootnoteReference"/>
        </w:rPr>
        <w:footnoteRef/>
      </w:r>
      <w:r w:rsidRPr="00EF6E3B">
        <w:rPr>
          <w:lang w:val="fi-FI"/>
        </w:rPr>
        <w:t xml:space="preserve"> </w:t>
      </w:r>
      <w:r w:rsidRPr="00EF6E3B">
        <w:rPr>
          <w:lang w:val="fi-FI"/>
        </w:rPr>
        <w:tab/>
      </w:r>
      <w:proofErr w:type="spellStart"/>
      <w:r w:rsidRPr="00EF6E3B">
        <w:rPr>
          <w:lang w:val="fi-FI"/>
        </w:rPr>
        <w:t>Úř</w:t>
      </w:r>
      <w:proofErr w:type="spellEnd"/>
      <w:r w:rsidRPr="00EF6E3B">
        <w:rPr>
          <w:lang w:val="fi-FI"/>
        </w:rPr>
        <w:t xml:space="preserve">. </w:t>
      </w:r>
      <w:proofErr w:type="spellStart"/>
      <w:r w:rsidRPr="00EF6E3B">
        <w:rPr>
          <w:lang w:val="fi-FI"/>
        </w:rPr>
        <w:t>věst</w:t>
      </w:r>
      <w:proofErr w:type="spellEnd"/>
      <w:r w:rsidRPr="00EF6E3B">
        <w:rPr>
          <w:lang w:val="fi-FI"/>
        </w:rPr>
        <w:t xml:space="preserve">. L 58, 23.2.2023, s. 1, ELI: </w:t>
      </w:r>
      <w:hyperlink r:id="rId1" w:tooltip="Poskytuje přístup k tomuto dokumentu prostřednictvím ELI URI." w:history="1">
        <w:r w:rsidRPr="00EF6E3B">
          <w:rPr>
            <w:rStyle w:val="Hyperlink1"/>
            <w:lang w:val="fi-FI" w:eastAsia="fr-FR"/>
          </w:rPr>
          <w:t>http://data.europa.eu/eli/budget/2023/1/oj</w:t>
        </w:r>
      </w:hyperlink>
      <w:r w:rsidRPr="00EF6E3B">
        <w:rPr>
          <w:rStyle w:val="Hyperlink1"/>
          <w:lang w:val="fi-FI" w:eastAsia="fr-FR"/>
        </w:rPr>
        <w:t>.</w:t>
      </w:r>
    </w:p>
  </w:footnote>
  <w:footnote w:id="2">
    <w:p w14:paraId="45380B4D" w14:textId="77777777" w:rsidR="00445362" w:rsidRPr="00976E9F" w:rsidRDefault="00445362" w:rsidP="00445362">
      <w:pPr>
        <w:pStyle w:val="FootnoteText"/>
        <w:ind w:left="567" w:hanging="567"/>
        <w:rPr>
          <w:sz w:val="24"/>
          <w:lang w:val="cs-CZ"/>
        </w:rPr>
      </w:pPr>
      <w:r w:rsidRPr="00976E9F">
        <w:rPr>
          <w:rStyle w:val="FootnoteReference"/>
          <w:sz w:val="24"/>
        </w:rPr>
        <w:footnoteRef/>
      </w:r>
      <w:r w:rsidRPr="00976E9F">
        <w:rPr>
          <w:sz w:val="24"/>
          <w:lang w:val="cs-CZ"/>
        </w:rPr>
        <w:t xml:space="preserve"> </w:t>
      </w:r>
      <w:r w:rsidRPr="00543248">
        <w:rPr>
          <w:sz w:val="24"/>
          <w:lang w:val="cs-CZ"/>
        </w:rPr>
        <w:tab/>
      </w:r>
      <w:proofErr w:type="spellStart"/>
      <w:r w:rsidRPr="00543248">
        <w:rPr>
          <w:sz w:val="24"/>
          <w:lang w:val="cs-CZ"/>
        </w:rPr>
        <w:t>Úř</w:t>
      </w:r>
      <w:proofErr w:type="spellEnd"/>
      <w:r w:rsidRPr="00543248">
        <w:rPr>
          <w:sz w:val="24"/>
          <w:lang w:val="cs-CZ"/>
        </w:rPr>
        <w:t xml:space="preserve">. </w:t>
      </w:r>
      <w:proofErr w:type="spellStart"/>
      <w:r w:rsidRPr="00543248">
        <w:rPr>
          <w:sz w:val="24"/>
          <w:lang w:val="cs-CZ"/>
        </w:rPr>
        <w:t>věst</w:t>
      </w:r>
      <w:proofErr w:type="spellEnd"/>
      <w:r w:rsidRPr="00543248">
        <w:rPr>
          <w:sz w:val="24"/>
          <w:lang w:val="cs-CZ"/>
        </w:rPr>
        <w:t xml:space="preserve">. C, C/2024/5462, 10.10.2024, ELI: </w:t>
      </w:r>
      <w:hyperlink r:id="rId2" w:history="1">
        <w:r w:rsidRPr="00543248">
          <w:rPr>
            <w:rStyle w:val="Hyperlink1"/>
            <w:sz w:val="24"/>
            <w:lang w:val="cs-CZ"/>
          </w:rPr>
          <w:t>http://data.europa.eu/eli/C/2024/5462/oj</w:t>
        </w:r>
      </w:hyperlink>
      <w:r w:rsidRPr="00543248">
        <w:rPr>
          <w:sz w:val="24"/>
          <w:shd w:val="clear" w:color="auto" w:fill="FFFFFF"/>
          <w:lang w:val="cs-CZ"/>
        </w:rPr>
        <w:t>.</w:t>
      </w:r>
    </w:p>
  </w:footnote>
  <w:footnote w:id="3">
    <w:p w14:paraId="12165148" w14:textId="77777777" w:rsidR="00445362" w:rsidRPr="00976E9F" w:rsidRDefault="00445362" w:rsidP="00445362">
      <w:pPr>
        <w:pStyle w:val="FootnoteText"/>
        <w:ind w:left="567" w:hanging="567"/>
        <w:rPr>
          <w:sz w:val="24"/>
          <w:lang w:val="cs-CZ"/>
        </w:rPr>
      </w:pPr>
      <w:r w:rsidRPr="00976E9F">
        <w:rPr>
          <w:rStyle w:val="FootnoteReference"/>
          <w:sz w:val="24"/>
        </w:rPr>
        <w:footnoteRef/>
      </w:r>
      <w:r w:rsidRPr="00976E9F">
        <w:rPr>
          <w:sz w:val="24"/>
          <w:lang w:val="cs-CZ"/>
        </w:rPr>
        <w:t xml:space="preserve"> </w:t>
      </w:r>
      <w:r w:rsidRPr="00543248">
        <w:rPr>
          <w:sz w:val="24"/>
          <w:lang w:val="cs-CZ"/>
        </w:rPr>
        <w:tab/>
      </w:r>
      <w:proofErr w:type="spellStart"/>
      <w:r w:rsidRPr="00543248">
        <w:rPr>
          <w:sz w:val="24"/>
          <w:lang w:val="cs-CZ"/>
        </w:rPr>
        <w:t>Úř</w:t>
      </w:r>
      <w:proofErr w:type="spellEnd"/>
      <w:r w:rsidRPr="00543248">
        <w:rPr>
          <w:sz w:val="24"/>
          <w:lang w:val="cs-CZ"/>
        </w:rPr>
        <w:t xml:space="preserve">. </w:t>
      </w:r>
      <w:proofErr w:type="spellStart"/>
      <w:r w:rsidRPr="00543248">
        <w:rPr>
          <w:sz w:val="24"/>
          <w:lang w:val="cs-CZ"/>
        </w:rPr>
        <w:t>věst</w:t>
      </w:r>
      <w:proofErr w:type="spellEnd"/>
      <w:r w:rsidRPr="00543248">
        <w:rPr>
          <w:sz w:val="24"/>
          <w:lang w:val="cs-CZ"/>
        </w:rPr>
        <w:t xml:space="preserve">. C, C/2024/5882, 9.10.2024, ELI: </w:t>
      </w:r>
      <w:hyperlink r:id="rId3" w:history="1">
        <w:r w:rsidRPr="00543248">
          <w:rPr>
            <w:rStyle w:val="Hyperlink1"/>
            <w:sz w:val="24"/>
            <w:lang w:val="cs-CZ"/>
          </w:rPr>
          <w:t>http://data.europa.eu/eli/C/2024/5882/oj</w:t>
        </w:r>
      </w:hyperlink>
      <w:r w:rsidRPr="00543248">
        <w:rPr>
          <w:sz w:val="24"/>
          <w:shd w:val="clear" w:color="auto" w:fill="FFFFFF"/>
          <w:lang w:val="cs-CZ"/>
        </w:rPr>
        <w:t>.</w:t>
      </w:r>
    </w:p>
  </w:footnote>
  <w:footnote w:id="4">
    <w:p w14:paraId="7D38F57E" w14:textId="77777777" w:rsidR="00445362" w:rsidRPr="00976E9F" w:rsidRDefault="00445362" w:rsidP="00445362">
      <w:pPr>
        <w:pStyle w:val="FootnoteText"/>
        <w:ind w:left="567" w:hanging="567"/>
        <w:rPr>
          <w:sz w:val="24"/>
          <w:lang w:val="cs-CZ"/>
        </w:rPr>
      </w:pPr>
      <w:r w:rsidRPr="00976E9F">
        <w:rPr>
          <w:rStyle w:val="FootnoteReference"/>
          <w:sz w:val="24"/>
        </w:rPr>
        <w:footnoteRef/>
      </w:r>
      <w:r w:rsidRPr="00976E9F">
        <w:rPr>
          <w:sz w:val="24"/>
          <w:lang w:val="cs-CZ"/>
        </w:rPr>
        <w:t xml:space="preserve"> </w:t>
      </w:r>
      <w:r w:rsidRPr="00543248">
        <w:rPr>
          <w:sz w:val="24"/>
          <w:lang w:val="cs-CZ"/>
        </w:rPr>
        <w:tab/>
      </w:r>
      <w:proofErr w:type="spellStart"/>
      <w:r w:rsidRPr="00543248">
        <w:rPr>
          <w:sz w:val="24"/>
          <w:lang w:val="cs-CZ"/>
        </w:rPr>
        <w:t>Úř</w:t>
      </w:r>
      <w:proofErr w:type="spellEnd"/>
      <w:r w:rsidRPr="00543248">
        <w:rPr>
          <w:sz w:val="24"/>
          <w:lang w:val="cs-CZ"/>
        </w:rPr>
        <w:t xml:space="preserve">. </w:t>
      </w:r>
      <w:proofErr w:type="spellStart"/>
      <w:r w:rsidRPr="00543248">
        <w:rPr>
          <w:sz w:val="24"/>
          <w:lang w:val="cs-CZ"/>
        </w:rPr>
        <w:t>věst</w:t>
      </w:r>
      <w:proofErr w:type="spellEnd"/>
      <w:r w:rsidRPr="00543248">
        <w:rPr>
          <w:sz w:val="24"/>
          <w:lang w:val="cs-CZ"/>
        </w:rPr>
        <w:t xml:space="preserve">. C, C/2024/6041, 10.10.2024, ELI: </w:t>
      </w:r>
      <w:hyperlink r:id="rId4" w:history="1">
        <w:r w:rsidRPr="00543248">
          <w:rPr>
            <w:rStyle w:val="Hyperlink1"/>
            <w:sz w:val="24"/>
            <w:lang w:val="cs-CZ"/>
          </w:rPr>
          <w:t>http://data.europa.eu/eli/C/2024/6041/oj</w:t>
        </w:r>
      </w:hyperlink>
      <w:r w:rsidRPr="00543248">
        <w:rPr>
          <w:sz w:val="24"/>
          <w:shd w:val="clear" w:color="auto" w:fill="FFFFFF"/>
          <w:lang w:val="cs-CZ"/>
        </w:rPr>
        <w:t>.</w:t>
      </w:r>
    </w:p>
  </w:footnote>
  <w:footnote w:id="5">
    <w:p w14:paraId="0D2EE7C6" w14:textId="77777777" w:rsidR="00445362" w:rsidRPr="00976E9F" w:rsidRDefault="00445362" w:rsidP="00445362">
      <w:pPr>
        <w:pStyle w:val="FootnoteText"/>
        <w:ind w:left="567" w:hanging="567"/>
        <w:rPr>
          <w:sz w:val="24"/>
          <w:lang w:val="cs-CZ"/>
        </w:rPr>
      </w:pPr>
      <w:r w:rsidRPr="00976E9F">
        <w:rPr>
          <w:rStyle w:val="FootnoteReference"/>
          <w:sz w:val="24"/>
        </w:rPr>
        <w:footnoteRef/>
      </w:r>
      <w:r w:rsidRPr="00976E9F">
        <w:rPr>
          <w:sz w:val="24"/>
          <w:lang w:val="cs-CZ"/>
        </w:rPr>
        <w:t xml:space="preserve"> </w:t>
      </w:r>
      <w:r w:rsidRPr="00543248">
        <w:rPr>
          <w:sz w:val="24"/>
          <w:lang w:val="cs-CZ"/>
        </w:rPr>
        <w:tab/>
      </w:r>
      <w:proofErr w:type="spellStart"/>
      <w:r w:rsidRPr="00543248">
        <w:rPr>
          <w:sz w:val="24"/>
          <w:lang w:val="cs-CZ"/>
        </w:rPr>
        <w:t>Úř</w:t>
      </w:r>
      <w:proofErr w:type="spellEnd"/>
      <w:r w:rsidRPr="00543248">
        <w:rPr>
          <w:sz w:val="24"/>
          <w:lang w:val="cs-CZ"/>
        </w:rPr>
        <w:t xml:space="preserve">. </w:t>
      </w:r>
      <w:proofErr w:type="spellStart"/>
      <w:r w:rsidRPr="00543248">
        <w:rPr>
          <w:sz w:val="24"/>
          <w:lang w:val="cs-CZ"/>
        </w:rPr>
        <w:t>věst</w:t>
      </w:r>
      <w:proofErr w:type="spellEnd"/>
      <w:r w:rsidRPr="00543248">
        <w:rPr>
          <w:sz w:val="24"/>
          <w:lang w:val="cs-CZ"/>
        </w:rPr>
        <w:t xml:space="preserve">. L 193, 30.7.2018, s. 1, ELI: </w:t>
      </w:r>
      <w:hyperlink r:id="rId5" w:history="1">
        <w:r w:rsidRPr="00543248">
          <w:rPr>
            <w:rStyle w:val="Hyperlink1"/>
            <w:sz w:val="24"/>
            <w:lang w:val="cs-CZ"/>
          </w:rPr>
          <w:t>http://data.europa.eu/eli/reg/2018/1046/oj</w:t>
        </w:r>
      </w:hyperlink>
      <w:r w:rsidRPr="00543248">
        <w:rPr>
          <w:sz w:val="24"/>
          <w:lang w:val="cs-CZ"/>
        </w:rPr>
        <w:t>.</w:t>
      </w:r>
    </w:p>
  </w:footnote>
  <w:footnote w:id="6">
    <w:p w14:paraId="5B7E5A4A" w14:textId="77777777" w:rsidR="00445362" w:rsidRPr="00976E9F" w:rsidRDefault="00445362" w:rsidP="00445362">
      <w:pPr>
        <w:pStyle w:val="FootnoteText"/>
        <w:ind w:left="567" w:hanging="567"/>
        <w:rPr>
          <w:sz w:val="24"/>
          <w:lang w:val="cs-CZ"/>
        </w:rPr>
      </w:pPr>
      <w:r w:rsidRPr="00976E9F">
        <w:rPr>
          <w:rStyle w:val="FootnoteReference"/>
          <w:sz w:val="24"/>
        </w:rPr>
        <w:footnoteRef/>
      </w:r>
      <w:r w:rsidRPr="00976E9F">
        <w:rPr>
          <w:sz w:val="24"/>
          <w:lang w:val="cs-CZ"/>
        </w:rPr>
        <w:t xml:space="preserve"> </w:t>
      </w:r>
      <w:r w:rsidRPr="00543248">
        <w:rPr>
          <w:sz w:val="24"/>
          <w:lang w:val="cs-CZ"/>
        </w:rPr>
        <w:tab/>
      </w:r>
      <w:proofErr w:type="spellStart"/>
      <w:r w:rsidRPr="00543248">
        <w:rPr>
          <w:sz w:val="24"/>
          <w:lang w:val="cs-CZ"/>
        </w:rPr>
        <w:t>Úř</w:t>
      </w:r>
      <w:proofErr w:type="spellEnd"/>
      <w:r w:rsidRPr="00543248">
        <w:rPr>
          <w:sz w:val="24"/>
          <w:lang w:val="cs-CZ"/>
        </w:rPr>
        <w:t xml:space="preserve">. </w:t>
      </w:r>
      <w:proofErr w:type="spellStart"/>
      <w:r w:rsidRPr="00543248">
        <w:rPr>
          <w:sz w:val="24"/>
          <w:lang w:val="cs-CZ"/>
        </w:rPr>
        <w:t>věst</w:t>
      </w:r>
      <w:proofErr w:type="spellEnd"/>
      <w:r w:rsidRPr="00543248">
        <w:rPr>
          <w:sz w:val="24"/>
          <w:lang w:val="cs-CZ"/>
        </w:rPr>
        <w:t xml:space="preserve">. L, 2024/2509, 26.9.2024, ELI: </w:t>
      </w:r>
      <w:hyperlink r:id="rId6" w:history="1">
        <w:r w:rsidRPr="00543248">
          <w:rPr>
            <w:rStyle w:val="Hyperlink"/>
            <w:sz w:val="24"/>
            <w:lang w:val="cs-CZ"/>
          </w:rPr>
          <w:t>http://data.europa.eu/eli/reg/2024/2509/oj</w:t>
        </w:r>
      </w:hyperlink>
      <w:r w:rsidRPr="00543248">
        <w:rPr>
          <w:sz w:val="24"/>
          <w:shd w:val="clear" w:color="auto" w:fill="FFFFFF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45F8C" w14:textId="77777777" w:rsidR="00064002" w:rsidRPr="00283C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53FA5" w14:textId="77777777" w:rsidR="00064002" w:rsidRPr="00283C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E1449" w14:textId="77777777" w:rsidR="00064002" w:rsidRPr="00283C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9091318"/>
    <w:multiLevelType w:val="hybridMultilevel"/>
    <w:tmpl w:val="143224D2"/>
    <w:lvl w:ilvl="0" w:tplc="9D5C48F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EC49F6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082684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21C332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D7A26E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B86177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266A7D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B8EE45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A3282B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62D6E49"/>
    <w:multiLevelType w:val="hybridMultilevel"/>
    <w:tmpl w:val="78B8CEFC"/>
    <w:lvl w:ilvl="0" w:tplc="3410A4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4645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2652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1C0F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7A29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6E8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E8E6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2C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6E6F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C4156B"/>
    <w:multiLevelType w:val="hybridMultilevel"/>
    <w:tmpl w:val="E2DC9644"/>
    <w:lvl w:ilvl="0" w:tplc="08090011">
      <w:start w:val="1"/>
      <w:numFmt w:val="decimal"/>
      <w:lvlText w:val="%1)"/>
      <w:lvlJc w:val="left"/>
      <w:pPr>
        <w:ind w:left="1287" w:hanging="360"/>
      </w:pPr>
    </w:lvl>
    <w:lvl w:ilvl="1" w:tplc="08090019">
      <w:start w:val="1"/>
      <w:numFmt w:val="lowerLetter"/>
      <w:lvlText w:val="%2."/>
      <w:lvlJc w:val="left"/>
      <w:pPr>
        <w:ind w:left="2007" w:hanging="360"/>
      </w:pPr>
    </w:lvl>
    <w:lvl w:ilvl="2" w:tplc="0809001B">
      <w:start w:val="1"/>
      <w:numFmt w:val="lowerRoman"/>
      <w:lvlText w:val="%3."/>
      <w:lvlJc w:val="right"/>
      <w:pPr>
        <w:ind w:left="2727" w:hanging="180"/>
      </w:pPr>
    </w:lvl>
    <w:lvl w:ilvl="3" w:tplc="0809000F">
      <w:start w:val="1"/>
      <w:numFmt w:val="decimal"/>
      <w:lvlText w:val="%4."/>
      <w:lvlJc w:val="left"/>
      <w:pPr>
        <w:ind w:left="3447" w:hanging="360"/>
      </w:pPr>
    </w:lvl>
    <w:lvl w:ilvl="4" w:tplc="08090019">
      <w:start w:val="1"/>
      <w:numFmt w:val="lowerLetter"/>
      <w:lvlText w:val="%5."/>
      <w:lvlJc w:val="left"/>
      <w:pPr>
        <w:ind w:left="4167" w:hanging="360"/>
      </w:pPr>
    </w:lvl>
    <w:lvl w:ilvl="5" w:tplc="0809001B">
      <w:start w:val="1"/>
      <w:numFmt w:val="lowerRoman"/>
      <w:lvlText w:val="%6."/>
      <w:lvlJc w:val="right"/>
      <w:pPr>
        <w:ind w:left="4887" w:hanging="180"/>
      </w:pPr>
    </w:lvl>
    <w:lvl w:ilvl="6" w:tplc="0809000F">
      <w:start w:val="1"/>
      <w:numFmt w:val="decimal"/>
      <w:lvlText w:val="%7."/>
      <w:lvlJc w:val="left"/>
      <w:pPr>
        <w:ind w:left="5607" w:hanging="360"/>
      </w:pPr>
    </w:lvl>
    <w:lvl w:ilvl="7" w:tplc="08090019">
      <w:start w:val="1"/>
      <w:numFmt w:val="lowerLetter"/>
      <w:lvlText w:val="%8."/>
      <w:lvlJc w:val="left"/>
      <w:pPr>
        <w:ind w:left="6327" w:hanging="360"/>
      </w:pPr>
    </w:lvl>
    <w:lvl w:ilvl="8" w:tplc="0809001B">
      <w:start w:val="1"/>
      <w:numFmt w:val="lowerRoman"/>
      <w:lvlText w:val="%9."/>
      <w:lvlJc w:val="right"/>
      <w:pPr>
        <w:ind w:left="7047" w:hanging="180"/>
      </w:pPr>
    </w:lvl>
  </w:abstractNum>
  <w:num w:numId="1" w16cid:durableId="1865628178">
    <w:abstractNumId w:val="9"/>
  </w:num>
  <w:num w:numId="2" w16cid:durableId="1420564300">
    <w:abstractNumId w:val="9"/>
  </w:num>
  <w:num w:numId="3" w16cid:durableId="916598327">
    <w:abstractNumId w:val="7"/>
  </w:num>
  <w:num w:numId="4" w16cid:durableId="72630415">
    <w:abstractNumId w:val="7"/>
  </w:num>
  <w:num w:numId="5" w16cid:durableId="722101586">
    <w:abstractNumId w:val="6"/>
  </w:num>
  <w:num w:numId="6" w16cid:durableId="413818449">
    <w:abstractNumId w:val="6"/>
  </w:num>
  <w:num w:numId="7" w16cid:durableId="1267151632">
    <w:abstractNumId w:val="5"/>
  </w:num>
  <w:num w:numId="8" w16cid:durableId="659388037">
    <w:abstractNumId w:val="5"/>
  </w:num>
  <w:num w:numId="9" w16cid:durableId="24411186">
    <w:abstractNumId w:val="4"/>
  </w:num>
  <w:num w:numId="10" w16cid:durableId="2033602397">
    <w:abstractNumId w:val="4"/>
  </w:num>
  <w:num w:numId="11" w16cid:durableId="1980382690">
    <w:abstractNumId w:val="8"/>
  </w:num>
  <w:num w:numId="12" w16cid:durableId="1492715119">
    <w:abstractNumId w:val="8"/>
  </w:num>
  <w:num w:numId="13" w16cid:durableId="1622221257">
    <w:abstractNumId w:val="3"/>
  </w:num>
  <w:num w:numId="14" w16cid:durableId="1534490484">
    <w:abstractNumId w:val="3"/>
  </w:num>
  <w:num w:numId="15" w16cid:durableId="214630965">
    <w:abstractNumId w:val="2"/>
  </w:num>
  <w:num w:numId="16" w16cid:durableId="1528252768">
    <w:abstractNumId w:val="2"/>
  </w:num>
  <w:num w:numId="17" w16cid:durableId="1101410234">
    <w:abstractNumId w:val="1"/>
  </w:num>
  <w:num w:numId="18" w16cid:durableId="298725953">
    <w:abstractNumId w:val="1"/>
  </w:num>
  <w:num w:numId="19" w16cid:durableId="1904900610">
    <w:abstractNumId w:val="0"/>
  </w:num>
  <w:num w:numId="20" w16cid:durableId="55321564">
    <w:abstractNumId w:val="0"/>
  </w:num>
  <w:num w:numId="21" w16cid:durableId="178131933">
    <w:abstractNumId w:val="9"/>
  </w:num>
  <w:num w:numId="22" w16cid:durableId="1259830630">
    <w:abstractNumId w:val="7"/>
  </w:num>
  <w:num w:numId="23" w16cid:durableId="987904600">
    <w:abstractNumId w:val="6"/>
  </w:num>
  <w:num w:numId="24" w16cid:durableId="499004799">
    <w:abstractNumId w:val="5"/>
  </w:num>
  <w:num w:numId="25" w16cid:durableId="2105681734">
    <w:abstractNumId w:val="4"/>
  </w:num>
  <w:num w:numId="26" w16cid:durableId="1096708770">
    <w:abstractNumId w:val="8"/>
  </w:num>
  <w:num w:numId="27" w16cid:durableId="1902015686">
    <w:abstractNumId w:val="3"/>
  </w:num>
  <w:num w:numId="28" w16cid:durableId="1265843187">
    <w:abstractNumId w:val="2"/>
  </w:num>
  <w:num w:numId="29" w16cid:durableId="1405294960">
    <w:abstractNumId w:val="1"/>
  </w:num>
  <w:num w:numId="30" w16cid:durableId="1478844058">
    <w:abstractNumId w:val="0"/>
  </w:num>
  <w:num w:numId="31" w16cid:durableId="1800412516">
    <w:abstractNumId w:val="9"/>
  </w:num>
  <w:num w:numId="32" w16cid:durableId="956791962">
    <w:abstractNumId w:val="7"/>
  </w:num>
  <w:num w:numId="33" w16cid:durableId="488449730">
    <w:abstractNumId w:val="6"/>
  </w:num>
  <w:num w:numId="34" w16cid:durableId="1388381703">
    <w:abstractNumId w:val="5"/>
  </w:num>
  <w:num w:numId="35" w16cid:durableId="771510027">
    <w:abstractNumId w:val="4"/>
  </w:num>
  <w:num w:numId="36" w16cid:durableId="74015520">
    <w:abstractNumId w:val="8"/>
  </w:num>
  <w:num w:numId="37" w16cid:durableId="1100179126">
    <w:abstractNumId w:val="3"/>
  </w:num>
  <w:num w:numId="38" w16cid:durableId="1342969224">
    <w:abstractNumId w:val="2"/>
  </w:num>
  <w:num w:numId="39" w16cid:durableId="1993632574">
    <w:abstractNumId w:val="1"/>
  </w:num>
  <w:num w:numId="40" w16cid:durableId="1042441992">
    <w:abstractNumId w:val="0"/>
  </w:num>
  <w:num w:numId="41" w16cid:durableId="1322389284">
    <w:abstractNumId w:val="10"/>
  </w:num>
  <w:num w:numId="42" w16cid:durableId="1207984721">
    <w:abstractNumId w:val="10"/>
  </w:num>
  <w:num w:numId="43" w16cid:durableId="1377005091">
    <w:abstractNumId w:val="10"/>
  </w:num>
  <w:num w:numId="44" w16cid:durableId="2112315288">
    <w:abstractNumId w:val="12"/>
  </w:num>
  <w:num w:numId="45" w16cid:durableId="599945077">
    <w:abstractNumId w:val="13"/>
  </w:num>
  <w:num w:numId="46" w16cid:durableId="117338055">
    <w:abstractNumId w:val="11"/>
  </w:num>
  <w:num w:numId="47" w16cid:durableId="2091343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47/2025"/>
    <w:docVar w:name="dvlangue" w:val="CS"/>
    <w:docVar w:name="dvnumam" w:val="0"/>
    <w:docVar w:name="dvpe" w:val="764.995"/>
    <w:docVar w:name="dvrapporteur" w:val="Zpravodaj: "/>
    <w:docVar w:name="dvtitre" w:val="Rozhodnutí Evropského parlamentu ze dne.... 2025 o udělení absolutoria za plnění souhrnného rozpočtu Evropské unie na rozpočtový rok 2023, oddíl V – Účetní dvůr(2024/2023(DEC))"/>
  </w:docVars>
  <w:rsids>
    <w:rsidRoot w:val="00B114A0"/>
    <w:rsid w:val="00002272"/>
    <w:rsid w:val="000101E5"/>
    <w:rsid w:val="00064002"/>
    <w:rsid w:val="000677B9"/>
    <w:rsid w:val="00072B7C"/>
    <w:rsid w:val="000831BA"/>
    <w:rsid w:val="000A42CC"/>
    <w:rsid w:val="000E7DD9"/>
    <w:rsid w:val="0010095E"/>
    <w:rsid w:val="00125B37"/>
    <w:rsid w:val="00187494"/>
    <w:rsid w:val="001F32AE"/>
    <w:rsid w:val="002767FF"/>
    <w:rsid w:val="00283C91"/>
    <w:rsid w:val="002B18FE"/>
    <w:rsid w:val="002B5493"/>
    <w:rsid w:val="002F45CD"/>
    <w:rsid w:val="00343214"/>
    <w:rsid w:val="00361C00"/>
    <w:rsid w:val="00395FA1"/>
    <w:rsid w:val="003E15D4"/>
    <w:rsid w:val="00411CCE"/>
    <w:rsid w:val="0041666E"/>
    <w:rsid w:val="00421060"/>
    <w:rsid w:val="00445362"/>
    <w:rsid w:val="00471C19"/>
    <w:rsid w:val="004867E3"/>
    <w:rsid w:val="00494A28"/>
    <w:rsid w:val="004C0004"/>
    <w:rsid w:val="004C5D52"/>
    <w:rsid w:val="0050519A"/>
    <w:rsid w:val="005072A1"/>
    <w:rsid w:val="00514517"/>
    <w:rsid w:val="0051791A"/>
    <w:rsid w:val="00545827"/>
    <w:rsid w:val="00560270"/>
    <w:rsid w:val="005812D8"/>
    <w:rsid w:val="005A7318"/>
    <w:rsid w:val="005C2568"/>
    <w:rsid w:val="005F1B17"/>
    <w:rsid w:val="006037C0"/>
    <w:rsid w:val="006631B6"/>
    <w:rsid w:val="00680577"/>
    <w:rsid w:val="006F74FA"/>
    <w:rsid w:val="0071358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E5B"/>
    <w:rsid w:val="00817416"/>
    <w:rsid w:val="00834962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04F6"/>
    <w:rsid w:val="00AB441E"/>
    <w:rsid w:val="00AB6293"/>
    <w:rsid w:val="00AE0928"/>
    <w:rsid w:val="00AF3B82"/>
    <w:rsid w:val="00B114A0"/>
    <w:rsid w:val="00B12E95"/>
    <w:rsid w:val="00B22876"/>
    <w:rsid w:val="00B558F0"/>
    <w:rsid w:val="00BA100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F4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0A6A63"/>
  <w15:chartTrackingRefBased/>
  <w15:docId w15:val="{77571BE5-15FF-470E-B184-DA1DBB08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812D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812D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812D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812D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812D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812D8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5812D8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5812D8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5812D8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5812D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812D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812D8"/>
    <w:pPr>
      <w:spacing w:before="480" w:after="240"/>
    </w:pPr>
  </w:style>
  <w:style w:type="paragraph" w:customStyle="1" w:styleId="TOCPage">
    <w:name w:val="TOC Page"/>
    <w:basedOn w:val="Normal"/>
    <w:next w:val="TOC1"/>
    <w:rsid w:val="005812D8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5812D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812D8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5812D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812D8"/>
    <w:pPr>
      <w:spacing w:after="480"/>
      <w:ind w:left="1417"/>
    </w:pPr>
  </w:style>
  <w:style w:type="paragraph" w:customStyle="1" w:styleId="CoverNormal">
    <w:name w:val="CoverNormal"/>
    <w:basedOn w:val="Normal"/>
    <w:rsid w:val="005812D8"/>
    <w:pPr>
      <w:ind w:left="1418"/>
    </w:pPr>
  </w:style>
  <w:style w:type="paragraph" w:customStyle="1" w:styleId="CoverReference">
    <w:name w:val="CoverReference"/>
    <w:basedOn w:val="Normal"/>
    <w:rsid w:val="005812D8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12D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812D8"/>
    <w:pPr>
      <w:spacing w:before="240" w:after="1200"/>
    </w:pPr>
  </w:style>
  <w:style w:type="paragraph" w:styleId="Header">
    <w:name w:val="header"/>
    <w:basedOn w:val="Normal"/>
    <w:link w:val="HeaderChar"/>
    <w:rsid w:val="005812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812D8"/>
    <w:rPr>
      <w:sz w:val="24"/>
      <w:lang w:val="cs-CZ"/>
    </w:rPr>
  </w:style>
  <w:style w:type="paragraph" w:customStyle="1" w:styleId="EPBody">
    <w:name w:val="EPBody"/>
    <w:basedOn w:val="Normal"/>
    <w:rsid w:val="005812D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812D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5812D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812D8"/>
    <w:rPr>
      <w:sz w:val="24"/>
      <w:lang w:val="cs-CZ"/>
    </w:rPr>
  </w:style>
  <w:style w:type="paragraph" w:styleId="Footer">
    <w:name w:val="footer"/>
    <w:basedOn w:val="Normal"/>
    <w:link w:val="FooterChar"/>
    <w:rsid w:val="005812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812D8"/>
    <w:rPr>
      <w:sz w:val="24"/>
      <w:lang w:val="cs-CZ"/>
    </w:rPr>
  </w:style>
  <w:style w:type="paragraph" w:styleId="BalloonText">
    <w:name w:val="Balloon Text"/>
    <w:basedOn w:val="Normal"/>
    <w:link w:val="BalloonTextChar"/>
    <w:unhideWhenUsed/>
    <w:rsid w:val="005812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12D8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5812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812D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12D8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812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812D8"/>
    <w:rPr>
      <w:b/>
      <w:bCs/>
      <w:lang w:val="cs-CZ"/>
    </w:rPr>
  </w:style>
  <w:style w:type="character" w:customStyle="1" w:styleId="pointer">
    <w:name w:val="pointer"/>
    <w:basedOn w:val="DefaultParagraphFont"/>
    <w:rsid w:val="005812D8"/>
  </w:style>
  <w:style w:type="paragraph" w:customStyle="1" w:styleId="Normal24a">
    <w:name w:val="Normal24a"/>
    <w:basedOn w:val="Normal"/>
    <w:rsid w:val="005812D8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5812D8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5812D8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5812D8"/>
    <w:rPr>
      <w:szCs w:val="24"/>
      <w:lang w:val="en-GB"/>
    </w:rPr>
  </w:style>
  <w:style w:type="paragraph" w:customStyle="1" w:styleId="Normal12a">
    <w:name w:val="Normal12a"/>
    <w:basedOn w:val="Normal"/>
    <w:rsid w:val="005812D8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5812D8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5812D8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5812D8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5812D8"/>
    <w:pPr>
      <w:spacing w:before="120" w:after="120"/>
    </w:pPr>
    <w:rPr>
      <w:snapToGrid w:val="0"/>
      <w:sz w:val="16"/>
      <w:lang w:val="en-GB" w:eastAsia="en-US"/>
    </w:rPr>
  </w:style>
  <w:style w:type="character" w:customStyle="1" w:styleId="Hyperlink1">
    <w:name w:val="Hyperlink1"/>
    <w:basedOn w:val="DefaultParagraphFont"/>
    <w:uiPriority w:val="99"/>
    <w:rsid w:val="0044536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D7F43-5C5F-4611-BF08-B7549C677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6684</Words>
  <Characters>38663</Characters>
  <Application>Microsoft Office Word</Application>
  <DocSecurity>0</DocSecurity>
  <Lines>322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2025-11-25T13:11:00Z</dcterms:created>
  <dcterms:modified xsi:type="dcterms:W3CDTF">2025-11-25T13:11:00Z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P10_TA(2025)0081_</vt:lpwstr>
  </property>
  <property fmtid="{D5CDD505-2E9C-101B-9397-08002B2CF9AE}" pid="4" name="&lt;Type&gt;">
    <vt:lpwstr>RR</vt:lpwstr>
  </property>
</Properties>
</file>