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3B3D" w14:paraId="44B0A210" w14:textId="77777777" w:rsidTr="0010095E">
        <w:trPr>
          <w:trHeight w:hRule="exact" w:val="1418"/>
        </w:trPr>
        <w:tc>
          <w:tcPr>
            <w:tcW w:w="6804" w:type="dxa"/>
            <w:shd w:val="clear" w:color="auto" w:fill="auto"/>
            <w:vAlign w:val="center"/>
          </w:tcPr>
          <w:p w14:paraId="18B52476" w14:textId="77777777" w:rsidR="00751A4A" w:rsidRPr="002D3B3D" w:rsidRDefault="003428C8" w:rsidP="0010095E">
            <w:pPr>
              <w:pStyle w:val="EPName"/>
            </w:pPr>
            <w:r w:rsidRPr="002D3B3D">
              <w:t>Europski parlament</w:t>
            </w:r>
          </w:p>
          <w:p w14:paraId="78447BCF" w14:textId="77777777" w:rsidR="00751A4A" w:rsidRPr="002D3B3D" w:rsidRDefault="005F1B17" w:rsidP="005F1B17">
            <w:pPr>
              <w:pStyle w:val="EPTerm"/>
              <w:rPr>
                <w:rStyle w:val="HideTWBExt"/>
                <w:noProof w:val="0"/>
                <w:vanish w:val="0"/>
                <w:color w:val="auto"/>
              </w:rPr>
            </w:pPr>
            <w:r w:rsidRPr="002D3B3D">
              <w:t>2024</w:t>
            </w:r>
            <w:r w:rsidR="00817416" w:rsidRPr="002D3B3D">
              <w:t>-202</w:t>
            </w:r>
            <w:r w:rsidRPr="002D3B3D">
              <w:t>9</w:t>
            </w:r>
          </w:p>
        </w:tc>
        <w:tc>
          <w:tcPr>
            <w:tcW w:w="2268" w:type="dxa"/>
            <w:shd w:val="clear" w:color="auto" w:fill="auto"/>
          </w:tcPr>
          <w:p w14:paraId="764EB632" w14:textId="77777777" w:rsidR="00751A4A" w:rsidRPr="002D3B3D" w:rsidRDefault="00187494" w:rsidP="0010095E">
            <w:pPr>
              <w:pStyle w:val="EPLogo"/>
            </w:pPr>
            <w:r w:rsidRPr="002D3B3D">
              <w:rPr>
                <w:noProof/>
                <w:lang w:val="en-GB" w:eastAsia="zh-CN"/>
              </w:rPr>
              <w:drawing>
                <wp:inline distT="0" distB="0" distL="0" distR="0" wp14:anchorId="2D768BF5" wp14:editId="37E40B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460A11" w14:textId="77777777" w:rsidR="00D058B8" w:rsidRPr="002D3B3D" w:rsidRDefault="00D058B8" w:rsidP="004C5D52">
      <w:pPr>
        <w:pStyle w:val="LineTop"/>
      </w:pPr>
    </w:p>
    <w:p w14:paraId="64FD083D" w14:textId="77777777" w:rsidR="00680577" w:rsidRPr="002D3B3D" w:rsidRDefault="003428C8" w:rsidP="00680577">
      <w:pPr>
        <w:pStyle w:val="EPBodyTA1"/>
      </w:pPr>
      <w:r w:rsidRPr="002D3B3D">
        <w:t>USVOJENI TEKSTOVI</w:t>
      </w:r>
    </w:p>
    <w:p w14:paraId="5A31F2BC" w14:textId="77777777" w:rsidR="00D058B8" w:rsidRPr="002D3B3D" w:rsidRDefault="00D058B8" w:rsidP="00D058B8">
      <w:pPr>
        <w:pStyle w:val="LineBottom"/>
      </w:pPr>
    </w:p>
    <w:p w14:paraId="493A09B0" w14:textId="77777777" w:rsidR="003428C8" w:rsidRPr="002D3B3D" w:rsidRDefault="003428C8" w:rsidP="003428C8">
      <w:pPr>
        <w:pStyle w:val="ATHeading1"/>
      </w:pPr>
      <w:bookmarkStart w:id="0" w:name="TANumber"/>
      <w:r w:rsidRPr="002D3B3D">
        <w:t>P10_TA(2025)00</w:t>
      </w:r>
      <w:r w:rsidR="00975C0E">
        <w:t>81</w:t>
      </w:r>
      <w:bookmarkEnd w:id="0"/>
    </w:p>
    <w:p w14:paraId="52927449" w14:textId="77777777" w:rsidR="003428C8" w:rsidRPr="002D3B3D" w:rsidRDefault="003428C8" w:rsidP="003428C8">
      <w:pPr>
        <w:pStyle w:val="ATHeading2"/>
      </w:pPr>
      <w:bookmarkStart w:id="1" w:name="title"/>
      <w:r w:rsidRPr="002D3B3D">
        <w:t>Razrješnica za 2023.: Opći proračun EU-a – Revizorski sud</w:t>
      </w:r>
      <w:bookmarkEnd w:id="1"/>
    </w:p>
    <w:p w14:paraId="5783FC12" w14:textId="77777777" w:rsidR="003428C8" w:rsidRPr="002D3B3D" w:rsidRDefault="003428C8" w:rsidP="003428C8">
      <w:pPr>
        <w:rPr>
          <w:i/>
          <w:vanish/>
        </w:rPr>
      </w:pPr>
      <w:r w:rsidRPr="002D3B3D">
        <w:rPr>
          <w:i/>
        </w:rPr>
        <w:fldChar w:fldCharType="begin"/>
      </w:r>
      <w:r w:rsidRPr="002D3B3D">
        <w:rPr>
          <w:i/>
        </w:rPr>
        <w:instrText xml:space="preserve"> TC"(</w:instrText>
      </w:r>
      <w:bookmarkStart w:id="2" w:name="DocNumber"/>
      <w:r w:rsidRPr="002D3B3D">
        <w:rPr>
          <w:i/>
        </w:rPr>
        <w:instrText>A10-0047/2025</w:instrText>
      </w:r>
      <w:bookmarkEnd w:id="2"/>
      <w:r w:rsidRPr="002D3B3D">
        <w:rPr>
          <w:i/>
        </w:rPr>
        <w:instrText xml:space="preserve"> - Izvjestitelj: Dick </w:instrText>
      </w:r>
      <w:proofErr w:type="spellStart"/>
      <w:r w:rsidRPr="002D3B3D">
        <w:rPr>
          <w:i/>
        </w:rPr>
        <w:instrText>Erixon</w:instrText>
      </w:r>
      <w:proofErr w:type="spellEnd"/>
      <w:r w:rsidRPr="002D3B3D">
        <w:rPr>
          <w:i/>
        </w:rPr>
        <w:instrText xml:space="preserve">)"\l3 \n&gt; \* MERGEFORMAT </w:instrText>
      </w:r>
      <w:r w:rsidRPr="002D3B3D">
        <w:rPr>
          <w:i/>
        </w:rPr>
        <w:fldChar w:fldCharType="end"/>
      </w:r>
    </w:p>
    <w:p w14:paraId="7D6A196C" w14:textId="77777777" w:rsidR="003428C8" w:rsidRPr="002D3B3D" w:rsidRDefault="003428C8" w:rsidP="003428C8">
      <w:pPr>
        <w:rPr>
          <w:vanish/>
        </w:rPr>
      </w:pPr>
      <w:bookmarkStart w:id="3" w:name="Commission"/>
      <w:r w:rsidRPr="002D3B3D">
        <w:rPr>
          <w:vanish/>
        </w:rPr>
        <w:t>Odbor za proračunski nadzor</w:t>
      </w:r>
      <w:bookmarkEnd w:id="3"/>
    </w:p>
    <w:p w14:paraId="6A5E5119" w14:textId="77777777" w:rsidR="003428C8" w:rsidRPr="002D3B3D" w:rsidRDefault="003428C8" w:rsidP="003428C8">
      <w:pPr>
        <w:rPr>
          <w:vanish/>
        </w:rPr>
      </w:pPr>
      <w:bookmarkStart w:id="4" w:name="PE"/>
      <w:r w:rsidRPr="002D3B3D">
        <w:rPr>
          <w:vanish/>
        </w:rPr>
        <w:t>PE764.995</w:t>
      </w:r>
      <w:bookmarkEnd w:id="4"/>
    </w:p>
    <w:p w14:paraId="3F5A1881" w14:textId="77777777" w:rsidR="003428C8" w:rsidRPr="002D3B3D" w:rsidRDefault="00430F8B" w:rsidP="003428C8">
      <w:pPr>
        <w:pStyle w:val="ATHeading3"/>
      </w:pPr>
      <w:bookmarkStart w:id="5" w:name="Sujet"/>
      <w:r>
        <w:t xml:space="preserve">1. </w:t>
      </w:r>
      <w:r w:rsidR="003428C8" w:rsidRPr="002D3B3D">
        <w:t>Od</w:t>
      </w:r>
      <w:r w:rsidR="002D3B3D">
        <w:t>luka Europskog parlamenta od 7</w:t>
      </w:r>
      <w:r w:rsidR="003428C8" w:rsidRPr="002D3B3D">
        <w:t xml:space="preserve">. </w:t>
      </w:r>
      <w:r w:rsidR="002D3B3D">
        <w:t xml:space="preserve">svibnja </w:t>
      </w:r>
      <w:r w:rsidR="003428C8" w:rsidRPr="002D3B3D">
        <w:t>2025. o razrješnici za izvršenje općeg proračuna Europske unije za financijsku godinu 2023., dio V. – Revizorski sud</w:t>
      </w:r>
      <w:bookmarkEnd w:id="5"/>
      <w:r w:rsidR="003428C8" w:rsidRPr="002D3B3D">
        <w:t xml:space="preserve"> </w:t>
      </w:r>
      <w:bookmarkStart w:id="6" w:name="References"/>
      <w:r w:rsidR="003428C8" w:rsidRPr="002D3B3D">
        <w:t>(2024/2023(DEC))</w:t>
      </w:r>
      <w:bookmarkEnd w:id="6"/>
    </w:p>
    <w:p w14:paraId="7E6AE054" w14:textId="77777777" w:rsidR="00B76060" w:rsidRPr="002D3B3D" w:rsidRDefault="00B76060" w:rsidP="00B76060">
      <w:pPr>
        <w:pStyle w:val="EPComma"/>
      </w:pPr>
      <w:bookmarkStart w:id="7" w:name="TextBodyBegin"/>
      <w:bookmarkEnd w:id="7"/>
      <w:r w:rsidRPr="002D3B3D">
        <w:rPr>
          <w:i/>
        </w:rPr>
        <w:t>Europski parlament</w:t>
      </w:r>
      <w:r w:rsidRPr="002D3B3D">
        <w:t>,</w:t>
      </w:r>
    </w:p>
    <w:p w14:paraId="6DAF1D6E" w14:textId="77777777" w:rsidR="008F172B" w:rsidRPr="008F172B" w:rsidRDefault="00B76060" w:rsidP="008F172B">
      <w:pPr>
        <w:spacing w:after="240"/>
        <w:ind w:left="567" w:hanging="567"/>
        <w:rPr>
          <w:kern w:val="2"/>
          <w14:ligatures w14:val="standardContextual"/>
        </w:rPr>
      </w:pPr>
      <w:r w:rsidRPr="002D3B3D">
        <w:t>–</w:t>
      </w:r>
      <w:r w:rsidRPr="002D3B3D">
        <w:tab/>
      </w:r>
      <w:r w:rsidR="008F172B" w:rsidRPr="008F172B">
        <w:rPr>
          <w:kern w:val="2"/>
          <w14:ligatures w14:val="standardContextual"/>
        </w:rPr>
        <w:t>uzimajući u obzir opći proračun Europske unije za financijsku godinu 2023.</w:t>
      </w:r>
      <w:r w:rsidR="008F172B" w:rsidRPr="008F172B">
        <w:rPr>
          <w:kern w:val="2"/>
          <w:vertAlign w:val="superscript"/>
          <w14:ligatures w14:val="standardContextual"/>
        </w:rPr>
        <w:footnoteReference w:id="1"/>
      </w:r>
      <w:r w:rsidR="008F172B" w:rsidRPr="008F172B">
        <w:rPr>
          <w:kern w:val="2"/>
          <w14:ligatures w14:val="standardContextual"/>
        </w:rPr>
        <w:t>,</w:t>
      </w:r>
    </w:p>
    <w:p w14:paraId="7208F40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konsolidiranu godišnju računovodstvenu dokumentaciju Europske unije za financijsku godinu 2023. (COM(2024)0272 – C10</w:t>
      </w:r>
      <w:r w:rsidRPr="008F172B">
        <w:rPr>
          <w:kern w:val="2"/>
          <w14:ligatures w14:val="standardContextual"/>
        </w:rPr>
        <w:noBreakHyphen/>
        <w:t>0071/2024)</w:t>
      </w:r>
      <w:r w:rsidRPr="008F172B">
        <w:rPr>
          <w:kern w:val="2"/>
          <w:vertAlign w:val="superscript"/>
          <w14:ligatures w14:val="standardContextual"/>
        </w:rPr>
        <w:footnoteReference w:id="2"/>
      </w:r>
      <w:r w:rsidRPr="008F172B">
        <w:rPr>
          <w:kern w:val="2"/>
          <w14:ligatures w14:val="standardContextual"/>
        </w:rPr>
        <w:t>,</w:t>
      </w:r>
    </w:p>
    <w:p w14:paraId="5C85ABB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godišnje izvješće o radu Revizorskog suda za 2023. i njegovo godišnje izvješće o proračunskom i financijskom upravljanju za 2023.,</w:t>
      </w:r>
    </w:p>
    <w:p w14:paraId="0F18A3B5"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godišnje izvješće Revizorskog suda o izvršenju proračuna za financijsku godinu 2023., s odgovorima institucija</w:t>
      </w:r>
      <w:r w:rsidRPr="008F172B">
        <w:rPr>
          <w:kern w:val="2"/>
          <w:vertAlign w:val="superscript"/>
          <w14:ligatures w14:val="standardContextual"/>
        </w:rPr>
        <w:footnoteReference w:id="3"/>
      </w:r>
      <w:r w:rsidRPr="008F172B">
        <w:rPr>
          <w:kern w:val="2"/>
          <w14:ligatures w14:val="standardContextual"/>
        </w:rPr>
        <w:t>,</w:t>
      </w:r>
    </w:p>
    <w:p w14:paraId="3F4D1AA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izjavu o jamstvu</w:t>
      </w:r>
      <w:r w:rsidRPr="008F172B">
        <w:rPr>
          <w:kern w:val="2"/>
          <w:vertAlign w:val="superscript"/>
          <w14:ligatures w14:val="standardContextual"/>
        </w:rPr>
        <w:footnoteReference w:id="4"/>
      </w:r>
      <w:r w:rsidRPr="008F172B">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C03CEC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članak 314. stavak 10. te članke 317., 318. i 319. Ugovora o funkcioniranju Europske unije,</w:t>
      </w:r>
    </w:p>
    <w:p w14:paraId="0920BA4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w:t>
      </w:r>
      <w:r w:rsidRPr="008F172B">
        <w:rPr>
          <w:kern w:val="2"/>
          <w14:ligatures w14:val="standardContextual"/>
        </w:rPr>
        <w:lastRenderedPageBreak/>
        <w:t>283/2014 i Odluke br. 541/2014/EU te o stavljanju izvan snage Uredbe (EU, Euratom) br. 966/2012</w:t>
      </w:r>
      <w:r w:rsidRPr="008F172B">
        <w:rPr>
          <w:kern w:val="2"/>
          <w:vertAlign w:val="superscript"/>
          <w14:ligatures w14:val="standardContextual"/>
        </w:rPr>
        <w:footnoteReference w:id="5"/>
      </w:r>
      <w:r w:rsidRPr="008F172B">
        <w:rPr>
          <w:kern w:val="2"/>
          <w14:ligatures w14:val="standardContextual"/>
        </w:rPr>
        <w:t>, a posebno njezine članke 59., 118., 260., 261. i 262.,</w:t>
      </w:r>
    </w:p>
    <w:p w14:paraId="47962328"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 xml:space="preserve">uzimajući u obzir </w:t>
      </w:r>
      <w:r w:rsidRPr="008F172B">
        <w:rPr>
          <w:kern w:val="2"/>
          <w:shd w:val="clear" w:color="auto" w:fill="FFFFFF"/>
          <w14:ligatures w14:val="standardContextual"/>
        </w:rPr>
        <w:t>Uredbu (EU, Euratom) 2024/2509 Europskog parlamenta i Vijeća od 23. rujna 2024. o financijskim pravilima koja se primjenjuju na opći proračun Unije</w:t>
      </w:r>
      <w:r w:rsidRPr="008F172B">
        <w:rPr>
          <w:bCs/>
          <w:kern w:val="2"/>
          <w:szCs w:val="24"/>
          <w:shd w:val="clear" w:color="auto" w:fill="FFFFFF"/>
          <w:vertAlign w:val="superscript"/>
          <w14:ligatures w14:val="standardContextual"/>
        </w:rPr>
        <w:footnoteReference w:id="6"/>
      </w:r>
      <w:r w:rsidRPr="008F172B">
        <w:rPr>
          <w:kern w:val="2"/>
          <w:shd w:val="clear" w:color="auto" w:fill="FFFFFF"/>
          <w14:ligatures w14:val="standardContextual"/>
        </w:rPr>
        <w:t>, a posebno njezine članke 59., 118., 266., 267. i 268.</w:t>
      </w:r>
      <w:r w:rsidRPr="008F172B">
        <w:rPr>
          <w:kern w:val="2"/>
          <w14:ligatures w14:val="standardContextual"/>
        </w:rPr>
        <w:t>,</w:t>
      </w:r>
    </w:p>
    <w:p w14:paraId="65CFA3AD"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članak 102. Poslovnika i Prilog V. Poslovniku,</w:t>
      </w:r>
    </w:p>
    <w:p w14:paraId="69C6FE2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w:t>
      </w:r>
      <w:r w:rsidRPr="008F172B">
        <w:rPr>
          <w:kern w:val="2"/>
          <w14:ligatures w14:val="standardContextual"/>
        </w:rPr>
        <w:tab/>
        <w:t>uzimajući u obzir izvješće Odbora za proračunski nadzor (A10</w:t>
      </w:r>
      <w:r w:rsidRPr="008F172B">
        <w:rPr>
          <w:kern w:val="2"/>
          <w14:ligatures w14:val="standardContextual"/>
        </w:rPr>
        <w:noBreakHyphen/>
        <w:t>0047/2025),</w:t>
      </w:r>
    </w:p>
    <w:p w14:paraId="121059D6"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w:t>
      </w:r>
      <w:r w:rsidRPr="008F172B">
        <w:rPr>
          <w:kern w:val="2"/>
          <w14:ligatures w14:val="standardContextual"/>
        </w:rPr>
        <w:tab/>
        <w:t>daje razrješnicu glavnom tajniku Revizorskog suda za izvršenje proračuna Revizorskog suda za financijsku godinu 2023.;</w:t>
      </w:r>
    </w:p>
    <w:p w14:paraId="18532768"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w:t>
      </w:r>
      <w:r w:rsidRPr="008F172B">
        <w:rPr>
          <w:kern w:val="2"/>
          <w14:ligatures w14:val="standardContextual"/>
        </w:rPr>
        <w:tab/>
        <w:t>iznosi svoje primjedbe u Rezoluciji u nastavku;</w:t>
      </w:r>
    </w:p>
    <w:p w14:paraId="491B9141"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w:t>
      </w:r>
      <w:r w:rsidRPr="008F172B">
        <w:rPr>
          <w:kern w:val="2"/>
          <w14:ligatures w14:val="standardContextual"/>
        </w:rPr>
        <w:tab/>
        <w:t xml:space="preserve">nalaže svojoj predsjednici da ovu Odluku i Rezoluciju, koja je njezin sastavni dio, proslijedi Vijeću, Komisiji i Revizorskom sudu te da ih da na objavu u </w:t>
      </w:r>
      <w:r w:rsidRPr="008F172B">
        <w:rPr>
          <w:i/>
          <w:kern w:val="2"/>
          <w14:ligatures w14:val="standardContextual"/>
        </w:rPr>
        <w:t>Službenom listu Europske unije</w:t>
      </w:r>
      <w:r w:rsidRPr="008F172B">
        <w:rPr>
          <w:kern w:val="2"/>
          <w14:ligatures w14:val="standardContextual"/>
        </w:rPr>
        <w:t xml:space="preserve"> (serija L).</w:t>
      </w:r>
    </w:p>
    <w:p w14:paraId="41A04799" w14:textId="77777777" w:rsidR="008F172B" w:rsidRPr="008F172B" w:rsidRDefault="008F172B" w:rsidP="008F172B">
      <w:pPr>
        <w:widowControl/>
        <w:jc w:val="both"/>
        <w:rPr>
          <w:rFonts w:eastAsia="Aptos"/>
          <w:kern w:val="2"/>
          <w:szCs w:val="24"/>
          <w:lang w:eastAsia="en-US"/>
          <w14:ligatures w14:val="standardContextual"/>
        </w:rPr>
        <w:sectPr w:rsidR="008F172B" w:rsidRPr="008F172B" w:rsidSect="008F172B">
          <w:footnotePr>
            <w:numRestart w:val="eachSect"/>
          </w:footnotePr>
          <w:pgSz w:w="11906" w:h="16838"/>
          <w:pgMar w:top="1440" w:right="1440" w:bottom="1440" w:left="1440" w:header="708" w:footer="708" w:gutter="0"/>
          <w:cols w:space="708"/>
          <w:docGrid w:linePitch="360"/>
        </w:sectPr>
      </w:pPr>
    </w:p>
    <w:p w14:paraId="3CE7A262" w14:textId="77777777" w:rsidR="008F172B" w:rsidRPr="008F172B" w:rsidRDefault="008F172B" w:rsidP="008F172B">
      <w:pPr>
        <w:pStyle w:val="ATHeading3"/>
      </w:pPr>
      <w:r w:rsidRPr="008F172B">
        <w:lastRenderedPageBreak/>
        <w:t>2. Rezolucija Europskog parlamenta od 7. svibnja 2025. s primjedbama koje su sastavni dio Odluke o razrješnici za izvršenje općeg proračuna Europske unije za financijsku godinu 2023., dio V. – Revizorski sud (2024/2023(DEC))</w:t>
      </w:r>
    </w:p>
    <w:p w14:paraId="1D4D4F5D" w14:textId="255343D4" w:rsidR="008F172B" w:rsidRPr="008F172B" w:rsidRDefault="008F172B" w:rsidP="008F172B">
      <w:pPr>
        <w:spacing w:before="480" w:after="240"/>
        <w:rPr>
          <w:iCs/>
          <w:kern w:val="2"/>
          <w14:ligatures w14:val="standardContextual"/>
        </w:rPr>
      </w:pPr>
      <w:r>
        <w:rPr>
          <w:i/>
          <w:kern w:val="2"/>
          <w14:ligatures w14:val="standardContextual"/>
        </w:rPr>
        <w:t>E</w:t>
      </w:r>
      <w:r w:rsidRPr="008F172B">
        <w:rPr>
          <w:i/>
          <w:kern w:val="2"/>
          <w14:ligatures w14:val="standardContextual"/>
        </w:rPr>
        <w:t>uropski parlament</w:t>
      </w:r>
      <w:r w:rsidRPr="008F172B">
        <w:rPr>
          <w:iCs/>
          <w:kern w:val="2"/>
          <w14:ligatures w14:val="standardContextual"/>
        </w:rPr>
        <w:t>,</w:t>
      </w:r>
    </w:p>
    <w:p w14:paraId="39EA5A62" w14:textId="00C5C076" w:rsidR="008F172B" w:rsidRPr="008F172B" w:rsidRDefault="008F172B" w:rsidP="008F172B">
      <w:pPr>
        <w:spacing w:after="240"/>
        <w:ind w:left="567" w:hanging="567"/>
        <w:rPr>
          <w:kern w:val="2"/>
          <w14:ligatures w14:val="standardContextual"/>
        </w:rPr>
      </w:pPr>
      <w:r w:rsidRPr="002D3B3D">
        <w:t>–</w:t>
      </w:r>
      <w:r w:rsidRPr="008F172B">
        <w:rPr>
          <w:kern w:val="2"/>
          <w14:ligatures w14:val="standardContextual"/>
        </w:rPr>
        <w:tab/>
        <w:t>uzimajući u obzir svoju Odluku o razrješnici za izvršenje općeg proračuna Europske unije za financijsku godinu 2023., dio V. – Revizorski sud,</w:t>
      </w:r>
    </w:p>
    <w:p w14:paraId="6E9A32E5" w14:textId="3D752D5C" w:rsidR="008F172B" w:rsidRPr="008F172B" w:rsidRDefault="008F172B" w:rsidP="008F172B">
      <w:pPr>
        <w:spacing w:after="240"/>
        <w:ind w:left="567" w:hanging="567"/>
        <w:rPr>
          <w:kern w:val="2"/>
          <w14:ligatures w14:val="standardContextual"/>
        </w:rPr>
      </w:pPr>
      <w:r w:rsidRPr="002D3B3D">
        <w:t>–</w:t>
      </w:r>
      <w:r w:rsidRPr="008F172B">
        <w:rPr>
          <w:kern w:val="2"/>
          <w14:ligatures w14:val="standardContextual"/>
        </w:rPr>
        <w:tab/>
        <w:t>uzimajući u obzir članak 102. Poslovnika i Prilog V. Poslovniku,</w:t>
      </w:r>
    </w:p>
    <w:p w14:paraId="2C9F7E78" w14:textId="5359E8A1" w:rsidR="008F172B" w:rsidRPr="008F172B" w:rsidRDefault="008F172B" w:rsidP="008F172B">
      <w:pPr>
        <w:spacing w:after="240"/>
        <w:ind w:left="567" w:hanging="567"/>
        <w:rPr>
          <w:kern w:val="2"/>
          <w14:ligatures w14:val="standardContextual"/>
        </w:rPr>
      </w:pPr>
      <w:r w:rsidRPr="002D3B3D">
        <w:t>–</w:t>
      </w:r>
      <w:r w:rsidRPr="008F172B">
        <w:rPr>
          <w:kern w:val="2"/>
          <w14:ligatures w14:val="standardContextual"/>
        </w:rPr>
        <w:tab/>
        <w:t>uzimajući u obzir izvješće Odbora za proračunski nadzor (A10-0047/2025),</w:t>
      </w:r>
    </w:p>
    <w:p w14:paraId="7DC37E0F" w14:textId="77777777" w:rsidR="008F172B" w:rsidRPr="008F172B" w:rsidRDefault="008F172B" w:rsidP="008F172B">
      <w:pPr>
        <w:spacing w:after="240"/>
        <w:ind w:left="567" w:hanging="567"/>
        <w:jc w:val="both"/>
        <w:rPr>
          <w:kern w:val="2"/>
          <w14:ligatures w14:val="standardContextual"/>
        </w:rPr>
      </w:pPr>
      <w:r w:rsidRPr="008F172B">
        <w:rPr>
          <w:kern w:val="2"/>
          <w14:ligatures w14:val="standardContextual"/>
        </w:rPr>
        <w:t>A.</w:t>
      </w:r>
      <w:r w:rsidRPr="008F172B">
        <w:rPr>
          <w:kern w:val="2"/>
          <w14:ligatures w14:val="standardContextual"/>
        </w:rPr>
        <w:tab/>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4FC7F5B1"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B.</w:t>
      </w:r>
      <w:r w:rsidRPr="008F172B">
        <w:rPr>
          <w:kern w:val="2"/>
          <w14:ligatures w14:val="standardContextual"/>
        </w:rPr>
        <w:tab/>
        <w:t>budući da je Revizorski sud vanjski revizor Unije kojemu je povjereno da neovisnim, stručnim i učinkovitim revizijskim radom procijeni ekonomičnost, djelotvornost, učinkovitost, zakonitost i pravilnost djelovanja Unije s ciljem poboljšanja odgovornosti, transparentnosti i financijskog upravljanja, čime se povećava povjerenje građana i djelotvorno odgovara na trenutačne i buduće izazove s kojima se Unija suočava;</w:t>
      </w:r>
    </w:p>
    <w:p w14:paraId="4529650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C.</w:t>
      </w:r>
      <w:r w:rsidRPr="008F172B">
        <w:rPr>
          <w:kern w:val="2"/>
          <w14:ligatures w14:val="standardContextual"/>
        </w:rPr>
        <w:tab/>
        <w:t xml:space="preserve">budući da, ne dovodeći u pitanje članke 287. i 319. Ugovora o funkcioniranju Europske unije (UFEU), svake godine od zaključenja financijske godine 1987. neovisni vanjski revizor svake godine obavlja reviziju računovodstvene dokumentacije o prihodima i rashodima Revizorskog suda, i da se od izvješća za financijsku godinu 1992. izvješća vanjskog revizora objavljuju u </w:t>
      </w:r>
      <w:r w:rsidRPr="008F172B">
        <w:rPr>
          <w:i/>
          <w:iCs/>
          <w:kern w:val="2"/>
          <w14:ligatures w14:val="standardContextual"/>
        </w:rPr>
        <w:t>Službenom listu Europske unije</w:t>
      </w:r>
      <w:r w:rsidRPr="008F172B">
        <w:rPr>
          <w:kern w:val="2"/>
          <w14:ligatures w14:val="standardContextual"/>
        </w:rPr>
        <w:t>;</w:t>
      </w:r>
    </w:p>
    <w:p w14:paraId="6015ED06"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D.</w:t>
      </w:r>
      <w:r w:rsidRPr="008F172B">
        <w:rPr>
          <w:kern w:val="2"/>
          <w14:ligatures w14:val="standardContextual"/>
        </w:rPr>
        <w:tab/>
        <w:t>budući da Revizorski sud za svoje upravljanje odgovara proračunskim tijelima podnošenjem godišnjeg izvješća svojeg glavnog tajnika o radu, čija je svrha u skladu s člankom 74. stavkom 9. Financijske uredbe pružiti informacije o upravljanju resursima, uključujući sustave, te o učinkovitosti i djelotvornosti sustava unutarnje kontrole Revizorskog suda;</w:t>
      </w:r>
    </w:p>
    <w:p w14:paraId="4432E87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E.</w:t>
      </w:r>
      <w:r w:rsidRPr="008F172B">
        <w:rPr>
          <w:kern w:val="2"/>
          <w14:ligatures w14:val="standardContextual"/>
        </w:rPr>
        <w:tab/>
        <w:t>budući da Revizorski sud transparentnim i neovisnim djelovanjem doprinosi demokratskom nadzoru, javnoj raspravi i dobrom financijskom upravljanju Unije;</w:t>
      </w:r>
    </w:p>
    <w:p w14:paraId="700C8BD8"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F.</w:t>
      </w:r>
      <w:r w:rsidRPr="008F172B">
        <w:rPr>
          <w:kern w:val="2"/>
          <w14:ligatures w14:val="standardContextual"/>
        </w:rPr>
        <w:tab/>
        <w:t>budući da je Revizorski sud zauzeo stajalište prema kojemu bi za procjenu upravljanja Unijom, njezine odgovornosti i transparentnosti te kvalitete i pouzdanosti dostavljenih informacija i podataka o provedbi politika Unije bilo najbolje da Revizorski sud bude ovlašten za reviziju svih institucija, tijela, ureda i agencija Unije osnovanih Ugovorima ili na temelju njih te svih međuvladinih struktura od ključne važnosti za funkcioniranje Unije; budući da Parlament snažno podupire Revizorski sud i pozdravio bi inicijative kojima bi se ojačala sposobnost Revizorskog suda da ispunjava svoj mandat;</w:t>
      </w:r>
    </w:p>
    <w:p w14:paraId="2C5DD847"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1.</w:t>
      </w:r>
      <w:r w:rsidRPr="008F172B">
        <w:rPr>
          <w:kern w:val="2"/>
          <w14:ligatures w14:val="standardContextual"/>
        </w:rPr>
        <w:tab/>
        <w:t xml:space="preserve">konstatira da je proračun Revizorskog suda obuhvaćen naslovom 7. VFO-a „Europska javna uprava”, koji je 2023. iznosio 12,3 milijarde EUR (što čini 6,4 % ukupnog proračuna Unije); konstatira da proračun Revizorskog suda od približno 0,2 milijarde </w:t>
      </w:r>
      <w:r w:rsidRPr="008F172B">
        <w:rPr>
          <w:kern w:val="2"/>
          <w14:ligatures w14:val="standardContextual"/>
        </w:rPr>
        <w:lastRenderedPageBreak/>
        <w:t>EUR predstavlja otprilike 1,5 % ukupnih administrativnih rashoda Unije te manje od 0,1 % ukupnih rashoda Unije;</w:t>
      </w:r>
    </w:p>
    <w:p w14:paraId="273EEA8B"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2.</w:t>
      </w:r>
      <w:r w:rsidRPr="008F172B">
        <w:rPr>
          <w:kern w:val="2"/>
          <w14:ligatures w14:val="standardContextual"/>
        </w:rPr>
        <w:tab/>
        <w:t xml:space="preserve">konstatira da je Revizorski sud u godišnjem izvješću za financijsku godinu 2023. ispitao uzorak od 70 transakcija u području „Uprava”, što je deset uzoraka više nego što ih je ispitao 2022.; nadalje, prima na znanje da je Revizorski sud izvijestio da administrativni rashodi obuhvaćaju rashode za ljudske resurse, uključujući rashode za mirovine, koji su 2023. činili oko 70 % ukupnih administrativnih rashoda, te rashode za zgrade, opremu, energiju, komunikacije i informacijsku tehnologiju te da njegov rad tijekom mnogo godina upućuje na to da je ta potrošnja općenito </w:t>
      </w:r>
      <w:proofErr w:type="spellStart"/>
      <w:r w:rsidRPr="008F172B">
        <w:rPr>
          <w:kern w:val="2"/>
          <w14:ligatures w14:val="standardContextual"/>
        </w:rPr>
        <w:t>niskorizična</w:t>
      </w:r>
      <w:proofErr w:type="spellEnd"/>
      <w:r w:rsidRPr="008F172B">
        <w:rPr>
          <w:kern w:val="2"/>
          <w14:ligatures w14:val="standardContextual"/>
        </w:rPr>
        <w:t>;</w:t>
      </w:r>
    </w:p>
    <w:p w14:paraId="33B8ACA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w:t>
      </w:r>
      <w:r w:rsidRPr="008F172B">
        <w:rPr>
          <w:kern w:val="2"/>
          <w14:ligatures w14:val="standardContextual"/>
        </w:rPr>
        <w:tab/>
        <w:t>pozdravlja stalno povećanje broja transakcija koje je Revizorski sud revidirao pod naslovom „Uprava”; prima na znanje planiranu reviziju javne službe Unije, ali podsjeća na važnost temeljitije istrage administrativnih rashoda i ponavlja poziv da se u njegov rad uključe sveobuhvatni podaci o svim institucijama kako bi se pružila utemeljena osnova za dosljedan postupak davanja razrješnice;</w:t>
      </w:r>
    </w:p>
    <w:p w14:paraId="4EC4CB40"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4.</w:t>
      </w:r>
      <w:r w:rsidRPr="008F172B">
        <w:rPr>
          <w:kern w:val="2"/>
          <w14:ligatures w14:val="standardContextual"/>
        </w:rPr>
        <w:tab/>
        <w:t>konstatira da je 21 (30 %) od 70 transakcija sadržavalo pogreške, ali da Revizorski sud, na temelju pet kvantificiranih pogrešaka, procjenjuje da je stopa pogreške ispod praga značajnosti;</w:t>
      </w:r>
    </w:p>
    <w:p w14:paraId="6EB639C1"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5.</w:t>
      </w:r>
      <w:r w:rsidRPr="008F172B">
        <w:rPr>
          <w:kern w:val="2"/>
          <w14:ligatures w14:val="standardContextual"/>
        </w:rPr>
        <w:tab/>
        <w:t>konstatira da financijske izvještaje Revizorskog suda revidira neovisni vanjski revizor kako bi se osigurala ista načela transparentnosti, odgovornosti i neovisnosti koja Revizorski sud primjenjuje na subjekte svojih revizija;</w:t>
      </w:r>
    </w:p>
    <w:p w14:paraId="5FD28358" w14:textId="77777777" w:rsidR="008F172B" w:rsidRPr="008F172B" w:rsidRDefault="008F172B" w:rsidP="008F172B">
      <w:pPr>
        <w:spacing w:after="240"/>
        <w:ind w:left="567" w:hanging="567"/>
        <w:jc w:val="both"/>
        <w:rPr>
          <w:b/>
          <w:i/>
          <w:kern w:val="2"/>
          <w:szCs w:val="24"/>
          <w14:ligatures w14:val="standardContextual"/>
        </w:rPr>
      </w:pPr>
      <w:r w:rsidRPr="008F172B">
        <w:rPr>
          <w:b/>
          <w:i/>
          <w:kern w:val="2"/>
          <w14:ligatures w14:val="standardContextual"/>
        </w:rPr>
        <w:t>Upravljanje proračunom i financijama</w:t>
      </w:r>
    </w:p>
    <w:p w14:paraId="2A05A5E8" w14:textId="77777777" w:rsidR="008F172B" w:rsidRPr="008F172B" w:rsidRDefault="008F172B" w:rsidP="008F172B">
      <w:pPr>
        <w:spacing w:after="240"/>
        <w:ind w:left="567" w:hanging="567"/>
        <w:jc w:val="both"/>
        <w:rPr>
          <w:kern w:val="2"/>
          <w:szCs w:val="24"/>
          <w14:ligatures w14:val="standardContextual"/>
        </w:rPr>
      </w:pPr>
      <w:r w:rsidRPr="008F172B">
        <w:rPr>
          <w:kern w:val="2"/>
          <w14:ligatures w14:val="standardContextual"/>
        </w:rPr>
        <w:t>6.</w:t>
      </w:r>
      <w:r w:rsidRPr="008F172B">
        <w:rPr>
          <w:kern w:val="2"/>
          <w14:ligatures w14:val="standardContextual"/>
        </w:rPr>
        <w:tab/>
        <w:t xml:space="preserve">konstatira da je ukupni proračun Revizorskog suda za 2023. iznosio 175 059 922 EUR, što je povećanje od 7,97 % u odnosu na 162 141 175 EUR za 2022.; konstatira da je povećanje prvenstveno posljedica usklađivanja plaća i devet novih privremenih radnih mjesta povezanih s instrumentom </w:t>
      </w:r>
      <w:proofErr w:type="spellStart"/>
      <w:r w:rsidRPr="008F172B">
        <w:rPr>
          <w:kern w:val="2"/>
          <w14:ligatures w14:val="standardContextual"/>
        </w:rPr>
        <w:t>Next</w:t>
      </w:r>
      <w:proofErr w:type="spellEnd"/>
      <w:r w:rsidRPr="008F172B">
        <w:rPr>
          <w:kern w:val="2"/>
          <w14:ligatures w14:val="standardContextual"/>
        </w:rPr>
        <w:t xml:space="preserve"> </w:t>
      </w:r>
      <w:proofErr w:type="spellStart"/>
      <w:r w:rsidRPr="008F172B">
        <w:rPr>
          <w:kern w:val="2"/>
          <w14:ligatures w14:val="standardContextual"/>
        </w:rPr>
        <w:t>Generation</w:t>
      </w:r>
      <w:proofErr w:type="spellEnd"/>
      <w:r w:rsidRPr="008F172B">
        <w:rPr>
          <w:kern w:val="2"/>
          <w14:ligatures w14:val="standardContextual"/>
        </w:rPr>
        <w:t xml:space="preserve"> EU; konstatira da je za 2023. 88,5 % odobrenih sredstava bilo namijenjeno njegovim članovima i osoblju, a 11,5 % za zgrade, opremu i različite druge rashode;</w:t>
      </w:r>
    </w:p>
    <w:p w14:paraId="35BA6E14"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7.</w:t>
      </w:r>
      <w:r w:rsidRPr="008F172B">
        <w:rPr>
          <w:kern w:val="2"/>
          <w14:ligatures w14:val="standardContextual"/>
        </w:rPr>
        <w:tab/>
        <w:t>konstatira da je stopa izvršenja za preuzete obveze i plaćanja bila visoka, premda nešto niža nego 2022.; konstatira da je stopa iskorištenosti za odobrena sredstva iznosila 97,92 %, dok su plaćanja činila 94,45 % ukupnih obveza, u usporedbi s 98,12 % odnosno 95,26 % 2022.;</w:t>
      </w:r>
    </w:p>
    <w:p w14:paraId="4C1DC2F7"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8.</w:t>
      </w:r>
      <w:r w:rsidRPr="008F172B">
        <w:rPr>
          <w:kern w:val="2"/>
          <w14:ligatures w14:val="standardContextual"/>
        </w:rPr>
        <w:tab/>
        <w:t>konstatira da je nezakonita i neopravdana ruska ratna agresija na Ukrajinu na različite načine stvorila proračunske pritiske za Revizorski sud, među ostalim u vidu povećanja inflacije i usklađivanja plaća te znatnog povećanja troškova za električnu energiju i grijanje;</w:t>
      </w:r>
    </w:p>
    <w:p w14:paraId="2CCD656F"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9.</w:t>
      </w:r>
      <w:r w:rsidRPr="008F172B">
        <w:rPr>
          <w:kern w:val="2"/>
          <w14:ligatures w14:val="standardContextual"/>
        </w:rPr>
        <w:tab/>
        <w:t>ističe da su na izvršenje proračuna za 2023. utjecala dva čimbenika, što objašnjava nešto nižu stopu nego 2022.:</w:t>
      </w:r>
    </w:p>
    <w:p w14:paraId="5EB915C9" w14:textId="77777777" w:rsidR="008F172B" w:rsidRPr="008F172B" w:rsidRDefault="008F172B" w:rsidP="008F172B">
      <w:pPr>
        <w:spacing w:after="240"/>
        <w:ind w:left="1134" w:hanging="567"/>
        <w:rPr>
          <w:kern w:val="2"/>
          <w:szCs w:val="24"/>
          <w14:ligatures w14:val="standardContextual"/>
        </w:rPr>
      </w:pPr>
      <w:r w:rsidRPr="008F172B">
        <w:rPr>
          <w:kern w:val="2"/>
          <w14:ligatures w14:val="standardContextual"/>
        </w:rPr>
        <w:t>1.</w:t>
      </w:r>
      <w:r w:rsidRPr="008F172B">
        <w:rPr>
          <w:kern w:val="2"/>
          <w14:ligatures w14:val="standardContextual"/>
        </w:rPr>
        <w:tab/>
        <w:t xml:space="preserve">razina inflacije koja je bila viša od razine predviđene proračunom, kao i posljedične </w:t>
      </w:r>
      <w:proofErr w:type="spellStart"/>
      <w:r w:rsidRPr="008F172B">
        <w:rPr>
          <w:kern w:val="2"/>
          <w14:ligatures w14:val="standardContextual"/>
        </w:rPr>
        <w:t>indeksacije</w:t>
      </w:r>
      <w:proofErr w:type="spellEnd"/>
      <w:r w:rsidRPr="008F172B">
        <w:rPr>
          <w:kern w:val="2"/>
          <w14:ligatures w14:val="standardContextual"/>
        </w:rPr>
        <w:t xml:space="preserve"> cijena koje su utjecale na nove i postojeće ugovore, što je uzrokovalo dodatne proračunske potrebe za pokrivanje rashoda koji se ne odnose na plaće, a posebno u proračunskim linijama za troškove energije i informacijsku tehnologiju; ta su povećanja odobrenih sredstava naposljetku omogućena </w:t>
      </w:r>
      <w:r w:rsidRPr="008F172B">
        <w:rPr>
          <w:kern w:val="2"/>
          <w14:ligatures w14:val="standardContextual"/>
        </w:rPr>
        <w:lastRenderedPageBreak/>
        <w:t>uglavnom zbog nedovoljne iskorištenosti nekih odobrenih sredstava u poglavlju 1 0 („Članovi institucije”), u poglavlju 1 2 („Dužnosnici i privremeno osoblje”) i u glavi 2., u proračunskim linijama kao što su „Publikacije”, „Ograničena savjetovanja, studije i ankete” te „Troškovi usmenog prevođenja”;</w:t>
      </w:r>
    </w:p>
    <w:p w14:paraId="7D859E47" w14:textId="77777777" w:rsidR="008F172B" w:rsidRPr="008F172B" w:rsidRDefault="008F172B" w:rsidP="008F172B">
      <w:pPr>
        <w:spacing w:after="240"/>
        <w:ind w:left="1134" w:hanging="567"/>
        <w:rPr>
          <w:kern w:val="2"/>
          <w:szCs w:val="24"/>
          <w14:ligatures w14:val="standardContextual"/>
        </w:rPr>
      </w:pPr>
      <w:r w:rsidRPr="008F172B">
        <w:rPr>
          <w:kern w:val="2"/>
          <w14:ligatures w14:val="standardContextual"/>
        </w:rPr>
        <w:t>2.</w:t>
      </w:r>
      <w:r w:rsidRPr="008F172B">
        <w:rPr>
          <w:kern w:val="2"/>
          <w14:ligatures w14:val="standardContextual"/>
        </w:rPr>
        <w:tab/>
        <w:t>veća fluktuacija ugovornog osoblja i upućenih nacionalnih stručnjaka (neki ugovori upućenih nacionalnih stručnjaka nisu produljeni, a nekoliko upućenih nacionalnih stručnjaka prošlo je interni natječaj za privremeno osoblje), kašnjenja i poteškoće u postupcima zapošljavanja, što je slučaj za sva europska tijela koja se nalaze u Luksemburgu;</w:t>
      </w:r>
    </w:p>
    <w:p w14:paraId="0A15F6F8"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10.</w:t>
      </w:r>
      <w:r w:rsidRPr="008F172B">
        <w:rPr>
          <w:kern w:val="2"/>
          <w14:ligatures w14:val="standardContextual"/>
        </w:rPr>
        <w:tab/>
        <w:t>prima na znanje da je Revizorski sud tijekom 2023. izvršio 36 proračunskih prijenosa u ukupnom iznosu od 5 676 379 EUR, čiji je cilj bio osigurati neometano funkcioniranje različitih odjela Revizorskog suda i zadovoljavanje svih povezanih potreba;</w:t>
      </w:r>
    </w:p>
    <w:p w14:paraId="07B02E3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11.</w:t>
      </w:r>
      <w:r w:rsidRPr="008F172B">
        <w:rPr>
          <w:kern w:val="2"/>
          <w14:ligatures w14:val="standardContextual"/>
        </w:rPr>
        <w:tab/>
        <w:t>konstatira da je Revizorski sud tijekom 2023. nabavio robu i usluge u ukupnoj vrijednosti od 23 426 750,05 EUR (2022.: 5 512 853 EUR; 2021.: 15 215 515 EUR), od čega 21 453 665,05 EUR otpada na lokalne dobavljače (2022.: 4 848 701 EUR; 2021.: 10 144 812 EUR);</w:t>
      </w:r>
    </w:p>
    <w:p w14:paraId="0CEA78B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12.</w:t>
      </w:r>
      <w:r w:rsidRPr="008F172B">
        <w:rPr>
          <w:kern w:val="2"/>
          <w14:ligatures w14:val="standardContextual"/>
        </w:rPr>
        <w:tab/>
        <w:t>sa zadovoljstvom primjećuje da je vanjski revizor izjavio da su dodijeljena sredstva iskorištena u skladu s njihovom namjenom i da su postupci kontrole koje su uspostavili dužnosnici za ovjeravanje pružili potrebna jamstva kako bi se osiguralo da su financijske operacije u skladu s primjenjivim pravilima i propisima;</w:t>
      </w:r>
    </w:p>
    <w:p w14:paraId="1A267BF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13.</w:t>
      </w:r>
      <w:r w:rsidRPr="008F172B">
        <w:rPr>
          <w:kern w:val="2"/>
          <w14:ligatures w14:val="standardContextual"/>
        </w:rPr>
        <w:tab/>
        <w:t>pozdravlja da se ukupni proračun za službena putovanja Revizorskog suda (članovi i osoblje) koji je prvotno utvrđen na 2 722 500 EUR smanjio za 4,4 % na 2 602 500 EUR, s obzirom na promjene u metodama rada Revizorskog suda nakon pandemije;</w:t>
      </w:r>
    </w:p>
    <w:p w14:paraId="516EB15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14.</w:t>
      </w:r>
      <w:r w:rsidRPr="008F172B">
        <w:rPr>
          <w:kern w:val="2"/>
          <w14:ligatures w14:val="standardContextual"/>
        </w:rPr>
        <w:tab/>
        <w:t>poziva Revizorski sud da provede sveobuhvatnu reviziju naknada za putovanja i sastanke kako bi se osiguralo da su rashodi troškovno učinkoviti, opravdani i ekološki održivi, što podrazumijeva veće oslanjanje na hibridne sastanke kako bi se smanjila nepotrebna potrošnja i emisije ugljika;</w:t>
      </w:r>
    </w:p>
    <w:p w14:paraId="1E96EF37"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Unutarnje upravljanje, uspješnost i unutarnja kontrola</w:t>
      </w:r>
    </w:p>
    <w:p w14:paraId="1F63CDD3"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15.</w:t>
      </w:r>
      <w:r w:rsidRPr="008F172B">
        <w:rPr>
          <w:kern w:val="2"/>
          <w14:ligatures w14:val="standardContextual"/>
        </w:rPr>
        <w:tab/>
        <w:t>pozdravlja činjenicu da je 2023. Revizorski sud znatno povećao broj terenskih posjeta u odnosu na prethodne tri godine, u kojima su se i dalje djelomično primjenjivala ograničenja putovanja i javnozdravstvena ograničenja zbog pandemije bolesti COVID-19; konstatira da su revizori Revizorskog suda proveli ukupno 4897 dana u državama članicama i izvan Unije, u usporedbi s 2984 dana 2022., 1156 dana 2021., 1190 dana 2020. i 3605 dana 2019.;</w:t>
      </w:r>
    </w:p>
    <w:p w14:paraId="52DBDE0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16.</w:t>
      </w:r>
      <w:r w:rsidRPr="008F172B">
        <w:rPr>
          <w:kern w:val="2"/>
          <w14:ligatures w14:val="standardContextual"/>
        </w:rPr>
        <w:tab/>
        <w:t>konstatira da je Revizorski sud 2023. predstavio dva godišnja izvješća, četiri posebna godišnja izvješća, 29 tematskih izvješća, četiri mišljenja i šest pregleda, dakle ukupno 45 dokumenata;</w:t>
      </w:r>
    </w:p>
    <w:p w14:paraId="57E0E21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17.</w:t>
      </w:r>
      <w:r w:rsidRPr="008F172B">
        <w:rPr>
          <w:kern w:val="2"/>
          <w14:ligatures w14:val="standardContextual"/>
        </w:rPr>
        <w:tab/>
        <w:t>konstatira da je od 29 strateških mjera iz strategije Revizorskog suda za razdoblje 2021. – 2025. jedna od njih otkazana, a ostalih 28 u potpunosti provedeno;</w:t>
      </w:r>
    </w:p>
    <w:p w14:paraId="694DA33B"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18.</w:t>
      </w:r>
      <w:r w:rsidRPr="008F172B">
        <w:rPr>
          <w:kern w:val="2"/>
          <w14:ligatures w14:val="standardContextual"/>
        </w:rPr>
        <w:tab/>
        <w:t xml:space="preserve">cijeni činjenicu da Revizorski sud provedbu svojih preporuka procjenjuje na temelju </w:t>
      </w:r>
      <w:r w:rsidRPr="008F172B">
        <w:rPr>
          <w:kern w:val="2"/>
          <w14:ligatures w14:val="standardContextual"/>
        </w:rPr>
        <w:lastRenderedPageBreak/>
        <w:t>daljnjeg praćenja koje obavljaju revizori Revizorskog suda; konstatira da je Revizorski sud 2023. analizirao preporuke upućene Komisiji i drugim institucijama koje su bile iznesene u izvješćima za 2019.; cijeni činjenicu da je ta analiza pokazala da je od preporuka čija je provedba provjerena 100 % od 15 preporuka iznesenih u godišnjem izvješću Revizorskog suda za 2019. i 85 % od 208 preporuka iz tematskih izvješća Revizorskog suda iz iste godine provedeno u potpunosti, u određenoj mjeri ili u većoj mjeri;</w:t>
      </w:r>
    </w:p>
    <w:p w14:paraId="627BEE57"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19.</w:t>
      </w:r>
      <w:r w:rsidRPr="008F172B">
        <w:rPr>
          <w:kern w:val="2"/>
          <w14:ligatures w14:val="standardContextual"/>
        </w:rPr>
        <w:tab/>
        <w:t>pozdravlja spremnost Revizorskog suda da odgovori na zahtjev Parlamenta da svoj revizorski rad usmjeri na najhitnije izazove te da poboljša suradnju s Konferencijom predsjednika odbora Parlamenta; naglašava da bi Revizorski sud trebao imati potpuni pristup alatima za procjenu rizika od prijevara, uključujući baze podataka Komisije i država članica o slučajevima prijevara povezanih s financijskim sredstvima Unije, kako bi se poboljšali sustavi ranog upozoravanja na prijevare; duboko žali zbog toga što pitanje pristupa Revizorskog suda FENIX-u, novom alatu za izvješćivanje o Mehanizmu za oporavak i otpornost, i dalje nije riješeno zbog činjenice da Komisija Revizorskom sudu odobrava pristup samo nekim modulima FENIX-a, a informacije sadržane u njima ne ažuriraju se pravodobno; potiče Komisiju da bez odgode omogući Revizorskom sudu potpun i trenutačan pristup svim modulima FENIX-a; konstatira da Glavna uprava Komisije za gospodarske i financijske poslove nastoji Revizorskom sudu odobriti pristup spisima u FENIX-u u roku od dva tjedna od odobrenja zahtjeva za plaćanje; međutim, izražava zabrinutost zbog toga što se u praksi u mnogim slučajevima ne poštuje taj rok i što je u nekim slučajevima dolazilo do kašnjenja do dva i pol mjeseca, što znatno usporava donošenje zaključaka Revizorskog suda; podsjeća da je povjerenik za proračun na sjednici odbora CONT 10. listopada 2024. otvoreno izjavio da Revizorski sud ima puni mandat u vezi s Mehanizmom za oporavak i otpornost, što upućuje na potrebu za brzim poboljšanjem pristupa Revizorskog suda svim alatima kako bi ispunio svoj mandat;</w:t>
      </w:r>
    </w:p>
    <w:p w14:paraId="47736CA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20.</w:t>
      </w:r>
      <w:r w:rsidRPr="008F172B">
        <w:rPr>
          <w:kern w:val="2"/>
          <w14:ligatures w14:val="standardContextual"/>
        </w:rPr>
        <w:tab/>
        <w:t>poziva Revizorski sud da proširi svoj opseg revizije kako bi obuhvatio operacije Europske investicijske banke (EIB) koje se financiraju vlastitim sredstvima EIB-a s obzirom na sve veću ulogu EIB-a u gospodarskim, financijskim i industrijskim politikama EU-a; potiče Komisiju i države članice da Revizorskom sudu dodijele pravni mandat potreban za to proširenje;</w:t>
      </w:r>
    </w:p>
    <w:p w14:paraId="321B1AFB"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21.</w:t>
      </w:r>
      <w:r w:rsidRPr="008F172B">
        <w:rPr>
          <w:kern w:val="2"/>
          <w14:ligatures w14:val="standardContextual"/>
        </w:rPr>
        <w:tab/>
        <w:t>pohvaljuje pravovremena i relevantna tematska izvješća o provedbi Mehanizma za oporavak i otpornost kojima se tijelu nadležnom za davanje razrješnice omogućuje da učinkovito izvršava svoje ovlasti i uputi preporuke Komisiji o tome kako poboljšati funkcioniranje tog instrumenta; apelira na Revizorski sud da ojača svoju ulogu u borbi protiv prijevara u proračunu Unije utvrđivanjem nedostataka, sudjelovanjem u raspravama o borbi protiv prijevara, intenziviranjem revizija, suradnjom s tijelima za otkrivanje prijevara i pružanjem relevantnih povratnih informacija tijelu nadležnom za davanje razrješnice;</w:t>
      </w:r>
    </w:p>
    <w:p w14:paraId="54E6D56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22.</w:t>
      </w:r>
      <w:r w:rsidRPr="008F172B">
        <w:rPr>
          <w:kern w:val="2"/>
          <w14:ligatures w14:val="standardContextual"/>
        </w:rPr>
        <w:tab/>
        <w:t>prima na znanje da je Revizorski sud krajem 2023. imao 969 članova osoblja; prima na znanje da su 2023. žene činile 53 % osoblja, a muškarci 47 %, što je nepromijenjeno u odnosu na prethodnu godinu, 2022.; žali zbog toga što žene čine samo 30 % višeg rukovodstva, što je znatno smanjenje u odnosu na 36,4 % 2022.; ističe da se ukupni udio žena na rukovodećim položajima smanjio 2023.; poziva Revizorski sud da nastavi ulagati napore u promicanje rodne ravnoteže u srednjem i višem rukovodstvu;</w:t>
      </w:r>
    </w:p>
    <w:p w14:paraId="36953EBC"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lastRenderedPageBreak/>
        <w:t>Ljudski resursi, jednakost i dobrobit osoblja</w:t>
      </w:r>
    </w:p>
    <w:p w14:paraId="1694913C"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23.</w:t>
      </w:r>
      <w:r w:rsidRPr="008F172B">
        <w:rPr>
          <w:kern w:val="2"/>
          <w14:ligatures w14:val="standardContextual"/>
        </w:rPr>
        <w:tab/>
        <w:t xml:space="preserve">izražava zabrinutost zbog toga što je postupak zapošljavanja zahtijevao dodatne napore jer je oko 50 % kandidata odbilo ponude za posao Revizorskog suda, djelomično zbog ograničene privlačnosti Luksemburga kao mjesta rada i tamošnjih visokih troškova života; napominje, međutim, da se velika revizorska društva u Luksemburgu također suočavaju s istim izazovima te se sada okreću azijskim tržištima kako bi zapošljavala revizore; naglašava da Revizorski sud ne može primijeniti takav pristup zbog problema prihvatljivosti kandidata i sigurnosti; prima na znanje trud Revizorskog suda i potiče ga da surađuje s drugim institucijama sa sjedištem u Luxembourgu u okviru </w:t>
      </w:r>
      <w:proofErr w:type="spellStart"/>
      <w:r w:rsidRPr="008F172B">
        <w:rPr>
          <w:kern w:val="2"/>
          <w14:ligatures w14:val="standardContextual"/>
        </w:rPr>
        <w:t>Međuinstitucijske</w:t>
      </w:r>
      <w:proofErr w:type="spellEnd"/>
      <w:r w:rsidRPr="008F172B">
        <w:rPr>
          <w:kern w:val="2"/>
          <w14:ligatures w14:val="standardContextual"/>
        </w:rPr>
        <w:t xml:space="preserve"> skupine na visokoj razini kako bi se uz pomoć utvrđenih mjera, kao što su više naknade za preseljenje, naknade za stanovanje za ublažavanje visokih troškova najma za osoblje nižeg platnog razreda i privremeni smještaj za kratkotrajne boravke po razumnim cijenama, povećala privlačnost zapošljavanja u Luksemburgu za potencijalno osoblje;</w:t>
      </w:r>
    </w:p>
    <w:p w14:paraId="5C94639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24.</w:t>
      </w:r>
      <w:r w:rsidRPr="008F172B">
        <w:rPr>
          <w:kern w:val="2"/>
          <w14:ligatures w14:val="standardContextual"/>
        </w:rPr>
        <w:tab/>
        <w:t>podsjeća da, u skladu s Ugovorom o Europskoj uniji, EU i njegove institucije promiču solidarnost te ravnopravnost žena i muškaraca</w:t>
      </w:r>
    </w:p>
    <w:p w14:paraId="43BD8BEB"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25.</w:t>
      </w:r>
      <w:r w:rsidRPr="008F172B">
        <w:rPr>
          <w:kern w:val="2"/>
          <w14:ligatures w14:val="standardContextual"/>
        </w:rPr>
        <w:tab/>
        <w:t xml:space="preserve">dijeli zabrinutost Revizorskog suda zbog činjenice da se revizijska struka općenito suočava s problemima u pogledu zapošljavanja zbog nedostatka interesa za poslove revizije i kontrole među mladim radnicima; poziva na proaktivna rješenja i hitnu sustavnu </w:t>
      </w:r>
      <w:proofErr w:type="spellStart"/>
      <w:r w:rsidRPr="008F172B">
        <w:rPr>
          <w:kern w:val="2"/>
          <w14:ligatures w14:val="standardContextual"/>
        </w:rPr>
        <w:t>međuinstitucijsku</w:t>
      </w:r>
      <w:proofErr w:type="spellEnd"/>
      <w:r w:rsidRPr="008F172B">
        <w:rPr>
          <w:kern w:val="2"/>
          <w14:ligatures w14:val="standardContextual"/>
        </w:rPr>
        <w:t xml:space="preserve"> suradnju kako bi se riješilo to pitanje;</w:t>
      </w:r>
    </w:p>
    <w:p w14:paraId="59AD9E12"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26.</w:t>
      </w:r>
      <w:r w:rsidRPr="008F172B">
        <w:rPr>
          <w:kern w:val="2"/>
          <w14:ligatures w14:val="standardContextual"/>
        </w:rPr>
        <w:tab/>
        <w:t>dijeli opažanje Revizorskog suda da natječaji EPSO-a ne ostvaruju uvijek cilj privlačenja i odabira kandidata relevantnih profila iz privatnog sektora; ističe više problema s natječajima EPSO-a, na primjer tehnički problemi s testiranjem na daljinu koji su doveli do otkazivanja jednog natječaja i stavljanja na čekanje svih drugih natječaja; prima na znanje zabrinutost u vezi s postupcima zapošljavanja i odabira novog osoblja; potiče Revizorski sud da nastavi ulagati napore u rješavanje te situacije kako bi se očuvao kontinuitet aktivnosti Revizorskog suda; sa zadovoljstvom konstatira da je Revizorski sud surađivao s Uredom Europskih zajednica za odabir osoblja kako bi redovito organizirao natječaje za revizore; predlaže moguću suradnju s drugim relevantnim tijelima Unije kako bi se optimizirali postupci zapošljavanja;</w:t>
      </w:r>
    </w:p>
    <w:p w14:paraId="7496015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27.</w:t>
      </w:r>
      <w:r w:rsidRPr="008F172B">
        <w:rPr>
          <w:kern w:val="2"/>
          <w14:ligatures w14:val="standardContextual"/>
        </w:rPr>
        <w:tab/>
        <w:t>cijeni činjenicu da je Revizorski sud organizirao fleksibilne i raznolike postupke odabira, kako je predviđeno Pravilnikom o osoblju i Uvjetima zaposlenja ostalih službenika Europske unije te da je uveo postupke u cilju zadržavanja talentiranog osoblja;</w:t>
      </w:r>
    </w:p>
    <w:p w14:paraId="39BF2B0C"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28.</w:t>
      </w:r>
      <w:r w:rsidRPr="008F172B">
        <w:rPr>
          <w:kern w:val="2"/>
          <w14:ligatures w14:val="standardContextual"/>
        </w:rPr>
        <w:tab/>
        <w:t>prima na znanje režim rada na daljinu (do 10 dana mjesečno) koji Revizorski sud nudi kako bi ublažio izazove u pogledu zapošljavanja; pozdravlja mjere koje je Revizorski sud poduzeo 2023. kako bi osigurao fizičku i mentalnu dobrobit osoblja;</w:t>
      </w:r>
    </w:p>
    <w:p w14:paraId="75E3325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29.</w:t>
      </w:r>
      <w:r w:rsidRPr="008F172B">
        <w:rPr>
          <w:kern w:val="2"/>
          <w14:ligatures w14:val="standardContextual"/>
        </w:rPr>
        <w:tab/>
        <w:t>konstatira da je stopa slobodnih radnih mjesta u prosincu 2023. iznosila 2,27 %, dok je stopa fluktuacije osoblja (udio ukupnog osoblja koji je napustio radno mjesto) iznosila 6,6 %;</w:t>
      </w:r>
    </w:p>
    <w:p w14:paraId="280E27CB"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30.</w:t>
      </w:r>
      <w:r w:rsidRPr="008F172B">
        <w:rPr>
          <w:kern w:val="2"/>
          <w14:ligatures w14:val="standardContextual"/>
        </w:rPr>
        <w:tab/>
        <w:t xml:space="preserve">cijeni napore koje je Revizorski sud uložio u to da stopa slobodnih radnih mjesta u 2023. ostane niska; međutim, u potpunosti dijeli zabrinutost zbog nedostatka geografske ravnoteže među novim zaposlenicima, što osoblje Revizorskog suda u cjelini čini još </w:t>
      </w:r>
      <w:r w:rsidRPr="008F172B">
        <w:rPr>
          <w:kern w:val="2"/>
          <w14:ligatures w14:val="standardContextual"/>
        </w:rPr>
        <w:lastRenderedPageBreak/>
        <w:t>manje geografski reprezentativnim; konstatira da, prema navodima Revizorskog suda, postoji rizik da u razdoblju od pet godina više nordijskih država članica neće biti obuhvaćeno revizijom s obzirom na to da možda neće biti revizora iz tih država članica;</w:t>
      </w:r>
    </w:p>
    <w:p w14:paraId="42194C9F"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31.</w:t>
      </w:r>
      <w:r w:rsidRPr="008F172B">
        <w:rPr>
          <w:kern w:val="2"/>
          <w14:ligatures w14:val="standardContextual"/>
        </w:rPr>
        <w:tab/>
        <w:t>pozdravlja činjenicu da je Revizorski sud poduzeo različite korake za rješavanje pitanja geografske ravnoteže, kao što je povećanje publiciteta natječaja i oglasa za slobodna radna mjesta Revizorskog suda u izrazito nedovoljno zastupljenim državama članicama, suradnja s članovima Revizorskog suda na širenju oglasa za slobodna radna mjesta i dopiranje do potencijalnih kandidata sudjelovanjem na sajmovima poslova u određenim državama članicama; potiče daljnje korake koji se uzimaju u obzir, kao što su strategije ranog uključivanja i privlačenje mladog kvalitetnog kadra iz zemalja s niskom zastupljenošću; s određenim žaljenjem prima na znanje da još uvijek postoji prostora za postizanje rodne ravnoteže u srednjem i višem rukovodstvu;</w:t>
      </w:r>
    </w:p>
    <w:p w14:paraId="5F9D3A3D" w14:textId="77777777" w:rsidR="008F172B" w:rsidRPr="008F172B" w:rsidRDefault="008F172B" w:rsidP="008F172B">
      <w:pPr>
        <w:spacing w:after="240"/>
        <w:ind w:left="567" w:hanging="567"/>
        <w:rPr>
          <w:i/>
          <w:kern w:val="2"/>
          <w:szCs w:val="24"/>
          <w14:ligatures w14:val="standardContextual"/>
        </w:rPr>
      </w:pPr>
      <w:r w:rsidRPr="008F172B">
        <w:rPr>
          <w:kern w:val="2"/>
          <w14:ligatures w14:val="standardContextual"/>
        </w:rPr>
        <w:t>32.</w:t>
      </w:r>
      <w:r w:rsidRPr="008F172B">
        <w:rPr>
          <w:kern w:val="2"/>
          <w14:ligatures w14:val="standardContextual"/>
        </w:rPr>
        <w:tab/>
        <w:t>pozdravlja činjenicu da je krajem 2023. popunjeno svih 29 dodatnih radnih mjesta potrebnih za reviziju iznosa od 723,8 milijardi EUR u okviru Mehanizma za oporavak i otpornost; međutim, naglašava da značajnost, složenost, veliki iznosi i brze isplate iz Mehanizma za oporavak i otpornost i dalje predstavljaju izazove te da dostupnim resursima nije moguće obuhvatiti sve aspekte Mehanizma za oporavak i otpornost, koji Revizorskom sudu omogućuju da procijeni zadovoljavajuće ostvarenje ključnih etapa i ciljnih vrijednosti, a time i zakonitost i pravilnost plaćanja u okviru Mehanizma za oporavak i otpornost, ali nisu dovoljni kako bi se sustavno obuhvatila usklađenosti rashoda Mehanizma za oporavak i otpornost s pravom Unije i nacionalnim zakonodavstvom; ističe da je važno osigurati da Revizorski sud dosljedno raspolaže odgovarajućim brojem osoblja kako bi ispunio svoj mandat i dodatne odgovornosti koje proizlaze iz novih financijskih instrumenata kao što je Mehanizam za oporavak i otpornost; pohvaljuje napore koje je Revizorski sud dosad uložio u izvršavanje svojih dužnosti u vezi s Mehanizmom za oporavak i otpornost unatoč nedovoljnoj dostupnosti potpuno adekvatnih resursa;</w:t>
      </w:r>
    </w:p>
    <w:p w14:paraId="2DD02521"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33.</w:t>
      </w:r>
      <w:r w:rsidRPr="008F172B">
        <w:rPr>
          <w:kern w:val="2"/>
          <w14:ligatures w14:val="standardContextual"/>
        </w:rPr>
        <w:tab/>
        <w:t>svjestan je da Revizorski sud nema ulogu u postupku odabira članova u skladu s člankom 286. stavkom 2. UFEU-a; međutim, ističe da i dalje postoji znatna rodna neravnoteža među članovima Revizorskog suda, sa samo 10 žena od ukupno 27 članova; izražava žaljenje zbog toga što 12 država članica nikad nije imenovalo ženu za članicu Revizorskog suda; poziva Revizorski sud da ocijeni svoj ukupni sastav i dostavi tu analizu Vijeću i državama članicama kako bi se osiguralo da se pri budućim postupcima imenovanja na odgovarajući način uzme u obzir rodna ravnoteža; ponavlja svoj poziv državama članicama da predlože kandidate različitog spola s ciljem uravnoteženijeg i reprezentativnijeg sastava Revizorskog suda;</w:t>
      </w:r>
    </w:p>
    <w:p w14:paraId="252D3D3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34.</w:t>
      </w:r>
      <w:r w:rsidRPr="008F172B">
        <w:rPr>
          <w:kern w:val="2"/>
          <w14:ligatures w14:val="standardContextual"/>
        </w:rPr>
        <w:tab/>
        <w:t>žali zbog toga što je Vijeće u više navrata imenovalo članove Revizorskog suda unatoč tome što ih je Parlament odbio; naglašava da bi Parlament trebao imati obvezujuću ulogu u procjeni prikladnosti kandidata za Sud;</w:t>
      </w:r>
    </w:p>
    <w:p w14:paraId="5391C20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35.</w:t>
      </w:r>
      <w:r w:rsidRPr="008F172B">
        <w:rPr>
          <w:kern w:val="2"/>
          <w14:ligatures w14:val="standardContextual"/>
        </w:rPr>
        <w:tab/>
        <w:t>konstatira da je 2023. prosječno razdoblje odsutnosti zbog bolesti trajalo 10 dana po zaposleniku, u usporedbi s 12,2 dana 2022.; nadalje, konstatira da su 2023. zbog dugotrajne bolesti, koja se definira u trajanju duljem od 200 dana u godini, bila odsutna četiri člana osoblja (u usporedbi s osam 2022.);</w:t>
      </w:r>
    </w:p>
    <w:p w14:paraId="19CDE4C8"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36.</w:t>
      </w:r>
      <w:r w:rsidRPr="008F172B">
        <w:rPr>
          <w:kern w:val="2"/>
          <w14:ligatures w14:val="standardContextual"/>
        </w:rPr>
        <w:tab/>
        <w:t xml:space="preserve">sa zabrinutošću konstatira da je 2023. prijavljeno sedam slučajeva sindroma izgaranja na poslu, što je jednako zabrinjavajući broj kao i 2022.; pozdravlja činjenicu da je </w:t>
      </w:r>
      <w:r w:rsidRPr="008F172B">
        <w:rPr>
          <w:kern w:val="2"/>
          <w14:ligatures w14:val="standardContextual"/>
        </w:rPr>
        <w:lastRenderedPageBreak/>
        <w:t>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w:t>
      </w:r>
    </w:p>
    <w:p w14:paraId="0ACE9CC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37.</w:t>
      </w:r>
      <w:r w:rsidRPr="008F172B">
        <w:rPr>
          <w:kern w:val="2"/>
          <w14:ligatures w14:val="standardContextual"/>
        </w:rPr>
        <w:tab/>
        <w:t>sa zadovoljstvom prima na znanje da je Revizorski sud 2023. ponovno premašio cilj stručnog osposobljavanja od pet dana nejezične izobrazbe godišnje za revizore (6,7 dana), u skladu s preporukama Međunarodne federacije računovođa; posebno prima na znanje osposobljavanje osoblja Revizorskog suda o NGEU-u i Mehanizmu za oporavak i otpornost;</w:t>
      </w:r>
    </w:p>
    <w:p w14:paraId="3360789F"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38.</w:t>
      </w:r>
      <w:r w:rsidRPr="008F172B">
        <w:rPr>
          <w:kern w:val="2"/>
          <w14:ligatures w14:val="standardContextual"/>
        </w:rPr>
        <w:tab/>
        <w:t>pozdravlja donošenje nove politike u prosincu 2022. kako bi se osigurala radna mjesta u kojima vlada poštovanje i nema uznemiravanja, s naglaskom na prevenciji, podizanju razine osviještenosti i ranom otkrivanju; ističe mjere kao što su predstavljanje koje je organizirano za sve zaposlenike u siječnju 2023. u cilju boljeg razumijevanja te politike, uvođenja usklađenog obrasca za izvješćivanje i objavljivanja prvog agregiranog godišnjeg izvješća o provedbi politike;</w:t>
      </w:r>
    </w:p>
    <w:p w14:paraId="170043CE"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39.</w:t>
      </w:r>
      <w:r w:rsidRPr="008F172B">
        <w:rPr>
          <w:kern w:val="2"/>
          <w14:ligatures w14:val="standardContextual"/>
        </w:rPr>
        <w:tab/>
        <w:t xml:space="preserve">pozdravlja Akcijski plan Revizorskog suda za raznolikost i uključivanje za razdoblje 2021. – 2025.; sa zadovoljstvom prima na znanje organizaciju trećeg po redu tjedna osviještenosti o invaliditetu i </w:t>
      </w:r>
      <w:proofErr w:type="spellStart"/>
      <w:r w:rsidRPr="008F172B">
        <w:rPr>
          <w:kern w:val="2"/>
          <w14:ligatures w14:val="standardContextual"/>
        </w:rPr>
        <w:t>međuinstitucijskih</w:t>
      </w:r>
      <w:proofErr w:type="spellEnd"/>
      <w:r w:rsidRPr="008F172B">
        <w:rPr>
          <w:kern w:val="2"/>
          <w14:ligatures w14:val="standardContextual"/>
        </w:rPr>
        <w:t xml:space="preserve"> inicijativa za poticanje </w:t>
      </w:r>
      <w:proofErr w:type="spellStart"/>
      <w:r w:rsidRPr="008F172B">
        <w:rPr>
          <w:kern w:val="2"/>
          <w14:ligatures w14:val="standardContextual"/>
        </w:rPr>
        <w:t>uključivosti</w:t>
      </w:r>
      <w:proofErr w:type="spellEnd"/>
      <w:r w:rsidRPr="008F172B">
        <w:rPr>
          <w:kern w:val="2"/>
          <w14:ligatures w14:val="standardContextual"/>
        </w:rPr>
        <w:t xml:space="preserve">; naglašava napore Revizorskog suda, uključujući njegovu anketu o pristupačnosti na radnom mjestu, sudjelovanje u nagradi </w:t>
      </w:r>
      <w:proofErr w:type="spellStart"/>
      <w:r w:rsidRPr="008F172B">
        <w:rPr>
          <w:kern w:val="2"/>
          <w14:ligatures w14:val="standardContextual"/>
        </w:rPr>
        <w:t>Ombudsmana</w:t>
      </w:r>
      <w:proofErr w:type="spellEnd"/>
      <w:r w:rsidRPr="008F172B">
        <w:rPr>
          <w:kern w:val="2"/>
          <w14:ligatures w14:val="standardContextual"/>
        </w:rPr>
        <w:t xml:space="preserve"> za dobru upravu i vanjsku reviziju pristupačnosti zgrada u skladu s luksemburškim zakonodavstvom o pristupačnosti iz 2023.;</w:t>
      </w:r>
    </w:p>
    <w:p w14:paraId="0035F9BA"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40.</w:t>
      </w:r>
      <w:r w:rsidRPr="008F172B">
        <w:rPr>
          <w:kern w:val="2"/>
          <w14:ligatures w14:val="standardContextual"/>
        </w:rPr>
        <w:tab/>
        <w:t>naglašava ključnu ulogu Revizorskog suda kao neovisnog vanjskog revizora i čuvara financija Unije, zbog čega on mora poštovati najviše standarde integriteta, profesionalnosti i odgovornosti te služiti kao ogledna institucija koja nadahnjuje povjerenje i vjerodostojnost; podsjeća da, u skladu s člankom 285. UFEU-a, članovi Revizorskog suda moraju biti potpuno neovisni i pridržavati se najviših etičkih načela te demonstrirati integritet, objektivnost, profesionalno ponašanje, dostojanstvo, predanost i odanost;</w:t>
      </w:r>
    </w:p>
    <w:p w14:paraId="31B9F76A"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Etički okvir i transparentnost</w:t>
      </w:r>
    </w:p>
    <w:p w14:paraId="465562BE"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41.</w:t>
      </w:r>
      <w:r w:rsidRPr="008F172B">
        <w:rPr>
          <w:kern w:val="2"/>
          <w14:ligatures w14:val="standardContextual"/>
        </w:rPr>
        <w:tab/>
        <w:t>pozdravlja činjenicu da su interna pravila o prijavljivanju ozbiljnih nepravilnosti (zviždanje) ažurirana kako bi bila jasnija i detaljnija te sadržavala više informacija za osoblje; konstatira da 2023. na Revizorskom sudu nije bio zabilježen nijedan slučaj u vezi sa zviždačima; nadalje, konstatira da je Revizorski sud 2023. pokrenuo i postupak ažuriranja pravila Revizorskog suda o provođenju administrativnih istraga i disciplinskih postupaka, koji je dovršen početkom 2024.;</w:t>
      </w:r>
    </w:p>
    <w:p w14:paraId="54B9F4F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42.</w:t>
      </w:r>
      <w:r w:rsidRPr="008F172B">
        <w:rPr>
          <w:kern w:val="2"/>
          <w14:ligatures w14:val="standardContextual"/>
        </w:rPr>
        <w:tab/>
        <w:t xml:space="preserve">konstatira da je Revizorski sud 2023. organizirao tri radionice na temu etike, koje su privukle 60 sudionika; uzima u obzir činjenicu da su radionice Revizorskog suda povezane s etičkim pitanjima bile otvorene za cjelokupno osoblje, uključujući rukovoditelje, te da su standardni tečajevi obvezni za nove zaposlenike i obuhvaćaju javnu etiku i politiku Revizorskog suda protiv uznemiravanja; žali zbog toga što cjelokupno osoblje nije redovito moralo pohađati tečajeve povezane s etičkim </w:t>
      </w:r>
      <w:r w:rsidRPr="008F172B">
        <w:rPr>
          <w:kern w:val="2"/>
          <w14:ligatures w14:val="standardContextual"/>
        </w:rPr>
        <w:lastRenderedPageBreak/>
        <w:t>pitanjima;</w:t>
      </w:r>
    </w:p>
    <w:p w14:paraId="7CF71DFD"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43.</w:t>
      </w:r>
      <w:r w:rsidRPr="008F172B">
        <w:rPr>
          <w:kern w:val="2"/>
          <w14:ligatures w14:val="standardContextual"/>
        </w:rPr>
        <w:tab/>
        <w:t>cijeni činjenicu da je Revizorski sud organizirao šest tečajeva na temu prijevara, uključujući prijevare u javnoj nabavi, prijevare u vezi s PDV-om i prijevare u vezi s Mehanizmom za oporavak i otpornost; pozdravlja činjenicu da je u lipnju 2023. Europski ured za borbu protiv prijevara (OLAF) organizirao tečaj na temu provođenja razgovora u slučajevima sumnje na prijevaru i korupciju; konstatira da se u studenome 2023. Revizorski sud pridružio Uredu europskog javnog tužitelja (EPPO) i OLAF-u u organizaciji dvodnevnog tečaja o prijevarama u javnoj nabavi u Uniji;</w:t>
      </w:r>
    </w:p>
    <w:p w14:paraId="2F465B96"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44.</w:t>
      </w:r>
      <w:r w:rsidRPr="008F172B">
        <w:rPr>
          <w:kern w:val="2"/>
          <w14:ligatures w14:val="standardContextual"/>
        </w:rPr>
        <w:tab/>
        <w:t xml:space="preserve">zabrinut je zbog izvješća medija da je istraga Ureda europskog javnog tužitelja o zlouporabi sredstava bivšeg predsjednika Revizorskog suda trenutačno blokirana zbog odluke Revizorskog suda da mu se ne ukine imunitet; traži od Revizorskog suda da u potpunosti surađuje s EPPO-om u svim istragama koje bi mogao pokrenuti i da izvijesti o razlozima odluke o </w:t>
      </w:r>
      <w:proofErr w:type="spellStart"/>
      <w:r w:rsidRPr="008F172B">
        <w:rPr>
          <w:kern w:val="2"/>
          <w14:ligatures w14:val="standardContextual"/>
        </w:rPr>
        <w:t>neukidanju</w:t>
      </w:r>
      <w:proofErr w:type="spellEnd"/>
      <w:r w:rsidRPr="008F172B">
        <w:rPr>
          <w:kern w:val="2"/>
          <w14:ligatures w14:val="standardContextual"/>
        </w:rPr>
        <w:t xml:space="preserve"> imuniteta;</w:t>
      </w:r>
    </w:p>
    <w:p w14:paraId="393459E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45.</w:t>
      </w:r>
      <w:r w:rsidRPr="008F172B">
        <w:rPr>
          <w:kern w:val="2"/>
          <w14:ligatures w14:val="standardContextual"/>
        </w:rPr>
        <w:tab/>
        <w:t>poziva Revizorski sud da osigura da svi članovi i više osoblje u javnoj internetskoj bazi podataka objavljuju svoje financijske interese, darove i izjave o gostoprimstvu, u skladu s najboljim praksama iz pravila EU-a o transparentnosti;</w:t>
      </w:r>
    </w:p>
    <w:p w14:paraId="286955D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46.</w:t>
      </w:r>
      <w:r w:rsidRPr="008F172B">
        <w:rPr>
          <w:kern w:val="2"/>
          <w14:ligatures w14:val="standardContextual"/>
        </w:rPr>
        <w:tab/>
        <w:t xml:space="preserve">žali zbog toga što Revizorski sud nije u potpunosti surađivao s EPPO-om i odbio ukinuti imunitet svojem bivšem predsjedniku te uskratio pristup EPPO-u za pretraživanje njegovih prostorija u vezi s mogućim prijestupima, što bi se, prema mišljenju EPPO-a, moglo smatrati uplitanjem u pravilno provođenje istrage; podsjeća da Revizorski sud, kao vanjskog revizora Unije, obvezuju načela odgovornosti, integriteta i transparentnosti, kao i načela uzajamne lojalne suradnje među institucijama EU-a; poziva Revizorski sud da osigura da nema pozivanja na imunitet u cilju ometanja legitimnih sudskih postupaka i da poduzme sve potrebne mjere kako bi se osiguralo potpuno poštovanje </w:t>
      </w:r>
      <w:proofErr w:type="spellStart"/>
      <w:r w:rsidRPr="008F172B">
        <w:rPr>
          <w:kern w:val="2"/>
          <w14:ligatures w14:val="standardContextual"/>
        </w:rPr>
        <w:t>međuinstitucijske</w:t>
      </w:r>
      <w:proofErr w:type="spellEnd"/>
      <w:r w:rsidRPr="008F172B">
        <w:rPr>
          <w:kern w:val="2"/>
          <w14:ligatures w14:val="standardContextual"/>
        </w:rPr>
        <w:t xml:space="preserve"> suradnje u sprečavanju i istrazi prijevara;</w:t>
      </w:r>
    </w:p>
    <w:p w14:paraId="6C0F2D63"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47.</w:t>
      </w:r>
      <w:r w:rsidRPr="008F172B">
        <w:rPr>
          <w:kern w:val="2"/>
          <w14:ligatures w14:val="standardContextual"/>
        </w:rPr>
        <w:tab/>
        <w:t xml:space="preserve">sa zabrinutošću prima na znanje da je, prema medijskim izvješćima, EPPO-a zatražio ukidanje imuniteta nekoliko članova osoblja Revizorskog suda 2023. i da je Revizorski sud do danas odbio odobriti taj zahtjev; naglašava da se imunitet, iako služi zaštiti neovisnosti institucija EU-a, ne smije zloupotrebljavati kako bi se pojedinci zaštitili od legitimnog sudskog nadzora; smatra da bi zahtjeve za ukidanje imuniteta trebalo odbiti samo u iznimnim okolnostima; poziva Revizorski sud da tijelu nadležnom za davanje razrješnice dostavi detaljno obrazloženje za svoju odluku u tom predmetu, navodeći eventualna konkretna pravna i </w:t>
      </w:r>
      <w:proofErr w:type="spellStart"/>
      <w:r w:rsidRPr="008F172B">
        <w:rPr>
          <w:kern w:val="2"/>
          <w14:ligatures w14:val="standardContextual"/>
        </w:rPr>
        <w:t>postupovna</w:t>
      </w:r>
      <w:proofErr w:type="spellEnd"/>
      <w:r w:rsidRPr="008F172B">
        <w:rPr>
          <w:kern w:val="2"/>
          <w14:ligatures w14:val="standardContextual"/>
        </w:rPr>
        <w:t xml:space="preserve"> pitanja koja su dovela do odbijanja, ako postoje; nadalje potiče Revizorski sud da zadrži visoku razinu transparentnosti i odgovornosti u suradnji s EPPO-om i drugim tijelima EU-a odgovornima za borbu protiv prijevara i povreda dužnosti;</w:t>
      </w:r>
    </w:p>
    <w:p w14:paraId="1D4D1AB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48.</w:t>
      </w:r>
      <w:r w:rsidRPr="008F172B">
        <w:rPr>
          <w:kern w:val="2"/>
          <w14:ligatures w14:val="standardContextual"/>
        </w:rPr>
        <w:tab/>
        <w:t xml:space="preserve">konstatira da 2023. ni OLAF ni Europski </w:t>
      </w:r>
      <w:proofErr w:type="spellStart"/>
      <w:r w:rsidRPr="008F172B">
        <w:rPr>
          <w:kern w:val="2"/>
          <w14:ligatures w14:val="standardContextual"/>
        </w:rPr>
        <w:t>ombudsman</w:t>
      </w:r>
      <w:proofErr w:type="spellEnd"/>
      <w:r w:rsidRPr="008F172B">
        <w:rPr>
          <w:kern w:val="2"/>
          <w14:ligatures w14:val="standardContextual"/>
        </w:rPr>
        <w:t xml:space="preserve"> nisu pokrenuli nikakve istrage koje uključuju Revizorski sud;</w:t>
      </w:r>
    </w:p>
    <w:p w14:paraId="320699C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49.</w:t>
      </w:r>
      <w:r w:rsidRPr="008F172B">
        <w:rPr>
          <w:kern w:val="2"/>
          <w14:ligatures w14:val="standardContextual"/>
        </w:rPr>
        <w:tab/>
        <w:t xml:space="preserve">pozdravlja da je Revizorski sud 2024., zajedno sa Sudom Europske unije, pozvao Komisiju da sudjeluje u </w:t>
      </w:r>
      <w:proofErr w:type="spellStart"/>
      <w:r w:rsidRPr="008F172B">
        <w:rPr>
          <w:kern w:val="2"/>
          <w14:ligatures w14:val="standardContextual"/>
        </w:rPr>
        <w:t>međuinstitucijskom</w:t>
      </w:r>
      <w:proofErr w:type="spellEnd"/>
      <w:r w:rsidRPr="008F172B">
        <w:rPr>
          <w:kern w:val="2"/>
          <w14:ligatures w14:val="standardContextual"/>
        </w:rPr>
        <w:t xml:space="preserve"> dijalogu s ciljem postizanja dogovora o zajedničkim pravilima o upotrebi službenih automobila, što je u skladu s primjedbom iz rezolucija Parlamenta od 11. travnja 2022. o razrješnici za izvršenje proračuna Revizorskog suda i Suda Europske unije; ističe da od svih institucija Unije traži da postignu dogovor o jedinstvenom sustavu koji će se primjenjivati horizontalno, čime bi </w:t>
      </w:r>
      <w:r w:rsidRPr="008F172B">
        <w:rPr>
          <w:kern w:val="2"/>
          <w14:ligatures w14:val="standardContextual"/>
        </w:rPr>
        <w:lastRenderedPageBreak/>
        <w:t xml:space="preserve">se smanjila zbunjenost i povećala transparentnost i učinkovitost u korištenju javnog novca; konstatira da će se u okviru </w:t>
      </w:r>
      <w:proofErr w:type="spellStart"/>
      <w:r w:rsidRPr="008F172B">
        <w:rPr>
          <w:kern w:val="2"/>
          <w14:ligatures w14:val="standardContextual"/>
        </w:rPr>
        <w:t>međuinstitucijskog</w:t>
      </w:r>
      <w:proofErr w:type="spellEnd"/>
      <w:r w:rsidRPr="008F172B">
        <w:rPr>
          <w:kern w:val="2"/>
          <w14:ligatures w14:val="standardContextual"/>
        </w:rPr>
        <w:t xml:space="preserve"> Pripremnog odbora za pitanja povezana s Pravilnikom o osoblju osnovati radna skupina; cijeni spremnost Revizorskog suda da uskladi pravila s primjenjivim pravilima Komisije, ali ponavlja kritiku koja je već izražena u vezi s prethodnim rezolucijama o razrješnici u vezi s novom odlukom iz 2022. o putovanjima članova, službenim putovanjima i korištenju vozača i automobila, što je u suprotnosti s općim načelom da se vozni park ne bi trebao upotrebljavati izvan strogog obavljanja dužnosti članova Revizorskog suda;</w:t>
      </w:r>
    </w:p>
    <w:p w14:paraId="4245283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50.</w:t>
      </w:r>
      <w:r w:rsidRPr="008F172B">
        <w:rPr>
          <w:kern w:val="2"/>
          <w14:ligatures w14:val="standardContextual"/>
        </w:rPr>
        <w:tab/>
        <w:t>konstatira da je 2023. Služba Revizorskog suda za unutarnju reviziju dala 16 revizijskih preporuka u pogledu etike, portala za transparentnost, sukoba interesa za osoblje, Odbora za etiku i članova Revizorskog suda; konstatira da je od 16 preporuka njih pet dovršeno do 30. srpnja 2024., osam preporuka bit će dovršeno do kraja 2024., dok je dovršetak triju preporuka odgođen;</w:t>
      </w:r>
    </w:p>
    <w:p w14:paraId="72250BDD"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51.</w:t>
      </w:r>
      <w:r w:rsidRPr="008F172B">
        <w:rPr>
          <w:kern w:val="2"/>
          <w14:ligatures w14:val="standardContextual"/>
        </w:rPr>
        <w:tab/>
        <w:t>pozdravlja proširenje opsega informacija koje se objavljuju o službenim putovanjima članova, ali podsjeća na zahtjev Parlamenta da pruži informacije o službenim putovanjima tijekom cijelog mandata članova; pozdravlja reviziju Kodeksa ponašanja zastupnika kojom se zastupnicima zabranjuje obnašanje počasnog položaja u političkoj organizaciji, čime se provodi zahtjev Parlamenta prema kojem zastupnici ne smiju imati formalizirane političke veze; prima na znanje da su zaključci izvješća o unutarnjoj reviziji o etici trebali biti priopćeni predsjednici EP-a i predsjedniku Odbora za proračunski nadzor u trećem tromjesečju 2024. te poziva Revizorski sud da to u cijelosti podijeli s Odborom za proračunski nadzor; poziva Revizorski sud da objavi odluke o odbijanju u slučajevima u kojima članovi ili osoblje prijave sukob interesa, osiguravajući veću transparentnost u postupku revizije;</w:t>
      </w:r>
    </w:p>
    <w:p w14:paraId="1245127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52.</w:t>
      </w:r>
      <w:r w:rsidRPr="008F172B">
        <w:rPr>
          <w:kern w:val="2"/>
          <w14:ligatures w14:val="standardContextual"/>
        </w:rPr>
        <w:tab/>
        <w:t>konstatira da svi članovi Revizorskog suda imaju primarno boravište u Luksemburgu, što je u skladu s člankom 10. Kodeksa ponašanja članova i bivših članova Revizorskog suda;</w:t>
      </w:r>
    </w:p>
    <w:p w14:paraId="7EE2891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53.</w:t>
      </w:r>
      <w:r w:rsidRPr="008F172B">
        <w:rPr>
          <w:kern w:val="2"/>
          <w14:ligatures w14:val="standardContextual"/>
        </w:rPr>
        <w:tab/>
        <w:t>pozdravlja činjenicu da je Revizorski sud revidirao politiku o javnom pristupu dokumentima, uzimajući u obzir razvoj europske sudske prakse, i pojednostavnio postupak obrade zahtjeva za pristup dokumentima i ponovnih zahtjeva; podsjeća na činjenicu da je primjena skandinavskog načela javnog pristupa podacima iz službene evidencije u Uniji bila preduvjet za pristupanje nekih država članica Uniji i naglašava činjenicu da bi neispunjavanje tog uvjeta štetilo ugledu Unije kao zajednice utemeljene na vladavini prava;</w:t>
      </w:r>
    </w:p>
    <w:p w14:paraId="53B22F1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54.</w:t>
      </w:r>
      <w:r w:rsidRPr="008F172B">
        <w:rPr>
          <w:kern w:val="2"/>
          <w14:ligatures w14:val="standardContextual"/>
        </w:rPr>
        <w:tab/>
        <w:t>izražava žaljenje zbog toga što godišnji popis ugovora iznad praga iz Direktive (&gt; 140 000 EUR za usluge/nabavu i &gt; 5 382 000 EUR za radove) sklopljenih 2023. nije dostupan na mrežnim stranicama Revizorskog suda;</w:t>
      </w:r>
      <w:r w:rsidRPr="008F172B">
        <w:rPr>
          <w:i/>
          <w:kern w:val="2"/>
          <w14:ligatures w14:val="standardContextual"/>
        </w:rPr>
        <w:t xml:space="preserve"> </w:t>
      </w:r>
      <w:r w:rsidRPr="008F172B">
        <w:rPr>
          <w:kern w:val="2"/>
          <w14:ligatures w14:val="standardContextual"/>
        </w:rPr>
        <w:t>poziva Revizorski sud da bez nepotrebnog odgađanja objavi taj popis u zasebnom dokumentu i osigura jednostavan pristup tom popisu;</w:t>
      </w:r>
    </w:p>
    <w:p w14:paraId="75C5696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55.</w:t>
      </w:r>
      <w:r w:rsidRPr="008F172B">
        <w:rPr>
          <w:kern w:val="2"/>
          <w14:ligatures w14:val="standardContextual"/>
        </w:rPr>
        <w:tab/>
        <w:t>pohvaljuje i sa željom iščekuje da Revizorski sud u jednom zajedničkom dokumentu konsolidira sva interna pravila strategije za borbu protiv prijevara;</w:t>
      </w:r>
    </w:p>
    <w:p w14:paraId="3168C14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56.</w:t>
      </w:r>
      <w:r w:rsidRPr="008F172B">
        <w:rPr>
          <w:kern w:val="2"/>
          <w14:ligatures w14:val="standardContextual"/>
        </w:rPr>
        <w:tab/>
        <w:t xml:space="preserve">i dalje odbija obrazloženje Revizorskog suda za njegovu odluku da se ne pridruži registru transparentnosti, prema kojemu Revizorski sud nema interes utjecati na donošenje odluka, osim u vidu pružanja činjenica i objektivnih povratnih informacija o </w:t>
      </w:r>
      <w:r w:rsidRPr="008F172B">
        <w:rPr>
          <w:kern w:val="2"/>
          <w14:ligatures w14:val="standardContextual"/>
        </w:rPr>
        <w:lastRenderedPageBreak/>
        <w:t>programima Unije; konstatira da su sva izvješća Revizorskog suda javno dostupna i podliježu strogom postupku očitovanja sa subjektima revizije; ponovno snažno poziva Revizorski sud da se pridruži registru transparentnosti EU-a kako bi se pridržavao osnovnih načela transparentnosti, bez stvaranja prepreka za njegovu potpunu neovisnost;</w:t>
      </w:r>
    </w:p>
    <w:p w14:paraId="1ACA766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57.</w:t>
      </w:r>
      <w:r w:rsidRPr="008F172B">
        <w:rPr>
          <w:kern w:val="2"/>
          <w14:ligatures w14:val="standardContextual"/>
        </w:rPr>
        <w:tab/>
        <w:t xml:space="preserve">snažno potiče Revizorski sud da ponovno razmotri svoje stajalište o registru transparentnosti EU-a, uspostavljenom </w:t>
      </w:r>
      <w:proofErr w:type="spellStart"/>
      <w:r w:rsidRPr="008F172B">
        <w:rPr>
          <w:kern w:val="2"/>
          <w14:ligatures w14:val="standardContextual"/>
        </w:rPr>
        <w:t>Međuinstitucijskim</w:t>
      </w:r>
      <w:proofErr w:type="spellEnd"/>
      <w:r w:rsidRPr="008F172B">
        <w:rPr>
          <w:kern w:val="2"/>
          <w14:ligatures w14:val="standardContextual"/>
        </w:rPr>
        <w:t xml:space="preserve"> sporazumom od 20. svibnja 2021. između Europskog parlamenta, Vijeća Europske unije i Europske komisije o obveznom registru transparentnosti;</w:t>
      </w:r>
    </w:p>
    <w:p w14:paraId="642D82E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58.</w:t>
      </w:r>
      <w:r w:rsidRPr="008F172B">
        <w:rPr>
          <w:kern w:val="2"/>
          <w14:ligatures w14:val="standardContextual"/>
        </w:rPr>
        <w:tab/>
        <w:t>pozdravlja znatan napredak postignut 2023. u stvaranju ekosustava za upravljanje dokumentima (DOME), odnosno isporuku i provedbu putem konkretnih postupaka odobravanja dokumenata novog elektroničkog potpisa i osnovnog modula odobrenja za PASS (postupak odobravanja, potpisivanja i slanja dokumenata); potiče Revizorski sud da nastavi ostvarivati svoje ciljeve digitalizacije radnih postupaka preispitivanja i odobravanja te poboljšanja njihove učinkovitosti;</w:t>
      </w:r>
    </w:p>
    <w:p w14:paraId="4103627C" w14:textId="77777777" w:rsidR="008F172B" w:rsidRPr="008F172B" w:rsidRDefault="008F172B" w:rsidP="008F172B">
      <w:pPr>
        <w:spacing w:after="240"/>
        <w:ind w:left="567" w:hanging="567"/>
        <w:rPr>
          <w:kern w:val="2"/>
          <w:szCs w:val="24"/>
          <w14:ligatures w14:val="standardContextual"/>
        </w:rPr>
      </w:pPr>
      <w:r w:rsidRPr="008F172B">
        <w:rPr>
          <w:kern w:val="2"/>
          <w14:ligatures w14:val="standardContextual"/>
        </w:rPr>
        <w:t>59.</w:t>
      </w:r>
      <w:r w:rsidRPr="008F172B">
        <w:rPr>
          <w:kern w:val="2"/>
          <w14:ligatures w14:val="standardContextual"/>
        </w:rPr>
        <w:tab/>
        <w:t xml:space="preserve">prima na znanje da je Revizorski sud nastavio aktivno sudjelovati u radu skupine za tehnologije u nastajanju koja djeluje u sklopu </w:t>
      </w:r>
      <w:proofErr w:type="spellStart"/>
      <w:r w:rsidRPr="008F172B">
        <w:rPr>
          <w:kern w:val="2"/>
          <w14:ligatures w14:val="standardContextual"/>
        </w:rPr>
        <w:t>Međuinstitucijskog</w:t>
      </w:r>
      <w:proofErr w:type="spellEnd"/>
      <w:r w:rsidRPr="008F172B">
        <w:rPr>
          <w:kern w:val="2"/>
          <w14:ligatures w14:val="standardContextual"/>
        </w:rPr>
        <w:t xml:space="preserve"> odbora za digitalnu transformaciju; Služba Revizorskog suda za podatke i tehnologiju revizija osnovana 2021. nastavila je raditi na provedbi razvojnog plana za bolju upotrebu tehnologije u svrhu potpore ostvarivanju revizijskih ciljeva Revizorskog suda. posebno prima na znanje izradu analize mogućnosti i izazova u području umjetne inteligencije za Revizorski sud i njegov revizijski rad; podsjeća na važnost poboljšanja digitalizacije revizijskog rada; pozdravlja sve napore koje Revizorski sud nastavlja ulagati u tom smjeru, s obzirom na to da digitalizacija u kombinaciji s povećanim brojem terenskih posjeta može definirati sustav učinkovitog i preciznog revizijskog rada;</w:t>
      </w:r>
    </w:p>
    <w:p w14:paraId="39E5F9FA"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Digitalizacija, kibernetička sigurnost i zaštita podataka</w:t>
      </w:r>
    </w:p>
    <w:p w14:paraId="46B3B7DF"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60.</w:t>
      </w:r>
      <w:r w:rsidRPr="008F172B">
        <w:rPr>
          <w:kern w:val="2"/>
          <w14:ligatures w14:val="standardContextual"/>
        </w:rPr>
        <w:tab/>
        <w:t xml:space="preserve">pohvaljuje Revizorski sud za dobar napredak u provedbi njegova plana za kibernetičku sigurnost za razdoblje 2022. – 2024. u posljednje dvije godine; konstatira da je sedam </w:t>
      </w:r>
      <w:proofErr w:type="spellStart"/>
      <w:r w:rsidRPr="008F172B">
        <w:rPr>
          <w:kern w:val="2"/>
          <w14:ligatures w14:val="standardContextual"/>
        </w:rPr>
        <w:t>visokoprioritetnih</w:t>
      </w:r>
      <w:proofErr w:type="spellEnd"/>
      <w:r w:rsidRPr="008F172B">
        <w:rPr>
          <w:kern w:val="2"/>
          <w14:ligatures w14:val="standardContextual"/>
        </w:rPr>
        <w:t xml:space="preserve"> zadaća dovršeno, šest je u tijeku, a jedna je na čekanju; konstatira da su dvije zadaće srednjeg prioriteta dovršene, četiri su u tijeku, a tri još nisu započete;</w:t>
      </w:r>
    </w:p>
    <w:p w14:paraId="77A1CDD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61.</w:t>
      </w:r>
      <w:r w:rsidRPr="008F172B">
        <w:rPr>
          <w:kern w:val="2"/>
          <w14:ligatures w14:val="standardContextual"/>
        </w:rPr>
        <w:tab/>
        <w:t>cijeni činjenicu da su među dovršenima i sljedeće zadaće:</w:t>
      </w:r>
    </w:p>
    <w:p w14:paraId="156367B0"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1.</w:t>
      </w:r>
      <w:r w:rsidRPr="008F172B">
        <w:rPr>
          <w:kern w:val="2"/>
          <w14:ligatures w14:val="standardContextual"/>
        </w:rPr>
        <w:tab/>
        <w:t>uvođenje sustava prepoznavanja krajnjih točaka i pružanja odgovora (EDR) kao i uvođenje sustava proširenog detektiranja i pružanja odgovora (XDR) koji se temelji na oblaku i povezuje telemetrijske podatke koje šalju sustavi EDR-a s obavještajnim podacima o prijetnjama iz različitih izvora kako bi se otkrili pokazatelji ugroženosti;</w:t>
      </w:r>
    </w:p>
    <w:p w14:paraId="218D7AAB"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2.</w:t>
      </w:r>
      <w:r w:rsidRPr="008F172B">
        <w:rPr>
          <w:kern w:val="2"/>
          <w14:ligatures w14:val="standardContextual"/>
        </w:rPr>
        <w:tab/>
        <w:t>preoblikovanje arhitekture i konfiguracije platforme SIEM, čime je poboljšana učinkovitost i pouzdanost sustava, zajedno s dodatnim izvorima evidentiranih podataka koji su dodani kako bi se poboljšalo sigurnosno praćenje informatičkog okruženja;</w:t>
      </w:r>
    </w:p>
    <w:p w14:paraId="4BA7C0A5"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3.</w:t>
      </w:r>
      <w:r w:rsidRPr="008F172B">
        <w:rPr>
          <w:kern w:val="2"/>
          <w14:ligatures w14:val="standardContextual"/>
        </w:rPr>
        <w:tab/>
        <w:t xml:space="preserve">zamjena VPN uređaja za daljinski pristup uslugom SASE nultog povjerenja u oblaku, čime se smanjuje površina napada i omogućuje </w:t>
      </w:r>
      <w:proofErr w:type="spellStart"/>
      <w:r w:rsidRPr="008F172B">
        <w:rPr>
          <w:kern w:val="2"/>
          <w14:ligatures w14:val="standardContextual"/>
        </w:rPr>
        <w:t>granularan</w:t>
      </w:r>
      <w:proofErr w:type="spellEnd"/>
      <w:r w:rsidRPr="008F172B">
        <w:rPr>
          <w:kern w:val="2"/>
          <w14:ligatures w14:val="standardContextual"/>
        </w:rPr>
        <w:t xml:space="preserve"> daljinski </w:t>
      </w:r>
      <w:r w:rsidRPr="008F172B">
        <w:rPr>
          <w:kern w:val="2"/>
          <w14:ligatures w14:val="standardContextual"/>
        </w:rPr>
        <w:lastRenderedPageBreak/>
        <w:t>pristup aplikacijama;</w:t>
      </w:r>
    </w:p>
    <w:p w14:paraId="7D966190"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4.</w:t>
      </w:r>
      <w:r w:rsidRPr="008F172B">
        <w:rPr>
          <w:kern w:val="2"/>
          <w14:ligatures w14:val="standardContextual"/>
        </w:rPr>
        <w:tab/>
        <w:t>jačanje zaštite od prijetnji e-poštom omogućivanjem novih značajki sigurnosnih filtara e-pošte kojima se omogućuje bolje otkrivanje neželjene pošte i zlonamjernih privitaka;</w:t>
      </w:r>
    </w:p>
    <w:p w14:paraId="0D29D989"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5.</w:t>
      </w:r>
      <w:r w:rsidRPr="008F172B">
        <w:rPr>
          <w:kern w:val="2"/>
          <w14:ligatures w14:val="standardContextual"/>
        </w:rPr>
        <w:tab/>
        <w:t>provođenje penetracijskih testova u odjelima Revizorskog suda koji su izloženi internetu;</w:t>
      </w:r>
    </w:p>
    <w:p w14:paraId="198B18F1" w14:textId="77777777" w:rsidR="008F172B" w:rsidRPr="008F172B" w:rsidRDefault="008F172B" w:rsidP="008F172B">
      <w:pPr>
        <w:spacing w:after="240"/>
        <w:ind w:left="1134" w:hanging="567"/>
        <w:rPr>
          <w:kern w:val="2"/>
          <w14:ligatures w14:val="standardContextual"/>
        </w:rPr>
      </w:pPr>
      <w:r w:rsidRPr="008F172B">
        <w:rPr>
          <w:kern w:val="2"/>
          <w14:ligatures w14:val="standardContextual"/>
        </w:rPr>
        <w:t>6.</w:t>
      </w:r>
      <w:r w:rsidRPr="008F172B">
        <w:rPr>
          <w:kern w:val="2"/>
          <w14:ligatures w14:val="standardContextual"/>
        </w:rPr>
        <w:tab/>
        <w:t>uvođenje softverskog alata za zaštitu povjerljivosti osjetljivih informacija koje se prenose dijeljenjem datoteka;</w:t>
      </w:r>
    </w:p>
    <w:p w14:paraId="0848838F"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62.</w:t>
      </w:r>
      <w:r w:rsidRPr="008F172B">
        <w:rPr>
          <w:kern w:val="2"/>
          <w14:ligatures w14:val="standardContextual"/>
        </w:rPr>
        <w:tab/>
        <w:t>potiče Revizorski sud da razvije okvir za reviziju kibernetičke sigurnosti za institucije i agencije EU-a, osiguravajući usklađene sigurnosne standarde i mjere otpornosti na kibernetičke prijetnje;</w:t>
      </w:r>
    </w:p>
    <w:p w14:paraId="60EBCCA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63.</w:t>
      </w:r>
      <w:r w:rsidRPr="008F172B">
        <w:rPr>
          <w:kern w:val="2"/>
          <w14:ligatures w14:val="standardContextual"/>
        </w:rPr>
        <w:tab/>
        <w:t xml:space="preserve">sa zadovoljstvom primjećuje da Revizorski sud svake godine provodi najmanje tri vježbe simuliranog </w:t>
      </w:r>
      <w:proofErr w:type="spellStart"/>
      <w:r w:rsidRPr="008F172B">
        <w:rPr>
          <w:kern w:val="2"/>
          <w14:ligatures w14:val="standardContextual"/>
        </w:rPr>
        <w:t>phishinga</w:t>
      </w:r>
      <w:proofErr w:type="spellEnd"/>
      <w:r w:rsidRPr="008F172B">
        <w:rPr>
          <w:kern w:val="2"/>
          <w14:ligatures w14:val="standardContextual"/>
        </w:rPr>
        <w:t xml:space="preserve"> kako bi se podigla razina osviještenosti korisnika o toj prijetnji kibernetičkoj sigurnosti; nadalje, konstatira da Revizorski sud svake tri godine provodi sveobuhvatnu procjenu rizika za kibernetičku sigurnost; predlaže Sudu da redovito organizira obvezno osposobljavanje za sve članove osoblja o kibernetičkim prijetnjama, uključujući dobre prakse za sigurnu upotrebu umjetne inteligencije;</w:t>
      </w:r>
    </w:p>
    <w:p w14:paraId="51171C5A"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64.</w:t>
      </w:r>
      <w:r w:rsidRPr="008F172B">
        <w:rPr>
          <w:kern w:val="2"/>
          <w14:ligatures w14:val="standardContextual"/>
        </w:rPr>
        <w:tab/>
        <w:t xml:space="preserve">s olakšanjem konstatira da tijekom kibernetičkog incidenta u srpnju 2023., u kojemu je iskorištena ranjivost softvera te je jedan od sigurnosnih pristupnika ugrožen, nije bilo traga </w:t>
      </w:r>
      <w:proofErr w:type="spellStart"/>
      <w:r w:rsidRPr="008F172B">
        <w:rPr>
          <w:kern w:val="2"/>
          <w14:ligatures w14:val="standardContextual"/>
        </w:rPr>
        <w:t>eksfiltracije</w:t>
      </w:r>
      <w:proofErr w:type="spellEnd"/>
      <w:r w:rsidRPr="008F172B">
        <w:rPr>
          <w:kern w:val="2"/>
          <w14:ligatures w14:val="standardContextual"/>
        </w:rPr>
        <w:t xml:space="preserve"> podataka ili lateralnog kretanja u smislu neovlaštenog pristupa drugim informatičkim sustavima Revizorskog suda; konstatira da je dobavljač otkrio ranjivost softvera samo dva dana prije incidenta;</w:t>
      </w:r>
    </w:p>
    <w:p w14:paraId="7EA781EE"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65.</w:t>
      </w:r>
      <w:r w:rsidRPr="008F172B">
        <w:rPr>
          <w:kern w:val="2"/>
          <w14:ligatures w14:val="standardContextual"/>
        </w:rPr>
        <w:tab/>
        <w:t>pohvaljuje rad Službe za kibernetičku sigurnost institucija, tijela, ureda i agencija Unije (CERT-EU), koja je obavijestila Revizorski sud o tom incidentu, pomogla istražiti njegov opseg i provela forenzičku analizu; konstatira da je nakon incidenta Revizorski sud ponovno uspostavio čistu sigurnosnu kopiju sustava i ažurirao softver, čime su otklonjene slabe točke koje je napadač iskoristio; nadalje, konstatira da je Revizorski sud u narednim tjednima na uređaje postupno postavio nekoliko dodatnih preventivnih mjera koje je preporučio CERT-EU kako bi se osiguralo otklanjanje svih mogućih neotkrivenih tragova zlonamjernog softvera;</w:t>
      </w:r>
    </w:p>
    <w:p w14:paraId="7B30947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66.</w:t>
      </w:r>
      <w:r w:rsidRPr="008F172B">
        <w:rPr>
          <w:kern w:val="2"/>
          <w14:ligatures w14:val="standardContextual"/>
        </w:rPr>
        <w:tab/>
        <w:t>sa zadovoljstvom prima na znanje da je Revizorski sud 2023. preispitao i ažurirao svoj plan odgovora na kibernetičke incidente i izradio obrazac za evidentiranje takvih incidenata u alatu za upravljanje informatičkim uslugama; ističe činjenicu da su u obrascu uzete u obzir pouke izvučene iz incidenta iz srpnja 2023. jer je usmjeren na prikupljanje svih informacija koje bi mogle biti korisne u rješavanju kibernetičkog sigurnosnog incidenta;</w:t>
      </w:r>
    </w:p>
    <w:p w14:paraId="11BCE078"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Zgrade</w:t>
      </w:r>
    </w:p>
    <w:p w14:paraId="15FC0E79"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67.</w:t>
      </w:r>
      <w:r w:rsidRPr="008F172B">
        <w:rPr>
          <w:kern w:val="2"/>
          <w14:ligatures w14:val="standardContextual"/>
        </w:rPr>
        <w:tab/>
        <w:t xml:space="preserve">konstatira da je 2023. dovršen rad na nadogradnji tehničkih instalacija na svim katovima zgrade K2 kao i na optimizaciji korištenja njezinih zajedničkih prostora; konstatira da je Revizorski sud izdvojio 6 445 635,82 EUR iz ukupnog proračuna od 6 902 185,54 EUR; pohvaljuje Revizorski sud zbog toga što nije prekoračio procijenjeni proračun; poziva druge institucije Unije da slijede primjer Revizorskog suda kad je riječ </w:t>
      </w:r>
      <w:r w:rsidRPr="008F172B">
        <w:rPr>
          <w:kern w:val="2"/>
          <w14:ligatures w14:val="standardContextual"/>
        </w:rPr>
        <w:lastRenderedPageBreak/>
        <w:t>o proračunskom upravljanju;</w:t>
      </w:r>
    </w:p>
    <w:p w14:paraId="01C3F840"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68.</w:t>
      </w:r>
      <w:r w:rsidRPr="008F172B">
        <w:rPr>
          <w:kern w:val="2"/>
          <w14:ligatures w14:val="standardContextual"/>
        </w:rPr>
        <w:tab/>
        <w:t>cijeni činjenicu da su u veljači 2023. dostavljeni rezultati revizije pristupačnosti svih zgrada Revizorskog suda koju je proveo vanjski konzultant kako bi se zadovoljile potrebe osoba sa smanjenom pokretljivošću ili drugim invaliditetom; konstatira da su revizijom obuhvaćene sve tri zgrade, zajednički prostori, parkirališta i drugi prostori; svjestan je da se predložene mjere preispituju i da bi prema uobičajenom postupku bile predmet zasebnog projekta, ali da će njihova provedba uvelike ovisiti o raspoloživosti proračunskih sredstava;</w:t>
      </w:r>
    </w:p>
    <w:p w14:paraId="56175CE1"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Okoliš i održivost</w:t>
      </w:r>
    </w:p>
    <w:p w14:paraId="59531555"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69.</w:t>
      </w:r>
      <w:r w:rsidRPr="008F172B">
        <w:rPr>
          <w:kern w:val="2"/>
          <w14:ligatures w14:val="standardContextual"/>
        </w:rPr>
        <w:tab/>
        <w:t>konstatira da je Revizorski sud 2023. uložio mnogo napora u mjere za uštedu energije i smanjenje učinka na okoliš, kao što su zamjena tradicionalnih žarulja LED žaruljama, smanjenje broja sati ventilacije i remont određenih tehničkih sustava u svojim zgradama; nadalje, konstatira da je Revizorski sud u ljeto 2023. uveo posebne mjere za uštedu energije, zahvaljujući kojima se potrošnja električne energije smanjila za 12 % u odnosu na ljeto 2022., čime je ostvarena ušteda od 26 976 EUR;</w:t>
      </w:r>
    </w:p>
    <w:p w14:paraId="63663671"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70.</w:t>
      </w:r>
      <w:r w:rsidRPr="008F172B">
        <w:rPr>
          <w:kern w:val="2"/>
          <w14:ligatures w14:val="standardContextual"/>
        </w:rPr>
        <w:tab/>
        <w:t>konstatira da je Revizorski sud 2023. potpisao sporazum s luksemburškim vlastima o uspostavi plana mobilnosti; sa zanimanjem iščekuje najnovije informacije o toj inicijativi;</w:t>
      </w:r>
    </w:p>
    <w:p w14:paraId="634381B6" w14:textId="77777777" w:rsidR="008F172B" w:rsidRPr="008F172B" w:rsidRDefault="008F172B" w:rsidP="008F172B">
      <w:pPr>
        <w:spacing w:after="240"/>
        <w:ind w:left="567" w:hanging="567"/>
        <w:rPr>
          <w:b/>
          <w:i/>
          <w:kern w:val="2"/>
          <w14:ligatures w14:val="standardContextual"/>
        </w:rPr>
      </w:pPr>
      <w:proofErr w:type="spellStart"/>
      <w:r w:rsidRPr="008F172B">
        <w:rPr>
          <w:b/>
          <w:i/>
          <w:kern w:val="2"/>
          <w14:ligatures w14:val="standardContextual"/>
        </w:rPr>
        <w:t>Međuinstitucijska</w:t>
      </w:r>
      <w:proofErr w:type="spellEnd"/>
      <w:r w:rsidRPr="008F172B">
        <w:rPr>
          <w:b/>
          <w:i/>
          <w:kern w:val="2"/>
          <w14:ligatures w14:val="standardContextual"/>
        </w:rPr>
        <w:t xml:space="preserve"> suradnja</w:t>
      </w:r>
    </w:p>
    <w:p w14:paraId="2FD41C3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71.</w:t>
      </w:r>
      <w:r w:rsidRPr="008F172B">
        <w:rPr>
          <w:kern w:val="2"/>
          <w14:ligatures w14:val="standardContextual"/>
        </w:rPr>
        <w:tab/>
        <w:t>ističe činjenicu da su 2023. revizori Revizorskog suda proveli 1370 dana u institucijama, tijelima, uredima i agencijama Unije te u raznim međunarodnim organizacijama i privatnim revizorskim društvima, u usporedbi s 945 dana 2022.;</w:t>
      </w:r>
    </w:p>
    <w:p w14:paraId="774ABEBE"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72.</w:t>
      </w:r>
      <w:r w:rsidRPr="008F172B">
        <w:rPr>
          <w:kern w:val="2"/>
          <w14:ligatures w14:val="standardContextual"/>
        </w:rPr>
        <w:tab/>
        <w:t xml:space="preserve">poziva na </w:t>
      </w:r>
      <w:proofErr w:type="spellStart"/>
      <w:r w:rsidRPr="008F172B">
        <w:rPr>
          <w:kern w:val="2"/>
          <w14:ligatures w14:val="standardContextual"/>
        </w:rPr>
        <w:t>formalizaciju</w:t>
      </w:r>
      <w:proofErr w:type="spellEnd"/>
      <w:r w:rsidRPr="008F172B">
        <w:rPr>
          <w:kern w:val="2"/>
          <w14:ligatures w14:val="standardContextual"/>
        </w:rPr>
        <w:t xml:space="preserve"> godišnjeg </w:t>
      </w:r>
      <w:proofErr w:type="spellStart"/>
      <w:r w:rsidRPr="008F172B">
        <w:rPr>
          <w:kern w:val="2"/>
          <w14:ligatures w14:val="standardContextual"/>
        </w:rPr>
        <w:t>međuinstitucijskog</w:t>
      </w:r>
      <w:proofErr w:type="spellEnd"/>
      <w:r w:rsidRPr="008F172B">
        <w:rPr>
          <w:kern w:val="2"/>
          <w14:ligatures w14:val="standardContextual"/>
        </w:rPr>
        <w:t xml:space="preserve"> dijaloga između Revizorskog suda, Europskog parlamenta, Vijeća i Komisije o proračunskom nadzoru, osiguravajući sustavno praćenje nalaza revizije i bolji nadzor nad rashodima EU-a;</w:t>
      </w:r>
    </w:p>
    <w:p w14:paraId="098486A6"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73.</w:t>
      </w:r>
      <w:r w:rsidRPr="008F172B">
        <w:rPr>
          <w:kern w:val="2"/>
          <w14:ligatures w14:val="standardContextual"/>
        </w:rPr>
        <w:tab/>
        <w:t>ponovno podsjeća da će učinkovita suradnja između Revizorskog suda i Komisije ostati ograničena ako Komisija ne usvoji metodologiju Revizorskog suda za procjenu stopa pogreške, koja se temelji na neovisnoj i sveobuhvatnoj procjeni svih povreda pravila, za razliku od usredotočenosti Komisije na pogreške koje se mogu povratiti;</w:t>
      </w:r>
    </w:p>
    <w:p w14:paraId="3C2E3917" w14:textId="77777777" w:rsidR="008F172B" w:rsidRPr="008F172B" w:rsidRDefault="008F172B" w:rsidP="008F172B">
      <w:pPr>
        <w:spacing w:after="240"/>
        <w:ind w:left="567" w:hanging="567"/>
        <w:rPr>
          <w:b/>
          <w:i/>
          <w:kern w:val="2"/>
          <w14:ligatures w14:val="standardContextual"/>
        </w:rPr>
      </w:pPr>
      <w:r w:rsidRPr="008F172B">
        <w:rPr>
          <w:kern w:val="2"/>
          <w14:ligatures w14:val="standardContextual"/>
        </w:rPr>
        <w:t>74.</w:t>
      </w:r>
      <w:r w:rsidRPr="008F172B">
        <w:rPr>
          <w:kern w:val="2"/>
          <w14:ligatures w14:val="standardContextual"/>
        </w:rPr>
        <w:tab/>
        <w:t>pozdravlja činjenicu da Revizorski sud blisko surađuje i s OLAF-om i s EPPO-om, među ostalim organiziranjem radionica i događanja za podizanje razine osviještenosti, kao i razmjenom znanja i iskustava; također prima na znanje da je Revizorski sud 2023. OLAF-u proslijedio 20 slučajeva sumnje na prijevaru, a EPPO-u 17 takvih slučajeva; naglašava svoj stav da bi sve sumnje na prijevaru odmah trebalo proslijediti OLAF-u i EPPO-u radi temeljite istrage;</w:t>
      </w:r>
    </w:p>
    <w:p w14:paraId="5450F65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75.</w:t>
      </w:r>
      <w:r w:rsidRPr="008F172B">
        <w:rPr>
          <w:kern w:val="2"/>
          <w14:ligatures w14:val="standardContextual"/>
        </w:rPr>
        <w:tab/>
        <w:t>poziva Revizorski sud da s OLAF-om i EPPO-om uspostavi strukturirani mehanizam suradnje za otkrivanje prijevara, uključujući sporazume o razmjeni podataka u stvarnom vremenu i zajednički revizijski pristup za visokorizična područja financiranja EU-a;</w:t>
      </w:r>
    </w:p>
    <w:p w14:paraId="4106DF9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76.</w:t>
      </w:r>
      <w:r w:rsidRPr="008F172B">
        <w:rPr>
          <w:kern w:val="2"/>
          <w14:ligatures w14:val="standardContextual"/>
        </w:rPr>
        <w:tab/>
        <w:t xml:space="preserve">uvjeren je da bi jedinstveni integrirani informatički sustav za rudarenje podataka i procjenu rizika mogao biti vrijedan izvor podataka, što bi bio doprinos naporima koje Revizorski sud, OLAF i EPPO ulažu u reviziju i kontrolu; naglašava da bi trebalo </w:t>
      </w:r>
      <w:r w:rsidRPr="008F172B">
        <w:rPr>
          <w:kern w:val="2"/>
          <w14:ligatures w14:val="standardContextual"/>
        </w:rPr>
        <w:lastRenderedPageBreak/>
        <w:t>omogućiti neograničen pristup takvom sustavu i podacima koje on sadržava, da ne bi trebalo neopravdano ograničavati taj pristup te da bi u okviru revizija Revizorskog suda trebalo odmah dopustiti istraživanje i upotrebu dodatnih digitalnih alata i tehnologija u nastajanju;</w:t>
      </w:r>
    </w:p>
    <w:p w14:paraId="3FBC6CFC"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77.</w:t>
      </w:r>
      <w:r w:rsidRPr="008F172B">
        <w:rPr>
          <w:kern w:val="2"/>
          <w14:ligatures w14:val="standardContextual"/>
        </w:rPr>
        <w:tab/>
        <w:t>izražava žaljenje zbog toga što, unatoč poboljšanom pristupu dokumentima i informacijama EIB-a, Revizorskom sudu nedostaje mandat za reviziju operacija koje se financiraju vlastitim sredstvima EIB-a; poziva na to da se taj mandat dodijeli Revizorskom sudu, s obzirom na misiju EIB-a da ostvaruje ciljeve Unije te njegovu sve veću ulogu u gospodarskom i političkom okruženju Unije, koja nadilazi iskorištavanje proračuna Unije kako bi se zajamčilo njezino djelovanje; ističe tematsko izvješće Revizorskog suda br. 5/2023 naslovljeno „Financijska struktura EU-a – niz pojedinačnih sastavnica koje zahtijevaju dodatno pojednostavnjenje i više odgovornosti”, u kojem je Revizorski sud naveo da bi za sve vrste financiranja politika Unije trebalo uvesti ovlasti javne revizije;</w:t>
      </w:r>
    </w:p>
    <w:p w14:paraId="3AADE42D"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78.</w:t>
      </w:r>
      <w:r w:rsidRPr="008F172B">
        <w:rPr>
          <w:kern w:val="2"/>
          <w14:ligatures w14:val="standardContextual"/>
        </w:rPr>
        <w:tab/>
        <w:t>konstatira da je Revizorski sud 2023. predstavio 29 tematskih izvješća, jedan pregled i jedno mišljenje pred 22 različitih odbora i radnih skupina Vijeća; nadalje, konstatira da su iste godine predstavnici Revizorskog suda sudjelovali na 23 sastanka posvećena razrješnicama za proračun Unije za financijske godine 2021. i 2022.;</w:t>
      </w:r>
    </w:p>
    <w:p w14:paraId="3C176A04"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79.</w:t>
      </w:r>
      <w:r w:rsidRPr="008F172B">
        <w:rPr>
          <w:kern w:val="2"/>
          <w14:ligatures w14:val="standardContextual"/>
        </w:rPr>
        <w:tab/>
        <w:t>sa zadovoljstvom prima na znanje da su članovi i uprava Revizorskog suda 2023. pokazali aktivan angažman i da su predstavili svoj rad na 120 sastanaka s nacionalnim vladama i vladinim tijelima u 25 država članica, od kojih je većina uključivala ministre ili ministarstva financija; nadalje, konstatira da su iste godine članovi i osoblje Revizorskog suda predstavili svoj rad na 91 sastanku s nacionalnim ili regionalnim parlamentima u 19 država članica, ponajprije u okviru odbora usmjerenih na proračunska, financijska, revizijska ili europska pitanja; apelira na Revizorski sud da intenzivira suradnju s vladama zemalja u kojima su stope pogreške najviše te da potiče veći dijalog i suradnju kako bi se ta pitanja učinkovito riješila;</w:t>
      </w:r>
    </w:p>
    <w:p w14:paraId="694AE2DC" w14:textId="77777777" w:rsidR="008F172B" w:rsidRPr="008F172B" w:rsidRDefault="008F172B" w:rsidP="008F172B">
      <w:pPr>
        <w:spacing w:after="240"/>
        <w:ind w:left="567" w:hanging="567"/>
        <w:rPr>
          <w:b/>
          <w:i/>
          <w:kern w:val="2"/>
          <w14:ligatures w14:val="standardContextual"/>
        </w:rPr>
      </w:pPr>
      <w:r w:rsidRPr="008F172B">
        <w:rPr>
          <w:b/>
          <w:i/>
          <w:kern w:val="2"/>
          <w14:ligatures w14:val="standardContextual"/>
        </w:rPr>
        <w:t>Komunikacija</w:t>
      </w:r>
    </w:p>
    <w:p w14:paraId="78EDEFBB"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80.</w:t>
      </w:r>
      <w:r w:rsidRPr="008F172B">
        <w:rPr>
          <w:kern w:val="2"/>
          <w14:ligatures w14:val="standardContextual"/>
        </w:rPr>
        <w:tab/>
        <w:t>konstatira da je 2023. proračun za komunikacijske i promidžbene aktivnosti Revizorskog suda iznosio 225 000 EUR sa stopom korištenja od 81,13 % (182 549,84 EUR); konstatira da je većina proračuna potrošena na usluge praćenja medija (81 650 EUR) i na aktivnosti za medije (12 348 EUR), nakon čega slijede rashodi za odnose s dionicima, koji su uglavnom obuhvaćali troškove platforme za razmjenu informacija o politikama (57 891 EUR), komunikacijske aktivnosti (28 002,88 EUR), društvene medije (1 486,52 EUR) i publikacije (1 171,44 EUR);</w:t>
      </w:r>
    </w:p>
    <w:p w14:paraId="5B12C2A8"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81.</w:t>
      </w:r>
      <w:r w:rsidRPr="008F172B">
        <w:rPr>
          <w:kern w:val="2"/>
          <w14:ligatures w14:val="standardContextual"/>
        </w:rPr>
        <w:tab/>
        <w:t>snažno podupire rastuću medijsku strategiju Revizorskog suda, koja je rezultirala rekordnim brojem od više od 22 000 internetskih novinskih članaka povezanih s njegovim revizijskim izvješćima, drugim publikacijama ili Revizorskim sudom općenito, čime se potvrđuje trend povećanja pokrivenosti zabilježen posljednjih godina (2022.: 20 000; 2021.: 18 000); ističe činjenicu da je gotovo 54 000 objava na društvenim mrežama pokazatelj nastavka organskog rasta, dok su vrijednosti za 2022. bile netipične (2022.: 110 000; 2021.: 49 000);</w:t>
      </w:r>
    </w:p>
    <w:p w14:paraId="79C28C42"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82.</w:t>
      </w:r>
      <w:r w:rsidRPr="008F172B">
        <w:rPr>
          <w:kern w:val="2"/>
          <w14:ligatures w14:val="standardContextual"/>
        </w:rPr>
        <w:tab/>
        <w:t xml:space="preserve">pozdravlja činjenicu da je Revizorski sud 2023. objavio 45 priopćenja za medije na 24 jezika Unije, kao i razne informativne obavijesti, obavijesti za medije i </w:t>
      </w:r>
      <w:proofErr w:type="spellStart"/>
      <w:r w:rsidRPr="008F172B">
        <w:rPr>
          <w:kern w:val="2"/>
          <w14:ligatures w14:val="standardContextual"/>
        </w:rPr>
        <w:t>audiozapise</w:t>
      </w:r>
      <w:proofErr w:type="spellEnd"/>
      <w:r w:rsidRPr="008F172B">
        <w:rPr>
          <w:kern w:val="2"/>
          <w14:ligatures w14:val="standardContextual"/>
        </w:rPr>
        <w:t xml:space="preserve"> </w:t>
      </w:r>
      <w:r w:rsidRPr="008F172B">
        <w:rPr>
          <w:kern w:val="2"/>
          <w14:ligatures w14:val="standardContextual"/>
        </w:rPr>
        <w:lastRenderedPageBreak/>
        <w:t>izjava (spremne za upotrebu) na određenim jezicima; konstatira, nadalje, da je Revizorski sud održao 21 virtualnu tiskovnu konferenciju i 6 dodatnih tiskovnih konferencija usmjerenih na pojedine zemlje u vezi s godišnjim izvješćem; ističe činjenicu da su te konferencije sveukupno privukle 590 novinara, od kojih je većina predstavljala vodeće nacionalne medijske kuće u državama članicama;</w:t>
      </w:r>
    </w:p>
    <w:p w14:paraId="378BA907" w14:textId="77777777" w:rsidR="008F172B" w:rsidRPr="008F172B" w:rsidRDefault="008F172B" w:rsidP="008F172B">
      <w:pPr>
        <w:spacing w:after="240"/>
        <w:ind w:left="567" w:hanging="567"/>
        <w:rPr>
          <w:kern w:val="2"/>
          <w14:ligatures w14:val="standardContextual"/>
        </w:rPr>
      </w:pPr>
      <w:r w:rsidRPr="008F172B">
        <w:rPr>
          <w:kern w:val="2"/>
          <w14:ligatures w14:val="standardContextual"/>
        </w:rPr>
        <w:t>83.</w:t>
      </w:r>
      <w:r w:rsidRPr="008F172B">
        <w:rPr>
          <w:kern w:val="2"/>
          <w14:ligatures w14:val="standardContextual"/>
        </w:rPr>
        <w:tab/>
        <w:t>sa zadovoljstvom prima na znanje da je Revizorski sud 2023. pokrenuo novu internetsku stranicu s više od jednog i pol milijuna posjeta, s oko 700 000 jedinstvenih posjetitelja, što je povećanje od više od 14 % u odnosu na 2022.; pozdravlja činjenicu da su do kraja 2023. tri glavna korisnička računa Revizorskog suda na društvenim mrežama (X (bivši Twitter), LinkedIn, Facebook) privukla više od 48 000 pratitelja, što je povećanje u odnosu na 2022. kad je ta brojka iznosila 45 000 i 2021. kad je iznosila 39 000;</w:t>
      </w:r>
    </w:p>
    <w:p w14:paraId="03E03E80" w14:textId="77777777" w:rsidR="008F172B" w:rsidRPr="008F172B" w:rsidRDefault="008F172B" w:rsidP="008F172B">
      <w:pPr>
        <w:ind w:left="567" w:hanging="567"/>
        <w:rPr>
          <w:kern w:val="2"/>
          <w14:ligatures w14:val="standardContextual"/>
        </w:rPr>
      </w:pPr>
      <w:r w:rsidRPr="008F172B">
        <w:rPr>
          <w:kern w:val="2"/>
          <w14:ligatures w14:val="standardContextual"/>
        </w:rPr>
        <w:t>84.</w:t>
      </w:r>
      <w:r w:rsidRPr="008F172B">
        <w:rPr>
          <w:kern w:val="2"/>
          <w14:ligatures w14:val="standardContextual"/>
        </w:rPr>
        <w:tab/>
        <w:t>izrazito cijeni činjenicu da Revizorski sud procjenjuje vjerojatan učinak i korisnost svojih aktivnosti prema predodžbi koju o njima ima čitateljstvo njegovih izvješća iz Parlamenta, Vijeća i Komisije, agencija Unije, stalnih predstavništva država članica, agencija i vrhovnih revizijskih institucija država članica, nevladinih organizacija, akademske zajednice i medija te drugi subjekti; u tom smislu konstatira da Revizorski sud od 2018. provodi anonimne elektroničke ankete kako bi od čitatelja svojih izvješća zatražio kvalitativne povratne informacije o odabranim izvješćima i općenite prijedloge za rad Revizorskog suda; ističe da rezultati za 2023. pokazuju da je 85 % ispitanika među njih otprilike 1060 ocijenilo izvješća Revizorskog suda korisnima za svoj rad i da njih 78 % smatra da ta izvješća imaju učinak.</w:t>
      </w:r>
    </w:p>
    <w:p w14:paraId="027A6B64" w14:textId="4CCA5684" w:rsidR="00E365E1" w:rsidRPr="002D3B3D" w:rsidRDefault="00E365E1" w:rsidP="008F172B">
      <w:pPr>
        <w:pStyle w:val="NormalHanging12a"/>
      </w:pPr>
    </w:p>
    <w:sectPr w:rsidR="00E365E1" w:rsidRPr="002D3B3D" w:rsidSect="00D560E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A0781" w14:textId="77777777" w:rsidR="003428C8" w:rsidRPr="00D560E8" w:rsidRDefault="003428C8">
      <w:r w:rsidRPr="00D560E8">
        <w:separator/>
      </w:r>
    </w:p>
  </w:endnote>
  <w:endnote w:type="continuationSeparator" w:id="0">
    <w:p w14:paraId="12554476" w14:textId="77777777" w:rsidR="003428C8" w:rsidRPr="00D560E8" w:rsidRDefault="003428C8">
      <w:r w:rsidRPr="00D56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3902" w14:textId="77777777" w:rsidR="00064002" w:rsidRPr="00D560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83F5" w14:textId="77777777" w:rsidR="00064002" w:rsidRPr="00D560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A59E" w14:textId="77777777" w:rsidR="00064002" w:rsidRPr="00D560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78637" w14:textId="77777777" w:rsidR="003428C8" w:rsidRPr="00D560E8" w:rsidRDefault="003428C8">
      <w:r w:rsidRPr="00D560E8">
        <w:separator/>
      </w:r>
    </w:p>
  </w:footnote>
  <w:footnote w:type="continuationSeparator" w:id="0">
    <w:p w14:paraId="1857B186" w14:textId="77777777" w:rsidR="003428C8" w:rsidRPr="00D560E8" w:rsidRDefault="003428C8">
      <w:r w:rsidRPr="00D560E8">
        <w:continuationSeparator/>
      </w:r>
    </w:p>
  </w:footnote>
  <w:footnote w:id="1">
    <w:p w14:paraId="26F361A4"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t xml:space="preserve">SL L 58, 23.2.2023., str. 1., ELI: </w:t>
      </w:r>
      <w:hyperlink r:id="rId1" w:tooltip="Omogućuje pristup tom dokumentu putem identifikatora ELI URI." w:history="1">
        <w:r w:rsidRPr="00FF4AAB">
          <w:rPr>
            <w:rStyle w:val="Hyperlink1"/>
            <w:sz w:val="24"/>
            <w:szCs w:val="24"/>
            <w:lang w:val="fi-FI"/>
          </w:rPr>
          <w:t>http://data.europa.eu/eli/budget/2023/1/oj</w:t>
        </w:r>
      </w:hyperlink>
      <w:r w:rsidRPr="00FF4AAB">
        <w:rPr>
          <w:sz w:val="24"/>
          <w:szCs w:val="24"/>
          <w:lang w:val="hr-HR"/>
        </w:rPr>
        <w:t>.</w:t>
      </w:r>
    </w:p>
  </w:footnote>
  <w:footnote w:id="2">
    <w:p w14:paraId="61F5943D"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r>
      <w:r w:rsidRPr="00FF4AAB">
        <w:rPr>
          <w:sz w:val="24"/>
          <w:szCs w:val="24"/>
          <w:lang w:val="hr-HR"/>
        </w:rPr>
        <w:t xml:space="preserve">SL C, C/2024/5462, 10.10.2024., ELI: </w:t>
      </w:r>
      <w:hyperlink r:id="rId2" w:history="1">
        <w:r w:rsidRPr="00FF4AAB">
          <w:rPr>
            <w:rStyle w:val="Hyperlink1"/>
            <w:sz w:val="24"/>
            <w:szCs w:val="24"/>
            <w:lang w:val="fi-FI"/>
          </w:rPr>
          <w:t>http://data.europa.eu/eli/C/2024/5462/oj</w:t>
        </w:r>
      </w:hyperlink>
      <w:r w:rsidRPr="00FF4AAB">
        <w:rPr>
          <w:sz w:val="24"/>
          <w:szCs w:val="24"/>
          <w:lang w:val="hr-HR"/>
        </w:rPr>
        <w:t>.</w:t>
      </w:r>
    </w:p>
  </w:footnote>
  <w:footnote w:id="3">
    <w:p w14:paraId="2544C2D3"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r>
      <w:r w:rsidRPr="00FF4AAB">
        <w:rPr>
          <w:sz w:val="24"/>
          <w:szCs w:val="24"/>
          <w:lang w:val="hr-HR"/>
        </w:rPr>
        <w:t xml:space="preserve">SL C, C/2024/5882, 9.10.2024., ELI: </w:t>
      </w:r>
      <w:hyperlink r:id="rId3" w:history="1">
        <w:r w:rsidRPr="00FF4AAB">
          <w:rPr>
            <w:rStyle w:val="Hyperlink1"/>
            <w:sz w:val="24"/>
            <w:szCs w:val="24"/>
            <w:lang w:val="fi-FI"/>
          </w:rPr>
          <w:t>http://data.europa.eu/eli/C/2024/5882/oj</w:t>
        </w:r>
      </w:hyperlink>
      <w:r w:rsidRPr="00FF4AAB">
        <w:rPr>
          <w:sz w:val="24"/>
          <w:szCs w:val="24"/>
          <w:lang w:val="hr-HR"/>
        </w:rPr>
        <w:t>.</w:t>
      </w:r>
    </w:p>
  </w:footnote>
  <w:footnote w:id="4">
    <w:p w14:paraId="59F2EA3F"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r>
      <w:r w:rsidRPr="00FF4AAB">
        <w:rPr>
          <w:sz w:val="24"/>
          <w:szCs w:val="24"/>
          <w:lang w:val="hr-HR"/>
        </w:rPr>
        <w:t xml:space="preserve">SL C, C/2024/6041, 10.10.2024., ELI: </w:t>
      </w:r>
      <w:hyperlink r:id="rId4" w:history="1">
        <w:r w:rsidRPr="00FF4AAB">
          <w:rPr>
            <w:rStyle w:val="Hyperlink1"/>
            <w:sz w:val="24"/>
            <w:szCs w:val="24"/>
            <w:lang w:val="fi-FI"/>
          </w:rPr>
          <w:t>http://data.europa.eu/eli/C/2024/6041/oj</w:t>
        </w:r>
      </w:hyperlink>
      <w:r w:rsidRPr="00FF4AAB">
        <w:rPr>
          <w:sz w:val="24"/>
          <w:szCs w:val="24"/>
          <w:lang w:val="hr-HR"/>
        </w:rPr>
        <w:t>.</w:t>
      </w:r>
    </w:p>
  </w:footnote>
  <w:footnote w:id="5">
    <w:p w14:paraId="57116BAC"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r>
      <w:r w:rsidRPr="00FF4AAB">
        <w:rPr>
          <w:sz w:val="24"/>
          <w:szCs w:val="24"/>
          <w:lang w:val="hr-HR"/>
        </w:rPr>
        <w:t xml:space="preserve">SL L 193, 30.7.2018., str. 1., ELI: </w:t>
      </w:r>
      <w:hyperlink r:id="rId5" w:history="1">
        <w:r w:rsidRPr="00FF4AAB">
          <w:rPr>
            <w:rStyle w:val="Hyperlink1"/>
            <w:sz w:val="24"/>
            <w:szCs w:val="24"/>
            <w:lang w:val="fi-FI"/>
          </w:rPr>
          <w:t>http://data.europa.eu/eli/reg/2018/1046/oj</w:t>
        </w:r>
      </w:hyperlink>
      <w:r w:rsidRPr="00FF4AAB">
        <w:rPr>
          <w:sz w:val="24"/>
          <w:szCs w:val="24"/>
          <w:lang w:val="hr-HR"/>
        </w:rPr>
        <w:t>.</w:t>
      </w:r>
    </w:p>
  </w:footnote>
  <w:footnote w:id="6">
    <w:p w14:paraId="525C77D4" w14:textId="77777777" w:rsidR="008F172B" w:rsidRPr="00FF4AAB" w:rsidRDefault="008F172B" w:rsidP="008F172B">
      <w:pPr>
        <w:pStyle w:val="FootnoteText"/>
        <w:ind w:left="567" w:hanging="567"/>
        <w:rPr>
          <w:sz w:val="24"/>
          <w:szCs w:val="24"/>
          <w:lang w:val="hr-HR"/>
        </w:rPr>
      </w:pPr>
      <w:r w:rsidRPr="00FF4AAB">
        <w:rPr>
          <w:rStyle w:val="FootnoteReference"/>
          <w:sz w:val="24"/>
          <w:szCs w:val="24"/>
          <w:lang w:val="hr-HR"/>
        </w:rPr>
        <w:footnoteRef/>
      </w:r>
      <w:r w:rsidRPr="00FF4AAB">
        <w:rPr>
          <w:sz w:val="24"/>
          <w:szCs w:val="24"/>
          <w:lang w:val="hr-HR"/>
        </w:rPr>
        <w:t xml:space="preserve"> </w:t>
      </w:r>
      <w:r w:rsidRPr="00FF4AAB">
        <w:rPr>
          <w:sz w:val="24"/>
          <w:szCs w:val="24"/>
          <w:lang w:val="hr-HR"/>
        </w:rPr>
        <w:tab/>
      </w:r>
      <w:r w:rsidRPr="00FF4AAB">
        <w:rPr>
          <w:sz w:val="24"/>
          <w:szCs w:val="24"/>
          <w:lang w:val="hr-HR"/>
        </w:rPr>
        <w:t xml:space="preserve">SL L, 2024/2509, 26.9.2024., ELI: </w:t>
      </w:r>
      <w:hyperlink r:id="rId6" w:history="1">
        <w:r w:rsidRPr="00FF4AAB">
          <w:rPr>
            <w:rStyle w:val="Hyperlink"/>
            <w:sz w:val="24"/>
            <w:szCs w:val="24"/>
            <w:lang w:val="hr-HR"/>
          </w:rPr>
          <w:t>https://data.europa.eu/eli/reg/2024/2509/oj</w:t>
        </w:r>
      </w:hyperlink>
      <w:r w:rsidRPr="00FF4AAB">
        <w:rPr>
          <w:sz w:val="24"/>
          <w:szCs w:val="24"/>
          <w:shd w:val="clear" w:color="auto" w:fill="FFFFFF"/>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DFA0" w14:textId="77777777" w:rsidR="00064002" w:rsidRPr="00D560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593C" w14:textId="77777777" w:rsidR="00064002" w:rsidRPr="00D560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06DC4" w14:textId="77777777" w:rsidR="00064002" w:rsidRPr="00D560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8487338">
    <w:abstractNumId w:val="9"/>
  </w:num>
  <w:num w:numId="2" w16cid:durableId="628169974">
    <w:abstractNumId w:val="9"/>
  </w:num>
  <w:num w:numId="3" w16cid:durableId="257910070">
    <w:abstractNumId w:val="7"/>
  </w:num>
  <w:num w:numId="4" w16cid:durableId="1671062312">
    <w:abstractNumId w:val="7"/>
  </w:num>
  <w:num w:numId="5" w16cid:durableId="2036423519">
    <w:abstractNumId w:val="6"/>
  </w:num>
  <w:num w:numId="6" w16cid:durableId="1286082937">
    <w:abstractNumId w:val="6"/>
  </w:num>
  <w:num w:numId="7" w16cid:durableId="970213676">
    <w:abstractNumId w:val="5"/>
  </w:num>
  <w:num w:numId="8" w16cid:durableId="1692603883">
    <w:abstractNumId w:val="5"/>
  </w:num>
  <w:num w:numId="9" w16cid:durableId="1963220810">
    <w:abstractNumId w:val="4"/>
  </w:num>
  <w:num w:numId="10" w16cid:durableId="1053771461">
    <w:abstractNumId w:val="4"/>
  </w:num>
  <w:num w:numId="11" w16cid:durableId="1705515635">
    <w:abstractNumId w:val="8"/>
  </w:num>
  <w:num w:numId="12" w16cid:durableId="1658916961">
    <w:abstractNumId w:val="8"/>
  </w:num>
  <w:num w:numId="13" w16cid:durableId="755639526">
    <w:abstractNumId w:val="3"/>
  </w:num>
  <w:num w:numId="14" w16cid:durableId="1393579731">
    <w:abstractNumId w:val="3"/>
  </w:num>
  <w:num w:numId="15" w16cid:durableId="1105149736">
    <w:abstractNumId w:val="2"/>
  </w:num>
  <w:num w:numId="16" w16cid:durableId="946161263">
    <w:abstractNumId w:val="2"/>
  </w:num>
  <w:num w:numId="17" w16cid:durableId="1156915353">
    <w:abstractNumId w:val="1"/>
  </w:num>
  <w:num w:numId="18" w16cid:durableId="672227521">
    <w:abstractNumId w:val="1"/>
  </w:num>
  <w:num w:numId="19" w16cid:durableId="1139998975">
    <w:abstractNumId w:val="0"/>
  </w:num>
  <w:num w:numId="20" w16cid:durableId="1963804824">
    <w:abstractNumId w:val="0"/>
  </w:num>
  <w:num w:numId="21" w16cid:durableId="1511682462">
    <w:abstractNumId w:val="9"/>
  </w:num>
  <w:num w:numId="22" w16cid:durableId="1140734632">
    <w:abstractNumId w:val="7"/>
  </w:num>
  <w:num w:numId="23" w16cid:durableId="1082292309">
    <w:abstractNumId w:val="6"/>
  </w:num>
  <w:num w:numId="24" w16cid:durableId="708408489">
    <w:abstractNumId w:val="5"/>
  </w:num>
  <w:num w:numId="25" w16cid:durableId="1387606968">
    <w:abstractNumId w:val="4"/>
  </w:num>
  <w:num w:numId="26" w16cid:durableId="2085762337">
    <w:abstractNumId w:val="8"/>
  </w:num>
  <w:num w:numId="27" w16cid:durableId="717970599">
    <w:abstractNumId w:val="3"/>
  </w:num>
  <w:num w:numId="28" w16cid:durableId="71902937">
    <w:abstractNumId w:val="2"/>
  </w:num>
  <w:num w:numId="29" w16cid:durableId="740834928">
    <w:abstractNumId w:val="1"/>
  </w:num>
  <w:num w:numId="30" w16cid:durableId="768501872">
    <w:abstractNumId w:val="0"/>
  </w:num>
  <w:num w:numId="31" w16cid:durableId="2121869548">
    <w:abstractNumId w:val="9"/>
  </w:num>
  <w:num w:numId="32" w16cid:durableId="1763330974">
    <w:abstractNumId w:val="7"/>
  </w:num>
  <w:num w:numId="33" w16cid:durableId="1960603167">
    <w:abstractNumId w:val="6"/>
  </w:num>
  <w:num w:numId="34" w16cid:durableId="899365171">
    <w:abstractNumId w:val="5"/>
  </w:num>
  <w:num w:numId="35" w16cid:durableId="38407175">
    <w:abstractNumId w:val="4"/>
  </w:num>
  <w:num w:numId="36" w16cid:durableId="1441603601">
    <w:abstractNumId w:val="8"/>
  </w:num>
  <w:num w:numId="37" w16cid:durableId="1607351385">
    <w:abstractNumId w:val="3"/>
  </w:num>
  <w:num w:numId="38" w16cid:durableId="153377020">
    <w:abstractNumId w:val="2"/>
  </w:num>
  <w:num w:numId="39" w16cid:durableId="942414936">
    <w:abstractNumId w:val="1"/>
  </w:num>
  <w:num w:numId="40" w16cid:durableId="448163297">
    <w:abstractNumId w:val="0"/>
  </w:num>
  <w:num w:numId="41" w16cid:durableId="2131168829">
    <w:abstractNumId w:val="10"/>
  </w:num>
  <w:num w:numId="42" w16cid:durableId="1624531470">
    <w:abstractNumId w:val="10"/>
  </w:num>
  <w:num w:numId="43" w16cid:durableId="826047333">
    <w:abstractNumId w:val="10"/>
  </w:num>
  <w:num w:numId="44" w16cid:durableId="1971086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HR"/>
    <w:docVar w:name="dvnumam" w:val="0"/>
    <w:docVar w:name="dvpe" w:val="764.995"/>
    <w:docVar w:name="dvrapporteur" w:val="Izvjestitelj: "/>
    <w:docVar w:name="dvtitre" w:val="Odluka Europskog parlamenta od .... 2025. o razrješnici za izvršenje općeg proračuna Europske unije za financijsku godinu 2023., dio V. – Revizorski sud(2024/2023(DEC))"/>
  </w:docVars>
  <w:rsids>
    <w:rsidRoot w:val="003428C8"/>
    <w:rsid w:val="00002272"/>
    <w:rsid w:val="00064002"/>
    <w:rsid w:val="000677B9"/>
    <w:rsid w:val="000831BA"/>
    <w:rsid w:val="000A42CC"/>
    <w:rsid w:val="000E7DD9"/>
    <w:rsid w:val="0010095E"/>
    <w:rsid w:val="00125B37"/>
    <w:rsid w:val="00187494"/>
    <w:rsid w:val="001F32AE"/>
    <w:rsid w:val="0023346A"/>
    <w:rsid w:val="002767FF"/>
    <w:rsid w:val="00286641"/>
    <w:rsid w:val="002B18FE"/>
    <w:rsid w:val="002B5493"/>
    <w:rsid w:val="002D3B3D"/>
    <w:rsid w:val="002E2639"/>
    <w:rsid w:val="003428C8"/>
    <w:rsid w:val="00343214"/>
    <w:rsid w:val="00361C00"/>
    <w:rsid w:val="00395FA1"/>
    <w:rsid w:val="003E15D4"/>
    <w:rsid w:val="00411CCE"/>
    <w:rsid w:val="0041666E"/>
    <w:rsid w:val="00421060"/>
    <w:rsid w:val="00430F8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694"/>
    <w:rsid w:val="00734777"/>
    <w:rsid w:val="007445E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72B"/>
    <w:rsid w:val="00930C23"/>
    <w:rsid w:val="0093193B"/>
    <w:rsid w:val="009509D8"/>
    <w:rsid w:val="00950B64"/>
    <w:rsid w:val="00975C0E"/>
    <w:rsid w:val="00981893"/>
    <w:rsid w:val="00A1687D"/>
    <w:rsid w:val="00A43E52"/>
    <w:rsid w:val="00A4678D"/>
    <w:rsid w:val="00A778C7"/>
    <w:rsid w:val="00AB441E"/>
    <w:rsid w:val="00AB6293"/>
    <w:rsid w:val="00AE0928"/>
    <w:rsid w:val="00AF3B82"/>
    <w:rsid w:val="00B12E95"/>
    <w:rsid w:val="00B22876"/>
    <w:rsid w:val="00B558F0"/>
    <w:rsid w:val="00B76060"/>
    <w:rsid w:val="00BD48FE"/>
    <w:rsid w:val="00BD7BD8"/>
    <w:rsid w:val="00BE6ADC"/>
    <w:rsid w:val="00C05BFE"/>
    <w:rsid w:val="00C23CD4"/>
    <w:rsid w:val="00C57631"/>
    <w:rsid w:val="00C61C0C"/>
    <w:rsid w:val="00C941CB"/>
    <w:rsid w:val="00CA11EB"/>
    <w:rsid w:val="00CC2357"/>
    <w:rsid w:val="00CF071A"/>
    <w:rsid w:val="00D058B8"/>
    <w:rsid w:val="00D560E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A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934C9"/>
  <w15:chartTrackingRefBased/>
  <w15:docId w15:val="{8BB3C66D-BCFD-4152-AAA8-DA640C9B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60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6060"/>
    <w:pPr>
      <w:spacing w:before="480" w:after="240"/>
    </w:pPr>
  </w:style>
  <w:style w:type="paragraph" w:customStyle="1" w:styleId="PageHeading">
    <w:name w:val="PageHeading"/>
    <w:basedOn w:val="Normal"/>
    <w:rsid w:val="00B76060"/>
    <w:pPr>
      <w:keepNext/>
      <w:spacing w:after="480"/>
      <w:jc w:val="center"/>
    </w:pPr>
    <w:rPr>
      <w:rFonts w:ascii="Arial" w:hAnsi="Arial" w:cs="Arial"/>
      <w:b/>
    </w:rPr>
  </w:style>
  <w:style w:type="paragraph" w:customStyle="1" w:styleId="NormalBold">
    <w:name w:val="NormalBold"/>
    <w:basedOn w:val="Normal"/>
    <w:rsid w:val="00B76060"/>
    <w:rPr>
      <w:b/>
    </w:rPr>
  </w:style>
  <w:style w:type="paragraph" w:customStyle="1" w:styleId="NormalHanging12a">
    <w:name w:val="NormalHanging12a"/>
    <w:basedOn w:val="Normal"/>
    <w:link w:val="NormalHanging12aChar"/>
    <w:qFormat/>
    <w:rsid w:val="00B76060"/>
    <w:pPr>
      <w:spacing w:after="240"/>
      <w:ind w:left="567" w:hanging="567"/>
    </w:pPr>
  </w:style>
  <w:style w:type="paragraph" w:styleId="Header">
    <w:name w:val="header"/>
    <w:basedOn w:val="Normal"/>
    <w:link w:val="HeaderChar"/>
    <w:rsid w:val="00B76060"/>
    <w:pPr>
      <w:tabs>
        <w:tab w:val="center" w:pos="4513"/>
        <w:tab w:val="right" w:pos="9026"/>
      </w:tabs>
    </w:pPr>
  </w:style>
  <w:style w:type="character" w:customStyle="1" w:styleId="HeaderChar">
    <w:name w:val="Header Char"/>
    <w:basedOn w:val="DefaultParagraphFont"/>
    <w:link w:val="Header"/>
    <w:rsid w:val="00B76060"/>
    <w:rPr>
      <w:sz w:val="24"/>
      <w:lang w:val="hr-HR"/>
    </w:rPr>
  </w:style>
  <w:style w:type="paragraph" w:customStyle="1" w:styleId="EPFooter">
    <w:name w:val="EPFooter"/>
    <w:basedOn w:val="Normal"/>
    <w:rsid w:val="00B76060"/>
    <w:pPr>
      <w:tabs>
        <w:tab w:val="center" w:pos="4535"/>
        <w:tab w:val="right" w:pos="9071"/>
      </w:tabs>
      <w:spacing w:before="240" w:after="240"/>
    </w:pPr>
    <w:rPr>
      <w:color w:val="010000"/>
      <w:sz w:val="22"/>
    </w:rPr>
  </w:style>
  <w:style w:type="character" w:styleId="Hyperlink">
    <w:name w:val="Hyperlink"/>
    <w:basedOn w:val="DefaultParagraphFont"/>
    <w:uiPriority w:val="99"/>
    <w:rsid w:val="00B76060"/>
    <w:rPr>
      <w:color w:val="0563C1" w:themeColor="hyperlink"/>
      <w:u w:val="single"/>
    </w:rPr>
  </w:style>
  <w:style w:type="character" w:customStyle="1" w:styleId="NormalHanging12aChar">
    <w:name w:val="NormalHanging12a Char"/>
    <w:basedOn w:val="DefaultParagraphFont"/>
    <w:link w:val="NormalHanging12a"/>
    <w:locked/>
    <w:rsid w:val="00B76060"/>
    <w:rPr>
      <w:sz w:val="24"/>
      <w:lang w:val="hr-HR"/>
    </w:rPr>
  </w:style>
  <w:style w:type="paragraph" w:styleId="Footer">
    <w:name w:val="footer"/>
    <w:basedOn w:val="Normal"/>
    <w:link w:val="FooterChar"/>
    <w:rsid w:val="002D3B3D"/>
    <w:pPr>
      <w:tabs>
        <w:tab w:val="center" w:pos="4513"/>
        <w:tab w:val="right" w:pos="9026"/>
      </w:tabs>
    </w:pPr>
  </w:style>
  <w:style w:type="character" w:customStyle="1" w:styleId="FooterChar">
    <w:name w:val="Footer Char"/>
    <w:basedOn w:val="DefaultParagraphFont"/>
    <w:link w:val="Footer"/>
    <w:rsid w:val="002D3B3D"/>
    <w:rPr>
      <w:sz w:val="24"/>
      <w:lang w:val="hr-HR"/>
    </w:rPr>
  </w:style>
  <w:style w:type="paragraph" w:styleId="BalloonText">
    <w:name w:val="Balloon Text"/>
    <w:basedOn w:val="Normal"/>
    <w:link w:val="BalloonTextChar"/>
    <w:rsid w:val="00975C0E"/>
    <w:rPr>
      <w:rFonts w:ascii="Segoe UI" w:hAnsi="Segoe UI" w:cs="Segoe UI"/>
      <w:sz w:val="18"/>
      <w:szCs w:val="18"/>
    </w:rPr>
  </w:style>
  <w:style w:type="character" w:customStyle="1" w:styleId="BalloonTextChar">
    <w:name w:val="Balloon Text Char"/>
    <w:basedOn w:val="DefaultParagraphFont"/>
    <w:link w:val="BalloonText"/>
    <w:rsid w:val="00975C0E"/>
    <w:rPr>
      <w:rFonts w:ascii="Segoe UI" w:hAnsi="Segoe UI" w:cs="Segoe UI"/>
      <w:sz w:val="18"/>
      <w:szCs w:val="18"/>
      <w:lang w:val="hr-HR"/>
    </w:rPr>
  </w:style>
  <w:style w:type="character" w:customStyle="1" w:styleId="Hyperlink1">
    <w:name w:val="Hyperlink1"/>
    <w:basedOn w:val="DefaultParagraphFont"/>
    <w:uiPriority w:val="99"/>
    <w:rsid w:val="008F172B"/>
    <w:rPr>
      <w:color w:val="0563C1"/>
      <w:u w:val="single"/>
    </w:rPr>
  </w:style>
  <w:style w:type="character" w:styleId="CommentReference">
    <w:name w:val="annotation reference"/>
    <w:basedOn w:val="DefaultParagraphFont"/>
    <w:uiPriority w:val="99"/>
    <w:unhideWhenUsed/>
    <w:rsid w:val="008F172B"/>
    <w:rPr>
      <w:sz w:val="16"/>
      <w:szCs w:val="16"/>
    </w:rPr>
  </w:style>
  <w:style w:type="paragraph" w:styleId="CommentText">
    <w:name w:val="annotation text"/>
    <w:basedOn w:val="Normal"/>
    <w:link w:val="CommentTextChar"/>
    <w:uiPriority w:val="99"/>
    <w:unhideWhenUsed/>
    <w:rsid w:val="008F172B"/>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8F172B"/>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C9626-2929-45AE-89CA-5A5245A07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6681</Words>
  <Characters>39975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2025-12-05T12:13:00Z</dcterms:created>
  <dcterms:modified xsi:type="dcterms:W3CDTF">2025-12-05T12:13:00Z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P10_TA(2025)0081_</vt:lpwstr>
  </property>
  <property fmtid="{D5CDD505-2E9C-101B-9397-08002B2CF9AE}" pid="4" name="&lt;Type&gt;">
    <vt:lpwstr>RR</vt:lpwstr>
  </property>
</Properties>
</file>