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B33A5" w:rsidRPr="003B33A5" w14:paraId="2F1A7B68" w14:textId="77777777" w:rsidTr="000327AA">
        <w:trPr>
          <w:trHeight w:hRule="exact" w:val="1418"/>
        </w:trPr>
        <w:tc>
          <w:tcPr>
            <w:tcW w:w="6804" w:type="dxa"/>
            <w:shd w:val="clear" w:color="auto" w:fill="auto"/>
            <w:vAlign w:val="center"/>
          </w:tcPr>
          <w:p w14:paraId="0257575C" w14:textId="77777777" w:rsidR="003B33A5" w:rsidRPr="003B33A5" w:rsidRDefault="003B33A5" w:rsidP="000327AA">
            <w:pPr>
              <w:pStyle w:val="EPName"/>
            </w:pPr>
            <w:r w:rsidRPr="003B33A5">
              <w:t>Európai Parlament</w:t>
            </w:r>
          </w:p>
          <w:p w14:paraId="6BBF08E9" w14:textId="77777777" w:rsidR="003B33A5" w:rsidRPr="003B33A5" w:rsidRDefault="003B33A5" w:rsidP="000327AA">
            <w:pPr>
              <w:pStyle w:val="EPTerm"/>
              <w:rPr>
                <w:rStyle w:val="HideTWBExt"/>
                <w:rFonts w:eastAsiaTheme="majorEastAsia"/>
                <w:vanish w:val="0"/>
              </w:rPr>
            </w:pPr>
            <w:r w:rsidRPr="003B33A5">
              <w:t>2024-2029</w:t>
            </w:r>
          </w:p>
        </w:tc>
        <w:tc>
          <w:tcPr>
            <w:tcW w:w="2268" w:type="dxa"/>
            <w:shd w:val="clear" w:color="auto" w:fill="auto"/>
          </w:tcPr>
          <w:p w14:paraId="1AC5BE19" w14:textId="77777777" w:rsidR="003B33A5" w:rsidRPr="003B33A5" w:rsidRDefault="003B33A5" w:rsidP="000327AA">
            <w:pPr>
              <w:pStyle w:val="EPLogo"/>
            </w:pPr>
            <w:r w:rsidRPr="003B33A5">
              <w:rPr>
                <w:noProof/>
                <w:lang w:eastAsia="hu-HU"/>
              </w:rPr>
              <w:drawing>
                <wp:inline distT="0" distB="0" distL="0" distR="0" wp14:anchorId="143C7C64" wp14:editId="6F7CC3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FD12B5" w14:textId="77777777" w:rsidR="003B33A5" w:rsidRPr="003B33A5" w:rsidRDefault="003B33A5" w:rsidP="003B33A5">
      <w:pPr>
        <w:pStyle w:val="LineTop"/>
      </w:pPr>
    </w:p>
    <w:p w14:paraId="78C37FFE" w14:textId="77777777" w:rsidR="003B33A5" w:rsidRPr="003B33A5" w:rsidRDefault="003B33A5" w:rsidP="003B33A5">
      <w:pPr>
        <w:pStyle w:val="EPBodyTA1"/>
      </w:pPr>
      <w:r w:rsidRPr="003B33A5">
        <w:t>ELFOGADOTT SZÖVEGEK</w:t>
      </w:r>
    </w:p>
    <w:p w14:paraId="7F123618" w14:textId="77777777" w:rsidR="003B33A5" w:rsidRPr="003B33A5" w:rsidRDefault="003B33A5" w:rsidP="003B33A5">
      <w:pPr>
        <w:pStyle w:val="LineBottom"/>
      </w:pPr>
    </w:p>
    <w:p w14:paraId="78B23C9D" w14:textId="77777777" w:rsidR="003B33A5" w:rsidRPr="003B33A5" w:rsidRDefault="003B33A5" w:rsidP="003B33A5">
      <w:pPr>
        <w:pStyle w:val="ATHeading1"/>
      </w:pPr>
      <w:bookmarkStart w:id="0" w:name="TANumber"/>
      <w:r w:rsidRPr="003B33A5">
        <w:t>P10_</w:t>
      </w:r>
      <w:proofErr w:type="gramStart"/>
      <w:r w:rsidRPr="003B33A5">
        <w:t>TA(</w:t>
      </w:r>
      <w:proofErr w:type="gramEnd"/>
      <w:r w:rsidRPr="003B33A5">
        <w:t>2025)0081</w:t>
      </w:r>
      <w:bookmarkEnd w:id="0"/>
    </w:p>
    <w:p w14:paraId="68CC43A6" w14:textId="77777777" w:rsidR="003B33A5" w:rsidRPr="003B33A5" w:rsidRDefault="003B33A5" w:rsidP="003B33A5">
      <w:pPr>
        <w:pStyle w:val="ATHeading2"/>
      </w:pPr>
      <w:r w:rsidRPr="003B33A5">
        <w:rPr>
          <w:bCs/>
        </w:rPr>
        <w:t>2023. évi mentesítés: Az EU általános költségvetése – Számvevőszék</w:t>
      </w:r>
    </w:p>
    <w:p w14:paraId="7F4C37CE" w14:textId="77777777" w:rsidR="003B33A5" w:rsidRPr="003B33A5" w:rsidRDefault="003B33A5" w:rsidP="003B33A5">
      <w:pPr>
        <w:rPr>
          <w:i/>
          <w:vanish/>
          <w:lang w:val="hu-HU"/>
        </w:rPr>
      </w:pPr>
      <w:r w:rsidRPr="003B33A5">
        <w:rPr>
          <w:i/>
        </w:rPr>
        <w:fldChar w:fldCharType="begin"/>
      </w:r>
      <w:r w:rsidRPr="003B33A5">
        <w:rPr>
          <w:i/>
          <w:lang w:val="hu-HU"/>
        </w:rPr>
        <w:instrText xml:space="preserve"> TC"(</w:instrText>
      </w:r>
      <w:bookmarkStart w:id="1" w:name="DocNumber"/>
      <w:r w:rsidRPr="003B33A5">
        <w:rPr>
          <w:i/>
          <w:lang w:val="hu-HU"/>
        </w:rPr>
        <w:instrText>A10-0047/2025</w:instrText>
      </w:r>
      <w:bookmarkEnd w:id="1"/>
      <w:r w:rsidRPr="003B33A5">
        <w:rPr>
          <w:i/>
          <w:lang w:val="hu-HU"/>
        </w:rPr>
        <w:instrText xml:space="preserve"> - Előadó: Dick </w:instrText>
      </w:r>
      <w:proofErr w:type="spellStart"/>
      <w:r w:rsidRPr="003B33A5">
        <w:rPr>
          <w:i/>
          <w:lang w:val="hu-HU"/>
        </w:rPr>
        <w:instrText>Erixon</w:instrText>
      </w:r>
      <w:proofErr w:type="spellEnd"/>
      <w:r w:rsidRPr="003B33A5">
        <w:rPr>
          <w:i/>
          <w:lang w:val="hu-HU"/>
        </w:rPr>
        <w:instrText xml:space="preserve">)"\l3 \n&gt; \* MERGEFORMAT </w:instrText>
      </w:r>
      <w:r w:rsidRPr="003B33A5">
        <w:rPr>
          <w:i/>
        </w:rPr>
        <w:fldChar w:fldCharType="end"/>
      </w:r>
    </w:p>
    <w:p w14:paraId="2A05C762" w14:textId="77777777" w:rsidR="003B33A5" w:rsidRPr="003B33A5" w:rsidRDefault="003B33A5" w:rsidP="003B33A5">
      <w:pPr>
        <w:rPr>
          <w:vanish/>
          <w:lang w:val="hu-HU"/>
        </w:rPr>
      </w:pPr>
      <w:bookmarkStart w:id="2" w:name="Commission"/>
      <w:r w:rsidRPr="003B33A5">
        <w:rPr>
          <w:vanish/>
          <w:lang w:val="hu-HU"/>
        </w:rPr>
        <w:t>Költségvetési Ellenőrző Bizottság</w:t>
      </w:r>
      <w:bookmarkEnd w:id="2"/>
    </w:p>
    <w:p w14:paraId="3ABEC3A8" w14:textId="77777777" w:rsidR="003B33A5" w:rsidRPr="003B33A5" w:rsidRDefault="003B33A5" w:rsidP="003B33A5">
      <w:pPr>
        <w:rPr>
          <w:vanish/>
          <w:lang w:val="hu-HU"/>
        </w:rPr>
      </w:pPr>
      <w:bookmarkStart w:id="3" w:name="PE"/>
      <w:r w:rsidRPr="003B33A5">
        <w:rPr>
          <w:vanish/>
          <w:lang w:val="hu-HU"/>
        </w:rPr>
        <w:t>PE764.995</w:t>
      </w:r>
      <w:bookmarkEnd w:id="3"/>
    </w:p>
    <w:p w14:paraId="4364E1B1" w14:textId="77777777" w:rsidR="003B33A5" w:rsidRPr="003B33A5" w:rsidRDefault="003B33A5" w:rsidP="003B33A5">
      <w:pPr>
        <w:pStyle w:val="ATHeading3"/>
      </w:pPr>
      <w:bookmarkStart w:id="4" w:name="Sujet"/>
      <w:r w:rsidRPr="003B33A5">
        <w:t>1. Az Európai Parlament 2025. május 7-i határozata az Európai Unió 2023. évi pénzügyi évre szóló általános költségvetésének végrehajtására vonatkozó mentesítésről, V. szakasz – Számvevőszék</w:t>
      </w:r>
      <w:bookmarkEnd w:id="4"/>
      <w:r w:rsidRPr="003B33A5">
        <w:t xml:space="preserve"> </w:t>
      </w:r>
      <w:bookmarkStart w:id="5" w:name="References"/>
      <w:r w:rsidRPr="003B33A5">
        <w:t>(2024/2023(DEC))</w:t>
      </w:r>
      <w:bookmarkEnd w:id="5"/>
    </w:p>
    <w:p w14:paraId="10331F17" w14:textId="77777777" w:rsidR="003B33A5" w:rsidRPr="003B33A5" w:rsidRDefault="003B33A5" w:rsidP="003B33A5">
      <w:pPr>
        <w:pStyle w:val="EPComma"/>
        <w:widowControl/>
        <w:spacing w:before="360"/>
        <w:ind w:left="567" w:hanging="567"/>
      </w:pPr>
      <w:bookmarkStart w:id="6" w:name="TextBodyBegin"/>
      <w:bookmarkEnd w:id="6"/>
      <w:r w:rsidRPr="003B33A5">
        <w:rPr>
          <w:i/>
        </w:rPr>
        <w:t>Az Európai Parlament,</w:t>
      </w:r>
    </w:p>
    <w:p w14:paraId="2805AD3E"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az Európai Unió 2023. évi pénzügyi évre vonatkozó általános költségvetésére</w:t>
      </w:r>
      <w:r w:rsidRPr="003B33A5">
        <w:rPr>
          <w:rFonts w:eastAsia="Times New Roman"/>
          <w:szCs w:val="20"/>
          <w:vertAlign w:val="superscript"/>
          <w:lang w:val="hu-HU" w:eastAsia="en-GB"/>
        </w:rPr>
        <w:footnoteReference w:id="1"/>
      </w:r>
      <w:r w:rsidRPr="003B33A5">
        <w:rPr>
          <w:rFonts w:eastAsia="Times New Roman"/>
          <w:szCs w:val="20"/>
          <w:lang w:val="hu-HU" w:eastAsia="en-GB"/>
        </w:rPr>
        <w:t>,</w:t>
      </w:r>
    </w:p>
    <w:p w14:paraId="7CD3F830"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az Európai Unió 2023. évi pénzügyi évre vonatkozó összevont éves beszámolójára (</w:t>
      </w:r>
      <w:proofErr w:type="gramStart"/>
      <w:r w:rsidRPr="003B33A5">
        <w:rPr>
          <w:rFonts w:eastAsia="Times New Roman"/>
          <w:szCs w:val="20"/>
          <w:lang w:val="hu-HU" w:eastAsia="en-GB"/>
        </w:rPr>
        <w:t>COM(</w:t>
      </w:r>
      <w:proofErr w:type="gramEnd"/>
      <w:r w:rsidRPr="003B33A5">
        <w:rPr>
          <w:rFonts w:eastAsia="Times New Roman"/>
          <w:szCs w:val="20"/>
          <w:lang w:val="hu-HU" w:eastAsia="en-GB"/>
        </w:rPr>
        <w:t>2024)0272 – C10-0071/2024)</w:t>
      </w:r>
      <w:r w:rsidRPr="003B33A5">
        <w:rPr>
          <w:rFonts w:eastAsia="Times New Roman"/>
          <w:szCs w:val="20"/>
          <w:vertAlign w:val="superscript"/>
          <w:lang w:val="hu-HU" w:eastAsia="en-GB"/>
        </w:rPr>
        <w:footnoteReference w:id="2"/>
      </w:r>
      <w:r w:rsidRPr="003B33A5">
        <w:rPr>
          <w:rFonts w:eastAsia="Times New Roman"/>
          <w:szCs w:val="20"/>
          <w:lang w:val="hu-HU" w:eastAsia="en-GB"/>
        </w:rPr>
        <w:t>,</w:t>
      </w:r>
    </w:p>
    <w:p w14:paraId="6AE55361"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 Számvevőszék 2023. évi éves tevékenységi jelentésére és a 2023. évi költségvetési és pénzgazdálkodásról szóló éves jelentésére,</w:t>
      </w:r>
    </w:p>
    <w:p w14:paraId="7ABC9982"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 Számvevőszéknek a 2023. évi pénzügyi év költségvetésének végrehajtásáról szóló éves jelentésére, az intézmények válaszaival együtt</w:t>
      </w:r>
      <w:r w:rsidRPr="003B33A5">
        <w:rPr>
          <w:rFonts w:eastAsia="Times New Roman"/>
          <w:szCs w:val="20"/>
          <w:vertAlign w:val="superscript"/>
          <w:lang w:val="hu-HU" w:eastAsia="en-GB"/>
        </w:rPr>
        <w:footnoteReference w:id="3"/>
      </w:r>
      <w:r w:rsidRPr="003B33A5">
        <w:rPr>
          <w:rFonts w:eastAsia="Times New Roman"/>
          <w:szCs w:val="20"/>
          <w:lang w:val="hu-HU" w:eastAsia="en-GB"/>
        </w:rPr>
        <w:t>,</w:t>
      </w:r>
    </w:p>
    <w:p w14:paraId="305A185F"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3B33A5">
        <w:rPr>
          <w:rFonts w:eastAsia="Times New Roman"/>
          <w:szCs w:val="20"/>
          <w:vertAlign w:val="superscript"/>
          <w:lang w:val="hu-HU" w:eastAsia="en-GB"/>
        </w:rPr>
        <w:footnoteReference w:id="4"/>
      </w:r>
      <w:r w:rsidRPr="003B33A5">
        <w:rPr>
          <w:rFonts w:eastAsia="Times New Roman"/>
          <w:szCs w:val="20"/>
          <w:lang w:val="hu-HU" w:eastAsia="en-GB"/>
        </w:rPr>
        <w:t>,</w:t>
      </w:r>
    </w:p>
    <w:p w14:paraId="0B65D001"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az Európai Unió működéséről szóló szerződés 314. cikkének (10) bekezdésére, valamint 317., 318. és 319. cikkére,</w:t>
      </w:r>
    </w:p>
    <w:p w14:paraId="5BE96185"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3B33A5">
        <w:rPr>
          <w:rFonts w:eastAsia="Times New Roman"/>
          <w:szCs w:val="20"/>
          <w:lang w:val="hu-HU" w:eastAsia="en-GB"/>
        </w:rPr>
        <w:lastRenderedPageBreak/>
        <w:t>hatályon kívül helyezéséről szóló, 2018. július 18-i (EU, Euratom) 2018/1046 európai parlamenti és tanácsi rendeletre</w:t>
      </w:r>
      <w:r w:rsidRPr="003B33A5">
        <w:rPr>
          <w:rFonts w:eastAsia="Times New Roman"/>
          <w:szCs w:val="20"/>
          <w:vertAlign w:val="superscript"/>
          <w:lang w:val="hu-HU" w:eastAsia="en-GB"/>
        </w:rPr>
        <w:footnoteReference w:id="5"/>
      </w:r>
      <w:r w:rsidRPr="003B33A5">
        <w:rPr>
          <w:rFonts w:eastAsia="Times New Roman"/>
          <w:szCs w:val="20"/>
          <w:lang w:val="hu-HU" w:eastAsia="en-GB"/>
        </w:rPr>
        <w:t xml:space="preserve"> és különösen annak 59., 118., 260., 261. és 262. cikkére,</w:t>
      </w:r>
    </w:p>
    <w:p w14:paraId="234F1D22"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3B33A5">
        <w:rPr>
          <w:rFonts w:eastAsia="Times New Roman"/>
          <w:bCs/>
          <w:color w:val="333333"/>
          <w:shd w:val="clear" w:color="auto" w:fill="FFFFFF"/>
          <w:vertAlign w:val="superscript"/>
          <w:lang w:val="hu-HU" w:eastAsia="en-GB"/>
        </w:rPr>
        <w:footnoteReference w:id="6"/>
      </w:r>
      <w:r w:rsidRPr="003B33A5">
        <w:rPr>
          <w:rFonts w:eastAsia="Times New Roman"/>
          <w:szCs w:val="20"/>
          <w:lang w:val="hu-HU" w:eastAsia="en-GB"/>
        </w:rPr>
        <w:t xml:space="preserve"> és különösen annak 59., 118., 266., 267. és 268. cikkére,</w:t>
      </w:r>
    </w:p>
    <w:p w14:paraId="2D1D77D2"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eljárási szabályzata 102. cikkére és V. mellékletére,</w:t>
      </w:r>
    </w:p>
    <w:p w14:paraId="5E8A7E4A"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 Költségvetési Ellenőrző Bizottság jelentésére (A10-0047/2025),</w:t>
      </w:r>
    </w:p>
    <w:p w14:paraId="021BD645"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1.</w:t>
      </w:r>
      <w:r w:rsidRPr="003B33A5">
        <w:rPr>
          <w:rFonts w:eastAsia="Times New Roman"/>
          <w:szCs w:val="20"/>
          <w:lang w:val="hu-HU" w:eastAsia="en-GB"/>
        </w:rPr>
        <w:tab/>
        <w:t>mentesítést ad a Számvevőszék főtitkára számára a Számvevőszék 2023. évi pénzügyi évre szóló költségvetésének végrehajtására vonatkozóan;</w:t>
      </w:r>
    </w:p>
    <w:p w14:paraId="00F7D270"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2.</w:t>
      </w:r>
      <w:r w:rsidRPr="003B33A5">
        <w:rPr>
          <w:rFonts w:eastAsia="Times New Roman"/>
          <w:szCs w:val="20"/>
          <w:lang w:val="hu-HU" w:eastAsia="en-GB"/>
        </w:rPr>
        <w:tab/>
        <w:t>megjegyzéseit a mellékelt állásfoglalásban foglalja össze;</w:t>
      </w:r>
    </w:p>
    <w:p w14:paraId="3E50BD1A" w14:textId="77777777" w:rsidR="00E02448" w:rsidRPr="003B33A5" w:rsidRDefault="00E02448" w:rsidP="0073151B">
      <w:pPr>
        <w:spacing w:after="240"/>
        <w:ind w:left="567" w:hanging="567"/>
        <w:jc w:val="left"/>
        <w:rPr>
          <w:rFonts w:eastAsia="Times New Roman"/>
          <w:szCs w:val="20"/>
          <w:lang w:val="hu-HU" w:eastAsia="en-GB"/>
        </w:rPr>
      </w:pPr>
      <w:r w:rsidRPr="003B33A5">
        <w:rPr>
          <w:rFonts w:eastAsia="Times New Roman"/>
          <w:szCs w:val="20"/>
          <w:lang w:val="hu-HU" w:eastAsia="en-GB"/>
        </w:rPr>
        <w:t>3.</w:t>
      </w:r>
      <w:r w:rsidRPr="003B33A5">
        <w:rPr>
          <w:rFonts w:eastAsia="Times New Roman"/>
          <w:szCs w:val="20"/>
          <w:lang w:val="hu-HU" w:eastAsia="en-GB"/>
        </w:rPr>
        <w:tab/>
        <w:t xml:space="preserve">utasítja elnökét, hogy továbbítsa ezt a határozatot, valamint az annak szerves részét képező állásfoglalást a Tanácsnak, a Bizottságnak és a Számvevőszéknek, és gondoskodjon az </w:t>
      </w:r>
      <w:r w:rsidRPr="003B33A5">
        <w:rPr>
          <w:rFonts w:eastAsia="Times New Roman"/>
          <w:i/>
          <w:szCs w:val="20"/>
          <w:lang w:val="hu-HU" w:eastAsia="en-GB"/>
        </w:rPr>
        <w:t xml:space="preserve">Európai Unió Hivatalos Lapjában </w:t>
      </w:r>
      <w:r w:rsidRPr="003B33A5">
        <w:rPr>
          <w:rFonts w:eastAsia="Times New Roman"/>
          <w:szCs w:val="20"/>
          <w:lang w:val="hu-HU" w:eastAsia="en-GB"/>
        </w:rPr>
        <w:t>(L sorozat) való közzétételükről.</w:t>
      </w:r>
    </w:p>
    <w:p w14:paraId="3779208E" w14:textId="77777777" w:rsidR="00E02448" w:rsidRPr="003B33A5" w:rsidRDefault="00E02448">
      <w:pPr>
        <w:rPr>
          <w:lang w:val="hu-HU"/>
        </w:rPr>
        <w:sectPr w:rsidR="00E02448" w:rsidRPr="003B33A5">
          <w:footnotePr>
            <w:numRestart w:val="eachSect"/>
          </w:footnotePr>
          <w:pgSz w:w="11906" w:h="16838"/>
          <w:pgMar w:top="1440" w:right="1440" w:bottom="1440" w:left="1440" w:header="708" w:footer="708" w:gutter="0"/>
          <w:cols w:space="708"/>
          <w:docGrid w:linePitch="360"/>
        </w:sectPr>
      </w:pPr>
    </w:p>
    <w:p w14:paraId="1FCCC59B" w14:textId="77777777" w:rsidR="00D21A19" w:rsidRPr="003B33A5" w:rsidRDefault="00D21A19" w:rsidP="003B33A5">
      <w:pPr>
        <w:pStyle w:val="ATHeading3"/>
      </w:pPr>
      <w:r w:rsidRPr="003B33A5">
        <w:lastRenderedPageBreak/>
        <w:t>2. Az Európai Parlament 2025. május 7-i állásfoglalása az Európai Unió 2023. évi pénzügyi évre szóló általános költségvetésének végrehajtására vonatkozó mentesítésről szóló határozat szerves részét képező megjegyzésekkel, V. szakasz – Számvevőszék (2024/2023(DEC))</w:t>
      </w:r>
    </w:p>
    <w:p w14:paraId="2D9E74D5" w14:textId="77777777" w:rsidR="003B33A5" w:rsidRPr="003B33A5" w:rsidRDefault="003B33A5" w:rsidP="003B33A5">
      <w:pPr>
        <w:pStyle w:val="EPComma"/>
        <w:widowControl/>
        <w:spacing w:before="360"/>
        <w:ind w:left="567" w:hanging="567"/>
      </w:pPr>
      <w:r w:rsidRPr="003B33A5">
        <w:rPr>
          <w:i/>
        </w:rPr>
        <w:t>Az Európai Parlament,</w:t>
      </w:r>
    </w:p>
    <w:p w14:paraId="023FA148"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az Európai Unió 2023. évi pénzügyi évre szóló általános költségvetésének végrehajtására vonatkozó mentesítésről szóló határozatára, V. szakasz – Számvevőszék,</w:t>
      </w:r>
    </w:p>
    <w:p w14:paraId="5E1AFEFA"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eljárási szabályzata 102. cikkére és V. mellékletére,</w:t>
      </w:r>
    </w:p>
    <w:p w14:paraId="4CB4A306"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w:t>
      </w:r>
      <w:r w:rsidRPr="003B33A5">
        <w:rPr>
          <w:rFonts w:eastAsia="Times New Roman"/>
          <w:szCs w:val="20"/>
          <w:lang w:val="hu-HU" w:eastAsia="en-GB"/>
        </w:rPr>
        <w:tab/>
        <w:t>tekintettel a Költségvetési Ellenőrző Bizottság jelentésére (A10-0047/2025),</w:t>
      </w:r>
    </w:p>
    <w:p w14:paraId="48DF04BB"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A.</w:t>
      </w:r>
      <w:r w:rsidRPr="003B33A5">
        <w:rPr>
          <w:rFonts w:eastAsia="Times New Roman"/>
          <w:szCs w:val="20"/>
          <w:lang w:val="hu-HU" w:eastAsia="en-GB"/>
        </w:rPr>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2EC554D3"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B.</w:t>
      </w:r>
      <w:r w:rsidRPr="003B33A5">
        <w:rPr>
          <w:rFonts w:eastAsia="Times New Roman"/>
          <w:szCs w:val="20"/>
          <w:lang w:val="hu-HU" w:eastAsia="en-GB"/>
        </w:rPr>
        <w:tab/>
        <w:t>mivel az Európai Számvevőszék (a továbbiakban: Számvevőszék) az Unió külső ellenőre, amelynek feladata, hogy független, szakszerű és hatásos ellenőrzési munkája révén értékelje az uniós tevékenységek gazdaságosságát, eredményességét, hatékonyságát, jogszerűségét és szabályszerűségét az elszámoltathatóság, az átláthatóság és a pénzgazdálkodás javítása érdekében, és ezáltal erősítse a polgárok bizalmát, valamint hatékony választ adjon az Unió előtt álló jelenlegi és jövőbeli kihívásokra;</w:t>
      </w:r>
    </w:p>
    <w:p w14:paraId="6353E2CA"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C.</w:t>
      </w:r>
      <w:r w:rsidRPr="003B33A5">
        <w:rPr>
          <w:rFonts w:eastAsia="Times New Roman"/>
          <w:szCs w:val="20"/>
          <w:lang w:val="hu-HU" w:eastAsia="en-GB"/>
        </w:rPr>
        <w:tab/>
        <w:t>mivel az Európai Unió működéséről szóló szerződés (EUMSZ) 287. és 319. cikkének sérelme nélkül a Számvevőszék bevételeit és kiadásait az 1987. évi pénzügyi év lezárása óta minden évben független külső könyvvizsgáló ellenőrzi, és az 1992. évi pénzügyi évről szóló jelentés óta a külső könyvvizsgáló jelentéseit közzéteszik az</w:t>
      </w:r>
      <w:r w:rsidRPr="003B33A5">
        <w:rPr>
          <w:rFonts w:eastAsia="Times New Roman"/>
          <w:i/>
          <w:szCs w:val="20"/>
          <w:lang w:val="hu-HU" w:eastAsia="en-GB"/>
        </w:rPr>
        <w:t xml:space="preserve"> Európai Unió Hivatalos Lapjában</w:t>
      </w:r>
      <w:r w:rsidRPr="003B33A5">
        <w:rPr>
          <w:rFonts w:eastAsia="Times New Roman"/>
          <w:szCs w:val="20"/>
          <w:lang w:val="hu-HU" w:eastAsia="en-GB"/>
        </w:rPr>
        <w:t>;</w:t>
      </w:r>
    </w:p>
    <w:p w14:paraId="24304BCE"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D.</w:t>
      </w:r>
      <w:r w:rsidRPr="003B33A5">
        <w:rPr>
          <w:rFonts w:eastAsia="Times New Roman"/>
          <w:szCs w:val="20"/>
          <w:lang w:val="hu-HU" w:eastAsia="en-GB"/>
        </w:rPr>
        <w:tab/>
        <w:t>mivel az irányítás elszámoltathatósága a költségvetési hatóságok felé a Számvevőszék főtitkárának éves tevékenységi jelentésén keresztül történik, amelynek célja a költségvetési rendelet 74. cikkének (9) bekezdésével összhangban, hogy tájékoztatást nyújtson a források felhasználásáról, beleértve a rendszereket, valamint a Számvevőszék belső ellenőrzési rendszereinek hatékonyságáról és eredményességéről;</w:t>
      </w:r>
    </w:p>
    <w:p w14:paraId="6BD8F14E"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E.</w:t>
      </w:r>
      <w:r w:rsidRPr="003B33A5">
        <w:rPr>
          <w:rFonts w:eastAsia="Times New Roman"/>
          <w:szCs w:val="20"/>
          <w:lang w:val="hu-HU" w:eastAsia="en-GB"/>
        </w:rPr>
        <w:tab/>
        <w:t>mivel a Számvevőszék átlátható és független működésével hozzájárul a demokratikus felügyelethez, a nyilvános vitához és az Unió hatékony és eredményes pénzgazdálkodásához;</w:t>
      </w:r>
    </w:p>
    <w:p w14:paraId="7CAE248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F.</w:t>
      </w:r>
      <w:r w:rsidRPr="003B33A5">
        <w:rPr>
          <w:rFonts w:eastAsia="Times New Roman"/>
          <w:szCs w:val="20"/>
          <w:lang w:val="hu-HU" w:eastAsia="en-GB"/>
        </w:rPr>
        <w:tab/>
        <w:t xml:space="preserve">mivel a Számvevőszék azon az állásponton van, hogy az uniós kormányzás, annak elszámoltathatósága és az átláthatósága, valamint az uniós politikák végrehajtására vonatkozó információk és adatok minőségének és megbízhatóságának értékelése érdekében a legjobb megoldás az lenne, ha a Számvevőszék megbízást kapna a Szerződések által vagy azok alapján létrehozott valamennyi uniós intézmény, szerv, hivatal és ügynökség, valamint az Unió működése szempontjából kulcsfontosságú valamennyi kormányközi struktúra ellenőrzésére; mivel a Parlament határozottan </w:t>
      </w:r>
      <w:r w:rsidRPr="003B33A5">
        <w:rPr>
          <w:rFonts w:eastAsia="Times New Roman"/>
          <w:szCs w:val="20"/>
          <w:lang w:val="hu-HU" w:eastAsia="en-GB"/>
        </w:rPr>
        <w:lastRenderedPageBreak/>
        <w:t>támogatja a Számvevőszéket, és üdvözölné azokat a kezdeményezéseket, amelyek megerősítenék a Számvevőszék azon képességét, hogy teljesítse megbízatását;</w:t>
      </w:r>
    </w:p>
    <w:p w14:paraId="3FBB9413"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1.</w:t>
      </w:r>
      <w:r w:rsidRPr="003B33A5">
        <w:rPr>
          <w:rFonts w:eastAsia="Times New Roman"/>
          <w:szCs w:val="20"/>
          <w:lang w:val="hu-HU" w:eastAsia="en-GB"/>
        </w:rPr>
        <w:tab/>
        <w:t>megjegyzi, hogy a Számvevőszék költségvetése a többéves pénzügyi keret „Európai közigazgatás” elnevezésű 7. fejezetébe tartozik, amely 2023-ben 12,3 milliárd EUR-t tett ki (ami a teljes uniós költségvetés 6,4 %-</w:t>
      </w:r>
      <w:proofErr w:type="spellStart"/>
      <w:r w:rsidRPr="003B33A5">
        <w:rPr>
          <w:rFonts w:eastAsia="Times New Roman"/>
          <w:szCs w:val="20"/>
          <w:lang w:val="hu-HU" w:eastAsia="en-GB"/>
        </w:rPr>
        <w:t>ának</w:t>
      </w:r>
      <w:proofErr w:type="spellEnd"/>
      <w:r w:rsidRPr="003B33A5">
        <w:rPr>
          <w:rFonts w:eastAsia="Times New Roman"/>
          <w:szCs w:val="20"/>
          <w:lang w:val="hu-HU" w:eastAsia="en-GB"/>
        </w:rPr>
        <w:t xml:space="preserve"> felel meg); megjegyzi, hogy a Számvevőszék mintegy 0,2 milliárd EUR-s költségvetése az Unió összes igazgatási kiadásának körülbelül 1,5 %-át és az összes uniós kiadás kevesebb mint 0,1 %-át teszi ki;</w:t>
      </w:r>
    </w:p>
    <w:p w14:paraId="1A2C78B1"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2.</w:t>
      </w:r>
      <w:r w:rsidRPr="003B33A5">
        <w:rPr>
          <w:rFonts w:eastAsia="Times New Roman"/>
          <w:szCs w:val="20"/>
          <w:lang w:val="hu-HU" w:eastAsia="en-GB"/>
        </w:rPr>
        <w:tab/>
        <w:t>megjegyzi, hogy a Számvevőszék a 2023. évi pénzügyi évre vonatkozó éves jelentésében az „Igazgatás” alá tartozó 70 ügyletből álló mintát vizsgált meg, amely 10-zel több, mint amennyit 2022-ben vizsgáltak meg; megjegyzi továbbá, hogy a Számvevőszék jelentése szerint igazgatási kiadások alatt a humán erőforrásokra és azokon belül a nyugdíjakra – ezek 2023-ban az összes kiadás mintegy 70 %-át tették ki –, valamint az épületekre, felszerelésekre, energiára, kommunikációra és információtechnológiára fordított kiadások értendők, és sokéves tapasztalata szerint ez a kiadási terület általában alacsony kockázatú;</w:t>
      </w:r>
    </w:p>
    <w:p w14:paraId="371EE555"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3.</w:t>
      </w:r>
      <w:r w:rsidRPr="003B33A5">
        <w:rPr>
          <w:rFonts w:eastAsia="Times New Roman"/>
          <w:szCs w:val="20"/>
          <w:lang w:val="hu-HU" w:eastAsia="en-GB"/>
        </w:rPr>
        <w:tab/>
        <w:t>üdvözli a Számvevőszék által az „Igazgatás” című fejezet alatt ellenőrzött tranzakciók számának folyamatos növekedését; tudomásul veszi az uniós közszolgálatra vonatkozóan tervezett ellenőrzést, de emlékeztet az igazgatási kiadások alaposabb vizsgálatának fontosságára, és megismétli arra irányuló felhívását, hogy munkájába foglaljon bele átfogó adatokat valamennyi intézményről annak érdekében, hogy koherens alapot biztosítson a következetes mentesítési eljáráshoz;</w:t>
      </w:r>
    </w:p>
    <w:p w14:paraId="3750CF36"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4.</w:t>
      </w:r>
      <w:r w:rsidRPr="003B33A5">
        <w:rPr>
          <w:rFonts w:eastAsia="Times New Roman"/>
          <w:szCs w:val="20"/>
          <w:lang w:val="hu-HU" w:eastAsia="en-GB"/>
        </w:rPr>
        <w:tab/>
        <w:t>megjegyzi, hogy a 70 tranzakcióból 21 (30 %) tartalmazott hibákat, de a Számvevőszék a számszerűsített öt hiba alapján úgy becsüli, hogy a hibaszint a lényegességi küszöb alatt van;</w:t>
      </w:r>
    </w:p>
    <w:p w14:paraId="322A2296"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5.</w:t>
      </w:r>
      <w:r w:rsidRPr="003B33A5">
        <w:rPr>
          <w:rFonts w:eastAsia="Times New Roman"/>
          <w:szCs w:val="20"/>
          <w:lang w:val="hu-HU" w:eastAsia="en-GB"/>
        </w:rPr>
        <w:tab/>
        <w:t>megjegyzi, hogy a Számvevőszék éves beszámolóját független külső ellenőr ellenőrzi annak biztosítása érdekében, hogy az átláthatóság, az elszámoltathatóság és a függetlenség tekintetében ugyanazon elvek vonatkozzanak a Számvevőszék külső ellenőrére, mint amelyeket a Számvevőszék alkalmaz az általa ellenőrzött szervekre;</w:t>
      </w:r>
    </w:p>
    <w:p w14:paraId="157D9169" w14:textId="77777777" w:rsidR="00E02448" w:rsidRPr="003B33A5" w:rsidRDefault="00E02448" w:rsidP="0061017A">
      <w:pPr>
        <w:spacing w:after="240"/>
        <w:ind w:left="567" w:hanging="567"/>
        <w:rPr>
          <w:rFonts w:eastAsia="Times New Roman"/>
          <w:b/>
          <w:i/>
          <w:lang w:val="hu-HU" w:eastAsia="en-GB"/>
        </w:rPr>
      </w:pPr>
      <w:r w:rsidRPr="003B33A5">
        <w:rPr>
          <w:rFonts w:eastAsia="Times New Roman"/>
          <w:b/>
          <w:i/>
          <w:szCs w:val="20"/>
          <w:lang w:val="hu-HU" w:eastAsia="en-GB"/>
        </w:rPr>
        <w:t>Költségvetési és pénzgazdálkodás</w:t>
      </w:r>
    </w:p>
    <w:p w14:paraId="0D403679"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6.</w:t>
      </w:r>
      <w:r w:rsidRPr="003B33A5">
        <w:rPr>
          <w:rFonts w:eastAsia="Times New Roman"/>
          <w:szCs w:val="20"/>
          <w:lang w:val="hu-HU" w:eastAsia="en-GB"/>
        </w:rPr>
        <w:tab/>
        <w:t xml:space="preserve">megjegyzi, hogy a Számvevőszék 2023. évi teljes költségvetése 175 059 922 EUR-t tett ki, ami a 2022. évi 162 141 175 EUR-hoz képest 7,97 %-os növekedésnek felel meg; megjegyzi, hogy a növekedés elsősorban az illetménykiigazításoknak és a </w:t>
      </w:r>
      <w:proofErr w:type="spellStart"/>
      <w:r w:rsidRPr="003B33A5">
        <w:rPr>
          <w:rFonts w:eastAsia="Times New Roman"/>
          <w:szCs w:val="20"/>
          <w:lang w:val="hu-HU" w:eastAsia="en-GB"/>
        </w:rPr>
        <w:t>NextGenerationEU</w:t>
      </w:r>
      <w:proofErr w:type="spellEnd"/>
      <w:r w:rsidRPr="003B33A5">
        <w:rPr>
          <w:rFonts w:eastAsia="Times New Roman"/>
          <w:szCs w:val="20"/>
          <w:lang w:val="hu-HU" w:eastAsia="en-GB"/>
        </w:rPr>
        <w:t>-hoz kapcsolódó 9 új ideiglenes álláshelynek tulajdonítható; megjegyzi, hogy 2023-ben az előirányzatok 88,5 %-át a tagokra és a személyzetre, 11,5 %-át pedig az épületekre, berendezésekre és egyéb kiadásokra fordították;</w:t>
      </w:r>
    </w:p>
    <w:p w14:paraId="737684D0"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7.</w:t>
      </w:r>
      <w:r w:rsidRPr="003B33A5">
        <w:rPr>
          <w:rFonts w:eastAsia="Times New Roman"/>
          <w:szCs w:val="20"/>
          <w:lang w:val="hu-HU" w:eastAsia="en-GB"/>
        </w:rPr>
        <w:tab/>
        <w:t>megjegyzi, hogy a kötelezettségvállalások és kifizetések végrehajtási aránya magas volt, bár valamivel alacsonyabb, mint 2022-ben; megállapítja, hogy az előirányzatok felhasználási aránya 97,92 %-os volt, és a kifizetések az összes kötelezettségvállalás 94,45 %-át tették ki, szemben a 2022. évi 98,12 %-kal, illetve 95,26 %-kal;</w:t>
      </w:r>
    </w:p>
    <w:p w14:paraId="24D21CFF"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8.</w:t>
      </w:r>
      <w:r w:rsidRPr="003B33A5">
        <w:rPr>
          <w:rFonts w:eastAsia="Times New Roman"/>
          <w:szCs w:val="20"/>
          <w:lang w:val="hu-HU" w:eastAsia="en-GB"/>
        </w:rPr>
        <w:tab/>
        <w:t xml:space="preserve">megjegyzi, hogy Oroszország Ukrajna elleni jogellenes és indokolatlan agressziós háborúja többféle módon is költségvetési nyomást gyakorolt a Számvevőszékre, többek </w:t>
      </w:r>
      <w:r w:rsidRPr="003B33A5">
        <w:rPr>
          <w:rFonts w:eastAsia="Times New Roman"/>
          <w:szCs w:val="20"/>
          <w:lang w:val="hu-HU" w:eastAsia="en-GB"/>
        </w:rPr>
        <w:lastRenderedPageBreak/>
        <w:t>között a növekvő infláció és az illetménykiigazítások, valamint a villamosenergia- és fűtési költségek jelentős növekedése miatt;</w:t>
      </w:r>
    </w:p>
    <w:p w14:paraId="2BAF18D0"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9.</w:t>
      </w:r>
      <w:r w:rsidRPr="003B33A5">
        <w:rPr>
          <w:rFonts w:eastAsia="Times New Roman"/>
          <w:szCs w:val="20"/>
          <w:lang w:val="hu-HU" w:eastAsia="en-GB"/>
        </w:rPr>
        <w:tab/>
        <w:t>kiemeli, hogy a 2023. évi költségvetés végrehajtását két tényező befolyásolta, ami megmagyarázza a 2022. évinél valamivel alacsonyabb arányt:</w:t>
      </w:r>
    </w:p>
    <w:p w14:paraId="7757A38C" w14:textId="5506910B" w:rsidR="00E02448" w:rsidRPr="003B33A5" w:rsidRDefault="003B33A5" w:rsidP="0061017A">
      <w:pPr>
        <w:spacing w:after="240"/>
        <w:ind w:left="1134" w:hanging="567"/>
        <w:jc w:val="left"/>
        <w:rPr>
          <w:rFonts w:eastAsia="Times New Roman"/>
          <w:lang w:val="hu-HU" w:eastAsia="en-GB"/>
        </w:rPr>
      </w:pPr>
      <w:r w:rsidRPr="003B33A5">
        <w:rPr>
          <w:rFonts w:eastAsia="Times New Roman"/>
          <w:szCs w:val="20"/>
          <w:lang w:val="hu-HU" w:eastAsia="en-GB"/>
        </w:rPr>
        <w:t>a)</w:t>
      </w:r>
      <w:r w:rsidR="00E02448" w:rsidRPr="003B33A5">
        <w:rPr>
          <w:rFonts w:eastAsia="Times New Roman"/>
          <w:szCs w:val="20"/>
          <w:lang w:val="hu-HU" w:eastAsia="en-GB"/>
        </w:rPr>
        <w:tab/>
        <w:t xml:space="preserve">a költségvetésben tervezettnél magasabb inflációs szint és az ebből eredő, az új és a meglévő szerződéseket érintő </w:t>
      </w:r>
      <w:proofErr w:type="spellStart"/>
      <w:r w:rsidR="00E02448" w:rsidRPr="003B33A5">
        <w:rPr>
          <w:rFonts w:eastAsia="Times New Roman"/>
          <w:szCs w:val="20"/>
          <w:lang w:val="hu-HU" w:eastAsia="en-GB"/>
        </w:rPr>
        <w:t>árindexálások</w:t>
      </w:r>
      <w:proofErr w:type="spellEnd"/>
      <w:r w:rsidR="00E02448" w:rsidRPr="003B33A5">
        <w:rPr>
          <w:rFonts w:eastAsia="Times New Roman"/>
          <w:szCs w:val="20"/>
          <w:lang w:val="hu-HU" w:eastAsia="en-GB"/>
        </w:rPr>
        <w:t>, amelyek további költségvetési igényeket váltottak ki a nem bérjellegű kiadások és különösen az energia és az informatika költségvetési sorainak fedezésére; az előirányzatok növelését végül főként a 1 0. alcím (Az intézmények tagjai), a 1 2. alcím (Tisztviselők és ideiglenes alkalmazottak) és a 2. cím költségvetési soraiban – például Kiadványok, Korlátozott jellegű konzultációk, tanulmányok és felmérések, valamint Tolmácsolási költségek – szereplő egyes előirányzatok kihasználatlansága tette lehetővé;</w:t>
      </w:r>
    </w:p>
    <w:p w14:paraId="782A36B4" w14:textId="272101CA" w:rsidR="00E02448" w:rsidRPr="003B33A5" w:rsidRDefault="003B33A5" w:rsidP="0061017A">
      <w:pPr>
        <w:spacing w:after="240"/>
        <w:ind w:left="1134" w:hanging="567"/>
        <w:jc w:val="left"/>
        <w:rPr>
          <w:rFonts w:eastAsia="Times New Roman"/>
          <w:lang w:val="hu-HU" w:eastAsia="en-GB"/>
        </w:rPr>
      </w:pPr>
      <w:r w:rsidRPr="003B33A5">
        <w:rPr>
          <w:rFonts w:eastAsia="Times New Roman"/>
          <w:szCs w:val="20"/>
          <w:lang w:val="hu-HU" w:eastAsia="en-GB"/>
        </w:rPr>
        <w:t>b)</w:t>
      </w:r>
      <w:r w:rsidR="00E02448" w:rsidRPr="003B33A5">
        <w:rPr>
          <w:rFonts w:eastAsia="Times New Roman"/>
          <w:szCs w:val="20"/>
          <w:lang w:val="hu-HU" w:eastAsia="en-GB"/>
        </w:rPr>
        <w:tab/>
        <w:t>a szerződéses alkalmazottak és a kirendelt nemzeti szakértők bármely más luxemburgi székhelyű európai szervénél magasabb fluktuációja (egyes kirendelt nemzeti szakértői szerződéseket nem hosszabbítottak meg, és néhány kirendelt nemzeti szakértő megfelelt az ideiglenes alkalmazottaknak kiírt vonatkozó belső versenyvizsgán), késedelmek és nehézségek a felvételi eljárásokban;</w:t>
      </w:r>
    </w:p>
    <w:p w14:paraId="0681998B"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10.</w:t>
      </w:r>
      <w:r w:rsidRPr="003B33A5">
        <w:rPr>
          <w:rFonts w:eastAsia="Times New Roman"/>
          <w:szCs w:val="20"/>
          <w:lang w:val="hu-HU" w:eastAsia="en-GB"/>
        </w:rPr>
        <w:tab/>
        <w:t>megjegyzi, hogy 2023 folyamán a Számvevőszék 36 költségvetési átcsoportosítást hajtott végre összesen 5 676 379 EUR értékben, amelyek célja annak biztosítása volt, hogy a Számvevőszék különböző szervezeti egységei zökkenőmentesen működjenek, és hogy minden kapcsolódó igényt kielégítsenek;</w:t>
      </w:r>
    </w:p>
    <w:p w14:paraId="34EC309B"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11.</w:t>
      </w:r>
      <w:r w:rsidRPr="003B33A5">
        <w:rPr>
          <w:rFonts w:eastAsia="Times New Roman"/>
          <w:szCs w:val="20"/>
          <w:lang w:val="hu-HU" w:eastAsia="en-GB"/>
        </w:rPr>
        <w:tab/>
        <w:t>megjegyzi, hogy 2023-ban a Számvevőszék összesen 23 426 750,05 EUR értékben vásárolt árukat és szolgáltatásokat (2022-ben 5 512 853 EUR, 2021-ben pedig 15 215 515 EUR értékben), amelyből a helyi beszállítóktól történő beszerzések 21 453 665,05 EUR-t tettek ki (2022-ben 4 848 701 EUR-t, 2021-ben pedig 10 144 812 EUR-t);</w:t>
      </w:r>
    </w:p>
    <w:p w14:paraId="64116C3E"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12.</w:t>
      </w:r>
      <w:r w:rsidRPr="003B33A5">
        <w:rPr>
          <w:rFonts w:eastAsia="Times New Roman"/>
          <w:szCs w:val="20"/>
          <w:lang w:val="hu-HU" w:eastAsia="en-GB"/>
        </w:rPr>
        <w:tab/>
        <w:t>megelégedéssel veszi tudomásul, hogy a külső ellenőr szerint az allokált forrásokat az eredetileg tervezett célra használták fel, és hogy az engedélyezésre jogosult tisztviselő által bevezetett kontrolleljárások megfelelően biztosították, hogy a pénzügyi műveletek megfeleljenek az alkalmazandó szabályoknak és előírásoknak;</w:t>
      </w:r>
    </w:p>
    <w:p w14:paraId="0B7280BC"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13.</w:t>
      </w:r>
      <w:r w:rsidRPr="003B33A5">
        <w:rPr>
          <w:rFonts w:eastAsia="Times New Roman"/>
          <w:szCs w:val="20"/>
          <w:lang w:val="hu-HU" w:eastAsia="en-GB"/>
        </w:rPr>
        <w:tab/>
        <w:t>üdvözli, hogy a Számvevőszék (a tagok és a személyzet) kiküldetéseinek eredetileg 2 722 500 EUR-ban meghatározott teljes költségvetése 4,4 %-kal, 2 602 500 EUR-ra csökkent, tekintettel a Számvevőszék munkamódszereiben a világjárványt követően bekövetkezett változásokra;</w:t>
      </w:r>
    </w:p>
    <w:p w14:paraId="42C16997"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14.</w:t>
      </w:r>
      <w:r w:rsidRPr="003B33A5">
        <w:rPr>
          <w:rFonts w:eastAsia="Times New Roman"/>
          <w:szCs w:val="20"/>
          <w:lang w:val="hu-HU" w:eastAsia="en-GB"/>
        </w:rPr>
        <w:tab/>
        <w:t>felhívja a Számvevőszéket, hogy végezze el az utazások és az ülések idejére járó ellátmányok átfogó felülvizsgálatát, biztosítva, hogy a kiadások költséghatékonyak, indokoltak és környezeti szempontból fenntarthatók legyenek, beleértve a hibrid ülésekre való fokozott támaszkodást a szükségtelen kiadások és a szén-dioxid-kibocsátás csökkentése érdekében;</w:t>
      </w:r>
    </w:p>
    <w:p w14:paraId="10FC8FAA" w14:textId="77777777" w:rsidR="00E02448" w:rsidRPr="003B33A5" w:rsidRDefault="00E02448" w:rsidP="0061017A">
      <w:pPr>
        <w:spacing w:after="240"/>
        <w:ind w:left="567" w:hanging="567"/>
        <w:jc w:val="left"/>
        <w:rPr>
          <w:rFonts w:eastAsia="Times New Roman"/>
          <w:b/>
          <w:i/>
          <w:szCs w:val="20"/>
          <w:lang w:val="hu-HU" w:eastAsia="en-GB"/>
        </w:rPr>
      </w:pPr>
      <w:r w:rsidRPr="003B33A5">
        <w:rPr>
          <w:rFonts w:eastAsia="Times New Roman"/>
          <w:b/>
          <w:i/>
          <w:szCs w:val="20"/>
          <w:lang w:val="hu-HU" w:eastAsia="en-GB"/>
        </w:rPr>
        <w:t>Belső irányítás, teljesítmény és belső kontroll</w:t>
      </w:r>
    </w:p>
    <w:p w14:paraId="44201D03"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lastRenderedPageBreak/>
        <w:t>15.</w:t>
      </w:r>
      <w:r w:rsidRPr="003B33A5">
        <w:rPr>
          <w:rFonts w:eastAsia="Times New Roman"/>
          <w:szCs w:val="20"/>
          <w:lang w:val="hu-HU" w:eastAsia="en-GB"/>
        </w:rPr>
        <w:tab/>
        <w:t>üdvözli, hogy 2023-ban a Számvevőszék jelentősen megnövelte helyszíni ellenőrzéseinek számát az előző három évhez képest, amikor még részben érvényben voltak a Covid-járvánnyal kapcsolatos utazási és közegészségügyi korlátozások; megjegyzi, hogy a Számvevőszék összesen 4 897 napot töltött a tagállamokban és az Unión kívül tett látogatással, szemben a 2022. évi 2 984 nappal, a 2021. évi 1 156 nappal, a 2020. évi 1 190 nappal és a 2019. évi 3 605 nappal;</w:t>
      </w:r>
    </w:p>
    <w:p w14:paraId="1F05D508"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16.</w:t>
      </w:r>
      <w:r w:rsidRPr="003B33A5">
        <w:rPr>
          <w:rFonts w:eastAsia="Times New Roman"/>
          <w:szCs w:val="20"/>
          <w:lang w:val="hu-HU" w:eastAsia="en-GB"/>
        </w:rPr>
        <w:tab/>
        <w:t xml:space="preserve">megjegyzi, hogy 2023 folyamán a Számvevőszék 2 éves jelentést, 4 különálló éves jelentést, 29 </w:t>
      </w:r>
      <w:proofErr w:type="spellStart"/>
      <w:r w:rsidRPr="003B33A5">
        <w:rPr>
          <w:rFonts w:eastAsia="Times New Roman"/>
          <w:szCs w:val="20"/>
          <w:lang w:val="hu-HU" w:eastAsia="en-GB"/>
        </w:rPr>
        <w:t>különjelentést</w:t>
      </w:r>
      <w:proofErr w:type="spellEnd"/>
      <w:r w:rsidRPr="003B33A5">
        <w:rPr>
          <w:rFonts w:eastAsia="Times New Roman"/>
          <w:szCs w:val="20"/>
          <w:lang w:val="hu-HU" w:eastAsia="en-GB"/>
        </w:rPr>
        <w:t>, 4 véleményt és 6 felülvizsgálatot terjesztett elő, ami összesen 45 tételt tesz ki;</w:t>
      </w:r>
    </w:p>
    <w:p w14:paraId="3DCA5EAF"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17.</w:t>
      </w:r>
      <w:r w:rsidRPr="003B33A5">
        <w:rPr>
          <w:rFonts w:eastAsia="Times New Roman"/>
          <w:szCs w:val="20"/>
          <w:lang w:val="hu-HU" w:eastAsia="en-GB"/>
        </w:rPr>
        <w:tab/>
        <w:t>megjegyzi, hogy a Számvevőszék 2021–2025-ös stratégiájának 29 stratégiai intézkedése közül egyet töröltek, a másik 28 intézkedést pedig teljes mértékben végrehajtották;</w:t>
      </w:r>
    </w:p>
    <w:p w14:paraId="179F440E"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18.</w:t>
      </w:r>
      <w:r w:rsidRPr="003B33A5">
        <w:rPr>
          <w:rFonts w:eastAsia="Times New Roman"/>
          <w:szCs w:val="20"/>
          <w:lang w:val="hu-HU" w:eastAsia="en-GB"/>
        </w:rPr>
        <w:tab/>
        <w:t xml:space="preserve">nagyra értékeli, hogy a Számvevőszék az ellenőrei által végzett nyomon követés alapján méri ajánlásainak végrehajtását; megjegyzi, hogy 2023-ban a Számvevőszék elemezte a 2019. évi jelentéseiben szereplő, a Bizottságnak és más intézményeknek címzett ajánlásokat; nagyra értékeli, hogy az elemzés azt mutatja, hogy a hasznosított ajánlások közül a Számvevőszék 2019. évi éves jelentésében szereplő 15 ajánlás 100 %-át és a Számvevőszék 2019. évi </w:t>
      </w:r>
      <w:proofErr w:type="spellStart"/>
      <w:r w:rsidRPr="003B33A5">
        <w:rPr>
          <w:rFonts w:eastAsia="Times New Roman"/>
          <w:szCs w:val="20"/>
          <w:lang w:val="hu-HU" w:eastAsia="en-GB"/>
        </w:rPr>
        <w:t>különjelentéseiben</w:t>
      </w:r>
      <w:proofErr w:type="spellEnd"/>
      <w:r w:rsidRPr="003B33A5">
        <w:rPr>
          <w:rFonts w:eastAsia="Times New Roman"/>
          <w:szCs w:val="20"/>
          <w:lang w:val="hu-HU" w:eastAsia="en-GB"/>
        </w:rPr>
        <w:t xml:space="preserve"> szereplő 208 ajánlás 85 %-át teljes mértékben, illetve néhány vagy a legtöbb tekintetben végrehajtották;</w:t>
      </w:r>
    </w:p>
    <w:p w14:paraId="540296D1"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19.</w:t>
      </w:r>
      <w:r w:rsidRPr="003B33A5">
        <w:rPr>
          <w:rFonts w:eastAsia="Times New Roman"/>
          <w:szCs w:val="20"/>
          <w:lang w:val="hu-HU" w:eastAsia="en-GB"/>
        </w:rPr>
        <w:tab/>
        <w:t xml:space="preserve">üdvözli, hogy a Számvevőszék kész reagálni a Parlament azon kérésére, hogy ellenőrzési munkáját a legsürgetőbb kihívásokra összpontosítsa, valamint hogy javítsa a Parlamenti Bizottsági Elnökök Értekezletével folytatott együttműködést; hangsúlyozza, hogy a csalás elleni korai </w:t>
      </w:r>
      <w:proofErr w:type="spellStart"/>
      <w:r w:rsidRPr="003B33A5">
        <w:rPr>
          <w:rFonts w:eastAsia="Times New Roman"/>
          <w:szCs w:val="20"/>
          <w:lang w:val="hu-HU" w:eastAsia="en-GB"/>
        </w:rPr>
        <w:t>előrejelző</w:t>
      </w:r>
      <w:proofErr w:type="spellEnd"/>
      <w:r w:rsidRPr="003B33A5">
        <w:rPr>
          <w:rFonts w:eastAsia="Times New Roman"/>
          <w:szCs w:val="20"/>
          <w:lang w:val="hu-HU" w:eastAsia="en-GB"/>
        </w:rPr>
        <w:t xml:space="preserve"> rendszerek javítása érdekében a Számvevőszék számára teljeskörű hozzáférést kell biztosítani a csaláskockázat-értékelési eszközökhöz, többek között az uniós finanszírozási csalási ügyekkel kapcsolatos bizottsági és tagállami adatbázisokhoz; mély sajnálatát fejezi ki amiatt, hogy a Számvevőszék FENIX-</w:t>
      </w:r>
      <w:proofErr w:type="spellStart"/>
      <w:r w:rsidRPr="003B33A5">
        <w:rPr>
          <w:rFonts w:eastAsia="Times New Roman"/>
          <w:szCs w:val="20"/>
          <w:lang w:val="hu-HU" w:eastAsia="en-GB"/>
        </w:rPr>
        <w:t>hez</w:t>
      </w:r>
      <w:proofErr w:type="spellEnd"/>
      <w:r w:rsidRPr="003B33A5">
        <w:rPr>
          <w:rFonts w:eastAsia="Times New Roman"/>
          <w:szCs w:val="20"/>
          <w:lang w:val="hu-HU" w:eastAsia="en-GB"/>
        </w:rPr>
        <w:t xml:space="preserve"> –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 új jelentéstételi eszközéhez – való hozzáférése továbbra is nyitott kérdés, mivel a Bizottság csak néhány FENIX-modulhoz biztosít hozzáférést a Számvevőszék számára, és az abban foglalt információkat nem frissítik kellő időben; sürgeti a Bizottságot, hogy haladéktalanul biztosítson teljeskörű és azonnali hozzáférést a Számvevőszék számára valamennyi FENIX-modulhoz; megjegyzi, hogy a Bizottság Gazdasági és Pénzügyi Főigazgatósága arra törekszik, hogy a kifizetési kérelem jóváhagyásától számított két héten belül hozzáférést biztosítson a Számvevőszék számára a FENIX-fájlokhoz; riasztónak tartja azonban, hogy a gyakorlatban ezt a határidőt sok esetben nem tartják be, és hogy egyes esetekben akár 2,5 hónapos késésekre is sor került, ami jelentősen lelassítja a Számvevőszék megállapításainak közzétételét; emlékeztet arra, hogy a költségvetésért felelős biztos a CONT bizottság 2024. október 10-i ülésén nyíltan kijelentette, hogy a Számvevőszék teljeskörű megbízatással rendelkezik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Eszközzel kapcsolatban, ami jelzi, hogy gyorsan javítani kell a Számvevőszék hozzáférését a megbízatása teljesítéséhez szükséges valamennyi eszközhöz;</w:t>
      </w:r>
    </w:p>
    <w:p w14:paraId="02609F94"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20.</w:t>
      </w:r>
      <w:r w:rsidRPr="003B33A5">
        <w:rPr>
          <w:rFonts w:eastAsia="Times New Roman"/>
          <w:szCs w:val="20"/>
          <w:lang w:val="hu-HU" w:eastAsia="en-GB"/>
        </w:rPr>
        <w:tab/>
        <w:t xml:space="preserve">felhívja a Számvevőszéket, hogy ellenőrzési hatáskörét terjessze ki az Európai Beruházási Bank (EBB) saját forrásaiból finanszírozott műveleteire is, tekintettel az EBB növekvő szerepére az EU gazdasági, pénzügyi és iparpolitikájában; sürgeti a </w:t>
      </w:r>
      <w:r w:rsidRPr="003B33A5">
        <w:rPr>
          <w:rFonts w:eastAsia="Times New Roman"/>
          <w:szCs w:val="20"/>
          <w:lang w:val="hu-HU" w:eastAsia="en-GB"/>
        </w:rPr>
        <w:lastRenderedPageBreak/>
        <w:t>Bizottságot és a tagállamokat, hogy adják meg a Számvevőszék számára e bővítéshez szükséges jogi felhatalmazást;</w:t>
      </w:r>
    </w:p>
    <w:p w14:paraId="4FD6A776"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21.</w:t>
      </w:r>
      <w:r w:rsidRPr="003B33A5">
        <w:rPr>
          <w:rFonts w:eastAsia="Times New Roman"/>
          <w:szCs w:val="20"/>
          <w:lang w:val="hu-HU" w:eastAsia="en-GB"/>
        </w:rPr>
        <w:tab/>
        <w:t xml:space="preserve">elismerését fejezi ki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 végrehajtásáról szóló időszerű és releváns </w:t>
      </w:r>
      <w:proofErr w:type="spellStart"/>
      <w:r w:rsidRPr="003B33A5">
        <w:rPr>
          <w:rFonts w:eastAsia="Times New Roman"/>
          <w:szCs w:val="20"/>
          <w:lang w:val="hu-HU" w:eastAsia="en-GB"/>
        </w:rPr>
        <w:t>különjelentésekért</w:t>
      </w:r>
      <w:proofErr w:type="spellEnd"/>
      <w:r w:rsidRPr="003B33A5">
        <w:rPr>
          <w:rFonts w:eastAsia="Times New Roman"/>
          <w:szCs w:val="20"/>
          <w:lang w:val="hu-HU" w:eastAsia="en-GB"/>
        </w:rPr>
        <w:t>, amelyek lehetővé teszik a mentesítésért felelős hatóság számára, hogy hatékonyan gyakorolja előjogait, és ajánlásokat fogalmazzon meg a Bizottság számára ezen eszköz működésének javítására; sürgeti a Számvevőszéket, hogy erősítse meg szerepét az uniós költségvetésen belüli csalás elleni küzdelemben azáltal, hogy azonosítja a hiányosságokat, csalás elleni megbeszéléseket folytat, fokozza az ellenőrzéseket, együttműködik a csalásfelderítő szervekkel, és releváns visszajelzést ad a mentesítésért felelős hatóságnak;</w:t>
      </w:r>
    </w:p>
    <w:p w14:paraId="78E34AA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22.</w:t>
      </w:r>
      <w:r w:rsidRPr="003B33A5">
        <w:rPr>
          <w:rFonts w:eastAsia="Times New Roman"/>
          <w:szCs w:val="20"/>
          <w:lang w:val="hu-HU" w:eastAsia="en-GB"/>
        </w:rPr>
        <w:tab/>
        <w:t>megjegyzi, hogy 2023 végén a Számvevőszéknek 969 alkalmazottja volt; megjegyzi, hogy 2023-ban a nők a személyzet 53 %-át, a férfiak pedig 47 %-át tették ki, ami változatlan az előző évhez, 2022-höz képest; sajnálja, hogy a nők a felső vezetésnek csupán 30 %-át teszik ki, ami jelentős csökkenést jelent a 2022. évi 36,4 %-hoz képest; kiemeli, hogy 2023-ban csökkent a vezetői pozíciókban lévő nők aránya; felhívja a Számvevőszéket, hogy folytassa a közép- és felső vezetésben a nemek közötti egyensúly előmozdítására irányuló erőfeszítéseit;</w:t>
      </w:r>
    </w:p>
    <w:p w14:paraId="42B327DB" w14:textId="77777777" w:rsidR="00E02448" w:rsidRPr="003B33A5" w:rsidRDefault="00E02448" w:rsidP="0061017A">
      <w:pPr>
        <w:spacing w:after="240"/>
        <w:ind w:left="567" w:hanging="567"/>
        <w:jc w:val="left"/>
        <w:rPr>
          <w:rFonts w:eastAsia="Times New Roman"/>
          <w:b/>
          <w:i/>
          <w:szCs w:val="20"/>
          <w:lang w:val="hu-HU" w:eastAsia="en-GB"/>
        </w:rPr>
      </w:pPr>
      <w:r w:rsidRPr="003B33A5">
        <w:rPr>
          <w:rFonts w:eastAsia="Times New Roman"/>
          <w:b/>
          <w:i/>
          <w:szCs w:val="20"/>
          <w:lang w:val="hu-HU" w:eastAsia="en-GB"/>
        </w:rPr>
        <w:t>Emberi erőforrások, egyenlőség és a személyzet jólléte</w:t>
      </w:r>
    </w:p>
    <w:p w14:paraId="6E0CD1E6" w14:textId="77777777" w:rsidR="00E02448" w:rsidRPr="003B33A5" w:rsidRDefault="00E02448" w:rsidP="0061017A">
      <w:pPr>
        <w:spacing w:after="240"/>
        <w:ind w:left="567" w:hanging="567"/>
        <w:jc w:val="left"/>
        <w:rPr>
          <w:rFonts w:eastAsia="Times New Roman"/>
          <w:b/>
          <w:i/>
          <w:lang w:val="hu-HU" w:eastAsia="en-GB"/>
        </w:rPr>
      </w:pPr>
      <w:r w:rsidRPr="003B33A5">
        <w:rPr>
          <w:rFonts w:eastAsia="Times New Roman"/>
          <w:szCs w:val="20"/>
          <w:lang w:val="hu-HU" w:eastAsia="en-GB"/>
        </w:rPr>
        <w:t>23.</w:t>
      </w:r>
      <w:r w:rsidRPr="003B33A5">
        <w:rPr>
          <w:rFonts w:eastAsia="Times New Roman"/>
          <w:szCs w:val="20"/>
          <w:lang w:val="hu-HU" w:eastAsia="en-GB"/>
        </w:rPr>
        <w:tab/>
        <w:t xml:space="preserve">riasztónak tartja, hogy a munkaerő-felvételi eljárás további erőfeszítést igényelt, mivel a jelöltek mintegy 50 %-a elutasította a Számvevőszék állásajánlatait, részben Luxemburg mint alkalmazási hely korlátozott </w:t>
      </w:r>
      <w:proofErr w:type="spellStart"/>
      <w:r w:rsidRPr="003B33A5">
        <w:rPr>
          <w:rFonts w:eastAsia="Times New Roman"/>
          <w:szCs w:val="20"/>
          <w:lang w:val="hu-HU" w:eastAsia="en-GB"/>
        </w:rPr>
        <w:t>vonzereje</w:t>
      </w:r>
      <w:proofErr w:type="spellEnd"/>
      <w:r w:rsidRPr="003B33A5">
        <w:rPr>
          <w:rFonts w:eastAsia="Times New Roman"/>
          <w:szCs w:val="20"/>
          <w:lang w:val="hu-HU" w:eastAsia="en-GB"/>
        </w:rPr>
        <w:t xml:space="preserve"> és a magas megélhetési költségek miatt; megjegyzi azonban, hogy a Luxemburgban jelen lévő nagy könyvvizsgáló cégek is kihívásokkal néznek szembe, és most az ázsiai piacok felé fordulnak, hogy könyvvizsgálókat vegyenek fel; hangsúlyozza, hogy ezt a megközelítést a Számvevőszék a biztonsággal és a felvételi követelményekkel kapcsolatos aggályok miatt nem alkalmazhatja; elismeri a Számvevőszék erőfeszítéseit, és arra ösztönzi a Számvevőszéket, hogy a magas szintű intézményközi csoporton belül </w:t>
      </w:r>
      <w:proofErr w:type="spellStart"/>
      <w:r w:rsidRPr="003B33A5">
        <w:rPr>
          <w:rFonts w:eastAsia="Times New Roman"/>
          <w:szCs w:val="20"/>
          <w:lang w:val="hu-HU" w:eastAsia="en-GB"/>
        </w:rPr>
        <w:t>működjön</w:t>
      </w:r>
      <w:proofErr w:type="spellEnd"/>
      <w:r w:rsidRPr="003B33A5">
        <w:rPr>
          <w:rFonts w:eastAsia="Times New Roman"/>
          <w:szCs w:val="20"/>
          <w:lang w:val="hu-HU" w:eastAsia="en-GB"/>
        </w:rPr>
        <w:t xml:space="preserve"> együtt más luxemburgi székhelyű intézményekkel annak érdekében, hogy meghatározott intézkedések – például magasabb áthelyezési támogatások, az alacsonyabb besorolási fokozatú alkalmazottak által fizetett magas bérleti költségek enyhítése érdekében nyújtott lakhatási támogatások és a rövid távú tartózkodáshoz szükséges, észszerű árú ideiglenes lakhatás – révén fokozzák Luxemburg </w:t>
      </w:r>
      <w:proofErr w:type="spellStart"/>
      <w:r w:rsidRPr="003B33A5">
        <w:rPr>
          <w:rFonts w:eastAsia="Times New Roman"/>
          <w:szCs w:val="20"/>
          <w:lang w:val="hu-HU" w:eastAsia="en-GB"/>
        </w:rPr>
        <w:t>vonzerejét</w:t>
      </w:r>
      <w:proofErr w:type="spellEnd"/>
      <w:r w:rsidRPr="003B33A5">
        <w:rPr>
          <w:rFonts w:eastAsia="Times New Roman"/>
          <w:szCs w:val="20"/>
          <w:lang w:val="hu-HU" w:eastAsia="en-GB"/>
        </w:rPr>
        <w:t xml:space="preserve"> a leendő személyzet számára, hogy vonzóbbá tegyék a luxemburgi álláshelyeket;</w:t>
      </w:r>
    </w:p>
    <w:p w14:paraId="7CDD607C"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24.</w:t>
      </w:r>
      <w:r w:rsidRPr="003B33A5">
        <w:rPr>
          <w:rFonts w:eastAsia="Times New Roman"/>
          <w:szCs w:val="20"/>
          <w:lang w:val="hu-HU" w:eastAsia="en-GB"/>
        </w:rPr>
        <w:tab/>
        <w:t>emlékeztet az Európai Unióról szóló szerződésre, amely szerint az EU-nak és intézményeinek elő kell mozdítaniuk a nők és férfiak közötti szolidaritást és egyenlőséget;</w:t>
      </w:r>
    </w:p>
    <w:p w14:paraId="53CB5FAB" w14:textId="77777777" w:rsidR="00E02448" w:rsidRPr="003B33A5" w:rsidRDefault="00E02448" w:rsidP="0061017A">
      <w:pPr>
        <w:spacing w:after="240"/>
        <w:ind w:left="567" w:hanging="567"/>
        <w:jc w:val="left"/>
        <w:rPr>
          <w:rFonts w:eastAsia="Times New Roman"/>
          <w:b/>
          <w:i/>
          <w:lang w:val="hu-HU" w:eastAsia="en-GB"/>
        </w:rPr>
      </w:pPr>
      <w:r w:rsidRPr="003B33A5">
        <w:rPr>
          <w:rFonts w:eastAsia="Times New Roman"/>
          <w:szCs w:val="20"/>
          <w:lang w:val="hu-HU" w:eastAsia="en-GB"/>
        </w:rPr>
        <w:t>25.</w:t>
      </w:r>
      <w:r w:rsidRPr="003B33A5">
        <w:rPr>
          <w:rFonts w:eastAsia="Times New Roman"/>
          <w:szCs w:val="20"/>
          <w:lang w:val="hu-HU" w:eastAsia="en-GB"/>
        </w:rPr>
        <w:tab/>
        <w:t>osztja a Számvevőszék azzal kapcsolatos aggodalmát, hogy a könyvvizsgálói szakma általában munkaerő-felvételi problémákkal küzd, mivel a fiatal munkavállalók körében hiányzik az érdeklődés a könyvvizsgálói és ellenőrzési munkakörök iránt; proaktív megoldásokra és azonnali, szisztematikus intézményközi együttműködésre szólít fel e kérdés kezelése érdekében;</w:t>
      </w:r>
    </w:p>
    <w:p w14:paraId="3C220F3E" w14:textId="77777777" w:rsidR="00E02448" w:rsidRPr="003B33A5" w:rsidRDefault="00E02448" w:rsidP="0061017A">
      <w:pPr>
        <w:spacing w:after="240"/>
        <w:ind w:left="567" w:hanging="567"/>
        <w:jc w:val="left"/>
        <w:rPr>
          <w:rFonts w:eastAsia="Times New Roman"/>
          <w:b/>
          <w:i/>
          <w:lang w:val="hu-HU" w:eastAsia="en-GB"/>
        </w:rPr>
      </w:pPr>
      <w:r w:rsidRPr="003B33A5">
        <w:rPr>
          <w:rFonts w:eastAsia="Times New Roman"/>
          <w:szCs w:val="20"/>
          <w:lang w:val="hu-HU" w:eastAsia="en-GB"/>
        </w:rPr>
        <w:t>26.</w:t>
      </w:r>
      <w:r w:rsidRPr="003B33A5">
        <w:rPr>
          <w:rFonts w:eastAsia="Times New Roman"/>
          <w:szCs w:val="20"/>
          <w:lang w:val="hu-HU" w:eastAsia="en-GB"/>
        </w:rPr>
        <w:tab/>
        <w:t xml:space="preserve">osztja a Számvevőszék azon észrevételét, hogy az EPSO versenyvizsgák nem mindig érik el azt a célt, hogy a magánszektorból idevonzzák és kiválasszák a megfelelő profilú pályázókat; kiemeli az EPSO-versenyvizsgákkal kapcsolatos különféle </w:t>
      </w:r>
      <w:r w:rsidRPr="003B33A5">
        <w:rPr>
          <w:rFonts w:eastAsia="Times New Roman"/>
          <w:szCs w:val="20"/>
          <w:lang w:val="hu-HU" w:eastAsia="en-GB"/>
        </w:rPr>
        <w:lastRenderedPageBreak/>
        <w:t>problémákat, például a távteszteléssel kapcsolatos technikai gondokat, amelyek az egyik versenyvizsga törléséhez és az összes többi versenyvizsga felfüggesztéséhez vezettek; elismeri az új alkalmazottak felvételével és kiválasztási eljárásaival kapcsolatos aggályokat; ösztönzi a Számvevőszéket, hogy folytassa a helyzet kezelésére irányuló erőfeszítéseit annak érdekében, hogy biztosítsa a Számvevőszék tevékenységének folytonosságát; elismeréssel veszi tudomásul, hogy a Számvevőszék együttműködött az EPSO-</w:t>
      </w:r>
      <w:proofErr w:type="spellStart"/>
      <w:r w:rsidRPr="003B33A5">
        <w:rPr>
          <w:rFonts w:eastAsia="Times New Roman"/>
          <w:szCs w:val="20"/>
          <w:lang w:val="hu-HU" w:eastAsia="en-GB"/>
        </w:rPr>
        <w:t>val</w:t>
      </w:r>
      <w:proofErr w:type="spellEnd"/>
      <w:r w:rsidRPr="003B33A5">
        <w:rPr>
          <w:rFonts w:eastAsia="Times New Roman"/>
          <w:szCs w:val="20"/>
          <w:lang w:val="hu-HU" w:eastAsia="en-GB"/>
        </w:rPr>
        <w:t xml:space="preserve"> (Európai Személyzeti Felvételi Hivatal) annak érdekében, hogy rendszeres időközönként audit versenyvizsgákat szervezzen; javasolja az egyéb érintett uniós szervekkel való lehetséges együttműködést a munkaerő-felvételi folyamatok optimalizálása érdekében;</w:t>
      </w:r>
    </w:p>
    <w:p w14:paraId="01AF9B7D"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27.</w:t>
      </w:r>
      <w:r w:rsidRPr="003B33A5">
        <w:rPr>
          <w:rFonts w:eastAsia="Times New Roman"/>
          <w:szCs w:val="20"/>
          <w:lang w:val="hu-HU" w:eastAsia="en-GB"/>
        </w:rPr>
        <w:tab/>
        <w:t xml:space="preserve">nagyra értékeli, hogy a Számvevőszék a személyzeti szabályzatban és az Európai Unió egyéb </w:t>
      </w:r>
      <w:proofErr w:type="spellStart"/>
      <w:r w:rsidRPr="003B33A5">
        <w:rPr>
          <w:rFonts w:eastAsia="Times New Roman"/>
          <w:szCs w:val="20"/>
          <w:lang w:val="hu-HU" w:eastAsia="en-GB"/>
        </w:rPr>
        <w:t>alkalmazottaira</w:t>
      </w:r>
      <w:proofErr w:type="spellEnd"/>
      <w:r w:rsidRPr="003B33A5">
        <w:rPr>
          <w:rFonts w:eastAsia="Times New Roman"/>
          <w:szCs w:val="20"/>
          <w:lang w:val="hu-HU" w:eastAsia="en-GB"/>
        </w:rPr>
        <w:t xml:space="preserve"> vonatkozó alkalmazási feltételekben előírtaknak megfelelően rugalmas és változatos kiválasztási eljárásokat szervezett, és eljárásokat vezetett be a tehetséges alkalmazottak megtartására;</w:t>
      </w:r>
    </w:p>
    <w:p w14:paraId="48ECB558"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28.</w:t>
      </w:r>
      <w:r w:rsidRPr="003B33A5">
        <w:rPr>
          <w:rFonts w:eastAsia="Times New Roman"/>
          <w:szCs w:val="20"/>
          <w:lang w:val="hu-HU" w:eastAsia="en-GB"/>
        </w:rPr>
        <w:tab/>
        <w:t>tudomásul veszi a Számvevőszék által a munkaerő-felvételi kihívások enyhítése érdekében kínált (havonta legfeljebb 10 napos) távmunkarendszert; üdvözli a Számvevőszék által 2023-ban a személyzet fizikai és mentális jóllétének biztosítása érdekében hozott intézkedéseket;</w:t>
      </w:r>
    </w:p>
    <w:p w14:paraId="3BF5CDE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29.</w:t>
      </w:r>
      <w:r w:rsidRPr="003B33A5">
        <w:rPr>
          <w:rFonts w:eastAsia="Times New Roman"/>
          <w:szCs w:val="20"/>
          <w:lang w:val="hu-HU" w:eastAsia="en-GB"/>
        </w:rPr>
        <w:tab/>
        <w:t>megjegyzi, hogy a betöltetlen álláshelyek aránya 2023 decemberében 2,27 %-os, a személyzeti fluktuáció aránya (a távozó alkalmazottak száma az összes alkalmazott arányában) pedig 6,6 %-os volt;</w:t>
      </w:r>
    </w:p>
    <w:p w14:paraId="5FE82A9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30.</w:t>
      </w:r>
      <w:r w:rsidRPr="003B33A5">
        <w:rPr>
          <w:rFonts w:eastAsia="Times New Roman"/>
          <w:szCs w:val="20"/>
          <w:lang w:val="hu-HU" w:eastAsia="en-GB"/>
        </w:rPr>
        <w:tab/>
        <w:t xml:space="preserve">nagyra értékeli a Számvevőszék arra irányuló erőfeszítéseit, hogy 2023-ban alacsonyan tartsa a betöltetlen álláshelyek arányát; teljes mértékben osztja azonban az új alkalmazottak közötti földrajzi egyensúly hiányával kapcsolatos aggodalmakat, ami tovább csökkenti a Számvevőszék személyzete egészének </w:t>
      </w:r>
      <w:proofErr w:type="spellStart"/>
      <w:r w:rsidRPr="003B33A5">
        <w:rPr>
          <w:rFonts w:eastAsia="Times New Roman"/>
          <w:szCs w:val="20"/>
          <w:lang w:val="hu-HU" w:eastAsia="en-GB"/>
        </w:rPr>
        <w:t>földrajzilag</w:t>
      </w:r>
      <w:proofErr w:type="spellEnd"/>
      <w:r w:rsidRPr="003B33A5">
        <w:rPr>
          <w:rFonts w:eastAsia="Times New Roman"/>
          <w:szCs w:val="20"/>
          <w:lang w:val="hu-HU" w:eastAsia="en-GB"/>
        </w:rPr>
        <w:t xml:space="preserve"> reprezentatív jellegét; megjegyzi, hogy a Számvevőszék szerint fennáll annak a kockázata, hogy öt éven belül több skandináv tagállamra nem terjed majd ki az ellenőrzés, mivel előfordulhat, hogy e tagállamokból nem érkeznek ellenőrök;</w:t>
      </w:r>
    </w:p>
    <w:p w14:paraId="68B60A37"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31.</w:t>
      </w:r>
      <w:r w:rsidRPr="003B33A5">
        <w:rPr>
          <w:rFonts w:eastAsia="Times New Roman"/>
          <w:szCs w:val="20"/>
          <w:lang w:val="hu-HU" w:eastAsia="en-GB"/>
        </w:rPr>
        <w:tab/>
        <w:t xml:space="preserve">üdvözli, hogy a Számvevőszék különböző lépéseket tett a földrajzi egyensúly kérdésének kezelése érdekében, például növelte a Számvevőszék versenyvizsga- és álláshirdetéseinek nyilvánosságát a jelentősen </w:t>
      </w:r>
      <w:proofErr w:type="spellStart"/>
      <w:r w:rsidRPr="003B33A5">
        <w:rPr>
          <w:rFonts w:eastAsia="Times New Roman"/>
          <w:szCs w:val="20"/>
          <w:lang w:val="hu-HU" w:eastAsia="en-GB"/>
        </w:rPr>
        <w:t>alulreprezentált</w:t>
      </w:r>
      <w:proofErr w:type="spellEnd"/>
      <w:r w:rsidRPr="003B33A5">
        <w:rPr>
          <w:rFonts w:eastAsia="Times New Roman"/>
          <w:szCs w:val="20"/>
          <w:lang w:val="hu-HU" w:eastAsia="en-GB"/>
        </w:rPr>
        <w:t xml:space="preserve"> tagállamokban, együttműködött a Számvevőszék tagjaival a hirdetmények terjesztésében, és egyes tagállamokban karriervásárokon való részvétel révén vette fel a kapcsolatot a potenciális jelöltekkel; ösztönzi a további lépések mérlegelését, például a korai szerepvállalási stratégiákat, valamint az alacsony képviselettel rendelkező országokból származó fiatal tehetségek bevonzását; némi sajnálattal állapítja meg, hogy a közép- és felső vezetésben még mindig van mit tenni a nemek közötti egyensúly elérése érdekében;</w:t>
      </w:r>
    </w:p>
    <w:p w14:paraId="2AB2BE64" w14:textId="77777777" w:rsidR="00E02448" w:rsidRPr="003B33A5" w:rsidRDefault="00E02448" w:rsidP="0061017A">
      <w:pPr>
        <w:spacing w:after="240"/>
        <w:ind w:left="567" w:hanging="567"/>
        <w:jc w:val="left"/>
        <w:rPr>
          <w:rFonts w:eastAsia="Times New Roman"/>
          <w:i/>
          <w:lang w:val="hu-HU" w:eastAsia="en-GB"/>
        </w:rPr>
      </w:pPr>
      <w:r w:rsidRPr="003B33A5">
        <w:rPr>
          <w:rFonts w:eastAsia="Times New Roman"/>
          <w:szCs w:val="20"/>
          <w:lang w:val="hu-HU" w:eastAsia="en-GB"/>
        </w:rPr>
        <w:t>32.</w:t>
      </w:r>
      <w:r w:rsidRPr="003B33A5">
        <w:rPr>
          <w:rFonts w:eastAsia="Times New Roman"/>
          <w:szCs w:val="20"/>
          <w:lang w:val="hu-HU" w:eastAsia="en-GB"/>
        </w:rPr>
        <w:tab/>
        <w:t xml:space="preserve">üdvözli, hogy 2023 végén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Eszközhöz tartozó 723,8 milliárd EUR ellenőrzéséhez szükséges mind a 29 további </w:t>
      </w:r>
      <w:proofErr w:type="spellStart"/>
      <w:r w:rsidRPr="003B33A5">
        <w:rPr>
          <w:rFonts w:eastAsia="Times New Roman"/>
          <w:szCs w:val="20"/>
          <w:lang w:val="hu-HU" w:eastAsia="en-GB"/>
        </w:rPr>
        <w:t>álláshelyet</w:t>
      </w:r>
      <w:proofErr w:type="spellEnd"/>
      <w:r w:rsidRPr="003B33A5">
        <w:rPr>
          <w:rFonts w:eastAsia="Times New Roman"/>
          <w:szCs w:val="20"/>
          <w:lang w:val="hu-HU" w:eastAsia="en-GB"/>
        </w:rPr>
        <w:t xml:space="preserve"> betöltötték; hangsúlyozza azonban, hogy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 lényegessége, összetettsége, nagy összegei és gyors kifizetései továbbra is kihívást jelentenek, és hogy a rendelkezésre álló forrásokból nem fedezhető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 minden aspektusa, és így azok bár lehetővé teszik a Számvevőszék számára, hogy értékelje a mérföldkövek és célok kielégítő teljesítését – és ezáltal a Helyreállítási </w:t>
      </w:r>
      <w:r w:rsidRPr="003B33A5">
        <w:rPr>
          <w:rFonts w:eastAsia="Times New Roman"/>
          <w:szCs w:val="20"/>
          <w:lang w:val="hu-HU" w:eastAsia="en-GB"/>
        </w:rPr>
        <w:lastRenderedPageBreak/>
        <w:t xml:space="preserve">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 kifizetéseinek jogszerűségét és szabályszerűségét –, azonban nem elégségesek ahhoz, hogy szisztematikusan fedezzék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Eszközhöz kapcsolódó kiadások uniós és nemzeti jogszabályoknak való megfelelését; kiemeli annak fontosságát, hogy a Számvevőszék folyamatosan megfelelő létszámmal rendelkezzen megbízatásának és az új finanszírozási eszközökből, például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Eszközből eredő további feladatainak ellátásához; elismerését fejezi ki a Számvevőszék által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Eszközzel kapcsolatos feladatainak ellátása érdekében eddig tett erőfeszítésekért, annak ellenére, hogy nem állnak teljes mértékben rendelkezésre a megfelelő források;</w:t>
      </w:r>
    </w:p>
    <w:p w14:paraId="263ED713"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33.</w:t>
      </w:r>
      <w:r w:rsidRPr="003B33A5">
        <w:rPr>
          <w:rFonts w:eastAsia="Times New Roman"/>
          <w:szCs w:val="20"/>
          <w:lang w:val="hu-HU" w:eastAsia="en-GB"/>
        </w:rPr>
        <w:tab/>
        <w:t>tudatában van annak, hogy a Számvevőszéknek nincs szerepe a tagoknak az EUMSZ 286. cikkének (2) bekezdése szerinti kiválasztási folyamatában; rámutat azonban arra, hogy a Számvevőszék tagjai között továbbra is jelentős a nemek közötti egyensúlyhiány, mivel a 27 tagból csak 10 nő; sajnálatát fejezi ki amiatt, hogy 12 tagállam soha nem jelölt nőt a Számvevőszékbe; felhívja a Számvevőszéket, hogy értékelje általános összetételét, és ezt az elemzést nyújtsa be a Tanácsnak és a tagállamoknak, biztosítva, hogy a jövőbeli kinevezési folyamatok során megfelelően figyelembe vegyék a nemek közötti egyensúlyt; megismétli a tagállamokhoz intézett azon felhívását, hogy különböző nemű jelölteket javasoljanak a Számvevőszék kiegyensúlyozottabb és reprezentatívabb összetételére törekedve;</w:t>
      </w:r>
    </w:p>
    <w:p w14:paraId="53CDB816"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34.</w:t>
      </w:r>
      <w:r w:rsidRPr="003B33A5">
        <w:rPr>
          <w:rFonts w:eastAsia="Times New Roman"/>
          <w:szCs w:val="20"/>
          <w:lang w:val="hu-HU" w:eastAsia="en-GB"/>
        </w:rPr>
        <w:tab/>
        <w:t xml:space="preserve">sajnálatát fejezi ki amiatt, hogy a Tanács többször is jelölt bizonyos tagokat a Számvevőszékbe, annak ellenére, hogy a Parlament elutasította őket; hangsúlyozza, hogy a Parlamentnek kötelező </w:t>
      </w:r>
      <w:proofErr w:type="spellStart"/>
      <w:r w:rsidRPr="003B33A5">
        <w:rPr>
          <w:rFonts w:eastAsia="Times New Roman"/>
          <w:szCs w:val="20"/>
          <w:lang w:val="hu-HU" w:eastAsia="en-GB"/>
        </w:rPr>
        <w:t>erejű</w:t>
      </w:r>
      <w:proofErr w:type="spellEnd"/>
      <w:r w:rsidRPr="003B33A5">
        <w:rPr>
          <w:rFonts w:eastAsia="Times New Roman"/>
          <w:szCs w:val="20"/>
          <w:lang w:val="hu-HU" w:eastAsia="en-GB"/>
        </w:rPr>
        <w:t xml:space="preserve"> szerepet kell játszania a számvevőszéki jelöltek alkalmasságának értékelésében;</w:t>
      </w:r>
    </w:p>
    <w:p w14:paraId="161C0913"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35.</w:t>
      </w:r>
      <w:r w:rsidRPr="003B33A5">
        <w:rPr>
          <w:rFonts w:eastAsia="Times New Roman"/>
          <w:szCs w:val="20"/>
          <w:lang w:val="hu-HU" w:eastAsia="en-GB"/>
        </w:rPr>
        <w:tab/>
        <w:t>megjegyzi, hogy 2023-ban a betegség miatti átlagos távollét alkalmazottanként 10 nap volt, szemben a 2022. évi 12,2 nappal; megjegyzi továbbá, hogy 2023-ban 4 alkalmazott volt távol elhúzódó, a meghatározás szerint évente több mint 200 napig tartó betegség miatt (szemben a 2022. évi 8-cal);</w:t>
      </w:r>
    </w:p>
    <w:p w14:paraId="4C94D2A7"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36.</w:t>
      </w:r>
      <w:r w:rsidRPr="003B33A5">
        <w:rPr>
          <w:rFonts w:eastAsia="Times New Roman"/>
          <w:szCs w:val="20"/>
          <w:lang w:val="hu-HU" w:eastAsia="en-GB"/>
        </w:rPr>
        <w:tab/>
        <w:t xml:space="preserve">aggodalommal jegyzi meg, hogy 2023-ban 7 kiégéssel kapcsolatos eset volt, ami a 2022-es aggályos számokkal azonos adatot tükröz; üdvözli, hogy a Számvevőszék számos lépést tett a kiégés kockázatának csökkentése érdekében azáltal, hogy teljeskörű jólléti programot vezetett be, </w:t>
      </w:r>
      <w:proofErr w:type="spellStart"/>
      <w:r w:rsidRPr="003B33A5">
        <w:rPr>
          <w:rFonts w:eastAsia="Times New Roman"/>
          <w:szCs w:val="20"/>
          <w:lang w:val="hu-HU" w:eastAsia="en-GB"/>
        </w:rPr>
        <w:t>rezilienciafejlesztő</w:t>
      </w:r>
      <w:proofErr w:type="spellEnd"/>
      <w:r w:rsidRPr="003B33A5">
        <w:rPr>
          <w:rFonts w:eastAsia="Times New Roman"/>
          <w:szCs w:val="20"/>
          <w:lang w:val="hu-HU" w:eastAsia="en-GB"/>
        </w:rPr>
        <w:t xml:space="preserve"> képzést kínált, iránymutatásokat tett közzé és hajtott végre a hosszú távú betegszabadságot követő munkába való visszatérésről, folytatta a mentális egészségügyi elsősegély biztosítását, és pénzügyi támogatást nyújtott a személyzetnek azáltal, hogy fedezte az általuk választott pszichológussal tartott 10 ülés költségeit;</w:t>
      </w:r>
    </w:p>
    <w:p w14:paraId="046225B7"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37.</w:t>
      </w:r>
      <w:r w:rsidRPr="003B33A5">
        <w:rPr>
          <w:rFonts w:eastAsia="Times New Roman"/>
          <w:szCs w:val="20"/>
          <w:lang w:val="hu-HU" w:eastAsia="en-GB"/>
        </w:rPr>
        <w:tab/>
        <w:t>elismeréssel veszi tudomásul, hogy 2023-ban a Számvevőszék a Könyvvizsgálók Nemzetközi Szövetségének ajánlásaival összhangban ismét túllépte azt a szakmai képzési célt, amely szerint a könyvvizsgálók számára évente öt nap nem nyelvi képzést kell biztosítani (6,7 nap); megemlíti különösen a Számvevőszék személyzetének az NGEU-</w:t>
      </w:r>
      <w:proofErr w:type="spellStart"/>
      <w:r w:rsidRPr="003B33A5">
        <w:rPr>
          <w:rFonts w:eastAsia="Times New Roman"/>
          <w:szCs w:val="20"/>
          <w:lang w:val="hu-HU" w:eastAsia="en-GB"/>
        </w:rPr>
        <w:t>val</w:t>
      </w:r>
      <w:proofErr w:type="spellEnd"/>
      <w:r w:rsidRPr="003B33A5">
        <w:rPr>
          <w:rFonts w:eastAsia="Times New Roman"/>
          <w:szCs w:val="20"/>
          <w:lang w:val="hu-HU" w:eastAsia="en-GB"/>
        </w:rPr>
        <w:t xml:space="preserve"> és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Eszközzel kapcsolatos képzését;</w:t>
      </w:r>
    </w:p>
    <w:p w14:paraId="444D972D"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38.</w:t>
      </w:r>
      <w:r w:rsidRPr="003B33A5">
        <w:rPr>
          <w:rFonts w:eastAsia="Times New Roman"/>
          <w:szCs w:val="20"/>
          <w:lang w:val="hu-HU" w:eastAsia="en-GB"/>
        </w:rPr>
        <w:tab/>
        <w:t xml:space="preserve">üdvözli, hogy 2022 decemberében új szakpolitikát fogadtak el a tiszteletteljes és zaklatásmentes munkahely biztosítása érdekében, amely a megelőzésre, a figyelemfelkeltésre és a korai felismerésre összpontosít; kiemeli az olyan intézkedéseket, mint például a szakpolitika jobb megértése érdekében 2023 januárjában </w:t>
      </w:r>
      <w:r w:rsidRPr="003B33A5">
        <w:rPr>
          <w:rFonts w:eastAsia="Times New Roman"/>
          <w:szCs w:val="20"/>
          <w:lang w:val="hu-HU" w:eastAsia="en-GB"/>
        </w:rPr>
        <w:lastRenderedPageBreak/>
        <w:t>a teljes személyzet számára tartott prezentáció, a harmonizált jelentéstételi formanyomtatvány bevezetése, valamint a szakpolitika végrehajtásáról szóló első összesített éves jelentés közzététele;</w:t>
      </w:r>
    </w:p>
    <w:p w14:paraId="6FAD6DF0"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39.</w:t>
      </w:r>
      <w:r w:rsidRPr="003B33A5">
        <w:rPr>
          <w:rFonts w:eastAsia="Times New Roman"/>
          <w:szCs w:val="20"/>
          <w:lang w:val="hu-HU" w:eastAsia="en-GB"/>
        </w:rPr>
        <w:tab/>
        <w:t xml:space="preserve">üdvözli a Számvevőszék 2021–2025-ös időszakra szóló, sokszínűségre és befogadásra vonatkozó cselekvési tervét; megelégedéssel veszi tudomásul a fogyatékossággal kapcsolatos tudatosság harmadik hetének megszervezését és az </w:t>
      </w:r>
      <w:proofErr w:type="spellStart"/>
      <w:r w:rsidRPr="003B33A5">
        <w:rPr>
          <w:rFonts w:eastAsia="Times New Roman"/>
          <w:szCs w:val="20"/>
          <w:lang w:val="hu-HU" w:eastAsia="en-GB"/>
        </w:rPr>
        <w:t>inkluzivitás</w:t>
      </w:r>
      <w:proofErr w:type="spellEnd"/>
      <w:r w:rsidRPr="003B33A5">
        <w:rPr>
          <w:rFonts w:eastAsia="Times New Roman"/>
          <w:szCs w:val="20"/>
          <w:lang w:val="hu-HU" w:eastAsia="en-GB"/>
        </w:rPr>
        <w:t xml:space="preserve"> előmozdítására irányuló intézményközi kezdeményezéseket; hangsúlyozza a Számvevőszék erőfeszítéseit, többek között a munkahelyi akadálymentességről szóló felmérését, az ombudsman jó közigazgatásért járó díjának odaítélésében való részvételét, valamint az épületek akadálymentesítésére vonatkozó külső ellenőrzést, összhangban a 2023. évi luxemburgi akadálymentesítési jogszabályokkal;</w:t>
      </w:r>
    </w:p>
    <w:p w14:paraId="6B5F9329"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40.</w:t>
      </w:r>
      <w:r w:rsidRPr="003B33A5">
        <w:rPr>
          <w:rFonts w:eastAsia="Times New Roman"/>
          <w:szCs w:val="20"/>
          <w:lang w:val="hu-HU" w:eastAsia="en-GB"/>
        </w:rPr>
        <w:tab/>
        <w:t xml:space="preserve">hangsúlyozza a Számvevőszéknek az Unió független külső ellenőreként és pénzügyeinek őreként betöltött kritikus szerepét, amely megköveteli, hogy a Számvevőszék a feddhetetlenség, a professzionalizmus és az elszámoltathatóság legmagasabb szintű normáit tartsa fenn, intézményként mintául szolgálva a bizalom és a hitelesség ösztönzéséhez; emlékeztet arra, hogy az EUMSZ 285. cikkével összhangban a Számvevőszék tagjainak teljes függetlenséget kell gyakorolniuk, és a legmagasabb szintű etikai elveket kell követniük, feddhetetlenséget, objektivitást, </w:t>
      </w:r>
      <w:proofErr w:type="spellStart"/>
      <w:r w:rsidRPr="003B33A5">
        <w:rPr>
          <w:rFonts w:eastAsia="Times New Roman"/>
          <w:szCs w:val="20"/>
          <w:lang w:val="hu-HU" w:eastAsia="en-GB"/>
        </w:rPr>
        <w:t>szakmaiságot</w:t>
      </w:r>
      <w:proofErr w:type="spellEnd"/>
      <w:r w:rsidRPr="003B33A5">
        <w:rPr>
          <w:rFonts w:eastAsia="Times New Roman"/>
          <w:szCs w:val="20"/>
          <w:lang w:val="hu-HU" w:eastAsia="en-GB"/>
        </w:rPr>
        <w:t>, méltóságot, elkötelezettséget és lojalitást tanúsítva;</w:t>
      </w:r>
    </w:p>
    <w:p w14:paraId="4C9D7937" w14:textId="77777777" w:rsidR="00E02448" w:rsidRPr="003B33A5" w:rsidRDefault="00E02448" w:rsidP="0061017A">
      <w:pPr>
        <w:spacing w:after="240"/>
        <w:ind w:left="567" w:hanging="567"/>
        <w:jc w:val="left"/>
        <w:rPr>
          <w:rFonts w:eastAsia="Times New Roman"/>
          <w:b/>
          <w:i/>
          <w:szCs w:val="20"/>
          <w:lang w:val="hu-HU" w:eastAsia="en-GB"/>
        </w:rPr>
      </w:pPr>
      <w:r w:rsidRPr="003B33A5">
        <w:rPr>
          <w:rFonts w:eastAsia="Times New Roman"/>
          <w:b/>
          <w:i/>
          <w:szCs w:val="20"/>
          <w:lang w:val="hu-HU" w:eastAsia="en-GB"/>
        </w:rPr>
        <w:t>Etikai keret és átláthatóság</w:t>
      </w:r>
    </w:p>
    <w:p w14:paraId="50400D6B"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41.</w:t>
      </w:r>
      <w:r w:rsidRPr="003B33A5">
        <w:rPr>
          <w:rFonts w:eastAsia="Times New Roman"/>
          <w:szCs w:val="20"/>
          <w:lang w:val="hu-HU" w:eastAsia="en-GB"/>
        </w:rPr>
        <w:tab/>
        <w:t>üdvözli, hogy a súlyos szabálytalanságok bejelentésére (visszaélések bejelentése) vonatkozó belső szabályokat aktualizálták annak érdekében, hogy azok egyértelműbbek és részletesebbek legyenek, és több információt nyújtsanak a személyzetnek; megjegyzi, hogy 2023-ban nem volt visszaélés-bejelentési ügy a Számvevőszéknél; megjegyzi továbbá, hogy 2023-ban a Számvevőszék elindította az igazgatási vizsgálatok és fegyelmi eljárások lefolytatására vonatkozó számvevőszéki szabályok aktualizálásának folyamatát is, amelyeket 2024 elején véglegesítettek;</w:t>
      </w:r>
    </w:p>
    <w:p w14:paraId="444FA4ED"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42.</w:t>
      </w:r>
      <w:r w:rsidRPr="003B33A5">
        <w:rPr>
          <w:rFonts w:eastAsia="Times New Roman"/>
          <w:szCs w:val="20"/>
          <w:lang w:val="hu-HU" w:eastAsia="en-GB"/>
        </w:rPr>
        <w:tab/>
        <w:t>megjegyzi, hogy 2023-ban a Számvevőszék 3 kifejezetten az etikával foglalkozó képzést szervezett, amelyeken 60-an vettek részt; figyelembe veszi, hogy a Számvevőszék etikával kapcsolatos tanfolyamai a személyzet minden tagja, köztük a vezetők számára is nyitva álltak, és hogy a standard tanfolyamok kötelezőek az újonnan érkezők számára, és kiterjednek a nyilvános etikára és a Számvevőszék zaklatás elleni politikájára; sajnálatát fejezi ki amiatt, hogy a rendszeres, etikai vonatkozású tanfolyamok nem voltak kötelezőek a személyzet minden tagja számára;</w:t>
      </w:r>
    </w:p>
    <w:p w14:paraId="3E76F6E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43.</w:t>
      </w:r>
      <w:r w:rsidRPr="003B33A5">
        <w:rPr>
          <w:rFonts w:eastAsia="Times New Roman"/>
          <w:szCs w:val="20"/>
          <w:lang w:val="hu-HU" w:eastAsia="en-GB"/>
        </w:rPr>
        <w:tab/>
        <w:t xml:space="preserve">nagyra értékeli, hogy a Számvevőszék 6 csalással foglalkozó képzést szervezett, többek között a közbeszerzéssel kapcsolatos csalásról, a </w:t>
      </w:r>
      <w:proofErr w:type="spellStart"/>
      <w:r w:rsidRPr="003B33A5">
        <w:rPr>
          <w:rFonts w:eastAsia="Times New Roman"/>
          <w:szCs w:val="20"/>
          <w:lang w:val="hu-HU" w:eastAsia="en-GB"/>
        </w:rPr>
        <w:t>héacsalásról</w:t>
      </w:r>
      <w:proofErr w:type="spellEnd"/>
      <w:r w:rsidRPr="003B33A5">
        <w:rPr>
          <w:rFonts w:eastAsia="Times New Roman"/>
          <w:szCs w:val="20"/>
          <w:lang w:val="hu-HU" w:eastAsia="en-GB"/>
        </w:rPr>
        <w:t xml:space="preserve"> és a Helyreállítási és </w:t>
      </w:r>
      <w:proofErr w:type="spellStart"/>
      <w:r w:rsidRPr="003B33A5">
        <w:rPr>
          <w:rFonts w:eastAsia="Times New Roman"/>
          <w:szCs w:val="20"/>
          <w:lang w:val="hu-HU" w:eastAsia="en-GB"/>
        </w:rPr>
        <w:t>Rezilienciaépítési</w:t>
      </w:r>
      <w:proofErr w:type="spellEnd"/>
      <w:r w:rsidRPr="003B33A5">
        <w:rPr>
          <w:rFonts w:eastAsia="Times New Roman"/>
          <w:szCs w:val="20"/>
          <w:lang w:val="hu-HU" w:eastAsia="en-GB"/>
        </w:rPr>
        <w:t xml:space="preserve"> Eszközzel kapcsolatos csalásról; üdvözli, hogy 2023 júniusában az Európai Csalás Elleni Hivatal (OLAF) képzést nyújtott a csalás és korrupció gyanúja esetén végzett kihallgatásról; megjegyzi, hogy 2023 novemberében a Számvevőszék az Európai Ügyészséggel (EPPO) és az OLAF-fal közösen kétnapos tanfolyamot szervezett az Unión belüli közbeszerzési csalásokról;</w:t>
      </w:r>
    </w:p>
    <w:p w14:paraId="74EA0D5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44.</w:t>
      </w:r>
      <w:r w:rsidRPr="003B33A5">
        <w:rPr>
          <w:rFonts w:eastAsia="Times New Roman"/>
          <w:szCs w:val="20"/>
          <w:lang w:val="hu-HU" w:eastAsia="en-GB"/>
        </w:rPr>
        <w:tab/>
        <w:t xml:space="preserve">aggodalmát fejezi ki azon médiatudósítások miatt, amely szerint az Európai Ügyészségnek a Számvevőszék korábbi elnöke által elkövetett, pénzeszközökkel való visszaéléssel kapcsolatos vizsgálatát jelenleg blokkolja a Számvevőszék azon döntése, </w:t>
      </w:r>
      <w:r w:rsidRPr="003B33A5">
        <w:rPr>
          <w:rFonts w:eastAsia="Times New Roman"/>
          <w:szCs w:val="20"/>
          <w:lang w:val="hu-HU" w:eastAsia="en-GB"/>
        </w:rPr>
        <w:lastRenderedPageBreak/>
        <w:t xml:space="preserve">hogy nem függeszti fel korábbi elnöke mentelmi jogát; kéri a Számvevőszéket, hogy teljes mértékben </w:t>
      </w:r>
      <w:proofErr w:type="spellStart"/>
      <w:r w:rsidRPr="003B33A5">
        <w:rPr>
          <w:rFonts w:eastAsia="Times New Roman"/>
          <w:szCs w:val="20"/>
          <w:lang w:val="hu-HU" w:eastAsia="en-GB"/>
        </w:rPr>
        <w:t>működjön</w:t>
      </w:r>
      <w:proofErr w:type="spellEnd"/>
      <w:r w:rsidRPr="003B33A5">
        <w:rPr>
          <w:rFonts w:eastAsia="Times New Roman"/>
          <w:szCs w:val="20"/>
          <w:lang w:val="hu-HU" w:eastAsia="en-GB"/>
        </w:rPr>
        <w:t xml:space="preserve"> együtt az Európai Ügyészséggel az általa esetlegesen indított vizsgálatokban, és számoljon be a mentelmi jog felfüggesztésének megtagadásáról szóló határozat indokairól;</w:t>
      </w:r>
    </w:p>
    <w:p w14:paraId="520DFF18"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45.</w:t>
      </w:r>
      <w:r w:rsidRPr="003B33A5">
        <w:rPr>
          <w:rFonts w:eastAsia="Times New Roman"/>
          <w:szCs w:val="20"/>
          <w:lang w:val="hu-HU" w:eastAsia="en-GB"/>
        </w:rPr>
        <w:tab/>
        <w:t>felhívja a Számvevőszéket annak biztosítására, hogy valamennyi képviselő és vezető alkalmazott nyilvános online adatbázisban tegye közzé pénzügyi érdekeltségeit, ajándékokra és vendéglátásra vonatkozó nyilatkozatait, összhangban az uniós átláthatósági szabályok bevált gyakorlataival;</w:t>
      </w:r>
    </w:p>
    <w:p w14:paraId="7E0022BE"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46.</w:t>
      </w:r>
      <w:r w:rsidRPr="003B33A5">
        <w:rPr>
          <w:rFonts w:eastAsia="Times New Roman"/>
          <w:szCs w:val="20"/>
          <w:lang w:val="hu-HU" w:eastAsia="en-GB"/>
        </w:rPr>
        <w:tab/>
        <w:t>sajnálatát fejezi ki amiatt, hogy a Számvevőszék nem működött együtt teljes mértékben az Európai Ügyészséggel azáltal, hogy megtagadta korábbi elnöke mentelmi jogának felfüggesztését, és megtagadta az Európai Ügyészségtől, hogy helyiségeiben házkutatást végezzen egy esetleges jogsértéssel kapcsolatban, amely az Európai Ügyészség szerint a vizsgálat megfelelő lefolytatásába való beavatkozásnak tekinthető; emlékeztet arra, hogy az Unió külső ellenőreként a Számvevőszéket köti az elszámoltathatóság, a feddhetetlenség és az átláthatóság elve, valamint az uniós intézmények közötti jóhiszemű és kölcsönös együttműködés elve; felhívja a Bíróságot annak biztosítására, hogy ne hivatkozzanak a mentességre a jogszerű bírósági eljárások akadályozása érdekében, és tegyen meg minden szükséges intézkedést a csalás megelőzése és kivizsgálása terén folytatott intézményközi együttműködésnek való teljeskörű megfelelés biztosítása érdekében;</w:t>
      </w:r>
    </w:p>
    <w:p w14:paraId="6641C9DC"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47.</w:t>
      </w:r>
      <w:r w:rsidRPr="003B33A5">
        <w:rPr>
          <w:rFonts w:eastAsia="Times New Roman"/>
          <w:szCs w:val="20"/>
          <w:lang w:val="hu-HU" w:eastAsia="en-GB"/>
        </w:rPr>
        <w:tab/>
        <w:t>aggodalommal állapítja meg, hogy a médiatudósítások szerint az EPPO 2023-ban a Számvevőszék több alkalmazottja mentelmi jogának felfüggesztését kérte, és hogy a Számvevőszék eddig elutasította ezt a kérelmet; hangsúlyozza, hogy bár a mentelmi jog az uniós intézmények függetlenségének védelmét szolgálja, nem szabad visszaélni vele annak érdekében, hogy az egyéneket a jogszerű bírósági ellenőrzéstől védjék; úgy véli, hogy a mentelmi jog felfüggesztésére irányuló kérelmeket csak kivételes körülmények között lehet elutasítani; felhívja a Számvevőszéket, hogy adjon részletes indokolást a mentesítésért felelős hatóságnak az ügyben hozott határozatához, ismertetve azokat a konkrét jogi és eljárási aggályokat, amelyek az elutasításhoz vezettek – már ha vannak ilyenek; sürgeti továbbá a Számvevőszéket, hogy az Európai Ügyészséggel és a csalás és a kötelességszegés elleni küzdelemért felelős más uniós szervekkel folytatott együttműködése során tartsa fenn a magas szintű átláthatóságot és elszámoltathatóságot;</w:t>
      </w:r>
    </w:p>
    <w:p w14:paraId="04E9DA10"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48.</w:t>
      </w:r>
      <w:r w:rsidRPr="003B33A5">
        <w:rPr>
          <w:rFonts w:eastAsia="Times New Roman"/>
          <w:szCs w:val="20"/>
          <w:lang w:val="hu-HU" w:eastAsia="en-GB"/>
        </w:rPr>
        <w:tab/>
        <w:t>megjegyzi, hogy 2023-ban sem az OLAF, sem az európai ombudsman nem indított olyan vizsgálatot, amely a Számvevőszéket érintette;</w:t>
      </w:r>
    </w:p>
    <w:p w14:paraId="1A5F42D3"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49.</w:t>
      </w:r>
      <w:r w:rsidRPr="003B33A5">
        <w:rPr>
          <w:rFonts w:eastAsia="Times New Roman"/>
          <w:szCs w:val="20"/>
          <w:lang w:val="hu-HU" w:eastAsia="en-GB"/>
        </w:rPr>
        <w:tab/>
        <w:t xml:space="preserve">üdvözli, hogy 2024-ben a Számvevőszék a Bírósággal közösen felkérte a Bizottságot, hogy vegyen részt intézményközi párbeszédben a hivatali gépjárművek használatára vonatkozó közös szabályokról való megállapodás céljából – összhangban a Számvevőszék és a Bíróság költségvetésének végrehajtására vonatkozó mentesítésről szóló, 2022. április 11-i parlamenti állásfoglalásokban foglalt megjegyzéssel; hangsúlyozza az összes uniós intézményhez intézett azon felhívást, hogy állapodjanak meg egy horizontálisan alkalmazandó egységes rendszerről, amely csökkentené a zavart, és növelné a közpénzek felhasználásának átláthatóságát és hatékonyságát; megjegyzi, hogy munkacsoportot fognak létrehozni a személyzeti szabályzattal kapcsolatos kérdésekkel foglalkozó intézményközi előkészítő bizottság keretében; nagyra értékeli, hogy a Számvevőszék kész összehangolni a szabályokat a Bizottság </w:t>
      </w:r>
      <w:r w:rsidRPr="003B33A5">
        <w:rPr>
          <w:rFonts w:eastAsia="Times New Roman"/>
          <w:szCs w:val="20"/>
          <w:lang w:val="hu-HU" w:eastAsia="en-GB"/>
        </w:rPr>
        <w:lastRenderedPageBreak/>
        <w:t>vonatkozó szabályaival, de megismétli a tagok utazására, kiküldetéseire, gépjárműveire és a gépjárművezetők és a gépkocsik igénybevételére vonatkozó, 2022. évi új határozatról szóló korábbi mentesítési állásfoglalásokkal kapcsolatban már megfogalmazott kritikákat, amelyek ellentétesek azzal az általános elvvel, hogy a gépjárműflottát semmilyen körülmények között nem szabad a Számvevőszék tagjai feladatainak szigorú teljesítésén kívül másra használni;</w:t>
      </w:r>
    </w:p>
    <w:p w14:paraId="5393562B"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50.</w:t>
      </w:r>
      <w:r w:rsidRPr="003B33A5">
        <w:rPr>
          <w:rFonts w:eastAsia="Times New Roman"/>
          <w:szCs w:val="20"/>
          <w:lang w:val="hu-HU" w:eastAsia="en-GB"/>
        </w:rPr>
        <w:tab/>
        <w:t>megjegyzi, hogy 2023-ban a Számvevőszék Belső Ellenőrzési Szolgálata (IAS) 16 ellenőrzési ajánlást tett az etika, az átláthatósági portál, a személyzetet érintő összeférhetetlenségek, az etikai bizottság és a Számvevőszék tagjai tekintetében; megjegyzi, hogy a 16 ajánlásból 5 ajánlást 2024. július 30-ig teljesítettek, 8 ajánlást 2024 végéig teljesítenek, 3 ajánlás teljesítése pedig késik;</w:t>
      </w:r>
    </w:p>
    <w:p w14:paraId="565D8E54"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51.</w:t>
      </w:r>
      <w:r w:rsidRPr="003B33A5">
        <w:rPr>
          <w:rFonts w:eastAsia="Times New Roman"/>
          <w:szCs w:val="20"/>
          <w:lang w:val="hu-HU" w:eastAsia="en-GB"/>
        </w:rPr>
        <w:tab/>
        <w:t>üdvözli a képviselők kiküldetéséről közzétett információk körének kiterjesztését, de emlékeztet a Parlament azon kérésére, hogy a képviselők teljes mandátumára vonatkozóan nyújtsanak tájékoztatást a kiküldetésekről; üdvözli a képviselők magatartási kódexének felülvizsgálatát, amely megtiltja a képviselőknek, hogy bármilyen tiszteletbeli pozíciót töltsenek be politikai szervezetekben, eleget téve a Parlament azon kérésének, hogy a képviselők ne rendelkezzenek hivatalos politikai kapcsolatokkal; megjegyzi, hogy az etikai belső ellenőrzési jelentés következtetéseit 2024 3. negyedévében közölni kellett az EP elnökével és a Költségvetési Ellenőrző Bizottság elnökével, és felkéri a Számvevőszéket, hogy ezt teljes egészében ossza meg a Költségvetési Ellenőrző Bizottsággal; felkéri a Számvevőszéket, hogy tegye közzé az elutasító határozatokat azokban az esetekben, amikor a képviselők vagy a személyzet összeférhetetlenséget jelentenek be, biztosítva az ellenőrzési folyamat nagyobb átláthatóságát;</w:t>
      </w:r>
    </w:p>
    <w:p w14:paraId="5E2A1D2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52.</w:t>
      </w:r>
      <w:r w:rsidRPr="003B33A5">
        <w:rPr>
          <w:rFonts w:eastAsia="Times New Roman"/>
          <w:szCs w:val="20"/>
          <w:lang w:val="hu-HU" w:eastAsia="en-GB"/>
        </w:rPr>
        <w:tab/>
        <w:t>megjegyzi, hogy a Számvevőszék valamennyi tagjának elsődleges lakóhelye Luxembourgban van, amint azt a Számvevőszék tagjaira és volt tagjaira vonatkozó magatartási kódex 10. cikke előírja;</w:t>
      </w:r>
    </w:p>
    <w:p w14:paraId="10AC7B6B"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53.</w:t>
      </w:r>
      <w:r w:rsidRPr="003B33A5">
        <w:rPr>
          <w:rFonts w:eastAsia="Times New Roman"/>
          <w:szCs w:val="20"/>
          <w:lang w:val="hu-HU" w:eastAsia="en-GB"/>
        </w:rPr>
        <w:tab/>
        <w:t>üdvözli, hogy a Számvevőszék felülvizsgálta a dokumentumokhoz való nyilvános hozzáférésre vonatkozó politikáját – tükrözve az európai ítélkezési gyakorlat alakulását –, és egyszerűsítette a dokumentumokhoz való hozzáférés iránti kérelmek és a megerősítő kérelmek kezelésére vonatkozó eljárást; emlékeztet arra, hogy az Unióban a hivatalos nyilvántartásokhoz való nyilvános hozzáférés skandináv elvének alkalmazása előfeltétele volt annak, hogy egyes tagállamok csatlakozzanak az Unióhoz, és hangsúlyozza, hogy a teljesítés elmulasztása hátrányosan érintené az Unió mint jogállamiságon alapuló közösség hírnevét;</w:t>
      </w:r>
    </w:p>
    <w:p w14:paraId="44077816"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54.</w:t>
      </w:r>
      <w:r w:rsidRPr="003B33A5">
        <w:rPr>
          <w:rFonts w:eastAsia="Times New Roman"/>
          <w:szCs w:val="20"/>
          <w:lang w:val="hu-HU" w:eastAsia="en-GB"/>
        </w:rPr>
        <w:tab/>
        <w:t>sajnálatát fejezi ki amiatt, hogy az irányelv küszöbértékét meghaladó (&gt; 140 000 EUR a szolgáltatásokra/árubeszerzésekre; &gt; 5 382 000 EUR az építési beruházásokra), 2023-ban megkötött szerződések éves listája nem érhető el a Számvevőszék honlapján;</w:t>
      </w:r>
      <w:r w:rsidRPr="003B33A5">
        <w:rPr>
          <w:rFonts w:eastAsia="Times New Roman"/>
          <w:i/>
          <w:szCs w:val="20"/>
          <w:lang w:val="hu-HU" w:eastAsia="en-GB"/>
        </w:rPr>
        <w:t xml:space="preserve"> </w:t>
      </w:r>
      <w:r w:rsidRPr="003B33A5">
        <w:rPr>
          <w:rFonts w:eastAsia="Times New Roman"/>
          <w:szCs w:val="20"/>
          <w:lang w:val="hu-HU" w:eastAsia="en-GB"/>
        </w:rPr>
        <w:t>felhívja a Számvevőszéket, hogy ezt a jegyzéket külön dokumentumként indokolatlan késedelem nélkül tegye közzé, és biztosítson hozzá felhasználóbarát hozzáférést;</w:t>
      </w:r>
    </w:p>
    <w:p w14:paraId="6D96B104"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55.</w:t>
      </w:r>
      <w:r w:rsidRPr="003B33A5">
        <w:rPr>
          <w:rFonts w:eastAsia="Times New Roman"/>
          <w:szCs w:val="20"/>
          <w:lang w:val="hu-HU" w:eastAsia="en-GB"/>
        </w:rPr>
        <w:tab/>
        <w:t>nagyra értékeli és érdeklődéssel várja, hogy a Számvevőszék a csalás elleni összes belső stratégiai szabályt egyetlen közös dokumentumban foglalja össze;</w:t>
      </w:r>
    </w:p>
    <w:p w14:paraId="4911DC2A"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56.</w:t>
      </w:r>
      <w:r w:rsidRPr="003B33A5">
        <w:rPr>
          <w:rFonts w:eastAsia="Times New Roman"/>
          <w:szCs w:val="20"/>
          <w:lang w:val="hu-HU" w:eastAsia="en-GB"/>
        </w:rPr>
        <w:tab/>
        <w:t xml:space="preserve">továbbra is elutasítja a Számvevőszék azon döntését, hogy nem csatlakozik az átláthatósági nyilvántartáshoz, mivel az uniós programokkal kapcsolatos tényeken és </w:t>
      </w:r>
      <w:r w:rsidRPr="003B33A5">
        <w:rPr>
          <w:rFonts w:eastAsia="Times New Roman"/>
          <w:szCs w:val="20"/>
          <w:lang w:val="hu-HU" w:eastAsia="en-GB"/>
        </w:rPr>
        <w:lastRenderedPageBreak/>
        <w:t>objektív visszajelzéseken túl nem fűződik érdeke a döntéshozatal befolyásolásához; megjegyzi, hogy a Számvevőszék valamennyi jelentése nyilvánosan hozzáférhető, és az ellenőrzött felekkel folytatott szigorú elszámolási eljárás hatálya alá tartozik; ismételten határozottan felszólítja a Számvevőszéket, hogy csatlakozzon az uniós átláthatósági nyilvántartáshoz annak érdekében, hogy tiszteletben tartsa az átláthatóság alapelveit, ugyanakkor ne akadályozza a Számvevőszék teljes függetlenségét;</w:t>
      </w:r>
    </w:p>
    <w:p w14:paraId="4D381EE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57.</w:t>
      </w:r>
      <w:r w:rsidRPr="003B33A5">
        <w:rPr>
          <w:rFonts w:eastAsia="Times New Roman"/>
          <w:szCs w:val="20"/>
          <w:lang w:val="hu-HU" w:eastAsia="en-GB"/>
        </w:rPr>
        <w:tab/>
        <w:t>határozottan ösztönzi, hogy a Számvevőszék vizsgálja felül álláspontját az Európai Parlament, az Európai Unió Tanácsa és az Európai Bizottság közötti, a kötelező átláthatósági nyilvántartásról szóló, 2021. május 20-i intézményközi megállapodással létrehozott uniós átláthatósági nyilvántartással</w:t>
      </w:r>
      <w:r w:rsidRPr="003B33A5">
        <w:rPr>
          <w:rFonts w:eastAsia="Times New Roman"/>
          <w:szCs w:val="20"/>
          <w:vertAlign w:val="superscript"/>
          <w:lang w:val="hu-HU" w:eastAsia="en-GB"/>
        </w:rPr>
        <w:t>1a</w:t>
      </w:r>
      <w:r w:rsidRPr="003B33A5">
        <w:rPr>
          <w:rFonts w:eastAsia="Times New Roman"/>
          <w:szCs w:val="20"/>
          <w:lang w:val="hu-HU" w:eastAsia="en-GB"/>
        </w:rPr>
        <w:t xml:space="preserve"> kapcsolatban;</w:t>
      </w:r>
    </w:p>
    <w:p w14:paraId="7D05A5F4"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58.</w:t>
      </w:r>
      <w:r w:rsidRPr="003B33A5">
        <w:rPr>
          <w:rFonts w:eastAsia="Times New Roman"/>
          <w:szCs w:val="20"/>
          <w:lang w:val="hu-HU" w:eastAsia="en-GB"/>
        </w:rPr>
        <w:tab/>
        <w:t>üdvözli a dokumentumkezelési ökoszisztéma (DOME) létrehozása terén 2023-ban elért jelentős előrelépést, nevezetesen az új elektronikus aláírás és a PASS (dokumentumok jóváhagyásának, aláírásának és küldésének folyamata) alapvető jóváhagyási moduljának konkrét dokumentum-jóváhagyási eljárások révén történő átadását és végrehajtását; ösztönzi a Számvevőszéket, hogy továbbra is kövesse a felülvizsgálati és jóváhagyási munkafolyamatok digitalizálására és hatékonyságuk javítására irányuló célkitűzéseit;</w:t>
      </w:r>
    </w:p>
    <w:p w14:paraId="5CBC8A62" w14:textId="77777777" w:rsidR="00E02448" w:rsidRPr="003B33A5" w:rsidRDefault="00E02448" w:rsidP="0061017A">
      <w:pPr>
        <w:spacing w:after="240"/>
        <w:ind w:left="567" w:hanging="567"/>
        <w:jc w:val="left"/>
        <w:rPr>
          <w:rFonts w:eastAsia="Times New Roman"/>
          <w:lang w:val="hu-HU" w:eastAsia="en-GB"/>
        </w:rPr>
      </w:pPr>
      <w:r w:rsidRPr="003B33A5">
        <w:rPr>
          <w:rFonts w:eastAsia="Times New Roman"/>
          <w:szCs w:val="20"/>
          <w:lang w:val="hu-HU" w:eastAsia="en-GB"/>
        </w:rPr>
        <w:t>59.</w:t>
      </w:r>
      <w:r w:rsidRPr="003B33A5">
        <w:rPr>
          <w:rFonts w:eastAsia="Times New Roman"/>
          <w:szCs w:val="20"/>
          <w:lang w:val="hu-HU" w:eastAsia="en-GB"/>
        </w:rPr>
        <w:tab/>
        <w:t xml:space="preserve">megjegyzi, hogy a Számvevőszék folytatta aktív szerepvállalását a digitális átalakulással foglalkozó intézményközi bizottság kialakulóban lévő technológiákkal foglalkozó csoportjában; </w:t>
      </w:r>
      <w:proofErr w:type="spellStart"/>
      <w:r w:rsidRPr="003B33A5">
        <w:rPr>
          <w:rFonts w:eastAsia="Times New Roman"/>
          <w:szCs w:val="20"/>
          <w:lang w:val="hu-HU" w:eastAsia="en-GB"/>
        </w:rPr>
        <w:t>megjegyezi</w:t>
      </w:r>
      <w:proofErr w:type="spellEnd"/>
      <w:r w:rsidRPr="003B33A5">
        <w:rPr>
          <w:rFonts w:eastAsia="Times New Roman"/>
          <w:szCs w:val="20"/>
          <w:lang w:val="hu-HU" w:eastAsia="en-GB"/>
        </w:rPr>
        <w:t xml:space="preserve">, hogy a 2021-ben létrehozott DATA-csoport (Data and </w:t>
      </w:r>
      <w:proofErr w:type="spellStart"/>
      <w:r w:rsidRPr="003B33A5">
        <w:rPr>
          <w:rFonts w:eastAsia="Times New Roman"/>
          <w:szCs w:val="20"/>
          <w:lang w:val="hu-HU" w:eastAsia="en-GB"/>
        </w:rPr>
        <w:t>Technology</w:t>
      </w:r>
      <w:proofErr w:type="spellEnd"/>
      <w:r w:rsidRPr="003B33A5">
        <w:rPr>
          <w:rFonts w:eastAsia="Times New Roman"/>
          <w:szCs w:val="20"/>
          <w:lang w:val="hu-HU" w:eastAsia="en-GB"/>
        </w:rPr>
        <w:t xml:space="preserve"> </w:t>
      </w:r>
      <w:proofErr w:type="spellStart"/>
      <w:r w:rsidRPr="003B33A5">
        <w:rPr>
          <w:rFonts w:eastAsia="Times New Roman"/>
          <w:szCs w:val="20"/>
          <w:lang w:val="hu-HU" w:eastAsia="en-GB"/>
        </w:rPr>
        <w:t>for</w:t>
      </w:r>
      <w:proofErr w:type="spellEnd"/>
      <w:r w:rsidRPr="003B33A5">
        <w:rPr>
          <w:rFonts w:eastAsia="Times New Roman"/>
          <w:szCs w:val="20"/>
          <w:lang w:val="hu-HU" w:eastAsia="en-GB"/>
        </w:rPr>
        <w:t xml:space="preserve"> Audit – adatok és technológia az audit számára) tovább folytatta a Számvevőszék ellenőrzési céljait támogató technológia jobb felhasználására irányuló fejlesztési terv végrehajtását; külön megemlíti azt az elemzést, amely a Számvevőszék és ellenőrzési munkája kapcsán a mesterséges intelligencia nyújtotta lehetőségeket és kihívásokat taglalja; emlékeztet annak fontosságára, hogy fejlesszék az ellenőrzési munka digitalizálását; üdvözli a Számvevőszék által ebben az irányban tett valamennyi erőfeszítést, mivel a digitalizáció a nagyobb számú helyszíni látogatások együttesen hatékony és pontos rendszert teremtenek meg az ellenőrzési munka számára;</w:t>
      </w:r>
    </w:p>
    <w:p w14:paraId="4815BE79" w14:textId="77777777" w:rsidR="00E02448" w:rsidRPr="003B33A5" w:rsidRDefault="00E02448" w:rsidP="0061017A">
      <w:pPr>
        <w:spacing w:after="240"/>
        <w:ind w:left="567" w:hanging="567"/>
        <w:jc w:val="left"/>
        <w:rPr>
          <w:rFonts w:eastAsia="Times New Roman"/>
          <w:b/>
          <w:i/>
          <w:szCs w:val="20"/>
          <w:lang w:val="hu-HU" w:eastAsia="en-GB"/>
        </w:rPr>
      </w:pPr>
      <w:r w:rsidRPr="003B33A5">
        <w:rPr>
          <w:rFonts w:eastAsia="Times New Roman"/>
          <w:b/>
          <w:i/>
          <w:szCs w:val="20"/>
          <w:lang w:val="hu-HU" w:eastAsia="en-GB"/>
        </w:rPr>
        <w:t xml:space="preserve">Digitalizáció, </w:t>
      </w:r>
      <w:proofErr w:type="spellStart"/>
      <w:r w:rsidRPr="003B33A5">
        <w:rPr>
          <w:rFonts w:eastAsia="Times New Roman"/>
          <w:b/>
          <w:i/>
          <w:szCs w:val="20"/>
          <w:lang w:val="hu-HU" w:eastAsia="en-GB"/>
        </w:rPr>
        <w:t>kiberbiztonság</w:t>
      </w:r>
      <w:proofErr w:type="spellEnd"/>
      <w:r w:rsidRPr="003B33A5">
        <w:rPr>
          <w:rFonts w:eastAsia="Times New Roman"/>
          <w:b/>
          <w:i/>
          <w:szCs w:val="20"/>
          <w:lang w:val="hu-HU" w:eastAsia="en-GB"/>
        </w:rPr>
        <w:t xml:space="preserve"> és adatvédelem</w:t>
      </w:r>
    </w:p>
    <w:p w14:paraId="0538FEE1"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60.</w:t>
      </w:r>
      <w:r w:rsidRPr="003B33A5">
        <w:rPr>
          <w:rFonts w:eastAsia="Times New Roman"/>
          <w:szCs w:val="20"/>
          <w:lang w:val="hu-HU" w:eastAsia="en-GB"/>
        </w:rPr>
        <w:tab/>
        <w:t xml:space="preserve">elismerését fejezi ki a Számvevőszéknek a 2022–2024-es </w:t>
      </w:r>
      <w:proofErr w:type="spellStart"/>
      <w:r w:rsidRPr="003B33A5">
        <w:rPr>
          <w:rFonts w:eastAsia="Times New Roman"/>
          <w:szCs w:val="20"/>
          <w:lang w:val="hu-HU" w:eastAsia="en-GB"/>
        </w:rPr>
        <w:t>kiberbiztonsági</w:t>
      </w:r>
      <w:proofErr w:type="spellEnd"/>
      <w:r w:rsidRPr="003B33A5">
        <w:rPr>
          <w:rFonts w:eastAsia="Times New Roman"/>
          <w:szCs w:val="20"/>
          <w:lang w:val="hu-HU" w:eastAsia="en-GB"/>
        </w:rPr>
        <w:t xml:space="preserve"> tervének végrehajtása terén az elmúlt két évben elért jó eredményekért; megjegyzi, hogy a kiemelt fontosságú feladatok közül hét lezárult, hat folyamatban van, egy pedig függőben van; megjegyzi, hogy a közepes prioritású feladatok közül kettő lezárult, négy folyamatban van, három pedig még nem kezdődött el;</w:t>
      </w:r>
    </w:p>
    <w:p w14:paraId="7696A5D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61.</w:t>
      </w:r>
      <w:r w:rsidRPr="003B33A5">
        <w:rPr>
          <w:rFonts w:eastAsia="Times New Roman"/>
          <w:szCs w:val="20"/>
          <w:lang w:val="hu-HU" w:eastAsia="en-GB"/>
        </w:rPr>
        <w:tab/>
        <w:t>nagyra értékeli, hogy a következő feladatok a lezárult feladatok közé tartoznak:</w:t>
      </w:r>
    </w:p>
    <w:p w14:paraId="0C647050" w14:textId="607CC43F" w:rsidR="00E02448" w:rsidRPr="003B33A5" w:rsidRDefault="003B33A5" w:rsidP="0061017A">
      <w:pPr>
        <w:spacing w:after="240"/>
        <w:ind w:left="1134" w:hanging="567"/>
        <w:jc w:val="left"/>
        <w:rPr>
          <w:rFonts w:eastAsia="Times New Roman"/>
          <w:szCs w:val="20"/>
          <w:lang w:val="hu-HU" w:eastAsia="en-GB"/>
        </w:rPr>
      </w:pPr>
      <w:r w:rsidRPr="003B33A5">
        <w:rPr>
          <w:rFonts w:eastAsia="Times New Roman"/>
          <w:szCs w:val="20"/>
          <w:lang w:val="hu-HU" w:eastAsia="en-GB"/>
        </w:rPr>
        <w:t>a)</w:t>
      </w:r>
      <w:r w:rsidR="00E02448" w:rsidRPr="003B33A5">
        <w:rPr>
          <w:rFonts w:eastAsia="Times New Roman"/>
          <w:szCs w:val="20"/>
          <w:lang w:val="hu-HU" w:eastAsia="en-GB"/>
        </w:rPr>
        <w:tab/>
        <w:t>a végpontokra vonatkozó (végpontérzékelési és -reagálási) EDR-megoldás bevezetése és olyan felhőalapú XDR-megoldás elfogadása, amely a kompromittáló jelek észlelése érdekében az EDR-ügynökök által küldött telemetriát összekapcsolja a különböző forrásokból származó fenyegetettségre vonatkozó hírszerzési adatokkal;</w:t>
      </w:r>
    </w:p>
    <w:p w14:paraId="04356CD5" w14:textId="25D5D202" w:rsidR="00E02448" w:rsidRPr="003B33A5" w:rsidRDefault="003B33A5" w:rsidP="0061017A">
      <w:pPr>
        <w:spacing w:after="240"/>
        <w:ind w:left="1134" w:hanging="567"/>
        <w:jc w:val="left"/>
        <w:rPr>
          <w:rFonts w:eastAsia="Times New Roman"/>
          <w:szCs w:val="20"/>
          <w:lang w:val="hu-HU" w:eastAsia="en-GB"/>
        </w:rPr>
      </w:pPr>
      <w:r w:rsidRPr="003B33A5">
        <w:rPr>
          <w:rFonts w:eastAsia="Times New Roman"/>
          <w:szCs w:val="20"/>
          <w:lang w:val="hu-HU" w:eastAsia="en-GB"/>
        </w:rPr>
        <w:t>b)</w:t>
      </w:r>
      <w:r w:rsidR="00E02448" w:rsidRPr="003B33A5">
        <w:rPr>
          <w:rFonts w:eastAsia="Times New Roman"/>
          <w:szCs w:val="20"/>
          <w:lang w:val="hu-HU" w:eastAsia="en-GB"/>
        </w:rPr>
        <w:tab/>
        <w:t xml:space="preserve">a biztonsági információkat és eseményeket kezelő SIEM-platform architektúrájának és konfigurációjának átalakítása, amely javította a rendszer teljesítményét és megbízhatóságát, kiegészítve az informatikai környezet </w:t>
      </w:r>
      <w:r w:rsidR="00E02448" w:rsidRPr="003B33A5">
        <w:rPr>
          <w:rFonts w:eastAsia="Times New Roman"/>
          <w:szCs w:val="20"/>
          <w:lang w:val="hu-HU" w:eastAsia="en-GB"/>
        </w:rPr>
        <w:lastRenderedPageBreak/>
        <w:t>biztonsági nyomon követésének javítása érdekében hozzáadott további naplózási forrásokkal;</w:t>
      </w:r>
    </w:p>
    <w:p w14:paraId="109CCA99" w14:textId="4718FE10" w:rsidR="00E02448" w:rsidRPr="003B33A5" w:rsidRDefault="003B33A5" w:rsidP="0061017A">
      <w:pPr>
        <w:spacing w:after="240"/>
        <w:ind w:left="1134" w:hanging="567"/>
        <w:jc w:val="left"/>
        <w:rPr>
          <w:rFonts w:eastAsia="Times New Roman"/>
          <w:szCs w:val="20"/>
          <w:lang w:val="hu-HU" w:eastAsia="en-GB"/>
        </w:rPr>
      </w:pPr>
      <w:r w:rsidRPr="003B33A5">
        <w:rPr>
          <w:rFonts w:eastAsia="Times New Roman"/>
          <w:szCs w:val="20"/>
          <w:lang w:val="hu-HU" w:eastAsia="en-GB"/>
        </w:rPr>
        <w:t>c)</w:t>
      </w:r>
      <w:r w:rsidR="00E02448" w:rsidRPr="003B33A5">
        <w:rPr>
          <w:rFonts w:eastAsia="Times New Roman"/>
          <w:szCs w:val="20"/>
          <w:lang w:val="hu-HU" w:eastAsia="en-GB"/>
        </w:rPr>
        <w:tab/>
        <w:t>a távoli hozzáférést biztosító VPN-készülékek felváltása egy zéró bizalmú, felhőalapú (biztos és biztonságos környezeten alapuló) SASE-szolgáltatással, amely csökkenti a támadási felületet és lehetővé teszi az alkalmazásokhoz való, részletekbe menő távoli hozzáférést;</w:t>
      </w:r>
    </w:p>
    <w:p w14:paraId="6A15114B" w14:textId="37BF7EAC" w:rsidR="00E02448" w:rsidRPr="003B33A5" w:rsidRDefault="003B33A5" w:rsidP="0061017A">
      <w:pPr>
        <w:spacing w:after="240"/>
        <w:ind w:left="1134" w:hanging="567"/>
        <w:jc w:val="left"/>
        <w:rPr>
          <w:rFonts w:eastAsia="Times New Roman"/>
          <w:szCs w:val="20"/>
          <w:lang w:val="hu-HU" w:eastAsia="en-GB"/>
        </w:rPr>
      </w:pPr>
      <w:r w:rsidRPr="003B33A5">
        <w:rPr>
          <w:rFonts w:eastAsia="Times New Roman"/>
          <w:szCs w:val="20"/>
          <w:lang w:val="hu-HU" w:eastAsia="en-GB"/>
        </w:rPr>
        <w:t>d)</w:t>
      </w:r>
      <w:r w:rsidR="00E02448" w:rsidRPr="003B33A5">
        <w:rPr>
          <w:rFonts w:eastAsia="Times New Roman"/>
          <w:szCs w:val="20"/>
          <w:lang w:val="hu-HU" w:eastAsia="en-GB"/>
        </w:rPr>
        <w:tab/>
        <w:t>az e-mailes fenyegetésekkel szembeni védelem megerősítése az e-mailes biztonsági szűrők olyan új funkcióinak élesítése révén, amelyek lehetővé teszik mind a kéretlen üzenetek, mind a rosszindulatú mellékletek jobb észlelését;</w:t>
      </w:r>
    </w:p>
    <w:p w14:paraId="45454F8D" w14:textId="704ED757" w:rsidR="00E02448" w:rsidRPr="003B33A5" w:rsidRDefault="003B33A5" w:rsidP="0061017A">
      <w:pPr>
        <w:spacing w:after="240"/>
        <w:ind w:left="1134" w:hanging="567"/>
        <w:jc w:val="left"/>
        <w:rPr>
          <w:rFonts w:eastAsia="Times New Roman"/>
          <w:szCs w:val="20"/>
          <w:lang w:val="hu-HU" w:eastAsia="en-GB"/>
        </w:rPr>
      </w:pPr>
      <w:r w:rsidRPr="003B33A5">
        <w:rPr>
          <w:rFonts w:eastAsia="Times New Roman"/>
          <w:szCs w:val="20"/>
          <w:lang w:val="hu-HU" w:eastAsia="en-GB"/>
        </w:rPr>
        <w:t>e)</w:t>
      </w:r>
      <w:r w:rsidR="00E02448" w:rsidRPr="003B33A5">
        <w:rPr>
          <w:rFonts w:eastAsia="Times New Roman"/>
          <w:szCs w:val="20"/>
          <w:lang w:val="hu-HU" w:eastAsia="en-GB"/>
        </w:rPr>
        <w:tab/>
        <w:t>a Számvevőszék internetnek kitett szervezeti egységei behatolási teszteléseinek elvégzése;</w:t>
      </w:r>
    </w:p>
    <w:p w14:paraId="0F099DE1" w14:textId="02B9DEE9" w:rsidR="00E02448" w:rsidRPr="003B33A5" w:rsidRDefault="003B33A5" w:rsidP="0061017A">
      <w:pPr>
        <w:spacing w:after="240"/>
        <w:ind w:left="1134" w:hanging="567"/>
        <w:jc w:val="left"/>
        <w:rPr>
          <w:rFonts w:eastAsia="Times New Roman"/>
          <w:szCs w:val="20"/>
          <w:lang w:val="hu-HU" w:eastAsia="en-GB"/>
        </w:rPr>
      </w:pPr>
      <w:r w:rsidRPr="003B33A5">
        <w:rPr>
          <w:rFonts w:eastAsia="Times New Roman"/>
          <w:szCs w:val="20"/>
          <w:lang w:val="hu-HU" w:eastAsia="en-GB"/>
        </w:rPr>
        <w:t>f)</w:t>
      </w:r>
      <w:r w:rsidR="00E02448" w:rsidRPr="003B33A5">
        <w:rPr>
          <w:rFonts w:eastAsia="Times New Roman"/>
          <w:szCs w:val="20"/>
          <w:lang w:val="hu-HU" w:eastAsia="en-GB"/>
        </w:rPr>
        <w:tab/>
        <w:t>szoftveres eszköz telepítése a fájlmegosztásokban továbbított érzékeny információk bizalmas jellegének védelme érdekében;</w:t>
      </w:r>
    </w:p>
    <w:p w14:paraId="7EFA896A"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62.</w:t>
      </w:r>
      <w:r w:rsidRPr="003B33A5">
        <w:rPr>
          <w:rFonts w:eastAsia="Times New Roman"/>
          <w:szCs w:val="20"/>
          <w:lang w:val="hu-HU" w:eastAsia="en-GB"/>
        </w:rPr>
        <w:tab/>
        <w:t xml:space="preserve">sürgeti a Számvevőszéket, hogy dolgozzon ki </w:t>
      </w:r>
      <w:proofErr w:type="spellStart"/>
      <w:r w:rsidRPr="003B33A5">
        <w:rPr>
          <w:rFonts w:eastAsia="Times New Roman"/>
          <w:szCs w:val="20"/>
          <w:lang w:val="hu-HU" w:eastAsia="en-GB"/>
        </w:rPr>
        <w:t>kiberbiztonsági</w:t>
      </w:r>
      <w:proofErr w:type="spellEnd"/>
      <w:r w:rsidRPr="003B33A5">
        <w:rPr>
          <w:rFonts w:eastAsia="Times New Roman"/>
          <w:szCs w:val="20"/>
          <w:lang w:val="hu-HU" w:eastAsia="en-GB"/>
        </w:rPr>
        <w:t xml:space="preserve"> ellenőrzési keretet az uniós intézmények és ügynökségek számára, biztosítva a harmonizált biztonsági szabványokat és a </w:t>
      </w:r>
      <w:proofErr w:type="spellStart"/>
      <w:r w:rsidRPr="003B33A5">
        <w:rPr>
          <w:rFonts w:eastAsia="Times New Roman"/>
          <w:szCs w:val="20"/>
          <w:lang w:val="hu-HU" w:eastAsia="en-GB"/>
        </w:rPr>
        <w:t>kiberfenyegetésekkel</w:t>
      </w:r>
      <w:proofErr w:type="spellEnd"/>
      <w:r w:rsidRPr="003B33A5">
        <w:rPr>
          <w:rFonts w:eastAsia="Times New Roman"/>
          <w:szCs w:val="20"/>
          <w:lang w:val="hu-HU" w:eastAsia="en-GB"/>
        </w:rPr>
        <w:t xml:space="preserve"> szembeni </w:t>
      </w:r>
      <w:proofErr w:type="spellStart"/>
      <w:r w:rsidRPr="003B33A5">
        <w:rPr>
          <w:rFonts w:eastAsia="Times New Roman"/>
          <w:szCs w:val="20"/>
          <w:lang w:val="hu-HU" w:eastAsia="en-GB"/>
        </w:rPr>
        <w:t>rezilienciára</w:t>
      </w:r>
      <w:proofErr w:type="spellEnd"/>
      <w:r w:rsidRPr="003B33A5">
        <w:rPr>
          <w:rFonts w:eastAsia="Times New Roman"/>
          <w:szCs w:val="20"/>
          <w:lang w:val="hu-HU" w:eastAsia="en-GB"/>
        </w:rPr>
        <w:t xml:space="preserve"> irányuló intézkedéseket;</w:t>
      </w:r>
    </w:p>
    <w:p w14:paraId="6C76AF0D"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63.</w:t>
      </w:r>
      <w:r w:rsidRPr="003B33A5">
        <w:rPr>
          <w:rFonts w:eastAsia="Times New Roman"/>
          <w:szCs w:val="20"/>
          <w:lang w:val="hu-HU" w:eastAsia="en-GB"/>
        </w:rPr>
        <w:tab/>
        <w:t xml:space="preserve">elismeréssel veszi tudomásul, hogy a Számvevőszék évente legalább három szimulált adathalász gyakorlatot végez annak érdekében, hogy felhívja a felhasználók figyelmét erre a </w:t>
      </w:r>
      <w:proofErr w:type="spellStart"/>
      <w:r w:rsidRPr="003B33A5">
        <w:rPr>
          <w:rFonts w:eastAsia="Times New Roman"/>
          <w:szCs w:val="20"/>
          <w:lang w:val="hu-HU" w:eastAsia="en-GB"/>
        </w:rPr>
        <w:t>kiberfenyegetésre</w:t>
      </w:r>
      <w:proofErr w:type="spellEnd"/>
      <w:r w:rsidRPr="003B33A5">
        <w:rPr>
          <w:rFonts w:eastAsia="Times New Roman"/>
          <w:szCs w:val="20"/>
          <w:lang w:val="hu-HU" w:eastAsia="en-GB"/>
        </w:rPr>
        <w:t xml:space="preserve">; megjegyzi továbbá, hogy a Számvevőszék háromévente átfogó </w:t>
      </w:r>
      <w:proofErr w:type="spellStart"/>
      <w:r w:rsidRPr="003B33A5">
        <w:rPr>
          <w:rFonts w:eastAsia="Times New Roman"/>
          <w:szCs w:val="20"/>
          <w:lang w:val="hu-HU" w:eastAsia="en-GB"/>
        </w:rPr>
        <w:t>kiberbiztonsági</w:t>
      </w:r>
      <w:proofErr w:type="spellEnd"/>
      <w:r w:rsidRPr="003B33A5">
        <w:rPr>
          <w:rFonts w:eastAsia="Times New Roman"/>
          <w:szCs w:val="20"/>
          <w:lang w:val="hu-HU" w:eastAsia="en-GB"/>
        </w:rPr>
        <w:t xml:space="preserve"> kockázatértékelést végez; javasolja a Számvevőszéknek, hogy rendszeresen szervezzen kötelező képzést a személyzet számára a </w:t>
      </w:r>
      <w:proofErr w:type="spellStart"/>
      <w:r w:rsidRPr="003B33A5">
        <w:rPr>
          <w:rFonts w:eastAsia="Times New Roman"/>
          <w:szCs w:val="20"/>
          <w:lang w:val="hu-HU" w:eastAsia="en-GB"/>
        </w:rPr>
        <w:t>kiberfenyegetésekről</w:t>
      </w:r>
      <w:proofErr w:type="spellEnd"/>
      <w:r w:rsidRPr="003B33A5">
        <w:rPr>
          <w:rFonts w:eastAsia="Times New Roman"/>
          <w:szCs w:val="20"/>
          <w:lang w:val="hu-HU" w:eastAsia="en-GB"/>
        </w:rPr>
        <w:t>, és ezen belül az MI biztonságos használatára vonatkozó bevált gyakorlatokról is;</w:t>
      </w:r>
    </w:p>
    <w:p w14:paraId="20267631"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64.</w:t>
      </w:r>
      <w:r w:rsidRPr="003B33A5">
        <w:rPr>
          <w:rFonts w:eastAsia="Times New Roman"/>
          <w:szCs w:val="20"/>
          <w:lang w:val="hu-HU" w:eastAsia="en-GB"/>
        </w:rPr>
        <w:tab/>
        <w:t xml:space="preserve">megkönnyebbüléssel jegyzi meg, hogy a 2023. júliusi </w:t>
      </w:r>
      <w:proofErr w:type="spellStart"/>
      <w:r w:rsidRPr="003B33A5">
        <w:rPr>
          <w:rFonts w:eastAsia="Times New Roman"/>
          <w:szCs w:val="20"/>
          <w:lang w:val="hu-HU" w:eastAsia="en-GB"/>
        </w:rPr>
        <w:t>kiberincidens</w:t>
      </w:r>
      <w:proofErr w:type="spellEnd"/>
      <w:r w:rsidRPr="003B33A5">
        <w:rPr>
          <w:rFonts w:eastAsia="Times New Roman"/>
          <w:szCs w:val="20"/>
          <w:lang w:val="hu-HU" w:eastAsia="en-GB"/>
        </w:rPr>
        <w:t xml:space="preserve"> során nem volt nyoma az adatok kiszivárgásának vagy a behatoló más számvevőszéki informatikai rendszerekbe történő oldalirányú mozgásának, amelynek során egy szoftver sebezhetőségének kihasználása veszélyeztette az egyik </w:t>
      </w:r>
      <w:proofErr w:type="spellStart"/>
      <w:r w:rsidRPr="003B33A5">
        <w:rPr>
          <w:rFonts w:eastAsia="Times New Roman"/>
          <w:szCs w:val="20"/>
          <w:lang w:val="hu-HU" w:eastAsia="en-GB"/>
        </w:rPr>
        <w:t>perimetrális</w:t>
      </w:r>
      <w:proofErr w:type="spellEnd"/>
      <w:r w:rsidRPr="003B33A5">
        <w:rPr>
          <w:rFonts w:eastAsia="Times New Roman"/>
          <w:szCs w:val="20"/>
          <w:lang w:val="hu-HU" w:eastAsia="en-GB"/>
        </w:rPr>
        <w:t xml:space="preserve"> biztonsági átjárót; megjegyzi, hogy a szoftver sebezhetőségét az eladó csak két nappal az incidens előtt tárta fel;</w:t>
      </w:r>
    </w:p>
    <w:p w14:paraId="7E910200"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65.</w:t>
      </w:r>
      <w:r w:rsidRPr="003B33A5">
        <w:rPr>
          <w:rFonts w:eastAsia="Times New Roman"/>
          <w:szCs w:val="20"/>
          <w:lang w:val="hu-HU" w:eastAsia="en-GB"/>
        </w:rPr>
        <w:tab/>
        <w:t>elismerését fejezi ki az uniós intézmények, szervek és hivatalok hálózatbiztonsági vészhelyzeteket elhárító csoportjának (CERT-EU) munkájáért, amely értesítette a Számvevőszéket az eseményről, segített kivizsgálni annak hatókörét és elvégezte a kriminalisztikai elemzést; megjegyzi, hogy az incidenst követően a Számvevőszék helyreállította a rendszer tiszta biztonsági másolatát, és szoftverfrissítést hajtott végre, amellyel orvosolta a támadó által kihasznált sebezhetőségeket; megjegyzi továbbá, hogy a következő hetekben a Számvevőszék fokozatosan néhány további, a CERT-EU által ajánlott megelőző intézkedést foganatosított a készülékeken a rosszindulatú programok esetleges észrevétlen nyomainak felszámolása érdekében;</w:t>
      </w:r>
    </w:p>
    <w:p w14:paraId="1C06AFCA"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66.</w:t>
      </w:r>
      <w:r w:rsidRPr="003B33A5">
        <w:rPr>
          <w:rFonts w:eastAsia="Times New Roman"/>
          <w:szCs w:val="20"/>
          <w:lang w:val="hu-HU" w:eastAsia="en-GB"/>
        </w:rPr>
        <w:tab/>
        <w:t xml:space="preserve">elismeréssel veszi tudomásul, hogy a Számvevőszék 2023-ban felülvizsgálta és aktualizálta </w:t>
      </w:r>
      <w:proofErr w:type="spellStart"/>
      <w:r w:rsidRPr="003B33A5">
        <w:rPr>
          <w:rFonts w:eastAsia="Times New Roman"/>
          <w:szCs w:val="20"/>
          <w:lang w:val="hu-HU" w:eastAsia="en-GB"/>
        </w:rPr>
        <w:t>kiberbiztonsági</w:t>
      </w:r>
      <w:proofErr w:type="spellEnd"/>
      <w:r w:rsidRPr="003B33A5">
        <w:rPr>
          <w:rFonts w:eastAsia="Times New Roman"/>
          <w:szCs w:val="20"/>
          <w:lang w:val="hu-HU" w:eastAsia="en-GB"/>
        </w:rPr>
        <w:t xml:space="preserve"> eseményekre vonatkozó reagálási tervét, és létrehozott egy űrlapot az ilyen eseményeknek az informatikai szolgáltatáskezelő eszközben való rögzítésére; kiemeli, hogy az űrlap figyelembe veszi a 2023. júliusi eseményből levont </w:t>
      </w:r>
      <w:r w:rsidRPr="003B33A5">
        <w:rPr>
          <w:rFonts w:eastAsia="Times New Roman"/>
          <w:szCs w:val="20"/>
          <w:lang w:val="hu-HU" w:eastAsia="en-GB"/>
        </w:rPr>
        <w:lastRenderedPageBreak/>
        <w:t xml:space="preserve">tanulságokat, mivel a célja, hogy összegyűjtse az összes olyan információt, amely hasznos lehet egy </w:t>
      </w:r>
      <w:proofErr w:type="spellStart"/>
      <w:r w:rsidRPr="003B33A5">
        <w:rPr>
          <w:rFonts w:eastAsia="Times New Roman"/>
          <w:szCs w:val="20"/>
          <w:lang w:val="hu-HU" w:eastAsia="en-GB"/>
        </w:rPr>
        <w:t>kiberbiztonsági</w:t>
      </w:r>
      <w:proofErr w:type="spellEnd"/>
      <w:r w:rsidRPr="003B33A5">
        <w:rPr>
          <w:rFonts w:eastAsia="Times New Roman"/>
          <w:szCs w:val="20"/>
          <w:lang w:val="hu-HU" w:eastAsia="en-GB"/>
        </w:rPr>
        <w:t xml:space="preserve"> esemény kezelése során;</w:t>
      </w:r>
    </w:p>
    <w:p w14:paraId="4792A08A" w14:textId="77777777" w:rsidR="00E02448" w:rsidRPr="003B33A5" w:rsidRDefault="00E02448" w:rsidP="0061017A">
      <w:pPr>
        <w:spacing w:after="240"/>
        <w:ind w:left="567" w:hanging="567"/>
        <w:jc w:val="left"/>
        <w:rPr>
          <w:rFonts w:eastAsia="Times New Roman"/>
          <w:b/>
          <w:i/>
          <w:szCs w:val="20"/>
          <w:lang w:val="hu-HU" w:eastAsia="en-GB"/>
        </w:rPr>
      </w:pPr>
      <w:r w:rsidRPr="003B33A5">
        <w:rPr>
          <w:rFonts w:eastAsia="Times New Roman"/>
          <w:b/>
          <w:i/>
          <w:szCs w:val="20"/>
          <w:lang w:val="hu-HU" w:eastAsia="en-GB"/>
        </w:rPr>
        <w:t>Épületek</w:t>
      </w:r>
    </w:p>
    <w:p w14:paraId="5F25A4E6"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67.</w:t>
      </w:r>
      <w:r w:rsidRPr="003B33A5">
        <w:rPr>
          <w:rFonts w:eastAsia="Times New Roman"/>
          <w:szCs w:val="20"/>
          <w:lang w:val="hu-HU" w:eastAsia="en-GB"/>
        </w:rPr>
        <w:tab/>
        <w:t>megjegyzi, hogy 2023-ban befejeződött a K2 épület valamennyi emeletén található műszaki berendezések korszerűsítésére és a közös terek használatának optimalizálására irányuló munka; megjegyzi, hogy a Számvevőszék a 6 902 185,54 EUR teljes költségvetésből 6 445 635,82 EUR kötelezettségvállalást tett; elismerését fejezi ki a Számvevőszéknek, amiért nem lépte túl az előzetes költségvetést; felhívja a többi uniós intézményt, hogy kövessék a Számvevőszék példamutató költségvetési gazdálkodását;</w:t>
      </w:r>
    </w:p>
    <w:p w14:paraId="4233F26E"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68.</w:t>
      </w:r>
      <w:r w:rsidRPr="003B33A5">
        <w:rPr>
          <w:rFonts w:eastAsia="Times New Roman"/>
          <w:szCs w:val="20"/>
          <w:lang w:val="hu-HU" w:eastAsia="en-GB"/>
        </w:rPr>
        <w:tab/>
        <w:t>nagyra értékeli, hogy 2023 februárjában elkészültek annak a valamennyi számvevőszéki épületre kiterjedő akadálymentességi ellenőrzésnek az eredményei, amelyet a csökkent mozgásképességű vagy egyéb fogyatékossággal élő személyek igényeinek kielégítése érdekében egy külső tanácsadó végzett el; megjegyzi, hogy az ellenőrzés mindhárom épületre, a közös terekre, a parkolókra és más terekre is kiterjedt; tudatában van annak, hogy a javasolt intézkedések felülvizsgálata folyamatban van, és alapvetően egy konkrét projekt tárgyát képezik, de azok végrehajtása nagymértékben függ a rendelkezésre álló költségvetéstől;</w:t>
      </w:r>
    </w:p>
    <w:p w14:paraId="5DE84EDC" w14:textId="77777777" w:rsidR="00E02448" w:rsidRPr="003B33A5" w:rsidRDefault="00E02448" w:rsidP="0061017A">
      <w:pPr>
        <w:spacing w:after="240"/>
        <w:ind w:left="567" w:hanging="567"/>
        <w:jc w:val="left"/>
        <w:rPr>
          <w:rFonts w:eastAsia="Times New Roman"/>
          <w:b/>
          <w:i/>
          <w:szCs w:val="20"/>
          <w:lang w:val="hu-HU" w:eastAsia="en-GB"/>
        </w:rPr>
      </w:pPr>
      <w:r w:rsidRPr="003B33A5">
        <w:rPr>
          <w:rFonts w:eastAsia="Times New Roman"/>
          <w:b/>
          <w:i/>
          <w:szCs w:val="20"/>
          <w:lang w:val="hu-HU" w:eastAsia="en-GB"/>
        </w:rPr>
        <w:t>Környezetvédelem és fenntarthatóság</w:t>
      </w:r>
    </w:p>
    <w:p w14:paraId="34263327"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69.</w:t>
      </w:r>
      <w:r w:rsidRPr="003B33A5">
        <w:rPr>
          <w:rFonts w:eastAsia="Times New Roman"/>
          <w:szCs w:val="20"/>
          <w:lang w:val="hu-HU" w:eastAsia="en-GB"/>
        </w:rPr>
        <w:tab/>
        <w:t>megjegyzi, hogy 2023-ban a Számvevőszék a környezeti hatások csökkentésére irányuló erőfeszítéseinek jelentős részét olyan energiamegtakarítási intézkedésekre fordította, mint a hagyományos izzók LED-</w:t>
      </w:r>
      <w:proofErr w:type="spellStart"/>
      <w:r w:rsidRPr="003B33A5">
        <w:rPr>
          <w:rFonts w:eastAsia="Times New Roman"/>
          <w:szCs w:val="20"/>
          <w:lang w:val="hu-HU" w:eastAsia="en-GB"/>
        </w:rPr>
        <w:t>ekre</w:t>
      </w:r>
      <w:proofErr w:type="spellEnd"/>
      <w:r w:rsidRPr="003B33A5">
        <w:rPr>
          <w:rFonts w:eastAsia="Times New Roman"/>
          <w:szCs w:val="20"/>
          <w:lang w:val="hu-HU" w:eastAsia="en-GB"/>
        </w:rPr>
        <w:t xml:space="preserve"> való cseréje, a szellőztetési órák számának csökkentése és bizonyos műszaki rendszerek felújítása az épületeiben; megjegyzi továbbá, hogy a Számvevőszék 2023 nyarán különleges energiamegtakarítási intézkedéseket vezetett be, amelyek 2022 nyarához képest 12 %-kal csökkentették a villamosenergia-fogyasztást, 26 976 EUR megtakarítást eredményezve;</w:t>
      </w:r>
    </w:p>
    <w:p w14:paraId="388521DB"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70.</w:t>
      </w:r>
      <w:r w:rsidRPr="003B33A5">
        <w:rPr>
          <w:rFonts w:eastAsia="Times New Roman"/>
          <w:szCs w:val="20"/>
          <w:lang w:val="hu-HU" w:eastAsia="en-GB"/>
        </w:rPr>
        <w:tab/>
        <w:t>megjegyzi, hogy 2023-ban a Számvevőszék megállapodást írt alá a luxemburgi hatóságokkal egy mobilitási terv kialakításáról; várakozással tekint a kezdeményezéssel kapcsolatos fejlemények elé;</w:t>
      </w:r>
    </w:p>
    <w:p w14:paraId="66709B5C" w14:textId="77777777" w:rsidR="00E02448" w:rsidRPr="003B33A5" w:rsidRDefault="00E02448" w:rsidP="0061017A">
      <w:pPr>
        <w:spacing w:after="240"/>
        <w:ind w:left="567" w:hanging="567"/>
        <w:jc w:val="left"/>
        <w:rPr>
          <w:rFonts w:eastAsia="Times New Roman"/>
          <w:b/>
          <w:i/>
          <w:szCs w:val="20"/>
          <w:lang w:val="hu-HU" w:eastAsia="en-GB"/>
        </w:rPr>
      </w:pPr>
      <w:r w:rsidRPr="003B33A5">
        <w:rPr>
          <w:rFonts w:eastAsia="Times New Roman"/>
          <w:b/>
          <w:i/>
          <w:szCs w:val="20"/>
          <w:lang w:val="hu-HU" w:eastAsia="en-GB"/>
        </w:rPr>
        <w:t>Intézményközi együttműködés</w:t>
      </w:r>
    </w:p>
    <w:p w14:paraId="0904F93C"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71.</w:t>
      </w:r>
      <w:r w:rsidRPr="003B33A5">
        <w:rPr>
          <w:rFonts w:eastAsia="Times New Roman"/>
          <w:szCs w:val="20"/>
          <w:lang w:val="hu-HU" w:eastAsia="en-GB"/>
        </w:rPr>
        <w:tab/>
        <w:t>kiemeli, hogy 2023-ban a Számvevőszék ellenőrei 1370 napot töltöttek uniós intézményeknél, szerveknél, hivataloknál és ügynökségeknél, valamint különböző nemzetközi szervezeteknél és magán könyvvizsgáló cégeknél, szemben a 2022. évi 945 nappal;</w:t>
      </w:r>
    </w:p>
    <w:p w14:paraId="1EDA19FD"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72.</w:t>
      </w:r>
      <w:r w:rsidRPr="003B33A5">
        <w:rPr>
          <w:rFonts w:eastAsia="Times New Roman"/>
          <w:szCs w:val="20"/>
          <w:lang w:val="hu-HU" w:eastAsia="en-GB"/>
        </w:rPr>
        <w:tab/>
        <w:t>felszólít a Számvevőszék, az Európai Parlament, a Tanács és a Bizottság közötti éves, költségvetési ellenőrzésről szóló intézményközi párbeszéd hivatalossá tételére, biztosítva az ellenőrzési megállapítások szisztematikus nyomon követését és az uniós kiadások jobb felügyeletét;</w:t>
      </w:r>
    </w:p>
    <w:p w14:paraId="3023B250"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73.</w:t>
      </w:r>
      <w:r w:rsidRPr="003B33A5">
        <w:rPr>
          <w:rFonts w:eastAsia="Times New Roman"/>
          <w:szCs w:val="20"/>
          <w:lang w:val="hu-HU" w:eastAsia="en-GB"/>
        </w:rPr>
        <w:tab/>
        <w:t xml:space="preserve">ismételten emlékeztet arra, hogy a Számvevőszék és a Bizottság közötti hatékony együttműködés korlátozott marad, amennyiben a Bizottság nem fogadja el a Számvevőszék hibaarány-értékelési módszertanát, amely a szabályok megsértésének </w:t>
      </w:r>
      <w:r w:rsidRPr="003B33A5">
        <w:rPr>
          <w:rFonts w:eastAsia="Times New Roman"/>
          <w:szCs w:val="20"/>
          <w:lang w:val="hu-HU" w:eastAsia="en-GB"/>
        </w:rPr>
        <w:lastRenderedPageBreak/>
        <w:t xml:space="preserve">független és átfogó értékelésén alapul, szemben azzal, hogy a Bizottság a </w:t>
      </w:r>
      <w:proofErr w:type="spellStart"/>
      <w:r w:rsidRPr="003B33A5">
        <w:rPr>
          <w:rFonts w:eastAsia="Times New Roman"/>
          <w:szCs w:val="20"/>
          <w:lang w:val="hu-HU" w:eastAsia="en-GB"/>
        </w:rPr>
        <w:t>visszatéríttethető</w:t>
      </w:r>
      <w:proofErr w:type="spellEnd"/>
      <w:r w:rsidRPr="003B33A5">
        <w:rPr>
          <w:rFonts w:eastAsia="Times New Roman"/>
          <w:szCs w:val="20"/>
          <w:lang w:val="hu-HU" w:eastAsia="en-GB"/>
        </w:rPr>
        <w:t xml:space="preserve"> hibákra összpontosít;</w:t>
      </w:r>
    </w:p>
    <w:p w14:paraId="647C71C4" w14:textId="77777777" w:rsidR="00E02448" w:rsidRPr="003B33A5" w:rsidRDefault="00E02448" w:rsidP="0061017A">
      <w:pPr>
        <w:spacing w:after="240"/>
        <w:ind w:left="567" w:hanging="567"/>
        <w:jc w:val="left"/>
        <w:rPr>
          <w:rFonts w:eastAsia="Times New Roman"/>
          <w:b/>
          <w:i/>
          <w:szCs w:val="20"/>
          <w:lang w:val="hu-HU" w:eastAsia="en-GB"/>
        </w:rPr>
      </w:pPr>
      <w:r w:rsidRPr="003B33A5">
        <w:rPr>
          <w:rFonts w:eastAsia="Times New Roman"/>
          <w:szCs w:val="20"/>
          <w:lang w:val="hu-HU" w:eastAsia="en-GB"/>
        </w:rPr>
        <w:t>74.</w:t>
      </w:r>
      <w:r w:rsidRPr="003B33A5">
        <w:rPr>
          <w:rFonts w:eastAsia="Times New Roman"/>
          <w:szCs w:val="20"/>
          <w:lang w:val="hu-HU" w:eastAsia="en-GB"/>
        </w:rPr>
        <w:tab/>
        <w:t>üdvözli, hogy a Számvevőszék szorosan együttműködik mind az OLAF-fal, mind az Európai Ügyészséggel, többek között munkaértekezletek és figyelemfelkeltő rendezvények szervezése, valamint az ismeretek és tapasztalatok cseréje révén; megjegyzi továbbá, hogy a Számvevőszék 2023-ban 20 csalásgyanús ügyet továbbított az OLAF-</w:t>
      </w:r>
      <w:proofErr w:type="spellStart"/>
      <w:r w:rsidRPr="003B33A5">
        <w:rPr>
          <w:rFonts w:eastAsia="Times New Roman"/>
          <w:szCs w:val="20"/>
          <w:lang w:val="hu-HU" w:eastAsia="en-GB"/>
        </w:rPr>
        <w:t>nak</w:t>
      </w:r>
      <w:proofErr w:type="spellEnd"/>
      <w:r w:rsidRPr="003B33A5">
        <w:rPr>
          <w:rFonts w:eastAsia="Times New Roman"/>
          <w:szCs w:val="20"/>
          <w:lang w:val="hu-HU" w:eastAsia="en-GB"/>
        </w:rPr>
        <w:t>, 17 ilyen ügyet pedig az Európai Ügyészségnek; hangsúlyozza azon álláspontját, hogy minden csalásgyanús esetet haladéktalanul az OLAF és az Európai Ügyészség elé kell utalni alapos vizsgálat céljából;</w:t>
      </w:r>
    </w:p>
    <w:p w14:paraId="152549B7"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75.</w:t>
      </w:r>
      <w:r w:rsidRPr="003B33A5">
        <w:rPr>
          <w:rFonts w:eastAsia="Times New Roman"/>
          <w:szCs w:val="20"/>
          <w:lang w:val="hu-HU" w:eastAsia="en-GB"/>
        </w:rPr>
        <w:tab/>
        <w:t>felhívja a Számvevőszéket, hogy hozzon létre strukturált csalásfelderítési együttműködési mechanizmust az OLAF-fal és az Európai Ügyészséggel, beleértve a valós idejű adatmegosztási megállapodásokat és a magas kockázatú uniós finanszírozási területekre vonatkozó közös ellenőrzési megközelítést;</w:t>
      </w:r>
    </w:p>
    <w:p w14:paraId="5289BF55"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76.</w:t>
      </w:r>
      <w:r w:rsidRPr="003B33A5">
        <w:rPr>
          <w:rFonts w:eastAsia="Times New Roman"/>
          <w:szCs w:val="20"/>
          <w:lang w:val="hu-HU" w:eastAsia="en-GB"/>
        </w:rPr>
        <w:tab/>
        <w:t>meggyőződése, hogy az adatbányászatra és a kockázatértékelésre szolgáló egységes integrált informatikai rendszer értékes adatforrás lehet, amely lehetővé tenné a Számvevőszék, az OLAF és az Európai Ügyészség számára, hogy megerősítsék ellenőrzési és kontrolltevékenységeiket; hangsúlyozza, hogy korlátlan hozzáférést kell biztosítani egy ilyen rendszerhez és az abban foglalt adatokhoz, hogy e hozzáférést nem szabad indokolatlanul korlátozni, és hogy a Számvevőszék ellenőrzéseihez haladéktalanul lehetővé kell tenni további digitális eszközök és kialakulóban lévő technológiák feltárását és használatát;</w:t>
      </w:r>
    </w:p>
    <w:p w14:paraId="097DEF28"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77.</w:t>
      </w:r>
      <w:r w:rsidRPr="003B33A5">
        <w:rPr>
          <w:rFonts w:eastAsia="Times New Roman"/>
          <w:szCs w:val="20"/>
          <w:lang w:val="hu-HU" w:eastAsia="en-GB"/>
        </w:rPr>
        <w:tab/>
        <w:t xml:space="preserve">sajnálja, hogy az EBB dokumentumaihoz és információihoz való jobb hozzáférés ellenére a Számvevőszéknek nincs felhatalmazása az EBB saját forrásaiból finanszírozott műveletek ellenőrzésére; kéri, hogy ruházzák fel a Számvevőszéket ezzel a megbízatással, tekintettel az EBB uniós célkitűzések megvalósítására irányuló küldetésére, valamint az Unió gazdasági és politikai színterén betöltött bővülő szerepére, amely túlmutat az uniós költségvetésnek a műveletei biztosítására való felhasználásán; kiemeli a Számvevőszék 05/2023. sz., „Az Európai Unió pénzügyi környezete – A széttagolt szerkezet miatt további egyszerűsítésre és jobb elszámoltathatóságra van szükség” című </w:t>
      </w:r>
      <w:proofErr w:type="spellStart"/>
      <w:r w:rsidRPr="003B33A5">
        <w:rPr>
          <w:rFonts w:eastAsia="Times New Roman"/>
          <w:szCs w:val="20"/>
          <w:lang w:val="hu-HU" w:eastAsia="en-GB"/>
        </w:rPr>
        <w:t>különjelentését</w:t>
      </w:r>
      <w:proofErr w:type="spellEnd"/>
      <w:r w:rsidRPr="003B33A5">
        <w:rPr>
          <w:rFonts w:eastAsia="Times New Roman"/>
          <w:szCs w:val="20"/>
          <w:lang w:val="hu-HU" w:eastAsia="en-GB"/>
        </w:rPr>
        <w:t>, amelyben a Számvevőszék kijelenteti, hogy az uniós szakpolitikák finanszírozásának valamennyi típusára vonatkozóan közpénz-ellenőrzési megbízást kell kialakítani;</w:t>
      </w:r>
    </w:p>
    <w:p w14:paraId="3F4C8BC0"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78.</w:t>
      </w:r>
      <w:r w:rsidRPr="003B33A5">
        <w:rPr>
          <w:rFonts w:eastAsia="Times New Roman"/>
          <w:szCs w:val="20"/>
          <w:lang w:val="hu-HU" w:eastAsia="en-GB"/>
        </w:rPr>
        <w:tab/>
        <w:t xml:space="preserve">megjegyzi, hogy 2023-ban a Számvevőszék 29 </w:t>
      </w:r>
      <w:proofErr w:type="spellStart"/>
      <w:r w:rsidRPr="003B33A5">
        <w:rPr>
          <w:rFonts w:eastAsia="Times New Roman"/>
          <w:szCs w:val="20"/>
          <w:lang w:val="hu-HU" w:eastAsia="en-GB"/>
        </w:rPr>
        <w:t>különjelentést</w:t>
      </w:r>
      <w:proofErr w:type="spellEnd"/>
      <w:r w:rsidRPr="003B33A5">
        <w:rPr>
          <w:rFonts w:eastAsia="Times New Roman"/>
          <w:szCs w:val="20"/>
          <w:lang w:val="hu-HU" w:eastAsia="en-GB"/>
        </w:rPr>
        <w:t>, 1 áttekintést és 1 véleményt adott ki 22 különböző tanácsi bizottságnak és munkacsoportnak; megjegyzi továbbá, hogy ugyanebben az évben a Számvevőszék képviselői 23 olyan ülésen vettek részt, amelyek középpontjában a 2021. és 2022. évi pénzügyi évre vonatkozó uniós költségvetésre vonatkozó mentesítés állt;</w:t>
      </w:r>
    </w:p>
    <w:p w14:paraId="769A23C2"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79.</w:t>
      </w:r>
      <w:r w:rsidRPr="003B33A5">
        <w:rPr>
          <w:rFonts w:eastAsia="Times New Roman"/>
          <w:szCs w:val="20"/>
          <w:lang w:val="hu-HU" w:eastAsia="en-GB"/>
        </w:rPr>
        <w:tab/>
        <w:t xml:space="preserve">elismeréssel veszi tudomásul, hogy a Számvevőszék tagjai és vezetése 2023-ban aktív szerepvállalásról tettek tanúbizonyságot, és munkájukat a 25 tagállam nemzeti kormányaival és kormányzati szerveivel tartott 120 ülésen mutatták be, amelyek többségén pénzügyminiszterek vagy egyéb miniszterek vettek részt; megjegyzi továbbá, hogy ugyanebben az évben a Számvevőszék tagjai és személyzete 19 tagállam nemzeti és regionális parlamentjeivel tartott 91 ülésen ismertették munkájukat, elsősorban költségvetési, pénzügyi, ellenőrzési vagy uniós ügyekkel foglalkozó bizottságokon keresztül; sürgeti a Számvevőszéket, hogy fokozza együttműködését </w:t>
      </w:r>
      <w:r w:rsidRPr="003B33A5">
        <w:rPr>
          <w:rFonts w:eastAsia="Times New Roman"/>
          <w:szCs w:val="20"/>
          <w:lang w:val="hu-HU" w:eastAsia="en-GB"/>
        </w:rPr>
        <w:lastRenderedPageBreak/>
        <w:t>azon országok kormányaival, ahol a legmagasabb a hibaarány, elősegítve a fokozottabb párbeszédet és együttműködést e kérdések hatékony kezelése érdekében;</w:t>
      </w:r>
    </w:p>
    <w:p w14:paraId="125AAF9B" w14:textId="77777777" w:rsidR="00E02448" w:rsidRPr="003B33A5" w:rsidRDefault="00E02448" w:rsidP="0061017A">
      <w:pPr>
        <w:spacing w:after="240"/>
        <w:ind w:left="567" w:hanging="567"/>
        <w:jc w:val="left"/>
        <w:rPr>
          <w:rFonts w:eastAsia="Times New Roman"/>
          <w:b/>
          <w:i/>
          <w:szCs w:val="20"/>
          <w:lang w:val="hu-HU" w:eastAsia="en-GB"/>
        </w:rPr>
      </w:pPr>
      <w:r w:rsidRPr="003B33A5">
        <w:rPr>
          <w:rFonts w:eastAsia="Times New Roman"/>
          <w:b/>
          <w:i/>
          <w:szCs w:val="20"/>
          <w:lang w:val="hu-HU" w:eastAsia="en-GB"/>
        </w:rPr>
        <w:t>Kommunikáció</w:t>
      </w:r>
    </w:p>
    <w:p w14:paraId="3C0F96F7"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80.</w:t>
      </w:r>
      <w:r w:rsidRPr="003B33A5">
        <w:rPr>
          <w:rFonts w:eastAsia="Times New Roman"/>
          <w:szCs w:val="20"/>
          <w:lang w:val="hu-HU" w:eastAsia="en-GB"/>
        </w:rPr>
        <w:tab/>
        <w:t>megjegyzi, hogy 2023-ban a Számvevőszék kommunikációs és promóciós tevékenységeire elkülönített költségvetés 225 000 EUR volt, 81,13 %-os felhasználási aránnyal (182 549,84 EUR); megjegyzi, hogy a költségvetés nagy részét a médiafigyelési szolgáltatásokra (81 650 EUR) és a sajtótevékenységekre (12 348 EUR) fordították, ezt követték az érdekelt felekkel fenntartott kapcsolatokra fordított kiadások, amelyek főként a szakpolitikai információs platform (57 891 EUR), a kommunikációs tevékenységek (28 002,88 EUR), a közösségi média (1 486,52 EUR) és a kiadványok (1 171,44 EUR) költségeit tartalmazták;</w:t>
      </w:r>
    </w:p>
    <w:p w14:paraId="3D1F4A69"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81.</w:t>
      </w:r>
      <w:r w:rsidRPr="003B33A5">
        <w:rPr>
          <w:rFonts w:eastAsia="Times New Roman"/>
          <w:szCs w:val="20"/>
          <w:lang w:val="hu-HU" w:eastAsia="en-GB"/>
        </w:rPr>
        <w:tab/>
        <w:t>határozottan támogatja a Számvevőszék bővülő médiastratégiáját, amely több mint 22 000, az ellenőrzési jelentéseivel, más kiadványaival vagy általában a Számvevőszékkel kapcsolatos online sajtócikket eredményezett, megerősítve ezzel az elmúlt években megfigyelt növekvő tendenciát (2022: 20 000; 2021: 18 000); A közösségi médiában közel 54 000 bejegyzés is azt mutatja, hogy továbbra is folytatódik az organikus növekedés, bár a 2022. évi szám kiugróan magas volt (2022: 110 000; 2021: 49 000);</w:t>
      </w:r>
    </w:p>
    <w:p w14:paraId="74767F53"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82.</w:t>
      </w:r>
      <w:r w:rsidRPr="003B33A5">
        <w:rPr>
          <w:rFonts w:eastAsia="Times New Roman"/>
          <w:szCs w:val="20"/>
          <w:lang w:val="hu-HU" w:eastAsia="en-GB"/>
        </w:rPr>
        <w:tab/>
        <w:t>üdvözli, hogy 2023-ban 45 sajtóközleményt tettek közzé 24 uniós nyelven, továbbá bizonyos nyelveken különböző háttéranyagokat, a sajtó munkatársai számára készített tudnivalókat és azonnal felhasználható hanganyagokat is kibocsátottak; megjegyzi továbbá, hogy a Számvevőszék 21 online sajtótájékoztatót és 6 további országspecifikus sajtótájékoztatót tartott az éves jelentés kapcsán; kiemeli, hogy a Számvevőszék tájékoztatói összesen 590 újságírót vonzottak, akik többsége a tagállamok főbb nemzeti médiaorgánumait képviselte;</w:t>
      </w:r>
    </w:p>
    <w:p w14:paraId="00FF838D" w14:textId="77777777" w:rsidR="00E02448" w:rsidRPr="003B33A5"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83.</w:t>
      </w:r>
      <w:r w:rsidRPr="003B33A5">
        <w:rPr>
          <w:rFonts w:eastAsia="Times New Roman"/>
          <w:szCs w:val="20"/>
          <w:lang w:val="hu-HU" w:eastAsia="en-GB"/>
        </w:rPr>
        <w:tab/>
        <w:t xml:space="preserve">elismeréssel veszi tudomásul, hogy 2023-ban a Számvevőszék új weboldalt indított, amelyet több mint másfél milliószor látogattak meg, az egyedi látogatók száma mintegy 700 000 volt, ami 2022-höz képest több mint 14 %-os növekedést jelent; üdvözli, hogy 2023 végére a Számvevőszék három fő közösségimédia-fiókjának (X (volt </w:t>
      </w:r>
      <w:proofErr w:type="spellStart"/>
      <w:r w:rsidRPr="003B33A5">
        <w:rPr>
          <w:rFonts w:eastAsia="Times New Roman"/>
          <w:szCs w:val="20"/>
          <w:lang w:val="hu-HU" w:eastAsia="en-GB"/>
        </w:rPr>
        <w:t>Twitter</w:t>
      </w:r>
      <w:proofErr w:type="spellEnd"/>
      <w:r w:rsidRPr="003B33A5">
        <w:rPr>
          <w:rFonts w:eastAsia="Times New Roman"/>
          <w:szCs w:val="20"/>
          <w:lang w:val="hu-HU" w:eastAsia="en-GB"/>
        </w:rPr>
        <w:t xml:space="preserve">), </w:t>
      </w:r>
      <w:proofErr w:type="spellStart"/>
      <w:r w:rsidRPr="003B33A5">
        <w:rPr>
          <w:rFonts w:eastAsia="Times New Roman"/>
          <w:szCs w:val="20"/>
          <w:lang w:val="hu-HU" w:eastAsia="en-GB"/>
        </w:rPr>
        <w:t>LinkedIn</w:t>
      </w:r>
      <w:proofErr w:type="spellEnd"/>
      <w:r w:rsidRPr="003B33A5">
        <w:rPr>
          <w:rFonts w:eastAsia="Times New Roman"/>
          <w:szCs w:val="20"/>
          <w:lang w:val="hu-HU" w:eastAsia="en-GB"/>
        </w:rPr>
        <w:t xml:space="preserve"> és Facebook) több mint 48 000 követője volt, szemben a 2022. évi 45 000-rel és a 2021. évi 39 000-rel;</w:t>
      </w:r>
    </w:p>
    <w:p w14:paraId="65665704" w14:textId="77777777" w:rsidR="00E02448" w:rsidRPr="00D21A19" w:rsidRDefault="00E02448" w:rsidP="0061017A">
      <w:pPr>
        <w:spacing w:after="240"/>
        <w:ind w:left="567" w:hanging="567"/>
        <w:jc w:val="left"/>
        <w:rPr>
          <w:rFonts w:eastAsia="Times New Roman"/>
          <w:szCs w:val="20"/>
          <w:lang w:val="hu-HU" w:eastAsia="en-GB"/>
        </w:rPr>
      </w:pPr>
      <w:r w:rsidRPr="003B33A5">
        <w:rPr>
          <w:rFonts w:eastAsia="Times New Roman"/>
          <w:szCs w:val="20"/>
          <w:lang w:val="hu-HU" w:eastAsia="en-GB"/>
        </w:rPr>
        <w:t>84.</w:t>
      </w:r>
      <w:r w:rsidRPr="003B33A5">
        <w:rPr>
          <w:rFonts w:eastAsia="Times New Roman"/>
          <w:szCs w:val="20"/>
          <w:lang w:val="hu-HU" w:eastAsia="en-GB"/>
        </w:rPr>
        <w:tab/>
        <w:t xml:space="preserve">fokozott elismerését fejezi ki amiatt, hogy a Számvevőszék folyamatosan értékeli, hogy jelentéseinek olvasói (a Parlament, a Tanács, a Bizottság, az uniós ügynökségek, a tagállamok állandó képviseletei, a tagállami ügynökségek és a legfőbb ellenőrző intézmények, a nem kormányzati szervezetek, a tudományos körök, a média és más felek munkatársai) szerint munkája valószínűleg milyen hatást vált ki és mennyiben hasznos; e tekintetben megjegyzi, hogy a Számvevőszék 2018 óta </w:t>
      </w:r>
      <w:proofErr w:type="spellStart"/>
      <w:r w:rsidRPr="003B33A5">
        <w:rPr>
          <w:rFonts w:eastAsia="Times New Roman"/>
          <w:szCs w:val="20"/>
          <w:lang w:val="hu-HU" w:eastAsia="en-GB"/>
        </w:rPr>
        <w:t>anonimizált</w:t>
      </w:r>
      <w:proofErr w:type="spellEnd"/>
      <w:r w:rsidRPr="003B33A5">
        <w:rPr>
          <w:rFonts w:eastAsia="Times New Roman"/>
          <w:szCs w:val="20"/>
          <w:lang w:val="hu-HU" w:eastAsia="en-GB"/>
        </w:rPr>
        <w:t xml:space="preserve"> elektronikus felmérések keretében kéri olvasóit arra, hogy adjanak minőségi visszajelzést egyes kiválasztott jelentéseiről, és általában véve tegyenek javaslatokat munkája kapcsán; hangsúlyozza, hogy 2023-ban összességében a mintegy 1 060 válaszadó 85 %-a ítélte úgy, hogy a Számvevőszékjelentései hasznosak a munkájához, és 78 %-</w:t>
      </w:r>
      <w:proofErr w:type="spellStart"/>
      <w:r w:rsidRPr="003B33A5">
        <w:rPr>
          <w:rFonts w:eastAsia="Times New Roman"/>
          <w:szCs w:val="20"/>
          <w:lang w:val="hu-HU" w:eastAsia="en-GB"/>
        </w:rPr>
        <w:t>uk</w:t>
      </w:r>
      <w:proofErr w:type="spellEnd"/>
      <w:r w:rsidRPr="003B33A5">
        <w:rPr>
          <w:rFonts w:eastAsia="Times New Roman"/>
          <w:szCs w:val="20"/>
          <w:lang w:val="hu-HU" w:eastAsia="en-GB"/>
        </w:rPr>
        <w:t xml:space="preserve"> találta úgy, hogy azok érezhető hatással járnak.</w:t>
      </w:r>
    </w:p>
    <w:sectPr w:rsidR="00E02448" w:rsidRPr="00D21A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44960" w14:textId="77777777" w:rsidR="00E02448" w:rsidRDefault="00E02448" w:rsidP="00E02448">
      <w:r>
        <w:separator/>
      </w:r>
    </w:p>
  </w:endnote>
  <w:endnote w:type="continuationSeparator" w:id="0">
    <w:p w14:paraId="08E67D5B" w14:textId="77777777" w:rsidR="00E02448" w:rsidRDefault="00E02448" w:rsidP="00E02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DADDF" w14:textId="77777777" w:rsidR="00E02448" w:rsidRDefault="00E02448" w:rsidP="00E02448">
      <w:r>
        <w:separator/>
      </w:r>
    </w:p>
  </w:footnote>
  <w:footnote w:type="continuationSeparator" w:id="0">
    <w:p w14:paraId="79B6694D" w14:textId="77777777" w:rsidR="00E02448" w:rsidRDefault="00E02448" w:rsidP="00E02448">
      <w:r>
        <w:continuationSeparator/>
      </w:r>
    </w:p>
  </w:footnote>
  <w:footnote w:id="1">
    <w:p w14:paraId="25A3C8D4" w14:textId="77777777" w:rsidR="00E02448" w:rsidRPr="003B33A5" w:rsidRDefault="00E02448" w:rsidP="0073151B">
      <w:pPr>
        <w:ind w:left="567" w:hanging="567"/>
        <w:jc w:val="left"/>
        <w:rPr>
          <w:lang w:val="fi-FI"/>
        </w:rPr>
      </w:pPr>
      <w:r w:rsidRPr="003B33A5">
        <w:rPr>
          <w:rStyle w:val="FootnoteReference"/>
        </w:rPr>
        <w:footnoteRef/>
      </w:r>
      <w:r w:rsidRPr="003B33A5">
        <w:rPr>
          <w:lang w:val="fi-FI"/>
        </w:rPr>
        <w:t xml:space="preserve"> </w:t>
      </w:r>
      <w:r w:rsidRPr="003B33A5">
        <w:rPr>
          <w:lang w:val="fi-FI"/>
        </w:rPr>
        <w:tab/>
        <w:t xml:space="preserve">HL L 58., 2023.2.23., 1. o., ELI: </w:t>
      </w:r>
      <w:hyperlink r:id="rId1" w:tooltip="Az ELI (európai jogszabály-azonosító) URI-hivatkozása révén biztosít hozzáférést a dokumentumhoz." w:history="1">
        <w:r w:rsidRPr="003B33A5">
          <w:rPr>
            <w:rStyle w:val="Hyperlink1"/>
            <w:color w:val="337AB7"/>
            <w:shd w:val="clear" w:color="auto" w:fill="FFFFFF"/>
            <w:lang w:val="fi-FI"/>
          </w:rPr>
          <w:t>http://data.europa.eu/eli/budget/2023/1/oj</w:t>
        </w:r>
      </w:hyperlink>
      <w:r w:rsidRPr="003B33A5">
        <w:rPr>
          <w:shd w:val="clear" w:color="auto" w:fill="FFFFFF"/>
          <w:lang w:val="fi-FI"/>
        </w:rPr>
        <w:t>.</w:t>
      </w:r>
    </w:p>
  </w:footnote>
  <w:footnote w:id="2">
    <w:p w14:paraId="175C3E04" w14:textId="77777777" w:rsidR="00E02448" w:rsidRPr="003B33A5" w:rsidRDefault="00E02448" w:rsidP="0073151B">
      <w:pPr>
        <w:pStyle w:val="FootnoteText"/>
        <w:ind w:left="567" w:hanging="567"/>
        <w:jc w:val="left"/>
        <w:rPr>
          <w:sz w:val="24"/>
          <w:szCs w:val="24"/>
          <w:lang w:val="hu-HU"/>
        </w:rPr>
      </w:pPr>
      <w:r w:rsidRPr="003B33A5">
        <w:rPr>
          <w:rStyle w:val="FootnoteReference"/>
          <w:sz w:val="24"/>
          <w:szCs w:val="24"/>
          <w:lang w:val="hu-HU"/>
        </w:rPr>
        <w:footnoteRef/>
      </w:r>
      <w:r w:rsidRPr="003B33A5">
        <w:rPr>
          <w:sz w:val="24"/>
          <w:szCs w:val="24"/>
          <w:lang w:val="hu-HU"/>
        </w:rPr>
        <w:t xml:space="preserve"> </w:t>
      </w:r>
      <w:r w:rsidRPr="003B33A5">
        <w:rPr>
          <w:sz w:val="24"/>
          <w:szCs w:val="24"/>
          <w:lang w:val="hu-HU"/>
        </w:rPr>
        <w:tab/>
        <w:t xml:space="preserve">HL C, C/2024/5462, 2024.10.10., ELI: </w:t>
      </w:r>
      <w:hyperlink r:id="rId2" w:history="1">
        <w:r w:rsidRPr="003B33A5">
          <w:rPr>
            <w:rStyle w:val="Hyperlink1"/>
            <w:sz w:val="24"/>
            <w:szCs w:val="24"/>
            <w:lang w:val="hu-HU"/>
          </w:rPr>
          <w:t>http://data.europa.eu/eli/C/2024/5462/oj</w:t>
        </w:r>
      </w:hyperlink>
      <w:r w:rsidRPr="003B33A5">
        <w:rPr>
          <w:sz w:val="24"/>
          <w:szCs w:val="24"/>
          <w:shd w:val="clear" w:color="auto" w:fill="FFFFFF"/>
          <w:lang w:val="hu-HU"/>
        </w:rPr>
        <w:t>.</w:t>
      </w:r>
    </w:p>
  </w:footnote>
  <w:footnote w:id="3">
    <w:p w14:paraId="48C3E07E" w14:textId="77777777" w:rsidR="00E02448" w:rsidRPr="003B33A5" w:rsidRDefault="00E02448" w:rsidP="0073151B">
      <w:pPr>
        <w:pStyle w:val="FootnoteText"/>
        <w:ind w:left="567" w:hanging="567"/>
        <w:jc w:val="left"/>
        <w:rPr>
          <w:sz w:val="24"/>
          <w:szCs w:val="24"/>
          <w:lang w:val="hu-HU"/>
        </w:rPr>
      </w:pPr>
      <w:r w:rsidRPr="003B33A5">
        <w:rPr>
          <w:rStyle w:val="FootnoteReference"/>
          <w:sz w:val="24"/>
          <w:szCs w:val="24"/>
          <w:lang w:val="hu-HU"/>
        </w:rPr>
        <w:footnoteRef/>
      </w:r>
      <w:r w:rsidRPr="003B33A5">
        <w:rPr>
          <w:sz w:val="24"/>
          <w:szCs w:val="24"/>
          <w:lang w:val="hu-HU"/>
        </w:rPr>
        <w:t xml:space="preserve"> </w:t>
      </w:r>
      <w:r w:rsidRPr="003B33A5">
        <w:rPr>
          <w:sz w:val="24"/>
          <w:szCs w:val="24"/>
          <w:lang w:val="hu-HU"/>
        </w:rPr>
        <w:tab/>
        <w:t xml:space="preserve">HL C, C/2024/5882, 2024.10.9., ELI: </w:t>
      </w:r>
      <w:hyperlink r:id="rId3" w:history="1">
        <w:r w:rsidRPr="003B33A5">
          <w:rPr>
            <w:rStyle w:val="Hyperlink1"/>
            <w:sz w:val="24"/>
            <w:szCs w:val="24"/>
            <w:lang w:val="hu-HU"/>
          </w:rPr>
          <w:t>http://data.europa.eu/eli/C/2024/5882/oj</w:t>
        </w:r>
      </w:hyperlink>
      <w:r w:rsidRPr="003B33A5">
        <w:rPr>
          <w:sz w:val="24"/>
          <w:szCs w:val="24"/>
          <w:shd w:val="clear" w:color="auto" w:fill="FFFFFF"/>
          <w:lang w:val="hu-HU"/>
        </w:rPr>
        <w:t>.</w:t>
      </w:r>
    </w:p>
  </w:footnote>
  <w:footnote w:id="4">
    <w:p w14:paraId="1D880EBA" w14:textId="77777777" w:rsidR="00E02448" w:rsidRPr="003B33A5" w:rsidRDefault="00E02448" w:rsidP="0073151B">
      <w:pPr>
        <w:pStyle w:val="FootnoteText"/>
        <w:ind w:left="567" w:hanging="567"/>
        <w:jc w:val="left"/>
        <w:rPr>
          <w:sz w:val="24"/>
          <w:szCs w:val="24"/>
          <w:lang w:val="hu-HU"/>
        </w:rPr>
      </w:pPr>
      <w:r w:rsidRPr="003B33A5">
        <w:rPr>
          <w:rStyle w:val="FootnoteReference"/>
          <w:sz w:val="24"/>
          <w:szCs w:val="24"/>
          <w:lang w:val="hu-HU"/>
        </w:rPr>
        <w:footnoteRef/>
      </w:r>
      <w:r w:rsidRPr="003B33A5">
        <w:rPr>
          <w:sz w:val="24"/>
          <w:szCs w:val="24"/>
          <w:lang w:val="hu-HU"/>
        </w:rPr>
        <w:t xml:space="preserve"> </w:t>
      </w:r>
      <w:r w:rsidRPr="003B33A5">
        <w:rPr>
          <w:sz w:val="24"/>
          <w:szCs w:val="24"/>
          <w:lang w:val="hu-HU"/>
        </w:rPr>
        <w:tab/>
        <w:t xml:space="preserve">HL C, C/2024/6041, 2024.10.10., ELI: </w:t>
      </w:r>
      <w:hyperlink r:id="rId4" w:history="1">
        <w:r w:rsidRPr="003B33A5">
          <w:rPr>
            <w:rStyle w:val="Hyperlink1"/>
            <w:sz w:val="24"/>
            <w:szCs w:val="24"/>
            <w:lang w:val="hu-HU"/>
          </w:rPr>
          <w:t>http://data.europa.eu/eli/C/2024/6041/oj</w:t>
        </w:r>
      </w:hyperlink>
      <w:r w:rsidRPr="003B33A5">
        <w:rPr>
          <w:sz w:val="24"/>
          <w:szCs w:val="24"/>
          <w:shd w:val="clear" w:color="auto" w:fill="FFFFFF"/>
          <w:lang w:val="hu-HU"/>
        </w:rPr>
        <w:t>.</w:t>
      </w:r>
    </w:p>
  </w:footnote>
  <w:footnote w:id="5">
    <w:p w14:paraId="07A9BDF4" w14:textId="77777777" w:rsidR="00E02448" w:rsidRPr="003B33A5" w:rsidRDefault="00E02448" w:rsidP="0073151B">
      <w:pPr>
        <w:pStyle w:val="FootnoteText"/>
        <w:ind w:left="567" w:hanging="567"/>
        <w:jc w:val="left"/>
        <w:rPr>
          <w:sz w:val="24"/>
          <w:szCs w:val="24"/>
          <w:lang w:val="hu-HU"/>
        </w:rPr>
      </w:pPr>
      <w:r w:rsidRPr="003B33A5">
        <w:rPr>
          <w:rStyle w:val="FootnoteReference"/>
          <w:sz w:val="24"/>
          <w:szCs w:val="24"/>
          <w:lang w:val="hu-HU"/>
        </w:rPr>
        <w:footnoteRef/>
      </w:r>
      <w:r w:rsidRPr="003B33A5">
        <w:rPr>
          <w:sz w:val="24"/>
          <w:szCs w:val="24"/>
          <w:lang w:val="hu-HU"/>
        </w:rPr>
        <w:t xml:space="preserve"> </w:t>
      </w:r>
      <w:r w:rsidRPr="003B33A5">
        <w:rPr>
          <w:sz w:val="24"/>
          <w:szCs w:val="24"/>
          <w:lang w:val="hu-HU"/>
        </w:rPr>
        <w:tab/>
        <w:t xml:space="preserve">HL L 193., 2018.7.30., 1. o., ELI: </w:t>
      </w:r>
      <w:hyperlink r:id="rId5" w:history="1">
        <w:r w:rsidRPr="003B33A5">
          <w:rPr>
            <w:rStyle w:val="Hyperlink1"/>
            <w:sz w:val="24"/>
            <w:szCs w:val="24"/>
            <w:lang w:val="hu-HU"/>
          </w:rPr>
          <w:t>http://data.europa.eu/eli/reg/2018/1046/oj</w:t>
        </w:r>
      </w:hyperlink>
      <w:r w:rsidRPr="003B33A5">
        <w:rPr>
          <w:sz w:val="24"/>
          <w:szCs w:val="24"/>
          <w:lang w:val="hu-HU"/>
        </w:rPr>
        <w:t>.</w:t>
      </w:r>
    </w:p>
  </w:footnote>
  <w:footnote w:id="6">
    <w:p w14:paraId="15E8FEF4" w14:textId="77777777" w:rsidR="00E02448" w:rsidRPr="003B33A5" w:rsidRDefault="00E02448" w:rsidP="0073151B">
      <w:pPr>
        <w:pStyle w:val="FootnoteText"/>
        <w:ind w:left="567" w:hanging="567"/>
        <w:jc w:val="left"/>
        <w:rPr>
          <w:sz w:val="24"/>
          <w:szCs w:val="24"/>
          <w:lang w:val="hu-HU"/>
        </w:rPr>
      </w:pPr>
      <w:r w:rsidRPr="003B33A5">
        <w:rPr>
          <w:rStyle w:val="FootnoteReference"/>
          <w:sz w:val="24"/>
          <w:szCs w:val="24"/>
          <w:lang w:val="hu-HU"/>
        </w:rPr>
        <w:footnoteRef/>
      </w:r>
      <w:r w:rsidRPr="003B33A5">
        <w:rPr>
          <w:sz w:val="24"/>
          <w:szCs w:val="24"/>
          <w:lang w:val="hu-HU"/>
        </w:rPr>
        <w:t xml:space="preserve"> </w:t>
      </w:r>
      <w:r w:rsidRPr="003B33A5">
        <w:rPr>
          <w:sz w:val="24"/>
          <w:szCs w:val="24"/>
          <w:lang w:val="hu-HU"/>
        </w:rPr>
        <w:tab/>
        <w:t xml:space="preserve">HL L, 2024/2509, 2024.9.26., ELI: </w:t>
      </w:r>
      <w:hyperlink r:id="rId6" w:history="1">
        <w:r w:rsidRPr="003B33A5">
          <w:rPr>
            <w:rStyle w:val="Hyperlink"/>
            <w:sz w:val="24"/>
            <w:szCs w:val="24"/>
            <w:lang w:val="hu-HU"/>
          </w:rPr>
          <w:t>http://data.europa.eu/eli/reg/2024/2509/oj</w:t>
        </w:r>
      </w:hyperlink>
      <w:r w:rsidRPr="003B33A5">
        <w:rPr>
          <w:sz w:val="24"/>
          <w:szCs w:val="24"/>
          <w:shd w:val="clear" w:color="auto" w:fill="FFFFFF"/>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448"/>
    <w:rsid w:val="000F6096"/>
    <w:rsid w:val="003B33A5"/>
    <w:rsid w:val="005762E3"/>
    <w:rsid w:val="00793EC5"/>
    <w:rsid w:val="008765BE"/>
    <w:rsid w:val="009D32FA"/>
    <w:rsid w:val="00D21A19"/>
    <w:rsid w:val="00E02448"/>
    <w:rsid w:val="00E312ED"/>
    <w:rsid w:val="00E9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D3002"/>
  <w15:chartTrackingRefBased/>
  <w15:docId w15:val="{B8555CFC-6EBF-4564-A6E3-A387C750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E02448"/>
    <w:rPr>
      <w:kern w:val="0"/>
      <w:sz w:val="20"/>
      <w:szCs w:val="20"/>
      <w14:ligatures w14:val="none"/>
    </w:rPr>
  </w:style>
  <w:style w:type="character" w:customStyle="1" w:styleId="FootnoteTextChar">
    <w:name w:val="Footnote Text Char"/>
    <w:basedOn w:val="DefaultParagraphFont"/>
    <w:link w:val="FootnoteText"/>
    <w:uiPriority w:val="99"/>
    <w:semiHidden/>
    <w:rsid w:val="00E02448"/>
    <w:rPr>
      <w:rFonts w:ascii="Times New Roman" w:hAnsi="Times New Roman"/>
      <w:kern w:val="0"/>
      <w:sz w:val="20"/>
      <w:szCs w:val="20"/>
      <w14:ligatures w14:val="none"/>
    </w:rPr>
  </w:style>
  <w:style w:type="character" w:styleId="FootnoteReference">
    <w:name w:val="footnote reference"/>
    <w:rsid w:val="00E02448"/>
    <w:rPr>
      <w:b w:val="0"/>
      <w:vertAlign w:val="superscript"/>
    </w:rPr>
  </w:style>
  <w:style w:type="character" w:customStyle="1" w:styleId="Hyperlink1">
    <w:name w:val="Hyperlink1"/>
    <w:basedOn w:val="DefaultParagraphFont"/>
    <w:uiPriority w:val="99"/>
    <w:rsid w:val="00E02448"/>
    <w:rPr>
      <w:color w:val="0563C1"/>
      <w:u w:val="single"/>
    </w:rPr>
  </w:style>
  <w:style w:type="character" w:styleId="Hyperlink">
    <w:name w:val="Hyperlink"/>
    <w:basedOn w:val="DefaultParagraphFont"/>
    <w:uiPriority w:val="99"/>
    <w:unhideWhenUsed/>
    <w:rsid w:val="00E02448"/>
    <w:rPr>
      <w:color w:val="0563C1" w:themeColor="hyperlink"/>
      <w:u w:val="single"/>
    </w:rPr>
  </w:style>
  <w:style w:type="character" w:styleId="CommentReference">
    <w:name w:val="annotation reference"/>
    <w:basedOn w:val="DefaultParagraphFont"/>
    <w:uiPriority w:val="99"/>
    <w:semiHidden/>
    <w:unhideWhenUsed/>
    <w:rsid w:val="00D21A19"/>
    <w:rPr>
      <w:sz w:val="16"/>
      <w:szCs w:val="16"/>
    </w:rPr>
  </w:style>
  <w:style w:type="paragraph" w:styleId="CommentText">
    <w:name w:val="annotation text"/>
    <w:basedOn w:val="Normal"/>
    <w:link w:val="CommentTextChar"/>
    <w:uiPriority w:val="99"/>
    <w:semiHidden/>
    <w:unhideWhenUsed/>
    <w:rsid w:val="00D21A19"/>
    <w:rPr>
      <w:sz w:val="20"/>
      <w:szCs w:val="20"/>
    </w:rPr>
  </w:style>
  <w:style w:type="character" w:customStyle="1" w:styleId="CommentTextChar">
    <w:name w:val="Comment Text Char"/>
    <w:basedOn w:val="DefaultParagraphFont"/>
    <w:link w:val="CommentText"/>
    <w:uiPriority w:val="99"/>
    <w:semiHidden/>
    <w:rsid w:val="00D21A1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21A19"/>
    <w:rPr>
      <w:b/>
      <w:bCs/>
    </w:rPr>
  </w:style>
  <w:style w:type="character" w:customStyle="1" w:styleId="CommentSubjectChar">
    <w:name w:val="Comment Subject Char"/>
    <w:basedOn w:val="CommentTextChar"/>
    <w:link w:val="CommentSubject"/>
    <w:uiPriority w:val="99"/>
    <w:semiHidden/>
    <w:rsid w:val="00D21A19"/>
    <w:rPr>
      <w:rFonts w:ascii="Times New Roman" w:hAnsi="Times New Roman"/>
      <w:b/>
      <w:bCs/>
      <w:sz w:val="20"/>
      <w:szCs w:val="20"/>
    </w:rPr>
  </w:style>
  <w:style w:type="character" w:customStyle="1" w:styleId="HideTWBExt">
    <w:name w:val="HideTWBExt"/>
    <w:rsid w:val="003B33A5"/>
    <w:rPr>
      <w:rFonts w:ascii="Arial" w:hAnsi="Arial"/>
      <w:noProof/>
      <w:vanish/>
      <w:color w:val="000080"/>
      <w:sz w:val="20"/>
    </w:rPr>
  </w:style>
  <w:style w:type="paragraph" w:customStyle="1" w:styleId="EPBodyTA1">
    <w:name w:val="EPBodyTA1"/>
    <w:basedOn w:val="Normal"/>
    <w:rsid w:val="003B33A5"/>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3B33A5"/>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3B33A5"/>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3B33A5"/>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3B33A5"/>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3B33A5"/>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3B33A5"/>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3B33A5"/>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3B33A5"/>
    <w:pPr>
      <w:widowControl w:val="0"/>
      <w:jc w:val="right"/>
    </w:pPr>
    <w:rPr>
      <w:rFonts w:eastAsia="Times New Roman"/>
      <w:kern w:val="0"/>
      <w:szCs w:val="20"/>
      <w:lang w:val="hu-HU" w:eastAsia="en-GB"/>
      <w14:ligatures w14:val="none"/>
    </w:rPr>
  </w:style>
  <w:style w:type="paragraph" w:customStyle="1" w:styleId="EPComma">
    <w:name w:val="EPComma"/>
    <w:basedOn w:val="Normal"/>
    <w:rsid w:val="003B33A5"/>
    <w:pPr>
      <w:widowControl w:val="0"/>
      <w:spacing w:before="480" w:after="240"/>
      <w:jc w:val="left"/>
    </w:pPr>
    <w:rPr>
      <w:rFonts w:eastAsia="Times New Roman"/>
      <w:kern w:val="0"/>
      <w:szCs w:val="20"/>
      <w:lang w:val="hu-H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5EADF1-A735-4518-A2B5-57041BB9EBF9}">
  <ds:schemaRefs>
    <ds:schemaRef ds:uri="http://schemas.microsoft.com/sharepoint/v3/contenttype/forms"/>
  </ds:schemaRefs>
</ds:datastoreItem>
</file>

<file path=customXml/itemProps2.xml><?xml version="1.0" encoding="utf-8"?>
<ds:datastoreItem xmlns:ds="http://schemas.openxmlformats.org/officeDocument/2006/customXml" ds:itemID="{2EF0D681-B74B-406C-8579-1F70F4897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0E8208-86DF-43F7-BADE-3AE25B5703AA}">
  <ds:schemaRefs>
    <ds:schemaRef ds:uri="http://schemas.microsoft.com/office/2006/metadata/properties"/>
    <ds:schemaRef ds:uri="http://purl.org/dc/dcmitype/"/>
    <ds:schemaRef ds:uri="http://schemas.microsoft.com/office/2006/documentManagement/types"/>
    <ds:schemaRef ds:uri="http://purl.org/dc/elements/1.1/"/>
    <ds:schemaRef ds:uri="e5035db9-81f1-44b9-9204-15328c5aa6d6"/>
    <ds:schemaRef ds:uri="http://www.w3.org/XML/1998/namespace"/>
    <ds:schemaRef ds:uri="http://purl.org/dc/terms/"/>
    <ds:schemaRef ds:uri="http://schemas.microsoft.com/office/infopath/2007/PartnerControls"/>
    <ds:schemaRef ds:uri="http://schemas.openxmlformats.org/package/2006/metadata/core-properties"/>
    <ds:schemaRef ds:uri="8e4974d0-974e-4e93-84c5-0723ea5633d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7699</Words>
  <Characters>43890</Characters>
  <Application>Microsoft Office Word</Application>
  <DocSecurity>0</DocSecurity>
  <Lines>365</Lines>
  <Paragraphs>102</Paragraphs>
  <ScaleCrop>false</ScaleCrop>
  <Company>European Parliament</Company>
  <LinksUpToDate>false</LinksUpToDate>
  <CharactersWithSpaces>51487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2025-11-24T16:39:00Z</dcterms:created>
  <dcterms:modified xsi:type="dcterms:W3CDTF">2025-11-24T16:39:00Z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