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0A48" w14:paraId="56A87917" w14:textId="77777777" w:rsidTr="0010095E">
        <w:trPr>
          <w:trHeight w:hRule="exact" w:val="1418"/>
        </w:trPr>
        <w:tc>
          <w:tcPr>
            <w:tcW w:w="6804" w:type="dxa"/>
            <w:shd w:val="clear" w:color="auto" w:fill="auto"/>
            <w:vAlign w:val="center"/>
          </w:tcPr>
          <w:p w14:paraId="1D89340F" w14:textId="77777777" w:rsidR="00751A4A" w:rsidRPr="00C80A48" w:rsidRDefault="00055CB3" w:rsidP="0010095E">
            <w:pPr>
              <w:pStyle w:val="EPName"/>
            </w:pPr>
            <w:r w:rsidRPr="00C80A48">
              <w:t>Europos Parlamentas</w:t>
            </w:r>
          </w:p>
          <w:p w14:paraId="339EEAB5" w14:textId="77777777" w:rsidR="00751A4A" w:rsidRPr="00C80A48" w:rsidRDefault="005F1B17" w:rsidP="005F1B17">
            <w:pPr>
              <w:pStyle w:val="EPTerm"/>
              <w:rPr>
                <w:rStyle w:val="HideTWBExt"/>
                <w:noProof w:val="0"/>
                <w:vanish w:val="0"/>
                <w:color w:val="auto"/>
              </w:rPr>
            </w:pPr>
            <w:r w:rsidRPr="00C80A48">
              <w:t>2024</w:t>
            </w:r>
            <w:r w:rsidR="00817416" w:rsidRPr="00C80A48">
              <w:t>-202</w:t>
            </w:r>
            <w:r w:rsidRPr="00C80A48">
              <w:t>9</w:t>
            </w:r>
          </w:p>
        </w:tc>
        <w:tc>
          <w:tcPr>
            <w:tcW w:w="2268" w:type="dxa"/>
            <w:shd w:val="clear" w:color="auto" w:fill="auto"/>
          </w:tcPr>
          <w:p w14:paraId="729EF1A0" w14:textId="77777777" w:rsidR="00751A4A" w:rsidRPr="00C80A48" w:rsidRDefault="00187494" w:rsidP="0010095E">
            <w:pPr>
              <w:pStyle w:val="EPLogo"/>
            </w:pPr>
            <w:r w:rsidRPr="00C80A48">
              <w:rPr>
                <w:noProof/>
                <w:lang w:val="en-GB"/>
              </w:rPr>
              <w:drawing>
                <wp:inline distT="0" distB="0" distL="0" distR="0" wp14:anchorId="651D10AE" wp14:editId="2715C8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3A4BD6" w14:textId="77777777" w:rsidR="00D058B8" w:rsidRPr="00C80A48" w:rsidRDefault="00D058B8" w:rsidP="004C5D52">
      <w:pPr>
        <w:pStyle w:val="LineTop"/>
      </w:pPr>
    </w:p>
    <w:p w14:paraId="0F7C1A7A" w14:textId="77777777" w:rsidR="00680577" w:rsidRPr="00C80A48" w:rsidRDefault="00055CB3" w:rsidP="00680577">
      <w:pPr>
        <w:pStyle w:val="EPBodyTA1"/>
      </w:pPr>
      <w:r w:rsidRPr="00C80A48">
        <w:t>PRIIMTI TEKSTAI</w:t>
      </w:r>
    </w:p>
    <w:p w14:paraId="2710639C" w14:textId="77777777" w:rsidR="00D058B8" w:rsidRPr="00C80A48" w:rsidRDefault="00D058B8" w:rsidP="00D058B8">
      <w:pPr>
        <w:pStyle w:val="LineBottom"/>
      </w:pPr>
    </w:p>
    <w:p w14:paraId="3ACA0E5F" w14:textId="77777777" w:rsidR="00055CB3" w:rsidRPr="00C80A48" w:rsidRDefault="00055CB3" w:rsidP="00055CB3">
      <w:pPr>
        <w:pStyle w:val="ATHeading1"/>
      </w:pPr>
      <w:bookmarkStart w:id="0" w:name="TANumber"/>
      <w:r w:rsidRPr="00C80A48">
        <w:t>P10_TA(2025)00</w:t>
      </w:r>
      <w:r w:rsidR="00E810CB">
        <w:t>81</w:t>
      </w:r>
      <w:bookmarkEnd w:id="0"/>
    </w:p>
    <w:p w14:paraId="74961CEA" w14:textId="77777777" w:rsidR="00055CB3" w:rsidRPr="00C80A48" w:rsidRDefault="00055CB3" w:rsidP="00055CB3">
      <w:pPr>
        <w:pStyle w:val="ATHeading2"/>
      </w:pPr>
      <w:bookmarkStart w:id="1" w:name="title"/>
      <w:r w:rsidRPr="00C80A48">
        <w:t>2023 m. biudžeto įvykdymo patvirtinimas: ES bendrasis biudžetas – Audito Rūmai</w:t>
      </w:r>
      <w:bookmarkEnd w:id="1"/>
    </w:p>
    <w:p w14:paraId="3DE02502" w14:textId="77777777" w:rsidR="00055CB3" w:rsidRPr="00C80A48" w:rsidRDefault="00055CB3" w:rsidP="00055CB3">
      <w:pPr>
        <w:rPr>
          <w:i/>
          <w:vanish/>
        </w:rPr>
      </w:pPr>
      <w:r w:rsidRPr="00C80A48">
        <w:rPr>
          <w:i/>
        </w:rPr>
        <w:fldChar w:fldCharType="begin"/>
      </w:r>
      <w:r w:rsidRPr="00C80A48">
        <w:rPr>
          <w:i/>
        </w:rPr>
        <w:instrText xml:space="preserve"> TC"(</w:instrText>
      </w:r>
      <w:bookmarkStart w:id="2" w:name="DocNumber"/>
      <w:r w:rsidRPr="00C80A48">
        <w:rPr>
          <w:i/>
        </w:rPr>
        <w:instrText>A10-0047/2025</w:instrText>
      </w:r>
      <w:bookmarkEnd w:id="2"/>
      <w:r w:rsidRPr="00C80A48">
        <w:rPr>
          <w:i/>
        </w:rPr>
        <w:instrText xml:space="preserve"> - Pranešėjas: Dick Erixon)"\l3 \n&gt; \* MERGEFORMAT </w:instrText>
      </w:r>
      <w:r w:rsidRPr="00C80A48">
        <w:rPr>
          <w:i/>
        </w:rPr>
        <w:fldChar w:fldCharType="end"/>
      </w:r>
    </w:p>
    <w:p w14:paraId="5AF89C0F" w14:textId="77777777" w:rsidR="00055CB3" w:rsidRPr="00C80A48" w:rsidRDefault="00055CB3" w:rsidP="00055CB3">
      <w:pPr>
        <w:rPr>
          <w:vanish/>
        </w:rPr>
      </w:pPr>
      <w:bookmarkStart w:id="3" w:name="Commission"/>
      <w:r w:rsidRPr="00C80A48">
        <w:rPr>
          <w:vanish/>
        </w:rPr>
        <w:t>Biudžeto kontrolės komitetas</w:t>
      </w:r>
      <w:bookmarkEnd w:id="3"/>
    </w:p>
    <w:p w14:paraId="0E87DF97" w14:textId="77777777" w:rsidR="00055CB3" w:rsidRPr="00C80A48" w:rsidRDefault="00055CB3" w:rsidP="00055CB3">
      <w:pPr>
        <w:rPr>
          <w:vanish/>
        </w:rPr>
      </w:pPr>
      <w:bookmarkStart w:id="4" w:name="PE"/>
      <w:r w:rsidRPr="00C80A48">
        <w:rPr>
          <w:vanish/>
        </w:rPr>
        <w:t>PE764.995</w:t>
      </w:r>
      <w:bookmarkEnd w:id="4"/>
    </w:p>
    <w:p w14:paraId="60596C3F" w14:textId="7275063A" w:rsidR="0044639C" w:rsidRDefault="0044639C" w:rsidP="0044639C">
      <w:pPr>
        <w:pStyle w:val="ATHeading3"/>
      </w:pPr>
      <w:r>
        <w:t>1. 2025 m. gegužės 7 d. Europos Parlamento sprendimas dėl 2023 finansinių metų Europos Sąjungos bendrojo biudžeto įvykdymo patvirtinimo, V skirsnis – Audito Rūmai (2024/2023(DEC))</w:t>
      </w:r>
    </w:p>
    <w:p w14:paraId="619A8A2C" w14:textId="77777777" w:rsidR="0044639C" w:rsidRDefault="0044639C" w:rsidP="0044639C">
      <w:pPr>
        <w:spacing w:before="480" w:after="240"/>
      </w:pPr>
      <w:r>
        <w:rPr>
          <w:i/>
        </w:rPr>
        <w:t>Europos Parlamentas</w:t>
      </w:r>
      <w:r>
        <w:t>,</w:t>
      </w:r>
    </w:p>
    <w:p w14:paraId="00B3994C" w14:textId="77777777" w:rsidR="0044639C" w:rsidRDefault="0044639C" w:rsidP="0044639C">
      <w:pPr>
        <w:spacing w:after="240"/>
        <w:ind w:left="567" w:hanging="567"/>
      </w:pPr>
      <w:r>
        <w:t>–</w:t>
      </w:r>
      <w:r>
        <w:tab/>
        <w:t>atsižvelgdamas į 2023 finansinių metų Europos Sąjungos bendrąjį biudžetą</w:t>
      </w:r>
      <w:r>
        <w:rPr>
          <w:vertAlign w:val="superscript"/>
        </w:rPr>
        <w:footnoteReference w:id="1"/>
      </w:r>
      <w:r>
        <w:t>,</w:t>
      </w:r>
    </w:p>
    <w:p w14:paraId="050CADE3" w14:textId="77777777" w:rsidR="0044639C" w:rsidRDefault="0044639C" w:rsidP="0044639C">
      <w:pPr>
        <w:spacing w:after="240"/>
        <w:ind w:left="567" w:hanging="567"/>
      </w:pPr>
      <w:r>
        <w:t>–</w:t>
      </w:r>
      <w:r>
        <w:tab/>
        <w:t>atsižvelgdamas į 2023 finansinių metų Europos Sąjungos konsoliduotąsias metines ataskaitas (COM(2024)0272 – C10</w:t>
      </w:r>
      <w:r>
        <w:noBreakHyphen/>
        <w:t>0071/2024)</w:t>
      </w:r>
      <w:r>
        <w:rPr>
          <w:vertAlign w:val="superscript"/>
        </w:rPr>
        <w:footnoteReference w:id="2"/>
      </w:r>
      <w:r>
        <w:t>,</w:t>
      </w:r>
    </w:p>
    <w:p w14:paraId="52779690" w14:textId="77777777" w:rsidR="0044639C" w:rsidRDefault="0044639C" w:rsidP="0044639C">
      <w:pPr>
        <w:spacing w:after="240"/>
        <w:ind w:left="567" w:hanging="567"/>
      </w:pPr>
      <w:r>
        <w:t>–</w:t>
      </w:r>
      <w:r>
        <w:tab/>
        <w:t>atsižvelgdamas į Audito Rūmų 2023 m. metinę veiklos ataskaitą ir 2023 m. biudžeto ir finansų valdymo ataskaitą,</w:t>
      </w:r>
    </w:p>
    <w:p w14:paraId="50D7E105" w14:textId="77777777" w:rsidR="0044639C" w:rsidRDefault="0044639C" w:rsidP="0044639C">
      <w:pPr>
        <w:spacing w:after="240"/>
        <w:ind w:left="567" w:hanging="567"/>
      </w:pPr>
      <w:r>
        <w:t>–</w:t>
      </w:r>
      <w:r>
        <w:tab/>
        <w:t>atsižvelgdamas į Audito Rūmų metinę ataskaitą dėl 2023 finansinių metų biudžeto vykdymo kartu su institucijų atsakymais</w:t>
      </w:r>
      <w:r>
        <w:rPr>
          <w:vertAlign w:val="superscript"/>
        </w:rPr>
        <w:footnoteReference w:id="3"/>
      </w:r>
      <w:r>
        <w:t>,</w:t>
      </w:r>
    </w:p>
    <w:p w14:paraId="04E05B15" w14:textId="77777777" w:rsidR="0044639C" w:rsidRDefault="0044639C" w:rsidP="0044639C">
      <w:pPr>
        <w:spacing w:after="240"/>
        <w:ind w:left="567" w:hanging="567"/>
      </w:pPr>
      <w:r>
        <w:t>–</w:t>
      </w:r>
      <w:r>
        <w:tab/>
        <w:t>atsižvelgdamas į Audito Rūmų pagal Sutarties dėl Europos Sąjungos veikimo 287 straipsnį pateiktą 2023 finansinių metų sąskaitų patikimumo ir pagal jas atliktų operacijų teisėtumo ir tvarkingumo patikinimo pareiškimą</w:t>
      </w:r>
      <w:r>
        <w:rPr>
          <w:vertAlign w:val="superscript"/>
        </w:rPr>
        <w:footnoteReference w:id="4"/>
      </w:r>
      <w:r>
        <w:t>,</w:t>
      </w:r>
    </w:p>
    <w:p w14:paraId="2E12D513" w14:textId="77777777" w:rsidR="0044639C" w:rsidRDefault="0044639C" w:rsidP="0044639C">
      <w:pPr>
        <w:spacing w:after="240"/>
        <w:ind w:left="567" w:hanging="567"/>
      </w:pPr>
      <w:r>
        <w:t>–</w:t>
      </w:r>
      <w:r>
        <w:tab/>
        <w:t>atsižvelgdamas į Sutarties dėl Europos Sąjungos veikimo 314 straipsnio 10 dalį ir 317, 318 ir 319 straipsnius,</w:t>
      </w:r>
    </w:p>
    <w:p w14:paraId="23850655" w14:textId="77777777" w:rsidR="0044639C" w:rsidRDefault="0044639C" w:rsidP="0044639C">
      <w:pPr>
        <w:spacing w:after="240"/>
        <w:ind w:left="567" w:hanging="567"/>
      </w:pPr>
      <w:r>
        <w:t>–</w:t>
      </w:r>
      <w:r>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w:t>
      </w:r>
      <w:r>
        <w:lastRenderedPageBreak/>
        <w:t>(ES) Nr. 223/2014, (ES) Nr. 283/2014 ir Sprendimas Nr. 541/2014/ES, bei panaikinamas Reglamentas (ES, Euratomas) Nr. 966/2012</w:t>
      </w:r>
      <w:r>
        <w:rPr>
          <w:vertAlign w:val="superscript"/>
        </w:rPr>
        <w:footnoteReference w:id="5"/>
      </w:r>
      <w:r>
        <w:t>, ypač į jo 59, 118, 260, 261 ir 262 straipsnius,</w:t>
      </w:r>
    </w:p>
    <w:p w14:paraId="4150A8D8" w14:textId="77777777" w:rsidR="0044639C" w:rsidRDefault="0044639C" w:rsidP="0044639C">
      <w:pPr>
        <w:spacing w:after="240"/>
        <w:ind w:left="567" w:hanging="567"/>
      </w:pPr>
      <w:r>
        <w:t>–</w:t>
      </w:r>
      <w:r>
        <w:tab/>
        <w:t xml:space="preserve">atsižvelgdamas į </w:t>
      </w:r>
      <w:r>
        <w:rPr>
          <w:color w:val="333333"/>
          <w:shd w:val="clear" w:color="auto" w:fill="FFFFFF"/>
        </w:rPr>
        <w:t>2024 m. rugsėjo 23 d. Europos Parlamento ir Tarybos reglamentą (ES, Euratomas) 2024/2509 dėl Sąjungos bendrajam biudžetui taikomų finansinių taisyklių</w:t>
      </w:r>
      <w:r>
        <w:rPr>
          <w:bCs/>
          <w:color w:val="333333"/>
          <w:shd w:val="clear" w:color="auto" w:fill="FFFFFF"/>
          <w:vertAlign w:val="superscript"/>
        </w:rPr>
        <w:footnoteReference w:id="6"/>
      </w:r>
      <w:r>
        <w:rPr>
          <w:color w:val="333333"/>
          <w:shd w:val="clear" w:color="auto" w:fill="FFFFFF"/>
        </w:rPr>
        <w:t>, ypač į jo 59, 118, 266, 267 ir 268 straipsnius</w:t>
      </w:r>
      <w:r>
        <w:t>,</w:t>
      </w:r>
    </w:p>
    <w:p w14:paraId="4E6A48A0" w14:textId="77777777" w:rsidR="0044639C" w:rsidRDefault="0044639C" w:rsidP="0044639C">
      <w:pPr>
        <w:spacing w:after="240"/>
        <w:ind w:left="567" w:hanging="567"/>
      </w:pPr>
      <w:r>
        <w:t>–</w:t>
      </w:r>
      <w:r>
        <w:tab/>
        <w:t>atsižvelgdamas į Darbo tvarkos taisyklių 102 straipsnį ir V priedą,</w:t>
      </w:r>
    </w:p>
    <w:p w14:paraId="5E70FA04" w14:textId="77777777" w:rsidR="0044639C" w:rsidRDefault="0044639C" w:rsidP="0044639C">
      <w:pPr>
        <w:spacing w:after="240"/>
        <w:ind w:left="567" w:hanging="567"/>
      </w:pPr>
      <w:r>
        <w:t>–</w:t>
      </w:r>
      <w:r>
        <w:tab/>
        <w:t>atsižvelgdamas į Biudžeto kontrolės komiteto pranešimą (A10</w:t>
      </w:r>
      <w:r>
        <w:noBreakHyphen/>
        <w:t>0047/2025),</w:t>
      </w:r>
    </w:p>
    <w:p w14:paraId="2F3447C4" w14:textId="77777777" w:rsidR="0044639C" w:rsidRDefault="0044639C" w:rsidP="0044639C">
      <w:pPr>
        <w:spacing w:after="240"/>
        <w:ind w:left="567" w:hanging="567"/>
      </w:pPr>
      <w:r>
        <w:t>1.</w:t>
      </w:r>
      <w:r>
        <w:tab/>
        <w:t>patvirtina Audito Rūmų generaliniam sekretoriui, kad Audito Rūmų 2023 finansinių metų biudžetas įvykdytas;</w:t>
      </w:r>
    </w:p>
    <w:p w14:paraId="03B1FBA7" w14:textId="77777777" w:rsidR="0044639C" w:rsidRDefault="0044639C" w:rsidP="0044639C">
      <w:pPr>
        <w:spacing w:after="240"/>
        <w:ind w:left="567" w:hanging="567"/>
      </w:pPr>
      <w:r>
        <w:t>2.</w:t>
      </w:r>
      <w:r>
        <w:tab/>
        <w:t>išdėsto savo pastabas toliau pateikiamoje rezoliucijoje;</w:t>
      </w:r>
    </w:p>
    <w:p w14:paraId="5E0FFA27" w14:textId="77777777" w:rsidR="0044639C" w:rsidRDefault="0044639C" w:rsidP="0044639C">
      <w:pPr>
        <w:spacing w:after="240"/>
        <w:ind w:left="567" w:hanging="567"/>
      </w:pPr>
      <w:r>
        <w:t>3.</w:t>
      </w:r>
      <w:r>
        <w:tab/>
        <w:t xml:space="preserve">paveda Pirmininkei perduoti šį sprendimą ir rezoliuciją, kuri yra neatskiriama jo dalis, Tarybai, Komisijai ir Audito Rūmams ir pasirūpinti, kad jie būtų paskelbti </w:t>
      </w:r>
      <w:r>
        <w:rPr>
          <w:i/>
        </w:rPr>
        <w:t>Europos Sąjungos oficialiajame leidinyje</w:t>
      </w:r>
      <w:r>
        <w:t xml:space="preserve"> (L serijoje).</w:t>
      </w:r>
    </w:p>
    <w:p w14:paraId="25FC84C2" w14:textId="77777777" w:rsidR="0044639C" w:rsidRDefault="0044639C" w:rsidP="0044639C">
      <w:pPr>
        <w:sectPr w:rsidR="0044639C" w:rsidSect="0044639C">
          <w:footnotePr>
            <w:numRestart w:val="eachSect"/>
          </w:footnotePr>
          <w:pgSz w:w="11906" w:h="16838"/>
          <w:pgMar w:top="1440" w:right="1440" w:bottom="1440" w:left="1440" w:header="708" w:footer="708" w:gutter="0"/>
          <w:cols w:space="720"/>
        </w:sectPr>
      </w:pPr>
    </w:p>
    <w:p w14:paraId="637DD11A" w14:textId="77777777" w:rsidR="0044639C" w:rsidRDefault="0044639C" w:rsidP="0044639C">
      <w:pPr>
        <w:pStyle w:val="ATHeading3"/>
      </w:pPr>
      <w:r>
        <w:lastRenderedPageBreak/>
        <w:t>2. 2025 m. gegužės 7 d. Europos Parlamento rezoliucija su pastabomis, sudarančiomis neatskiriamą sprendimo dėl 2023 finansinių metų Europos Sąjungos bendrojo biudžeto įvykdymo patvirtinimo, V skirsnis – Audito Rūmai, dalį (2024/2023(DEC))</w:t>
      </w:r>
    </w:p>
    <w:p w14:paraId="6CCBCF59" w14:textId="77777777" w:rsidR="0044639C" w:rsidRDefault="0044639C" w:rsidP="0044639C">
      <w:pPr>
        <w:pStyle w:val="EPComma"/>
      </w:pPr>
      <w:r>
        <w:rPr>
          <w:i/>
        </w:rPr>
        <w:t>Europos Parlamentas</w:t>
      </w:r>
      <w:r>
        <w:t>,</w:t>
      </w:r>
    </w:p>
    <w:p w14:paraId="61DE81AA" w14:textId="63709AD6" w:rsidR="0044639C" w:rsidRDefault="0044639C" w:rsidP="0044639C">
      <w:pPr>
        <w:pStyle w:val="NormalHanging12a"/>
      </w:pPr>
      <w:r>
        <w:t>–</w:t>
      </w:r>
      <w:r>
        <w:tab/>
        <w:t>atsižvelgdamas į savo sprendimą dėl 2023 finansinių metų Europos Sąjungos bendrojo biudžeto įvykdymo patvirtinimo, V skirsnis – Audito Rūmai,</w:t>
      </w:r>
    </w:p>
    <w:p w14:paraId="30214C2C" w14:textId="45599649" w:rsidR="0044639C" w:rsidRDefault="0044639C" w:rsidP="0044639C">
      <w:pPr>
        <w:pStyle w:val="NormalHanging12a"/>
      </w:pPr>
      <w:r>
        <w:t>–</w:t>
      </w:r>
      <w:r>
        <w:tab/>
        <w:t>atsižvelgdamas į Darbo tvarkos taisyklių 102 straipsnį ir V priedą,</w:t>
      </w:r>
    </w:p>
    <w:p w14:paraId="0873FFAA" w14:textId="46350A57" w:rsidR="0044639C" w:rsidRDefault="0044639C" w:rsidP="0044639C">
      <w:pPr>
        <w:pStyle w:val="NormalHanging12a"/>
      </w:pPr>
      <w:r>
        <w:t>–</w:t>
      </w:r>
      <w:r>
        <w:tab/>
        <w:t>atsižvelgdamas į Biudžeto kontrolės komiteto pranešimą (A10</w:t>
      </w:r>
      <w:r>
        <w:t>-</w:t>
      </w:r>
      <w:r>
        <w:t>0047/2025),</w:t>
      </w:r>
    </w:p>
    <w:p w14:paraId="6523E1C4" w14:textId="77777777" w:rsidR="0044639C" w:rsidRDefault="0044639C" w:rsidP="0044639C">
      <w:pPr>
        <w:pStyle w:val="NormalHanging12a"/>
      </w:pPr>
      <w:r>
        <w:t>A.</w:t>
      </w:r>
      <w:r>
        <w:tab/>
        <w:t>kadangi biudžeto įvykdymo patvirtinimo procedūros kontekste biudžeto įvykdymą tvirtinanti institucija nori pabrėžti, kad ypač svarbu toliau stiprinti Sąjungos institucijų demokratinį teisėtumą didinant skaidrumą ir atskaitomybę, įgyvendinant rezultatais grindžiamo biudžeto sudarymo koncepciją bei užtikrinant gerą žmogiškųjų išteklių valdymą;</w:t>
      </w:r>
    </w:p>
    <w:p w14:paraId="2C990135" w14:textId="77777777" w:rsidR="0044639C" w:rsidRDefault="0044639C" w:rsidP="0044639C">
      <w:pPr>
        <w:pStyle w:val="NormalHanging12a"/>
      </w:pPr>
      <w:r>
        <w:t>B.</w:t>
      </w:r>
      <w:r>
        <w:tab/>
        <w:t>kadangi Europos Audito Rūmai (toliau – Audito Rūmai) yra Sąjungos išorės auditorius, kuriam patikėta atliekant nepriklausomą, profesionalų ir paveikų auditą įvertinti Sąjungos veiksmų ekonomiškumą, veiksmingumą, efektyvumą, teisėtumą ir tvarkingumą, kad būtų gerinama atskaitomybė, skaidrumas ir finansų valdymas ir taip didinamas piliečių pasitikėjimas bei veiksmingai reaguojama į dabartinius ir būsimus iššūkius, su kuriais susiduriama Sąjungoje;</w:t>
      </w:r>
    </w:p>
    <w:p w14:paraId="04D02267" w14:textId="77777777" w:rsidR="0044639C" w:rsidRDefault="0044639C" w:rsidP="0044639C">
      <w:pPr>
        <w:pStyle w:val="NormalHanging12a"/>
      </w:pPr>
      <w:r>
        <w:t>C.</w:t>
      </w:r>
      <w:r>
        <w:tab/>
        <w:t xml:space="preserve">kadangi, nepažeidžiant Sutarties dėl Europos Sąjungos veikimo (SESV) 287 ir 319 straipsnių nuostatų, nuo 1987 finansinių metų pabaigos Audito Rūmų pajamų ir išlaidų ataskaitų auditą kasmet atlieka nepriklausomas išorės auditorius, o nuo tada, kai parengta 1992 finansinių metų ataskaita, išorės auditoriaus ataskaitos skelbiamos </w:t>
      </w:r>
      <w:r>
        <w:rPr>
          <w:i/>
          <w:iCs/>
        </w:rPr>
        <w:t>Europos Sąjungos oficialiajame leidinyje</w:t>
      </w:r>
      <w:r>
        <w:t>;</w:t>
      </w:r>
    </w:p>
    <w:p w14:paraId="3FC47C38" w14:textId="77777777" w:rsidR="0044639C" w:rsidRDefault="0044639C" w:rsidP="0044639C">
      <w:pPr>
        <w:pStyle w:val="NormalHanging12a"/>
      </w:pPr>
      <w:r>
        <w:t>D.</w:t>
      </w:r>
      <w:r>
        <w:tab/>
        <w:t>kadangi vadovybės atskaitomybė biudžeto valdymo institucijoms išdėstoma Audito Rūmų Generalinio sekretoriaus metinėje veiklos ataskaitoje, kurios tikslas pagal Finansinio reglamento 74 straipsnio 9 dalį – teikti informaciją apie išteklių panaudojimą, įskaitant sistemas, ir apie Audito Rūmų vidaus kontrolės sistemų efektyvumą bei veiksmingumą;</w:t>
      </w:r>
    </w:p>
    <w:p w14:paraId="6FDE5006" w14:textId="77777777" w:rsidR="0044639C" w:rsidRDefault="0044639C" w:rsidP="0044639C">
      <w:pPr>
        <w:pStyle w:val="NormalHanging12a"/>
      </w:pPr>
      <w:r>
        <w:t>E.</w:t>
      </w:r>
      <w:r>
        <w:tab/>
        <w:t>kadangi, atlikdami savo užduotis skaidriai ir nepriklausomai, Audito Rūmai prisideda prie demokratinės priežiūros, viešų diskusijų ir patikimo Sąjungos finansų valdymo;</w:t>
      </w:r>
    </w:p>
    <w:p w14:paraId="3EB0F4A9" w14:textId="77777777" w:rsidR="0044639C" w:rsidRDefault="0044639C" w:rsidP="0044639C">
      <w:pPr>
        <w:pStyle w:val="NormalHanging12a"/>
      </w:pPr>
      <w:r>
        <w:t>F.</w:t>
      </w:r>
      <w:r>
        <w:tab/>
        <w:t>kadangi Audito Rūmai laikosi pozicijos, kad, siekiant įvertinti Sąjungos valdymą, atskaitomybę ir skaidrumą bei informacijos ir duomenų apie Sąjungos politikos įgyvendinimą kokybę ir patikimumą, geriausias sprendimas būtų įpareigoti Audito Rūmus vykdyti visų Sąjungos institucijų, organų, įstaigų ir agentūrų, įsteigtų Sutartimis arba pagal Sutartis, ir visų tarpvyriausybinių struktūrų, kurios yra labai svarbios Sąjungos veikimui, auditą; kadangi Parlamentas tvirtai remia Audito Rūmus ir palankiai vertintų iniciatyvas, kurios sustiprintų Audito Rūmų gebėjimą vykdyti savo įgaliojimus;</w:t>
      </w:r>
    </w:p>
    <w:p w14:paraId="25A6C240" w14:textId="77777777" w:rsidR="0044639C" w:rsidRDefault="0044639C" w:rsidP="0044639C">
      <w:pPr>
        <w:pStyle w:val="NormalHanging12a"/>
        <w:rPr>
          <w:szCs w:val="24"/>
        </w:rPr>
      </w:pPr>
      <w:r>
        <w:t>1.</w:t>
      </w:r>
      <w:r>
        <w:tab/>
        <w:t xml:space="preserve">pažymi, kad Audito Rūmų biudžetas priklauso DFP 7 išlaidų kategorijai „Europos </w:t>
      </w:r>
      <w:r>
        <w:lastRenderedPageBreak/>
        <w:t>viešasis administravimas“, jos suma 2023 m. siekė 12,3 mlrd. EUR (t. y. 6,4 % viso Sąjungos biudžeto); pažymi, kad Audito Rūmų biudžetas siekia maždaug 0,2 mlrd. EUR ir sudaro apie 1,5 % visų Sąjungos administracinių išlaidų, taigi mažiau nei 0,1 % visų Sąjungos išlaidų;</w:t>
      </w:r>
    </w:p>
    <w:p w14:paraId="0976D656" w14:textId="77777777" w:rsidR="0044639C" w:rsidRDefault="0044639C" w:rsidP="0044639C">
      <w:pPr>
        <w:pStyle w:val="NormalHanging12a"/>
        <w:rPr>
          <w:szCs w:val="24"/>
        </w:rPr>
      </w:pPr>
      <w:r>
        <w:t>2.</w:t>
      </w:r>
      <w:r>
        <w:tab/>
        <w:t>pažymi, kad Audito Rūmai savo 2023 finansinių metų metinėje ataskaitoje išanalizavo 70-ies administravimo srities operacijų imtį, t. y. 10 operacijų daugiau nei 2022 m.; taip pat pažymi, kad Audito Rūmai pranešė, jog administracines išlaidas sudaro išlaidos žmogiškiesiems ištekliams, įskaitant išlaidas pensijoms, kurios 2023 m. sudarė apie 70 % visų administracinių išlaidų, taip pat išlaidos pastatams, įrangai, energijai, ryšių ir informacinėms technologijoms, ir kad jų daugelio metų darbo patirtis rodo, jog apskritai šios išlaidos yra nedidelės rizikos išlaidos;</w:t>
      </w:r>
    </w:p>
    <w:p w14:paraId="2F0966DA" w14:textId="77777777" w:rsidR="0044639C" w:rsidRDefault="0044639C" w:rsidP="0044639C">
      <w:pPr>
        <w:pStyle w:val="NormalHanging12a"/>
      </w:pPr>
      <w:r>
        <w:t>3.</w:t>
      </w:r>
      <w:r>
        <w:tab/>
        <w:t>palankiai vertina tai, kad nuolat didėja Audito Rūmų audituotų išlaidų kategorijos „Administravimas“ operacijų skaičius; atkreipia dėmesį į planuojamą Sąjungos tarnautojų auditą, bet primena, kad svarbu atlikti išsamesnį administracinių išlaidų nagrinėjimą, ir pakartoja savo raginimą į jų darbą įtraukti išsamius duomenis apie visas institucijas, kad būtų sukurtas nuoseklus pagrindas nuosekliai biudžeto įvykdymo patvirtinimo procedūrai;</w:t>
      </w:r>
    </w:p>
    <w:p w14:paraId="16BB8939" w14:textId="77777777" w:rsidR="0044639C" w:rsidRDefault="0044639C" w:rsidP="0044639C">
      <w:pPr>
        <w:pStyle w:val="NormalHanging12a"/>
        <w:rPr>
          <w:szCs w:val="24"/>
        </w:rPr>
      </w:pPr>
      <w:r>
        <w:t>4.</w:t>
      </w:r>
      <w:r>
        <w:tab/>
        <w:t>pažymi, kad 21 (30 %) iš 70 operacijų buvo klaidų, tačiau Audito Rūmai, remdamiesi penkiomis kiekybiškai įvertintomis klaidomis, apskaičiavo, kad klaidų lygis nesiekia reikšmingumo ribos;</w:t>
      </w:r>
    </w:p>
    <w:p w14:paraId="338C02E2" w14:textId="77777777" w:rsidR="0044639C" w:rsidRDefault="0044639C" w:rsidP="0044639C">
      <w:pPr>
        <w:pStyle w:val="NormalHanging12a"/>
        <w:rPr>
          <w:szCs w:val="24"/>
        </w:rPr>
      </w:pPr>
      <w:r>
        <w:t>5.</w:t>
      </w:r>
      <w:r>
        <w:tab/>
        <w:t>pažymi, kad Audito Rūmų finansinių ataskaitų auditą atlieka nepriklausomas išorės auditorius, siekiant, kad Audito Rūmams būtų taikomi tokie patys skaidrumo, atskaitomybės ir nepriklausomumo principai, kokius Audito Rūmai taiko savo audituojamiems subjektams;</w:t>
      </w:r>
    </w:p>
    <w:p w14:paraId="1D577444" w14:textId="77777777" w:rsidR="0044639C" w:rsidRDefault="0044639C" w:rsidP="0044639C">
      <w:pPr>
        <w:pStyle w:val="NormalHanging12a"/>
        <w:ind w:left="0" w:firstLine="0"/>
        <w:jc w:val="both"/>
        <w:rPr>
          <w:b/>
          <w:i/>
          <w:szCs w:val="24"/>
        </w:rPr>
      </w:pPr>
      <w:r>
        <w:rPr>
          <w:b/>
          <w:i/>
        </w:rPr>
        <w:t>Biudžeto ir finansų valdymas</w:t>
      </w:r>
    </w:p>
    <w:p w14:paraId="3F141837" w14:textId="77777777" w:rsidR="0044639C" w:rsidRDefault="0044639C" w:rsidP="0044639C">
      <w:pPr>
        <w:pStyle w:val="NormalHanging12a"/>
        <w:rPr>
          <w:szCs w:val="24"/>
        </w:rPr>
      </w:pPr>
      <w:r>
        <w:t>6.</w:t>
      </w:r>
      <w:r>
        <w:tab/>
        <w:t>pažymi, kad bendras Audito Rūmų 2023 m. biudžetas sudarė 175 059 922 EUR, t. y. jis buvo 7,97 % didesnis, palyginti su 162 141 175 EUR biudžetu 2022 m.; pažymi, kad padidėjimą visų pirma lėmė atlyginimų koregavimas ir devyni nauji laikini etatai, susiję su priemone „</w:t>
      </w:r>
      <w:proofErr w:type="spellStart"/>
      <w:r>
        <w:t>NextGenerationEU</w:t>
      </w:r>
      <w:proofErr w:type="spellEnd"/>
      <w:r>
        <w:t>“; pažymi, kad 2023 m. 88,5 % asignavimų buvo skirta Audito Rūmų nariams ir darbuotojams, o 11,5 % – pastatams, įrangai ir įvairioms išlaidoms;</w:t>
      </w:r>
    </w:p>
    <w:p w14:paraId="00F1C2B6" w14:textId="77777777" w:rsidR="0044639C" w:rsidRDefault="0044639C" w:rsidP="0044639C">
      <w:pPr>
        <w:pStyle w:val="NormalHanging12a"/>
        <w:rPr>
          <w:szCs w:val="24"/>
        </w:rPr>
      </w:pPr>
      <w:r>
        <w:t>7.</w:t>
      </w:r>
      <w:r>
        <w:tab/>
        <w:t>pažymi, kad įsipareigojimų ir mokėjimų vykdymo lygis buvo aukštas, nors ir šiek tiek mažesnis nei 2022 m.; pažymi, kad asignavimų panaudojimo lygis buvo 97,92 % ir mokėjimai sudarė 94,45 % visų įsipareigojimų, palyginti su atitinkamai 98,12 % ir 95,26 % 2022 m.;</w:t>
      </w:r>
    </w:p>
    <w:p w14:paraId="55C77398" w14:textId="77777777" w:rsidR="0044639C" w:rsidRDefault="0044639C" w:rsidP="0044639C">
      <w:pPr>
        <w:pStyle w:val="NormalHanging12a"/>
        <w:rPr>
          <w:szCs w:val="24"/>
        </w:rPr>
      </w:pPr>
      <w:r>
        <w:t>8.</w:t>
      </w:r>
      <w:r>
        <w:tab/>
        <w:t>pažymi, kad dėl Rusijos neteisėto ir nepateisinamo agresijos karo prieš Ukrainą Audito Rūmų biudžetas patyrė įvairaus pobūdžio spaudimą, be kita ko, dėl didėjančios infliacijos ir atlyginimų koregavimo bei labai išaugusių elektros energijos ir šildymo sąnaudų;</w:t>
      </w:r>
    </w:p>
    <w:p w14:paraId="5FAA5FE4" w14:textId="77777777" w:rsidR="0044639C" w:rsidRDefault="0044639C" w:rsidP="0044639C">
      <w:pPr>
        <w:pStyle w:val="NormalHanging12a"/>
      </w:pPr>
      <w:r>
        <w:t>9.</w:t>
      </w:r>
      <w:r>
        <w:tab/>
        <w:t>pabrėžia, kad 2023 m. biudžeto vykdymui poveikį padarė du veiksniai, dėl to biudžeto įvykdymo lygis buvo šiek tiek mažesnis nei 2022 m.:</w:t>
      </w:r>
    </w:p>
    <w:p w14:paraId="262D92AF" w14:textId="77777777" w:rsidR="0044639C" w:rsidRDefault="0044639C" w:rsidP="0044639C">
      <w:pPr>
        <w:pStyle w:val="NormalHanging12a"/>
        <w:ind w:left="1134"/>
        <w:rPr>
          <w:szCs w:val="24"/>
        </w:rPr>
      </w:pPr>
      <w:r>
        <w:t>1.</w:t>
      </w:r>
      <w:r>
        <w:tab/>
        <w:t xml:space="preserve">didesnis nei biudžete numatytas infliacijos lygis ir su tuo susijęs kainų </w:t>
      </w:r>
      <w:r>
        <w:lastRenderedPageBreak/>
        <w:t>indeksavimas, padaręs poveikį naujoms ir esamoms sutartims bei lėmęs papildomus biudžeto poreikius siekiant padengti su atlyginimais nesusijusias išlaidas, visų pirma, išlaidas pagal energijos ir IT biudžeto eilutes; šiuos asignavimus galiausiai buvo galima padidinti visų pirma dėl to, kad ne visiškai buvo įvykdyti kai kurie 1 0 skyriaus („Institucijų nariai“), 1 2 skyriaus („Pareigūnai ir laikinieji darbuotojai“) ir 2 antraštinės dalies biudžeto eilučių, pvz., skirtų leidiniams, nedidelės apimties konsultacijoms, tyrimams ir apklausoms, taip pat vertimo žodžiu išlaidoms, asignavimai;</w:t>
      </w:r>
    </w:p>
    <w:p w14:paraId="3D6109C8" w14:textId="77777777" w:rsidR="0044639C" w:rsidRDefault="0044639C" w:rsidP="0044639C">
      <w:pPr>
        <w:pStyle w:val="NormalHanging12a"/>
        <w:ind w:left="1134"/>
        <w:rPr>
          <w:szCs w:val="24"/>
        </w:rPr>
      </w:pPr>
      <w:r>
        <w:t>2.</w:t>
      </w:r>
      <w:r>
        <w:tab/>
        <w:t>didesnė sutartininkų ir deleguotųjų nacionalinių ekspertų (DNE) kaita (kai kurios DNE sutartys nebuvo pratęstos ir keli DNE laimėjo laikinųjų darbuotojų vidaus konkursą), vėlavimas ir visų Liuksemburge esančių Europos Sąjungos įstaigų įdarbinimo procedūrų sunkumai;</w:t>
      </w:r>
    </w:p>
    <w:p w14:paraId="4EC11F10" w14:textId="77777777" w:rsidR="0044639C" w:rsidRDefault="0044639C" w:rsidP="0044639C">
      <w:pPr>
        <w:pStyle w:val="NormalHanging12a"/>
        <w:rPr>
          <w:szCs w:val="24"/>
        </w:rPr>
      </w:pPr>
      <w:r>
        <w:t>10.</w:t>
      </w:r>
      <w:r>
        <w:tab/>
        <w:t>pažymi, kad per 2023 m. Audito Rūmai atliko 36 biudžeto perkėlimus, kurių bendra suma – 5 676 379 EUR ir kuriais buvo siekiama užtikrinti, kad įvairūs Audito Rūmų departamentai veiktų sklandžiai bei būtų patenkinti visi susiję poreikiai;</w:t>
      </w:r>
    </w:p>
    <w:p w14:paraId="61D187BF" w14:textId="77777777" w:rsidR="0044639C" w:rsidRDefault="0044639C" w:rsidP="0044639C">
      <w:pPr>
        <w:pStyle w:val="NormalHanging12a"/>
      </w:pPr>
      <w:r>
        <w:t>11.</w:t>
      </w:r>
      <w:r>
        <w:tab/>
        <w:t>pažymi, kad 2023 m. Audito Rūmai įsigijo prekių ir paslaugų, kurių bendra vertė – 23 426 750,05 EUR (5 512 853 EUR 2022 m. ir 15 215 515 EUR 2021 m.), iš kurių pirkimai iš vietos tiekėjų sudarė 21 453 665,05 EUR (4 848 701 EUR 2022 m. ir 10 144 812 EUR 2021 m.);</w:t>
      </w:r>
    </w:p>
    <w:p w14:paraId="3E51898C" w14:textId="77777777" w:rsidR="0044639C" w:rsidRDefault="0044639C" w:rsidP="0044639C">
      <w:pPr>
        <w:pStyle w:val="NormalHanging12a"/>
      </w:pPr>
      <w:r>
        <w:t>12.</w:t>
      </w:r>
      <w:r>
        <w:tab/>
        <w:t>džiaugdamasis pažymi, kad išorės auditorius pareiškė, jog skirti ištekliai buvo panaudoti pagal paskirtį ir kad leidimus suteikiančių pareigūnų įdiegtos kontrolės procedūros suteikė būtinas garantijas užtikrinant, kad finansinės operacijos atitiktų taikomas taisykles ir reglamentus;</w:t>
      </w:r>
    </w:p>
    <w:p w14:paraId="59168D8F" w14:textId="77777777" w:rsidR="0044639C" w:rsidRDefault="0044639C" w:rsidP="0044639C">
      <w:pPr>
        <w:pStyle w:val="NormalHanging12a"/>
      </w:pPr>
      <w:r>
        <w:t>13.</w:t>
      </w:r>
      <w:r>
        <w:tab/>
        <w:t>palankiai vertina tai, kad bendras Audito Rūmų (narių ir darbuotojų) komandiruočių biudžetas, kuris iš pradžių siekė 2 722 500 EUR, sumažėjo 4,4 % iki 2 602 500 EUR dėl Audito Rūmų darbo metodų pokyčių po pandemijos;</w:t>
      </w:r>
    </w:p>
    <w:p w14:paraId="51418EA6" w14:textId="77777777" w:rsidR="0044639C" w:rsidRDefault="0044639C" w:rsidP="0044639C">
      <w:pPr>
        <w:pStyle w:val="NormalHanging12a"/>
      </w:pPr>
      <w:r>
        <w:t>14.</w:t>
      </w:r>
      <w:r>
        <w:tab/>
        <w:t>ragina Audito Rūmus atlikti išsamią kelionpinigių ir išmokų už dalyvavimą posėdžiuose peržiūrą, užtikrinant, kad išlaidos būtų ekonomiškai efektyvios, pagrįstos ir tvarios aplinkos atžvilgiu, be kita ko, rengiant daugiau mišrių posėdžių, siekiant sumažinti nereikalingas išlaidas ir išmetamą anglies dioksido kiekį;</w:t>
      </w:r>
    </w:p>
    <w:p w14:paraId="5B0A5F21" w14:textId="77777777" w:rsidR="0044639C" w:rsidRDefault="0044639C" w:rsidP="0044639C">
      <w:pPr>
        <w:pStyle w:val="NormalHanging12a"/>
        <w:ind w:left="0" w:firstLine="0"/>
        <w:rPr>
          <w:b/>
          <w:i/>
        </w:rPr>
      </w:pPr>
      <w:r>
        <w:rPr>
          <w:b/>
          <w:i/>
        </w:rPr>
        <w:t>Vidaus valdymas, veikla ir vidaus kontrolė</w:t>
      </w:r>
    </w:p>
    <w:p w14:paraId="37F05340" w14:textId="77777777" w:rsidR="0044639C" w:rsidRDefault="0044639C" w:rsidP="0044639C">
      <w:pPr>
        <w:pStyle w:val="NormalHanging12a"/>
      </w:pPr>
      <w:r>
        <w:t>15.</w:t>
      </w:r>
      <w:r>
        <w:tab/>
        <w:t>teigiamai vertina tai, kad 2023 m. Audito Rūmai gerokai padidino savo vizitų vietoje skaičių, palyginti su ankstesniais trejais metais, kai vis dar iš dalies buvo taikomi su COVID susiję kelionių ir visuomenės sveikatos apribojimai; pažymi, kad Audito Rūmų nariai ir darbuotojai valstybėse narėse ir už Sąjungos ribų iš viso praleido 4 897 dienas, palyginti su 2 984 dienomis 2022 m., 1 156 dienomis 2021 m., 1 190 dienų 2020 m. ir 3 605 dienomis 2019 m.;</w:t>
      </w:r>
    </w:p>
    <w:p w14:paraId="19B6850F" w14:textId="77777777" w:rsidR="0044639C" w:rsidRDefault="0044639C" w:rsidP="0044639C">
      <w:pPr>
        <w:pStyle w:val="NormalHanging12a"/>
      </w:pPr>
      <w:r>
        <w:t>16.</w:t>
      </w:r>
      <w:r>
        <w:tab/>
        <w:t>pažymi, kad per 2023 m. Audito Rūmai pateikė 2 metines ataskaitas, 4 specialiąsias metines ataskaitas, 29 specialiąsias ataskaitas, 4 nuomones ir 6 apžvalgas, taigi iš viso 45 dokumentus;</w:t>
      </w:r>
    </w:p>
    <w:p w14:paraId="0A1B5CE1" w14:textId="77777777" w:rsidR="0044639C" w:rsidRDefault="0044639C" w:rsidP="0044639C">
      <w:pPr>
        <w:pStyle w:val="NormalHanging12a"/>
      </w:pPr>
      <w:r>
        <w:t>17.</w:t>
      </w:r>
      <w:r>
        <w:tab/>
        <w:t>pažymi, kad iš 29 Audito Rūmų 2021–2025 m. strategijoje numatytų strateginių priemonių 1 buvo atšaukta, o kitos 28 – visapusiškai įgyvendintos;</w:t>
      </w:r>
    </w:p>
    <w:p w14:paraId="56C6E1B4" w14:textId="77777777" w:rsidR="0044639C" w:rsidRDefault="0044639C" w:rsidP="0044639C">
      <w:pPr>
        <w:pStyle w:val="NormalHanging12a"/>
      </w:pPr>
      <w:r>
        <w:lastRenderedPageBreak/>
        <w:t>18.</w:t>
      </w:r>
      <w:r>
        <w:tab/>
        <w:t>palankiai vertina tai, kad Audito Rūmai vertina savo rekomendacijų įgyvendinimą remdamiesi tolesne priežiūra, kurią vykdo jų auditoriai; pažymi, kad 2023 m. Audito Rūmai analizavo savo 2019 m. ataskaitose Komisijai ir kitoms institucijoms skirtas rekomendacijas; palankiai vertina tai, kad šia analize atskleista, jog visiškai, kai kuriais atžvilgiais ar dauguma atžvilgių buvo atsižvelgta į 100 % iš 15 rekomendacijų, pateiktų Audito Rūmų 2019 m. metinėje ataskaitoje, ir į 85 % iš 208 rekomendacijų, pateiktų Audito Rūmų 2019 m. specialiosiose ataskaitose;</w:t>
      </w:r>
    </w:p>
    <w:p w14:paraId="26CD988C" w14:textId="77777777" w:rsidR="0044639C" w:rsidRDefault="0044639C" w:rsidP="0044639C">
      <w:pPr>
        <w:pStyle w:val="NormalHanging12a"/>
        <w:rPr>
          <w:szCs w:val="24"/>
        </w:rPr>
      </w:pPr>
      <w:r>
        <w:t>19.</w:t>
      </w:r>
      <w:r>
        <w:tab/>
        <w:t>palankiai vertina Audito Rūmų pasirengimą reaguoti į Parlamento prašymą su auditu susijusį savo darbą sutelkti į neatidėliotinus uždavinius, taip pat gerinti bendradarbiavimą su Parlamento Komitetų pirmininkų sueiga; pabrėžia, kad Audito Rūmai turėtų turėti visapusišką prieigą prie sukčiavimo rizikos vertinimo priemonių, įskaitant Komisijos ir valstybių narių duomenų bazes, kuriose kaupiami duomenys apie sukčiavimo atvejus, susijusius su finansavimu iš ES lėšų, siekiant sustiprinti ankstyvojo perspėjimo apie sukčiavimą sistemas; labai apgailestauja dėl to, kad vis dar iki galo neišspręstas klausimas dėl Audito Rūmų prieigos prie naujos Ekonomikos gaivinimo ir atsparumo didinimo priemonės (EGADP) ataskaitų teikimo priemonės FENIX, nes Komisija Audito Rūmams suteikia prieigą tik prie kai kurių FENIX modulių, o ten pateikiama informacija laiku neatnaujinama; primygtinai ragina Komisiją nedelsiant suteikti Audito Rūmams visapusišką prieigą prie visų FENIX modulių; pažymi, kad Komisijos Ekonomikos ir finansų reikalų generalinis direktoratas dėjo pastangas, kad suteiktų Audito Rūmams galimybę susipažinti su FENIX dokumentais per dvi savaites nuo mokėjimo prašymo patvirtinimo; vis dėlto yra susirūpinęs dėl to, kad praktiškai daugeliu atvejų šio termino nesilaikoma ir kad tam tikrais atvejais buvo vėluojama iki 2,5 mėnesio, dėl to Audito Rūmai daug lėčiau pateikia audito pastebėjimus; primena, kad 2024 m. spalio 10 d. CONT komiteto posėdyje už biudžetą atsakingas Komisijos narys atvirai pareiškė, kad Audito Rūmai turi visus su EGADP susijusius įgaliojimus – tai rodo, jog reikia nedelsiant suteikti Audito Rūmams geresnę prieigą prie visų priemonių, kad institucija galėtų vykdyti savo įgaliojimus;</w:t>
      </w:r>
    </w:p>
    <w:p w14:paraId="38620AC0" w14:textId="77777777" w:rsidR="0044639C" w:rsidRDefault="0044639C" w:rsidP="0044639C">
      <w:pPr>
        <w:pStyle w:val="NormalHanging12a"/>
      </w:pPr>
      <w:r>
        <w:t>20.</w:t>
      </w:r>
      <w:r>
        <w:tab/>
        <w:t>ragina Audito Rūmus išplėsti savo audito apimtį, kad ji apimtų Europos investicijų banko (EIB) operacijas, finansuojamas nuosavomis EIB lėšomis, atsižvelgiant į didėjantį EIB vaidmenį ES ekonominės, finansų ir pramonės politikos srityse; primygtinai ragina Komisiją ir valstybes nares suteikti Audito Rūmams teisinius įgaliojimus, būtinus vykdant šią veiklą;</w:t>
      </w:r>
    </w:p>
    <w:p w14:paraId="24434410" w14:textId="77777777" w:rsidR="0044639C" w:rsidRDefault="0044639C" w:rsidP="0044639C">
      <w:pPr>
        <w:pStyle w:val="NormalHanging12a"/>
      </w:pPr>
      <w:r>
        <w:t>21.</w:t>
      </w:r>
      <w:r>
        <w:tab/>
        <w:t>palankiai vertina laiku pateiktas aktualias specialiąsias ataskaitas dėl EGADP įgyvendinimo, kurios suteikia biudžeto įvykdymą tvirtinančiai institucijai galimybę veiksmingai pasinaudoti savo prerogatyvomis ir kuriose Komisijai pateikiamos rekomendacijas dėl tos priemonės veikimo gerinimo; primygtinai ragina Audito Rūmus stiprinti savo vaidmenį kovojant su sukčiavimu, naudojant Sąjungos biudžeto lėšas: nustatyti trūkumus, dalyvauti diskusijose dėl kovos su sukčiavimu, intensyvinti auditus, bendradarbiauti su sukčiavimo nustatymo įstaigomis ir teikti atitinkamą grįžtamąjį ryšį biudžeto įvykdymą tvirtinančiai institucijai;</w:t>
      </w:r>
    </w:p>
    <w:p w14:paraId="4396EB42" w14:textId="77777777" w:rsidR="0044639C" w:rsidRDefault="0044639C" w:rsidP="0044639C">
      <w:pPr>
        <w:pStyle w:val="NormalHanging12a"/>
      </w:pPr>
      <w:r>
        <w:t>22.</w:t>
      </w:r>
      <w:r>
        <w:tab/>
        <w:t xml:space="preserve">pažymi, kad 2023 m. pabaigoje Audito Rūmuose dirbo 969 darbuotojai; pažymi, kad 2023 m. moterys sudarė 53 % darbuotojų, o vyrai – 47 %, t. y. šie duomenys nepakito, palyginti su ankstesniais metais (2022 m.); apgailestauja dėl to, kad šiuo metu tarp vyresniosios vadovybės darbuotojų moterų yra tik 30 %, t. y. gerokai mažiau, palyginti su 36,4 % 2022 m.; pabrėžia, kad 2023 m. bendra vadovaujamas pareigas einančių moterų dalis sumažėjo; ragina Audito Rūmus toliau dėti pastangas siekiant skatinti lyčių </w:t>
      </w:r>
      <w:r>
        <w:lastRenderedPageBreak/>
        <w:t xml:space="preserve">pusiausvyrą </w:t>
      </w:r>
      <w:proofErr w:type="spellStart"/>
      <w:r>
        <w:t>viduriniosios</w:t>
      </w:r>
      <w:proofErr w:type="spellEnd"/>
      <w:r>
        <w:t xml:space="preserve"> ir vyresniosios vadovybės lygmenimis;</w:t>
      </w:r>
    </w:p>
    <w:p w14:paraId="0FCC2DD4" w14:textId="77777777" w:rsidR="0044639C" w:rsidRDefault="0044639C" w:rsidP="0044639C">
      <w:pPr>
        <w:pStyle w:val="NormalHanging12a"/>
        <w:rPr>
          <w:b/>
          <w:i/>
        </w:rPr>
      </w:pPr>
      <w:r>
        <w:rPr>
          <w:b/>
          <w:i/>
        </w:rPr>
        <w:t>Žmogiškieji ištekliai, lygybė ir darbuotojų gerovė</w:t>
      </w:r>
    </w:p>
    <w:p w14:paraId="2706D23E" w14:textId="77777777" w:rsidR="0044639C" w:rsidRDefault="0044639C" w:rsidP="0044639C">
      <w:pPr>
        <w:pStyle w:val="NormalHanging12a"/>
        <w:rPr>
          <w:b/>
          <w:i/>
          <w:szCs w:val="24"/>
        </w:rPr>
      </w:pPr>
      <w:r>
        <w:t>23.</w:t>
      </w:r>
      <w:r>
        <w:tab/>
        <w:t>yra sunerimęs dėl to, kad įdarbinimo procese turėjo būti dedamos papildomos pastangos, nes apie 50 % kandidatų atmetė Audito Rūmų darbo pasiūlymus, iš dalies dėl riboto Liuksemburgo, kaip darbo vietos, patrauklumo ir didelių pragyvenimo išlaidų; vis dėlto pažymi, kad Liuksemburge veikiančios didelės audito įmonės taip pat susiduria su sunkumais ir šiuo metu Azijos rinkose ieško auditorių, kuriuos galėtų įdarbinti; pabrėžia, kad Audito Rūmai negali laikytis tokio požiūrio dėl saugumo ir atitikties reikalavimams klausimų; pripažįsta Audito Rūmų pastangas ir ragina juos bendradarbiauti su kitomis Liuksemburge įsikūrusiomis institucijomis Aukšto lygio tarpinstitucinėje grupėje, siekiant padidinti Liuksemburgo patrauklumą būsimiems darbuotojams, taikant nustatytas priemones, pvz., didesnes persikėlimo išmokas, būsto pašalpas, siekiant sumažinti dideles žemesnės kategorijos darbuotojų nuomos išlaidas, ir nebrangų laikiną būstą trumpam laikotarpiui, kad darbas Liuksemburge taptų patrauklesnis;</w:t>
      </w:r>
    </w:p>
    <w:p w14:paraId="4BBC5F27" w14:textId="77777777" w:rsidR="0044639C" w:rsidRDefault="0044639C" w:rsidP="0044639C">
      <w:pPr>
        <w:pStyle w:val="NormalHanging12a"/>
      </w:pPr>
      <w:r>
        <w:t>24.</w:t>
      </w:r>
      <w:r>
        <w:tab/>
        <w:t>primena Europos Sąjungos sutarties nuostatas, jog ES ir jos institucijos turi skatinti moterų ir vyrų lygybę ir solidarumą;</w:t>
      </w:r>
    </w:p>
    <w:p w14:paraId="149B31B7" w14:textId="77777777" w:rsidR="0044639C" w:rsidRDefault="0044639C" w:rsidP="0044639C">
      <w:pPr>
        <w:pStyle w:val="NormalHanging12a"/>
        <w:rPr>
          <w:b/>
          <w:i/>
          <w:szCs w:val="24"/>
        </w:rPr>
      </w:pPr>
      <w:r>
        <w:t>25.</w:t>
      </w:r>
      <w:r>
        <w:tab/>
        <w:t>pritaria Audito Rūmų susirūpinimui, kad audito profesijos srityje apskritai kyla įdarbinimo problemų, nes jauni darbuotojai stokoja susidomėjimo audito ir kontrolės darbu; ragina priimti veiksmingus sprendimus ir nedelsiant pradėti vykdyti sistemingą tarpinstitucinį bendradarbiavimą siekiant spręsti šį klausimą;</w:t>
      </w:r>
    </w:p>
    <w:p w14:paraId="20CEE517" w14:textId="77777777" w:rsidR="0044639C" w:rsidRDefault="0044639C" w:rsidP="0044639C">
      <w:pPr>
        <w:pStyle w:val="NormalHanging12a"/>
        <w:rPr>
          <w:b/>
          <w:i/>
          <w:szCs w:val="24"/>
        </w:rPr>
      </w:pPr>
      <w:r>
        <w:t>26.</w:t>
      </w:r>
      <w:r>
        <w:tab/>
        <w:t>pritaria Audito Rūmų pastaboms, kad EPSO konkursais ne visada pasiekiamas tikslas pritraukti ir atrinkti atitinkamus kandidatus iš privačiojo sektoriaus; atkreipia dėmesį į kelias EPSO konkursų problemas, pvz., technines problemas, susijusias su nuotoliniais testais, dėl kurių vienas konkursas buvo atšauktas, o visi kiti buvo sustabdyti; pripažįsta susirūpinimą keliančius klausimus, susijusius su naujų darbuotojų įdarbinimu ir atrankos procedūromis; ragina Audito Rūmus toliau dėti pastangas siekiant ištaisyti šią padėtį tam, kad būtų užtikrintas Audito Rūmų veiklos tęstinumas; džiaugdamasis pažymi, kad Audito Rūmai bendradarbiavo su EPSO (Europos personalo atrankos tarnyba) siekdami, kad reguliariai būtų organizuojami audito konkursai; siūlo bendradarbiauti su tam tikromis kitomis Sąjungos įstaigomis, siekiant optimizuoti įdarbinimo procesus;</w:t>
      </w:r>
    </w:p>
    <w:p w14:paraId="3C377241" w14:textId="77777777" w:rsidR="0044639C" w:rsidRDefault="0044639C" w:rsidP="0044639C">
      <w:pPr>
        <w:pStyle w:val="NormalHanging12a"/>
      </w:pPr>
      <w:r>
        <w:t>27.</w:t>
      </w:r>
      <w:r>
        <w:tab/>
        <w:t>palankiai vertina tai, kad Audito Rūmai surengė lanksčias ir įvairias atrankos procedūras, kaip numatyta Europos Sąjungos pareigūnų tarnybos nuostatuose ir kitų tarnautojų įdarbinimo sąlygose, ir nustatė procedūras talentingiems darbuotojams išlaikyti;</w:t>
      </w:r>
    </w:p>
    <w:p w14:paraId="36270BB8" w14:textId="77777777" w:rsidR="0044639C" w:rsidRDefault="0044639C" w:rsidP="0044639C">
      <w:pPr>
        <w:pStyle w:val="NormalHanging12a"/>
        <w:rPr>
          <w:szCs w:val="24"/>
        </w:rPr>
      </w:pPr>
      <w:r>
        <w:t>28.</w:t>
      </w:r>
      <w:r>
        <w:tab/>
        <w:t>pažymi, kad, siekdami sumažinti įdarbinimo sunkumus, Audito Rūmai nustatė tam tikrą nuotolinio darbo režimą (iki 10 dienų per mėnesį); palankiai vertina priemones, kurių Audito Rūmai ėmėsi 2023 m. siekdami užtikrinti fizinę ir psichinę darbuotojų gerovę;</w:t>
      </w:r>
    </w:p>
    <w:p w14:paraId="12F95F19" w14:textId="77777777" w:rsidR="0044639C" w:rsidRDefault="0044639C" w:rsidP="0044639C">
      <w:pPr>
        <w:pStyle w:val="NormalHanging12a"/>
      </w:pPr>
      <w:r>
        <w:t>29.</w:t>
      </w:r>
      <w:r>
        <w:tab/>
        <w:t>pažymi, kad 2023 m. gruodžio mėn. laisvų darbo vietų lygis buvo 2,27 %, o darbuotojų kaitos lygis (išėjusių darbuotojų skaičius kaip visų darbuotojų dalis) – 6,6 %;</w:t>
      </w:r>
    </w:p>
    <w:p w14:paraId="03C1FFFA" w14:textId="77777777" w:rsidR="0044639C" w:rsidRDefault="0044639C" w:rsidP="0044639C">
      <w:pPr>
        <w:pStyle w:val="NormalHanging12a"/>
      </w:pPr>
      <w:r>
        <w:t>30.</w:t>
      </w:r>
      <w:r>
        <w:tab/>
        <w:t xml:space="preserve">palankiai vertina Audito Rūmų pastangas 2023 m. išlaikyti žemą laisvų darbo vietų lygį; </w:t>
      </w:r>
      <w:r>
        <w:lastRenderedPageBreak/>
        <w:t>vis dėlto visiškai sutinka, kad susirūpinimą kelia naujų darbuotojų geografinės pusiausvyros trūkumas, nes dėl jo dar labiau sumažėja visų Audito Rūmų darbuotojų geografinis reprezentatyvumas; pažymi, kad, anot Audito Rūmų, esama rizikos, jog penkerių metų laikotarpyje auditas nebus atliekamas kelioms Šiaurės valstybėms narėms, atsižvelgiant į galimybę, kad nebebus auditorių iš tų valstybių narių;</w:t>
      </w:r>
    </w:p>
    <w:p w14:paraId="4485CEA5" w14:textId="77777777" w:rsidR="0044639C" w:rsidRDefault="0044639C" w:rsidP="0044639C">
      <w:pPr>
        <w:pStyle w:val="NormalHanging12a"/>
        <w:rPr>
          <w:szCs w:val="24"/>
        </w:rPr>
      </w:pPr>
      <w:r>
        <w:t>31.</w:t>
      </w:r>
      <w:r>
        <w:tab/>
        <w:t xml:space="preserve">palankiai vertina tai, kad Audito Rūmai ėmėsi įvairių veiksmų, kad išspręstų geografinės pusiausvyros problemą, pvz., padidino Audito Rūmų konkurso ir pranešimų apie laisvas darbo vietas viešinimą valstybėse narėse, kurioms atstovaujama nepakankamai, bendradarbiaudami su nariais platino savo pranešimus, ir dalyvaudami karjeros mugėse tam tikrose valstybėse narėse užmezgė ryšius su potencialiais kandidatais; ragina atsižvelgti į tolesnius veiksmus, pvz., ankstyvo dalyvavimo strategijas, pritraukiant jaunus talentus iš šalių, kurioms mažai atstovaujama; apgailestaudamas pažymi, kad dar reikia nemažai nuveikti siekiant lyčių pusiausvyros </w:t>
      </w:r>
      <w:proofErr w:type="spellStart"/>
      <w:r>
        <w:t>viduriniosios</w:t>
      </w:r>
      <w:proofErr w:type="spellEnd"/>
      <w:r>
        <w:t xml:space="preserve"> ir vyresniosios vadovybės lygmenimis;</w:t>
      </w:r>
    </w:p>
    <w:p w14:paraId="5C556BF4" w14:textId="77777777" w:rsidR="0044639C" w:rsidRDefault="0044639C" w:rsidP="0044639C">
      <w:pPr>
        <w:pStyle w:val="NormalHanging12a"/>
        <w:rPr>
          <w:i/>
          <w:szCs w:val="24"/>
        </w:rPr>
      </w:pPr>
      <w:r>
        <w:t>32.</w:t>
      </w:r>
      <w:r>
        <w:tab/>
        <w:t>palankiai vertina tai, kad 2023 m. pabaigoje buvo užpildytos visos papildomos 29 pareigybės, kurių reikėjo EGADP auditui, apimančiam 723,8 mlrd. EUR sumą, atlikti; tačiau pabrėžia, kad reikšmingumas, sudėtingumas, didelės sumos ir greitas lėšų išmokėjimas pagal EGADP ir toliau kelia sunkumų ir kad negalima apimti visų EGADP aspektų pasitelkiant turimus išteklius – dėl to Audito Rūmai gali įvertinti, ar tinkamai pasiektos tarpinės ir siektinos reikšmės, taigi ir EGADP mokėjimų teisėtumą bei tvarkingumą, tačiau jų nepakanka, kad būtų sistemingai užtikrinta EGADP išlaidų atitiktis Sąjungos ir nacionalinės teisės aktams; pabrėžia, jog svarbu užtikrinti, kad Audito Rūmuose nuolat būtų tinkamas darbuotojų skaičius, kad institucija galėtų vykdyti savo įgaliojimus ir papildomas pareigas, susijusias su naujomis finansavimo priemonėmis, pvz., EGADP; palankiai vertina Audito Rūmų pastangas toliau vykdyti savo pareigas, susijusias su EGADP, nepaisant to, kad trūksta visapusiškai tinkamų išteklių;</w:t>
      </w:r>
    </w:p>
    <w:p w14:paraId="541B4B94" w14:textId="77777777" w:rsidR="0044639C" w:rsidRDefault="0044639C" w:rsidP="0044639C">
      <w:pPr>
        <w:pStyle w:val="NormalHanging12a"/>
        <w:rPr>
          <w:szCs w:val="24"/>
        </w:rPr>
      </w:pPr>
      <w:r>
        <w:t>33.</w:t>
      </w:r>
      <w:r>
        <w:tab/>
        <w:t>žino, kad Audito Rūmai nedalyvauja narių skyrimo procese pagal SESV 286 straipsnio 2 dalį; vis dėlto atkreipia dėmesį į tai, kad tarp Audito Rūmų narių vis dar esama didelės lyčių nelygybės – tik 10 iš 27 narių yra moterys; apgailestauja dėl to, kad 12 valstybių narių niekada nėra paskyrusios moters į Audito Rūmų narius; ragina Audito Rūmus įvertinti bendrą Audito Rūmų sudėtį ir pateikti šio vertinimo rezultatus Tarybai ir valstybėms narėms tam, kad ateityje skiriant narius būtų tinkamai atsižvelgiama į lyčių pusiausvyrą; pakartoja savo raginimą valstybėms narėms teikti skirtingų lyčių asmenų kandidatūras, siekiant užtikrinti labiau subalansuotą ir reprezentatyvesnę Audito Rūmų sudėtį;</w:t>
      </w:r>
    </w:p>
    <w:p w14:paraId="362F41BC" w14:textId="77777777" w:rsidR="0044639C" w:rsidRDefault="0044639C" w:rsidP="0044639C">
      <w:pPr>
        <w:pStyle w:val="NormalHanging12a"/>
      </w:pPr>
      <w:r>
        <w:t>34.</w:t>
      </w:r>
      <w:r>
        <w:tab/>
        <w:t>apgailestauja dėl to, kad Taryba ne kartą skyrė tuos pačius Audito Rūmų narius, kurių kandidatūras Parlamentas atmetė; pabrėžia, kad Parlamentas turėtų atlikti privalomą vaidmenį vertinant kandidatų į Audito Rūmų narius tinkamumą;</w:t>
      </w:r>
    </w:p>
    <w:p w14:paraId="4DF9A263" w14:textId="77777777" w:rsidR="0044639C" w:rsidRDefault="0044639C" w:rsidP="0044639C">
      <w:pPr>
        <w:pStyle w:val="NormalHanging12a"/>
      </w:pPr>
      <w:r>
        <w:t>35.</w:t>
      </w:r>
      <w:r>
        <w:tab/>
        <w:t>pažymi, kad 2023 m. vidutinis nebuvimo dėl ligos lygis buvo 10 dienų vienam darbuotojui, palyginti su 12,2 dienos 2022 m.; be to, pažymi, kad 2023 m. 4 darbuotojai (palyginti su 8 darbuotojais 2022 m.) nebuvo darbe dėl užsitęsusios ligos, kuri apibrėžiama kaip trunkanti daugiau kaip 200 dienų per metus;</w:t>
      </w:r>
    </w:p>
    <w:p w14:paraId="7CD788AD" w14:textId="77777777" w:rsidR="0044639C" w:rsidRDefault="0044639C" w:rsidP="0044639C">
      <w:pPr>
        <w:pStyle w:val="NormalHanging12a"/>
      </w:pPr>
      <w:r>
        <w:t>36.</w:t>
      </w:r>
      <w:r>
        <w:tab/>
        <w:t xml:space="preserve">su susirūpinimu pažymi, kad 2023 m. buvo užregistruoti 7 profesinio perdegimo atvejai – tas pats nerimą keliantis skaičius kaip ir 2022 m.; teigiamai vertina tai, kad Audito </w:t>
      </w:r>
      <w:r>
        <w:lastRenderedPageBreak/>
        <w:t>Rūmai ėmėsi kelių veiksmų, kad sumažintų profesinio perdegimo riziką, įdiegdami visapusišką gerovės programą, siūlydami atsparumo didinimo mokymus, skelbdami ir įgyvendindami gaires dėl grįžimo į darbą po ilgalaikių laikinojo nedarbingumo atostogų, toliau siūlydami pirmąją pagalbą psichikos sveikatos srityje ir teikdami finansinę paramą darbuotojams – padengdami 10 sesijų su jų pasirinktu psichologu išlaidas;</w:t>
      </w:r>
    </w:p>
    <w:p w14:paraId="73A35772" w14:textId="77777777" w:rsidR="0044639C" w:rsidRDefault="0044639C" w:rsidP="0044639C">
      <w:pPr>
        <w:pStyle w:val="NormalHanging12a"/>
      </w:pPr>
      <w:r>
        <w:t>37.</w:t>
      </w:r>
      <w:r>
        <w:tab/>
        <w:t>su džiaugsmu atkreipia dėmesį į tai, kad 2023 m. Audito Rūmai ir vėl viršijo profesinio mokymo tikslą, t. y. tikslą, kad auditoriai ne kalbų mokymuisi turi skirti penkias dienas per metus (auditoriai tam skyrė 6,7 dienos), kaip nustatyta Tarptautinės buhalterių federacijos rekomendacijose; visų 1pirma atkreipia dėmesį į Audito Rūmų darbuotojų mokymus apie NGEU ir EGADP;</w:t>
      </w:r>
    </w:p>
    <w:p w14:paraId="5C5EA154" w14:textId="77777777" w:rsidR="0044639C" w:rsidRDefault="0044639C" w:rsidP="0044639C">
      <w:pPr>
        <w:pStyle w:val="NormalHanging12a"/>
      </w:pPr>
      <w:r>
        <w:t>38.</w:t>
      </w:r>
      <w:r>
        <w:tab/>
        <w:t>palankiai vertina tai, kad 2022 m. gruodžio mėn. priimta nauja politika, kuria siekiama užtikrinti, kad darbo vieta būtų grindžiama pagarbiais santykiais ir joje nebūtų priekabiavimo, daugiausia dėmesio skiriant prevencijai, informuotumo didinimui ir ankstyvam nustatymui; atkreipia dėmesį į tokias priemones kaip 2023 m. sausio mėn. visiems darbuotojams skirtas pranešimas, kuriuo siekiama pagerinti politikos supratimą, suderintos ataskaitų teikimo formos įdiegimas ir pirmosios suvestinės metinės politikos įgyvendinimo ataskaitos paskelbimas;</w:t>
      </w:r>
    </w:p>
    <w:p w14:paraId="35600987" w14:textId="77777777" w:rsidR="0044639C" w:rsidRDefault="0044639C" w:rsidP="0044639C">
      <w:pPr>
        <w:pStyle w:val="NormalHanging12a"/>
      </w:pPr>
      <w:r>
        <w:t>39.</w:t>
      </w:r>
      <w:r>
        <w:tab/>
        <w:t xml:space="preserve">palankiai vertina Audito Rūmų 2021–2025 m. įvairovės ir </w:t>
      </w:r>
      <w:proofErr w:type="spellStart"/>
      <w:r>
        <w:t>įtraukties</w:t>
      </w:r>
      <w:proofErr w:type="spellEnd"/>
      <w:r>
        <w:t xml:space="preserve"> veiksmų planą; su pasitenkinimu pažymi, kad buvo surengta trečioji informavimo apie negalią savaitė ir įgyvendintos tarpinstitucinės iniciatyvos </w:t>
      </w:r>
      <w:proofErr w:type="spellStart"/>
      <w:r>
        <w:t>įtraukumui</w:t>
      </w:r>
      <w:proofErr w:type="spellEnd"/>
      <w:r>
        <w:t xml:space="preserve"> skatinti; atkreipia dėmesį į Audito Rūmų pastangas, įskaitant jų apklausą dėl darbo vietų prieinamumo, dalyvavimą Europos ombudsmeno apdovanojimo už gerą administravimą procedūrose ir pastatų prieinamumo išorės auditą, laikantis 2023 m. Liuksemburgo teisės aktų dėl prieinamumo;</w:t>
      </w:r>
    </w:p>
    <w:p w14:paraId="405A5D1B" w14:textId="77777777" w:rsidR="0044639C" w:rsidRDefault="0044639C" w:rsidP="0044639C">
      <w:pPr>
        <w:pStyle w:val="NormalHanging12a"/>
        <w:rPr>
          <w:szCs w:val="24"/>
        </w:rPr>
      </w:pPr>
      <w:r>
        <w:t>40.</w:t>
      </w:r>
      <w:r>
        <w:tab/>
        <w:t>akcentuoja, kad Audito Rūmai, kaip Sąjungos nepriklausomas išorės auditorius ir jos finansų sergėtojas, atlieka labai svarbų vaidmenį, todėl turi laikytis aukščiausių sąžiningumo, profesionalumo ir atskaitomybės standartų ir veikti kaip pavyzdinė institucija, siekianti įkvėpti pasitikėjimą ir patikimumą; primena, kad pagal SESV 285 straipsnį Audito Rūmų nariai turi būti visiškai nepriklausomi ir laikytis aukščiausių etikos principų, taip pat sąžiningumo, objektyvumo, profesinio elgesio, orumo, atsidavimo ir lojalumo principų;</w:t>
      </w:r>
    </w:p>
    <w:p w14:paraId="65B29F36" w14:textId="77777777" w:rsidR="0044639C" w:rsidRDefault="0044639C" w:rsidP="0044639C">
      <w:pPr>
        <w:pStyle w:val="NormalHanging12a"/>
        <w:rPr>
          <w:b/>
          <w:i/>
        </w:rPr>
      </w:pPr>
      <w:r>
        <w:rPr>
          <w:b/>
          <w:i/>
        </w:rPr>
        <w:t>Etikos sistema ir skaidrumas</w:t>
      </w:r>
    </w:p>
    <w:p w14:paraId="1092C29F" w14:textId="77777777" w:rsidR="0044639C" w:rsidRDefault="0044639C" w:rsidP="0044639C">
      <w:pPr>
        <w:pStyle w:val="NormalHanging12a"/>
      </w:pPr>
      <w:r>
        <w:t>41.</w:t>
      </w:r>
      <w:r>
        <w:tab/>
        <w:t>teigiamai vertina tai, kad buvo atnaujintos vidaus taisyklės dėl pranešimų apie rimtus pažeidimus (informavimo apie pažeidimus), kad jos būtų aiškesnės, išsamesnės ir informatyvesnės darbuotojams; pažymi, kad 2023 m. Audito Rūmuose nebuvo informavimo apie pažeidimą atvejų; be to, pažymi, kad 2023 m. Audito Rūmai taip pat pradėjo Audito Rūmų taisyklių dėl administracinių tyrimų ir drausminių procedūrų vykdymo atnaujinimo procesą, kuris buvo baigtas 2024 m. pradžioje;</w:t>
      </w:r>
    </w:p>
    <w:p w14:paraId="694105BB" w14:textId="77777777" w:rsidR="0044639C" w:rsidRDefault="0044639C" w:rsidP="0044639C">
      <w:pPr>
        <w:pStyle w:val="NormalHanging12a"/>
      </w:pPr>
      <w:r>
        <w:t>42.</w:t>
      </w:r>
      <w:r>
        <w:tab/>
        <w:t xml:space="preserve">pažymi, kad 2023 m. Audito Rūmai surengė 3 konkrečiai etikai skirtus mokymo renginius, pritraukusius 60 dalyvių; atsižvelgia į tai, kad Audito Rūmų su etika susijusiuose kursuose galėjo dalyvauti visi darbuotojai, įskaitant vadovus, ir kad standartiniai kursai yra privalomi naujiems darbuotojams bei apima viešąją etiką ir Audito Rūmų kovos su priekabiavimu politiką; apgailestauja dėl to, kad reguliarūs su </w:t>
      </w:r>
      <w:r>
        <w:lastRenderedPageBreak/>
        <w:t>etika susiję mokymai nebuvo privalomi visiems darbuotojams;</w:t>
      </w:r>
    </w:p>
    <w:p w14:paraId="7E85CB12" w14:textId="77777777" w:rsidR="0044639C" w:rsidRDefault="0044639C" w:rsidP="0044639C">
      <w:pPr>
        <w:pStyle w:val="NormalHanging12a"/>
      </w:pPr>
      <w:r>
        <w:t>43.</w:t>
      </w:r>
      <w:r>
        <w:tab/>
        <w:t>palankiai vertina tai, kad Audito Rūmai surengė 6 mokymo kursus sukčiavimo, įskaitant sukčiavimą viešųjų pirkimų srityje, sukčiavimo PVM ir su EGADP susijusio sukčiavimo klausimais; palankiai vertina tai, kad 2023 m. birželio mėn. Europos kovos su sukčiavimu tarnyba (OLAF) surengė mokymus apklausų įtariamo sukčiavimo ir korupcijos atvejais tema; pažymi, kad 2023 m. lapkričio mėn. Audito Rūmai prisijungė prie Europos prokuratūros ir OLAF organizuojant dviejų dienų kursus sukčiavimo viešųjų pirkimų srityje Sąjungoje tema;</w:t>
      </w:r>
    </w:p>
    <w:p w14:paraId="6DCC6035" w14:textId="77777777" w:rsidR="0044639C" w:rsidRDefault="0044639C" w:rsidP="0044639C">
      <w:pPr>
        <w:pStyle w:val="NormalHanging12a"/>
      </w:pPr>
      <w:r>
        <w:t>44.</w:t>
      </w:r>
      <w:r>
        <w:tab/>
        <w:t>yra susirūpinęs dėl žiniasklaidos pranešimo, kuriame teigiama, jog Europos prokuratūros tyrimas dėl buvusio Audito Rūmų pirmininko vykdyto lėšų pasisavinimo šiuo metu sustabdytas dėl institucijos sprendimo nepanaikinti jo imuniteto; prašo Audito Rūmų visapusiškai bendradarbiauti su Europos prokuratūra atliekant bet kokius tyrimus, kuriuos jie gali pradėti, ir pranešti apie sprendimo nepanaikinti imuniteto priežastis;</w:t>
      </w:r>
    </w:p>
    <w:p w14:paraId="5493B608" w14:textId="77777777" w:rsidR="0044639C" w:rsidRDefault="0044639C" w:rsidP="0044639C">
      <w:pPr>
        <w:pStyle w:val="NormalHanging12a"/>
      </w:pPr>
      <w:r>
        <w:t>45.</w:t>
      </w:r>
      <w:r>
        <w:tab/>
        <w:t>ragina Audito Rūmus užtikrinti, kad visi Parlamento nariai ir vyresnieji darbuotojai viešoje internetinėje duomenų bazėje skelbtų savo finansinių interesų, dovanų ir svetingumo deklaracijas, laikydamiesi geriausios ES skaidrumo taisyklių praktikos;</w:t>
      </w:r>
    </w:p>
    <w:p w14:paraId="41BB3696" w14:textId="77777777" w:rsidR="0044639C" w:rsidRDefault="0044639C" w:rsidP="0044639C">
      <w:pPr>
        <w:pStyle w:val="NormalHanging12a"/>
      </w:pPr>
      <w:r>
        <w:t>46.</w:t>
      </w:r>
      <w:r>
        <w:tab/>
        <w:t>apgailestauja dėl to, kad Audito Rūmai nesugebėjo visapusiškai bendradarbiauti su Europos prokuratūra: atsisakė panaikinti buvusio pirmininko imunitetą ir neleido Europos prokuratūrai atlikti kratos savo patalpose vykdant galimo pažeidimo tyrimą, o tai, pasak Europos prokuratūros, galėtų būti laikoma kišimusi į tinkamą tyrimo eigą; primena, kad Audito Rūmai, kaip Sąjungos išorės auditorius, privalo laikytis atskaitomybės, sąžiningumo ir skaidrumo principų, taip pat lojalaus ES institucijų tarpusavio bendradarbiavimo principo; ragina Audito Rūmus užtikrinti, kad imunitetu nebūtų naudojamasi siekiant trukdyti teisėtiems teismo procesams, ir imtis visų būtinų priemonių tam, kad būtų užtikrintas visiškas tarpinstitucinio bendradarbiavimo sukčiavimo prevencijos ir tyrimo srityje laikymasis;</w:t>
      </w:r>
    </w:p>
    <w:p w14:paraId="4629DEA0" w14:textId="77777777" w:rsidR="0044639C" w:rsidRDefault="0044639C" w:rsidP="0044639C">
      <w:pPr>
        <w:pStyle w:val="NormalHanging12a"/>
      </w:pPr>
      <w:r>
        <w:t>47.</w:t>
      </w:r>
      <w:r>
        <w:tab/>
        <w:t>susirūpinęs pažymi, kad, remiantis žiniasklaidos pranešimais, 2023 m. Europos prokuratūra paprašė panaikinti kelių Audito Rūmų darbuotojų imunitetą ir kad Audito Rūmai iki šiol nesutiko patenkinti šio prašymo; pabrėžia, kad, nors imunitetu siekiama apsaugoti ES institucijų nepriklausomumą, juo neturėtų būti piktnaudžiaujama siekiant apsaugoti asmenis nuo teisėtos teisminės kontrolės; mano, kad prašymai panaikinti imunitetą turėtų būti atmetami tik išskirtinėmis aplinkybėmis; ragina Audito Rūmus biudžeto įvykdymą tvirtinančiai institucijai pateikti išsamų savo šiuo atveju priimto sprendimo pagrindimą, kuriame nurodytų, jei buvo, konkrečias teisines ir procedūrines problemas, dėl kurių buvo atsisakyta patenkinti prašymą; be to, primygtinai ragina Audito Rūmus, bendradarbiaujant su Europos prokuratūra ir kitomis ES įstaigomis, atsakingomis už kovą su sukčiavimu ir nusižengimais, išlaikyti aukštą skaidrumo ir atskaitomybės lygį;</w:t>
      </w:r>
    </w:p>
    <w:p w14:paraId="4F4E7A90" w14:textId="77777777" w:rsidR="0044639C" w:rsidRDefault="0044639C" w:rsidP="0044639C">
      <w:pPr>
        <w:pStyle w:val="NormalHanging12a"/>
      </w:pPr>
      <w:r>
        <w:t>48.</w:t>
      </w:r>
      <w:r>
        <w:tab/>
        <w:t>pažymi, kad 2023 m. nei OLAF, nei Europos ombudsmenas nepradėjo jokių tyrimų, susijusių su Audito Rūmais;</w:t>
      </w:r>
    </w:p>
    <w:p w14:paraId="10C0C95F" w14:textId="77777777" w:rsidR="0044639C" w:rsidRDefault="0044639C" w:rsidP="0044639C">
      <w:pPr>
        <w:pStyle w:val="NormalHanging12a"/>
      </w:pPr>
      <w:r>
        <w:t>49.</w:t>
      </w:r>
      <w:r>
        <w:tab/>
        <w:t xml:space="preserve">palankiai vertina tai, kad 2024 m. Audito Rūmai kartu su Teisingumo Teismu pakvietė Komisiją dalyvauti tarpinstituciniame dialoge siekiant susitarti dėl bendrų tarnybinių automobilių naudojimo taisyklių, o tai atitinka 2022 m. balandžio 11 d. Parlamento rezoliucijose dėl Audito Rūmų ir Teisingumo Teismo biudžetų įvykdymo patvirtinimo </w:t>
      </w:r>
      <w:r>
        <w:lastRenderedPageBreak/>
        <w:t>pateiktą pastabą; primygtinai ragina visas Sąjungos institucijas susitarti dėl bendros sistemos, kuri būtų taikoma horizontaliai, nes tai sumažintų painiavą ir padidintų viešųjų lėšų naudojimo skaidrumą bei veiksmingumą; pažymi, kad tarpinstituciniame parengiamajame komitete klausimais, susijusiais su Tarnybos nuostatais, bus sukurta darbo grupė; palankiai vertina Audito Rūmų pasirengimą suderinti taisykles su Komisijos taikomomis taisyklėmis, tačiau, kalbant apie naują 2022 m. sprendimą dėl narių kelionių, komandiruočių, vairuotojų ir automobilių naudojimo, pakartoja dėl ankstesnių rezoliucijų dėl biudžeto įvykdymo patvirtinimo išsakytas kritiškas pastabas, nes tai prieštarauja bendrajam principui, kad automobilių parku turėtų būti naudojamasi išskirtinai tik vykdant Audito Rūmų narių pareigas ir nesinaudojama kitais atvejais jokiomis aplinkybėmis;</w:t>
      </w:r>
    </w:p>
    <w:p w14:paraId="4EF9F9EF" w14:textId="77777777" w:rsidR="0044639C" w:rsidRDefault="0044639C" w:rsidP="0044639C">
      <w:pPr>
        <w:pStyle w:val="NormalHanging12a"/>
      </w:pPr>
      <w:r>
        <w:t>50.</w:t>
      </w:r>
      <w:r>
        <w:tab/>
        <w:t>pažymi, kad 2023 m. Audito Rūmų Vidaus audito tarnyba (VAT) pateikė 16 audito rekomendacijų darbuotojams, etikos komitetui ir Audito Rūmų nariams dėl etikos, skaidrumo portalo ir interesų konfliktų; pažymi, kad iš 16 rekomendacijų 5 rekomendacijos buvo įgyvendintos iki 2024 m. liepos 30 d., 8 rekomendacijos bus baigtos įgyvendinti iki 2024 m. pabaigos, o 3 rekomendacijų įgyvendinimas atidėtas;</w:t>
      </w:r>
    </w:p>
    <w:p w14:paraId="66F6170B" w14:textId="77777777" w:rsidR="0044639C" w:rsidRDefault="0044639C" w:rsidP="0044639C">
      <w:pPr>
        <w:pStyle w:val="NormalHanging12a"/>
      </w:pPr>
      <w:r>
        <w:t>51.</w:t>
      </w:r>
      <w:r>
        <w:tab/>
        <w:t>palankiai vertina tai, kad išplėsta informavimo apie narių komandiruotes aprėptis, tačiau primena Parlamento prašymą teikti informaciją apie komandiruotes per visą narių kadenciją; palankiai vertina tai, kad persvarstytas narių elgesio kodeksas, pagal kurį nariams draudžiama eiti bet kokias garbės pareigas politinėje organizacijoje, įgyvendinant Parlamento prašymą, kad nariai neturėtų oficialių politinių ryšių; atkreipia dėmesį į tai, kad vidaus audito ataskaitos dėl etikos išvados turėjo būti pateiktos EP Pirmininkei ir Biudžeto kontrolės komiteto pirmininkui 2024 m. trečiąjį ketvirtį, ir ragina Audito Rūmus pasidalyti visomis išvadomis su Biudžeto kontrolės komitetu; ragina Audito Rūmus, užtikrinant didesnį audito proceso skaidrumą, skelbti sprendimus atsisakyti tenkinti prašymus, kai nariai arba darbuotojai praneša apie interesų konfliktą;</w:t>
      </w:r>
    </w:p>
    <w:p w14:paraId="09DEFD4E" w14:textId="77777777" w:rsidR="0044639C" w:rsidRDefault="0044639C" w:rsidP="0044639C">
      <w:pPr>
        <w:pStyle w:val="NormalHanging12a"/>
      </w:pPr>
      <w:r>
        <w:t>52.</w:t>
      </w:r>
      <w:r>
        <w:tab/>
        <w:t>pažymi, kad visų Audito Rūmų narių pagrindinė gyvenamoji vieta yra Liuksemburge, kaip reikalaujama pagal Audito Rūmų narių ir buvusių narių elgesio kodekso 10 straipsnį;</w:t>
      </w:r>
    </w:p>
    <w:p w14:paraId="4AA859EC" w14:textId="77777777" w:rsidR="0044639C" w:rsidRDefault="0044639C" w:rsidP="0044639C">
      <w:pPr>
        <w:pStyle w:val="NormalHanging12a"/>
      </w:pPr>
      <w:r>
        <w:t>53.</w:t>
      </w:r>
      <w:r>
        <w:tab/>
        <w:t>palankiai vertina tai, kad Audito Rūmai peržiūrėjo visuomenės galimybės susipažinti su dokumentais politiką, atsižvelgdami į Europos teismų praktikos raidą, ir supaprastino prašymų susipažinti su dokumentais ir kartotinių prašymų nagrinėjimo procedūrą; primena, kad Skandinavijos principo dėl visuomenės galimybės susipažinti su oficialiais įrašais taikymas Sąjungoje buvo būtina sąlyga kai kurioms valstybėms narėms stojant į Sąjungą, ir pabrėžia, kad neužtikrinus šio principo būtų pakenkta Sąjungos, kaip teisinės valstybės principu grindžiamos bendruomenės, reputacijai;</w:t>
      </w:r>
    </w:p>
    <w:p w14:paraId="378EA29A" w14:textId="77777777" w:rsidR="0044639C" w:rsidRDefault="0044639C" w:rsidP="0044639C">
      <w:pPr>
        <w:pStyle w:val="NormalHanging12a"/>
      </w:pPr>
      <w:r>
        <w:t>54.</w:t>
      </w:r>
      <w:r>
        <w:tab/>
        <w:t>apgailestauja dėl to, kad metinis 2023 m. sudarytų sutarčių, viršijančių Direktyvoje nustatytą ribą (&gt; 140 000 EUR paslaugoms / prekėms, &gt; 5 382 000 EUR darbams), sąrašas nepaskelbtas Audito Rūmų interneto svetainėje; ragina Audito Rūmus nepagrįstai nedelsiant paskelbti šį sąrašą atskirame dokumente ir užtikrinti patogią prieigą prie jo;</w:t>
      </w:r>
    </w:p>
    <w:p w14:paraId="7600CF0D" w14:textId="77777777" w:rsidR="0044639C" w:rsidRDefault="0044639C" w:rsidP="0044639C">
      <w:pPr>
        <w:pStyle w:val="NormalHanging12a"/>
      </w:pPr>
      <w:r>
        <w:t>55.</w:t>
      </w:r>
      <w:r>
        <w:tab/>
        <w:t>palankiai vertina ir nekantriai laukia, kad Audito Rūmai konsoliduotų visas vidaus kovos su sukčiavimu strategijos taisykles viename bendrame dokumente;</w:t>
      </w:r>
    </w:p>
    <w:p w14:paraId="18140F26" w14:textId="77777777" w:rsidR="0044639C" w:rsidRDefault="0044639C" w:rsidP="0044639C">
      <w:pPr>
        <w:pStyle w:val="NormalHanging12a"/>
      </w:pPr>
      <w:r>
        <w:t>56.</w:t>
      </w:r>
      <w:r>
        <w:tab/>
        <w:t xml:space="preserve">toliau nepritaria Audito Rūmų sprendimo neprisijungti prie Skaidrumo registro loginiam </w:t>
      </w:r>
      <w:r>
        <w:lastRenderedPageBreak/>
        <w:t>pagrindui, nes jie tik teikia faktus ir objektyvią grįžtamąją informaciją apie Sąjungos programas ir nėra suinteresuoti daryti įtaką sprendimų priėmimui; pažymi, kad visos Audito Rūmų ataskaitos yra viešai prieinamos ir joms taikoma griežta patvirtinimo procedūra, kurioje dalyvauja audituojami subjektai; dar kartą primygtinai ragina Audito Rūmus prisijungti prie ES skaidrumo registro tam, kad būtų laikomasi pagrindinių skaidrumo principų, nesukuriant jokių kliūčių visiškam Audito Rūmų nepriklausomumui;</w:t>
      </w:r>
    </w:p>
    <w:p w14:paraId="5495EE29" w14:textId="77777777" w:rsidR="0044639C" w:rsidRDefault="0044639C" w:rsidP="0044639C">
      <w:pPr>
        <w:pStyle w:val="NormalHanging12a"/>
      </w:pPr>
      <w:r>
        <w:t>57.</w:t>
      </w:r>
      <w:r>
        <w:tab/>
        <w:t>primygtinai ragina Audito Rūmus persvarstyti savo poziciją dėl ES skaidrumo registro, sukurto 2021 m. gegužės 20 d. Europos Parlamento, Europos Sąjungos Tarybos ir Europos Komisijos tarpinstituciniu susitarimu dėl privalomo skaidrumo registro;</w:t>
      </w:r>
    </w:p>
    <w:p w14:paraId="16DE6E11" w14:textId="77777777" w:rsidR="0044639C" w:rsidRDefault="0044639C" w:rsidP="0044639C">
      <w:pPr>
        <w:pStyle w:val="NormalHanging12a"/>
      </w:pPr>
      <w:r>
        <w:t>58.</w:t>
      </w:r>
      <w:r>
        <w:tab/>
        <w:t xml:space="preserve">palankiai vertina didelę pažangą, padarytą 2023 m. kuriant Dokumentų tvarkymo ekosistemą (angl. </w:t>
      </w:r>
      <w:proofErr w:type="spellStart"/>
      <w:r>
        <w:rPr>
          <w:i/>
          <w:iCs/>
        </w:rPr>
        <w:t>Document</w:t>
      </w:r>
      <w:proofErr w:type="spellEnd"/>
      <w:r>
        <w:rPr>
          <w:i/>
          <w:iCs/>
        </w:rPr>
        <w:t xml:space="preserve"> </w:t>
      </w:r>
      <w:proofErr w:type="spellStart"/>
      <w:r>
        <w:rPr>
          <w:i/>
          <w:iCs/>
        </w:rPr>
        <w:t>Management</w:t>
      </w:r>
      <w:proofErr w:type="spellEnd"/>
      <w:r>
        <w:rPr>
          <w:i/>
          <w:iCs/>
        </w:rPr>
        <w:t xml:space="preserve"> </w:t>
      </w:r>
      <w:proofErr w:type="spellStart"/>
      <w:r>
        <w:rPr>
          <w:i/>
          <w:iCs/>
        </w:rPr>
        <w:t>Ecosystem</w:t>
      </w:r>
      <w:proofErr w:type="spellEnd"/>
      <w:r>
        <w:t xml:space="preserve"> (DOME), t. y. naujo elektroninio parašo ir pagrindinio PASS (dokumentų tvirtinimo, pasirašymo ir siuntimo proceso) patvirtinimo modulio vykdymą ir įgyvendinimą taikant konkrečius dokumentų patvirtinimo procesus; ragina Audito Rūmus toliau siekti savo tikslų skaitmeninti peržiūros ir patvirtinimo darbo srautus ir didinti jų veiksmingumą;</w:t>
      </w:r>
    </w:p>
    <w:p w14:paraId="6E314D7A" w14:textId="77777777" w:rsidR="0044639C" w:rsidRDefault="0044639C" w:rsidP="0044639C">
      <w:pPr>
        <w:pStyle w:val="NormalHanging12a"/>
        <w:rPr>
          <w:szCs w:val="24"/>
        </w:rPr>
      </w:pPr>
      <w:r>
        <w:t>59.</w:t>
      </w:r>
      <w:r>
        <w:tab/>
        <w:t xml:space="preserve">pažymi, kad Audito Rūmai ir toliau aktyviai dalyvavo Tarpinstitucinio skaitmeninės transformacijos komiteto Besiformuojančių technologijų grupės veikloje; pažymi, kad 2021 m. sukurta grupė DATA (angl. </w:t>
      </w:r>
      <w:r>
        <w:rPr>
          <w:i/>
          <w:iCs/>
        </w:rPr>
        <w:t xml:space="preserve">Data </w:t>
      </w:r>
      <w:proofErr w:type="spellStart"/>
      <w:r>
        <w:rPr>
          <w:i/>
          <w:iCs/>
        </w:rPr>
        <w:t>and</w:t>
      </w:r>
      <w:proofErr w:type="spellEnd"/>
      <w:r>
        <w:rPr>
          <w:i/>
          <w:iCs/>
        </w:rPr>
        <w:t xml:space="preserve"> </w:t>
      </w:r>
      <w:proofErr w:type="spellStart"/>
      <w:r>
        <w:rPr>
          <w:i/>
          <w:iCs/>
        </w:rPr>
        <w:t>Technology</w:t>
      </w:r>
      <w:proofErr w:type="spellEnd"/>
      <w:r>
        <w:rPr>
          <w:i/>
          <w:iCs/>
        </w:rPr>
        <w:t xml:space="preserve"> </w:t>
      </w:r>
      <w:proofErr w:type="spellStart"/>
      <w:r>
        <w:rPr>
          <w:i/>
          <w:iCs/>
        </w:rPr>
        <w:t>for</w:t>
      </w:r>
      <w:proofErr w:type="spellEnd"/>
      <w:r>
        <w:rPr>
          <w:i/>
          <w:iCs/>
        </w:rPr>
        <w:t xml:space="preserve"> </w:t>
      </w:r>
      <w:proofErr w:type="spellStart"/>
      <w:r>
        <w:rPr>
          <w:i/>
          <w:iCs/>
        </w:rPr>
        <w:t>Audit</w:t>
      </w:r>
      <w:proofErr w:type="spellEnd"/>
      <w:r>
        <w:t>) tęsė darbą, susijusį su plėtros plano, kuriuo siekiama geriau panaudoti technologijas Audito Rūmų audito tikslais, įgyvendinimu; visų pirma atkreipia dėmesį į tai, kad parengta Audito Rūmų ir jų audito darbo DI galimybių ir iššūkių analizė; primena, kad svarbu gerinti audito darbo skaitmeninimą; palankiai vertina visus veiksmus, kuriuos Audito Rūmai toliau atlieka šioje srityje, nes skaitmeninimas – kartu vykdant daugiau vizitų vietoje – gali užtikrinti veiksmingą ir tikslią audito darbo sistemą;</w:t>
      </w:r>
    </w:p>
    <w:p w14:paraId="74763036" w14:textId="77777777" w:rsidR="0044639C" w:rsidRDefault="0044639C" w:rsidP="0044639C">
      <w:pPr>
        <w:pStyle w:val="NormalHanging12a"/>
        <w:rPr>
          <w:b/>
          <w:i/>
        </w:rPr>
      </w:pPr>
      <w:r>
        <w:rPr>
          <w:b/>
          <w:i/>
        </w:rPr>
        <w:t>Skaitmeninimas, kibernetinis saugumas ir duomenų apsauga</w:t>
      </w:r>
    </w:p>
    <w:p w14:paraId="75248139" w14:textId="77777777" w:rsidR="0044639C" w:rsidRDefault="0044639C" w:rsidP="0044639C">
      <w:pPr>
        <w:pStyle w:val="NormalHanging12a"/>
      </w:pPr>
      <w:r>
        <w:t>60.</w:t>
      </w:r>
      <w:r>
        <w:tab/>
        <w:t>giria Audito Rūmus už per pastaruosius dvejus metus padarytą didelę pažangą įgyvendinant savo 2022–2024 m. kibernetinio saugumo planą; pažymi, kad septynios iš didelio prioriteto užduočių buvo įvykdytos, šešios – vykdomos, o viena – sustabdyta; pažymi, kad dvi iš vidutinio prioriteto užduočių buvo įvykdytos, keturios – vykdomos, o trys dar nepradėtos;</w:t>
      </w:r>
    </w:p>
    <w:p w14:paraId="147E606B" w14:textId="77777777" w:rsidR="0044639C" w:rsidRDefault="0044639C" w:rsidP="0044639C">
      <w:pPr>
        <w:pStyle w:val="NormalHanging12a"/>
      </w:pPr>
      <w:r>
        <w:t>61.</w:t>
      </w:r>
      <w:r>
        <w:tab/>
        <w:t>palankiai vertina tai, kad tarp užbaigtų užduočių yra šios užduotys:</w:t>
      </w:r>
    </w:p>
    <w:p w14:paraId="4F45B453" w14:textId="77777777" w:rsidR="0044639C" w:rsidRDefault="0044639C" w:rsidP="0044639C">
      <w:pPr>
        <w:pStyle w:val="NormalHanging12a"/>
        <w:ind w:left="1134"/>
      </w:pPr>
      <w:r>
        <w:t>1.</w:t>
      </w:r>
      <w:r>
        <w:tab/>
        <w:t xml:space="preserve">įdiegtas pažangiosios grėsmių aptikimo technologijos EDR sprendimas galiniuose įrenginiuose ir patvirtintas debesija grindžiamas XDR sprendimas, kuriuo EDR agentų siunčiama </w:t>
      </w:r>
      <w:proofErr w:type="spellStart"/>
      <w:r>
        <w:t>telemetrija</w:t>
      </w:r>
      <w:proofErr w:type="spellEnd"/>
      <w:r>
        <w:t xml:space="preserve"> susiejama su įvairių šaltinių žvalgybos informacijos apie grėsmes duomenimis, siekiant nustatyti užvaldymo rodiklius;</w:t>
      </w:r>
    </w:p>
    <w:p w14:paraId="4023AA9F" w14:textId="77777777" w:rsidR="0044639C" w:rsidRDefault="0044639C" w:rsidP="0044639C">
      <w:pPr>
        <w:pStyle w:val="NormalHanging12a"/>
        <w:ind w:left="1134"/>
      </w:pPr>
      <w:r>
        <w:t>2.</w:t>
      </w:r>
      <w:r>
        <w:tab/>
        <w:t>pertvarkyta saugumo informacijos ir įvykių valdymo (SIEM) platformos struktūra ir konfigūracija, dėl to pagerėjo sistemos veikimas ir patikimumas, taip pat siekiant pagerinti IT aplinkos saugumo stebėseną įtraukti papildomi žurnalų šaltiniai;</w:t>
      </w:r>
    </w:p>
    <w:p w14:paraId="335560C4" w14:textId="77777777" w:rsidR="0044639C" w:rsidRDefault="0044639C" w:rsidP="0044639C">
      <w:pPr>
        <w:pStyle w:val="NormalHanging12a"/>
        <w:ind w:left="1134"/>
      </w:pPr>
      <w:r>
        <w:t>3.</w:t>
      </w:r>
      <w:r>
        <w:tab/>
        <w:t xml:space="preserve">nuotolinei prieigai skirta virtualiojo privačiojo tinklo (VPN) įranga pakeista nulinio pasitikėjimo, debesija grindžiama saugios ir patikimos aplinkos (SASE) </w:t>
      </w:r>
      <w:r>
        <w:lastRenderedPageBreak/>
        <w:t>paslauga, kuri sumažina atakos perimetrą ir suteikia detalią nuotolinę prieigą prie taikomųjų programų;</w:t>
      </w:r>
    </w:p>
    <w:p w14:paraId="6D6E1239" w14:textId="77777777" w:rsidR="0044639C" w:rsidRDefault="0044639C" w:rsidP="0044639C">
      <w:pPr>
        <w:pStyle w:val="NormalHanging12a"/>
        <w:ind w:left="1134"/>
      </w:pPr>
      <w:r>
        <w:t>4.</w:t>
      </w:r>
      <w:r>
        <w:tab/>
        <w:t>sustiprinta apsauga nuo kenkėjiškų e. pašto laiškų prie e. pašto saugumo filtrų prijungiant naujas funkcijas, kurios sudaro galimybes geriau aptikti ir brukalus, ir kenkėjiškus priedus;</w:t>
      </w:r>
    </w:p>
    <w:p w14:paraId="32BDF870" w14:textId="77777777" w:rsidR="0044639C" w:rsidRDefault="0044639C" w:rsidP="0044639C">
      <w:pPr>
        <w:pStyle w:val="NormalHanging12a"/>
        <w:ind w:left="1134"/>
      </w:pPr>
      <w:r>
        <w:t>5.</w:t>
      </w:r>
      <w:r>
        <w:tab/>
        <w:t>atlikti prie interneto besijungiančių Audito Rūmų padalinių skverbimosi testai;</w:t>
      </w:r>
    </w:p>
    <w:p w14:paraId="3CF0B189" w14:textId="77777777" w:rsidR="0044639C" w:rsidRDefault="0044639C" w:rsidP="0044639C">
      <w:pPr>
        <w:pStyle w:val="NormalHanging12a"/>
        <w:ind w:left="1134"/>
      </w:pPr>
      <w:r>
        <w:t>6.</w:t>
      </w:r>
      <w:r>
        <w:tab/>
        <w:t>įdiegta programinės įrangos priemonė, skirta neskelbtinos informacijos, perduodamos dalinantis rinkmenomis, konfidencialumui apsaugoti;</w:t>
      </w:r>
    </w:p>
    <w:p w14:paraId="78D7AE3B" w14:textId="77777777" w:rsidR="0044639C" w:rsidRDefault="0044639C" w:rsidP="0044639C">
      <w:pPr>
        <w:pStyle w:val="NormalHanging12a"/>
      </w:pPr>
      <w:r>
        <w:t>62.</w:t>
      </w:r>
      <w:r>
        <w:tab/>
        <w:t>primygtinai ragina Audito Rūmus sukurti ES institucijoms ir agentūroms skirtą kibernetinio saugumo audito sistemą, kuria būtų užtikrinti suderinti saugumo standartai ir atsparumo kibernetinėms grėsmėms priemonės;</w:t>
      </w:r>
    </w:p>
    <w:p w14:paraId="054408FF" w14:textId="77777777" w:rsidR="0044639C" w:rsidRDefault="0044639C" w:rsidP="0044639C">
      <w:pPr>
        <w:pStyle w:val="NormalHanging12a"/>
      </w:pPr>
      <w:r>
        <w:t>63.</w:t>
      </w:r>
      <w:r>
        <w:tab/>
        <w:t>džiaugdamasis pažymi, kad Audito Rūmai kasmet vykdo bent tris imituojamo duomenų viliojimo pratybas, kad padidintų naudotojų informuotumą apie šią kibernetinę grėsmę; be to, pažymi, kad Audito Rūmai kas trejus metus atlieka išsamų kibernetinio saugumo rizikos vertinimą; siūlo Audito Rūmams reguliariai rengti darbuotojams privalomus mokymus apie kibernetines grėsmes, įskaitant saugaus DI naudojimo gerąją praktiką;</w:t>
      </w:r>
    </w:p>
    <w:p w14:paraId="1E19BFFB" w14:textId="77777777" w:rsidR="0044639C" w:rsidRDefault="0044639C" w:rsidP="0044639C">
      <w:pPr>
        <w:pStyle w:val="NormalHanging12a"/>
      </w:pPr>
      <w:r>
        <w:t>64.</w:t>
      </w:r>
      <w:r>
        <w:tab/>
        <w:t>su palengvėjimu pažymi, kad per 2023 m. liepos mėn. vykusį kibernetinį incidentą, kai pasinaudojus programinės įrangos pažeidžiamumu buvo pažeistas vienas iš perimetro saugumo tinklų sietuvas, neaptikta jokių duomenų išgavimo pėdsakų ar įsilaužėlio šoninio judėjimo į kitas Audito Rūmų IT sistemas; pažymi, kad pardavėjas atskleidė programinės įrangos pažeidžiamumą likus vos dviem dienoms iki incidento;</w:t>
      </w:r>
    </w:p>
    <w:p w14:paraId="5CE6D381" w14:textId="77777777" w:rsidR="0044639C" w:rsidRDefault="0044639C" w:rsidP="0044639C">
      <w:pPr>
        <w:pStyle w:val="NormalHanging12a"/>
      </w:pPr>
      <w:r>
        <w:t>65.</w:t>
      </w:r>
      <w:r>
        <w:tab/>
        <w:t xml:space="preserve">giria </w:t>
      </w:r>
      <w:r>
        <w:rPr>
          <w:rStyle w:val="pointer"/>
        </w:rPr>
        <w:t>Sąjungos institucijų, įstaigų, organų ir agentūrų kibernetinio saugumo tarnybą</w:t>
      </w:r>
      <w:r>
        <w:t xml:space="preserve"> (CERT-ES), kuri pranešė Audito Rūmams apie incidentą, padėjo ištirti jo apimtį ir atliko teismo ekspertizę, už atliktą darbą; pažymi, kad po incidento Audito Rūmai atkūrė švarią atsarginę sistemos kopiją ir pritaikė programinės įrangos atnaujinimą, kuriuo buvo ištaisyti pažeidžiamumai, kuriais naudojosi užpuolikas; be to, pažymi, kad per kitas savaites Audito Rūmai prietaisams palaipsniui pritaikė keletą papildomų CERT-ES rekomenduotų prevencinių priemonių, siekdami užtikrinti, kad būtų pašalinti visi galimi nenustatyti kenkimo programinės įrangos pėdsakai;</w:t>
      </w:r>
    </w:p>
    <w:p w14:paraId="1E4CD51B" w14:textId="77777777" w:rsidR="0044639C" w:rsidRDefault="0044639C" w:rsidP="0044639C">
      <w:pPr>
        <w:pStyle w:val="NormalHanging12a"/>
      </w:pPr>
      <w:r>
        <w:t>66.</w:t>
      </w:r>
      <w:r>
        <w:tab/>
        <w:t>džiaugdamasis pažymi, kad 2023 m. Audito Rūmai peržiūrėjo ir atnaujino savo reagavimo į kibernetinio saugumo incidentus planą ir sukūrė tokių incidentų registravimo IT paslaugų valdymo priemonėje formą; akcentuoja, kad formoje atsižvelgta į 2023 m. liepos mėn. incidento metu įgytą patirtį, nes joje buvo siekiama surinkti visą informaciją, kuri galėtų būti naudinga valdant kibernetinio saugumo incidentą;</w:t>
      </w:r>
    </w:p>
    <w:p w14:paraId="04982D1A" w14:textId="77777777" w:rsidR="0044639C" w:rsidRDefault="0044639C" w:rsidP="0044639C">
      <w:pPr>
        <w:pStyle w:val="NormalHanging12a"/>
        <w:rPr>
          <w:b/>
          <w:i/>
        </w:rPr>
      </w:pPr>
      <w:r>
        <w:rPr>
          <w:b/>
          <w:i/>
        </w:rPr>
        <w:t>Pastatai</w:t>
      </w:r>
    </w:p>
    <w:p w14:paraId="5D06EC13" w14:textId="77777777" w:rsidR="0044639C" w:rsidRDefault="0044639C" w:rsidP="0044639C">
      <w:pPr>
        <w:pStyle w:val="NormalHanging12a"/>
      </w:pPr>
      <w:r>
        <w:t>67.</w:t>
      </w:r>
      <w:r>
        <w:tab/>
        <w:t>pažymi, kad 2023 m. užbaigti techninių įrenginių modernizavimo visuose K2 pastato aukštuose ir bendrų erdvių naudojimo optimizavimo darbai; pažymi, kad Audito Rūmai įsipareigojo skirti 6 445 635,82 EUR iš viso 6 902 185,54 EUR biudžeto; giria Audito Rūmus už tai, kad jie neviršijo biudžeto sąmatos; ragina kitas Sąjungos institucijas sekti puikiu Audito Rūmų biudžeto valdymo pavyzdžiu;</w:t>
      </w:r>
    </w:p>
    <w:p w14:paraId="6D9B867E" w14:textId="77777777" w:rsidR="0044639C" w:rsidRDefault="0044639C" w:rsidP="0044639C">
      <w:pPr>
        <w:pStyle w:val="NormalHanging12a"/>
      </w:pPr>
      <w:r>
        <w:lastRenderedPageBreak/>
        <w:t>68.</w:t>
      </w:r>
      <w:r>
        <w:tab/>
        <w:t>palankiai vertina tai, kad 2023 m. vasario mėn. išorės konsultantas pateikė visų Audito Rūmų pastatų prieinamumo siekiant patenkinti riboto judumo ar kitą negalią turinčių asmenų poreikius audito rezultatus; pažymi, kad auditas apėmė visus tris pastatus, bendrąsias erdves, automobilių stovėjimo aikšteles ir kitas erdves; supranta, kad siūlomi veiksmai yra peržiūrimi ir paprastai būtų įgyvendinami kaip konkretus projektas, tačiau jų įgyvendinimas iš esmės priklausys nuo turimų biudžeto lėšų;</w:t>
      </w:r>
    </w:p>
    <w:p w14:paraId="028377B4" w14:textId="77777777" w:rsidR="0044639C" w:rsidRDefault="0044639C" w:rsidP="0044639C">
      <w:pPr>
        <w:pStyle w:val="NormalHanging12a"/>
        <w:rPr>
          <w:b/>
          <w:i/>
        </w:rPr>
      </w:pPr>
      <w:r>
        <w:rPr>
          <w:b/>
          <w:i/>
        </w:rPr>
        <w:t>Aplinka ir tvarumas</w:t>
      </w:r>
    </w:p>
    <w:p w14:paraId="0893E579" w14:textId="77777777" w:rsidR="0044639C" w:rsidRDefault="0044639C" w:rsidP="0044639C">
      <w:pPr>
        <w:pStyle w:val="NormalHanging12a"/>
      </w:pPr>
      <w:r>
        <w:t>69.</w:t>
      </w:r>
      <w:r>
        <w:tab/>
        <w:t>pažymi, kad 2023 m. Audito Rūmai daug savo pastangų mažinti poveikį aplinkai investavo į energijos taupymo priemones, pvz., tradicinių elektros lempučių pakeitimą šviesos diodais, vėdinimo valandų skaičiaus mažinimą ir savo pastatų tam tikrų techninių sistemų renovaciją; be to, pažymi, kad 2023 m. vasarą Audito Rūmai pradėjo taikyti specialias energijos taupymo priemones, dėl kurių elektros energijos suvartojimas, palyginti su 2022 m. vasara, sumažėjo 12 %, todėl sutaupyta 26 976 EUR;</w:t>
      </w:r>
    </w:p>
    <w:p w14:paraId="2CD70576" w14:textId="77777777" w:rsidR="0044639C" w:rsidRDefault="0044639C" w:rsidP="0044639C">
      <w:pPr>
        <w:pStyle w:val="NormalHanging12a"/>
      </w:pPr>
      <w:r>
        <w:t>70.</w:t>
      </w:r>
      <w:r>
        <w:tab/>
        <w:t>pažymi, kad 2023 m. Audito Rūmai pasirašė susitarimą su Liuksemburgo valdžios institucijomis dėl judumo plano parengimo; laukia naujausios informacijos apie šią iniciatyvą;</w:t>
      </w:r>
    </w:p>
    <w:p w14:paraId="4FF95AAC" w14:textId="77777777" w:rsidR="0044639C" w:rsidRDefault="0044639C" w:rsidP="0044639C">
      <w:pPr>
        <w:pStyle w:val="NormalHanging12a"/>
        <w:rPr>
          <w:b/>
          <w:i/>
        </w:rPr>
      </w:pPr>
      <w:r>
        <w:rPr>
          <w:b/>
          <w:i/>
        </w:rPr>
        <w:t>Tarpinstitucinis bendradarbiavimas</w:t>
      </w:r>
    </w:p>
    <w:p w14:paraId="2C1848C6" w14:textId="77777777" w:rsidR="0044639C" w:rsidRDefault="0044639C" w:rsidP="0044639C">
      <w:pPr>
        <w:pStyle w:val="NormalHanging12a"/>
      </w:pPr>
      <w:r>
        <w:t>71.</w:t>
      </w:r>
      <w:r>
        <w:tab/>
        <w:t>atkreipia dėmesį į tai, kad 2023 m. Audito Rūmų auditoriai Sąjungos institucijose, organuose, įstaigose ir agentūrose, taip pat įvairiose tarptautinėse organizacijose ir privačiose audito įmonėse praleido 1 370 dienų, palyginti su 945 dienomis 2022 m.;</w:t>
      </w:r>
    </w:p>
    <w:p w14:paraId="3AAC8C47" w14:textId="77777777" w:rsidR="0044639C" w:rsidRDefault="0044639C" w:rsidP="0044639C">
      <w:pPr>
        <w:pStyle w:val="NormalHanging12a"/>
      </w:pPr>
      <w:r>
        <w:t>72.</w:t>
      </w:r>
      <w:r>
        <w:tab/>
        <w:t>ragina formalizuoti metinį tarpinstitucinį Audito Rūmų, Europos Parlamento, Tarybos ir Komisijos dialogą biudžeto kontrolės klausimais, užtikrinant sistemingą tolesnę veiklą, susijusią su audito pastebėjimais, ir geresnę ES išlaidų priežiūrą;</w:t>
      </w:r>
    </w:p>
    <w:p w14:paraId="088E4A0D" w14:textId="77777777" w:rsidR="0044639C" w:rsidRDefault="0044639C" w:rsidP="0044639C">
      <w:pPr>
        <w:pStyle w:val="NormalHanging12a"/>
      </w:pPr>
      <w:r>
        <w:t>73.</w:t>
      </w:r>
      <w:r>
        <w:tab/>
        <w:t>dar kartą primena, kad Audito Rūmų ir Komisijos bendradarbiavimas toliau bus tik iš dalies veiksmingas, nebent Komisija patvirtins Audito Rūmų klaidų lygių vertinimo metodiką, grindžiamą nepriklausomu ir išsamiu visų taisyklių pažeidimų įvertinimu, o ne skirs daugiausia dėmesio klaidoms, kurių lėšas galima susigrąžinti;</w:t>
      </w:r>
    </w:p>
    <w:p w14:paraId="55BB886C" w14:textId="77777777" w:rsidR="0044639C" w:rsidRDefault="0044639C" w:rsidP="0044639C">
      <w:pPr>
        <w:pStyle w:val="NormalHanging12a"/>
        <w:rPr>
          <w:b/>
          <w:i/>
        </w:rPr>
      </w:pPr>
      <w:r>
        <w:t>74.</w:t>
      </w:r>
      <w:r>
        <w:tab/>
        <w:t>palankiai vertina tai, kad Audito Rūmai glaudžiai bendradarbiauja su OLAF ir Europos prokuratūra, be kita ko, organizuodami praktinius seminarus ir informuotumo didinimo renginius, taip pat keisdamiesi žiniomis ir patirtimi; taip pat pažymi, kad 2023 m. Audito Rūmai OLAF perdavė informaciją dėl 20 įtariamo sukčiavimo atvejų, o Europos prokuratūrai – informaciją dėl 17 tokių atvejų; atkreipia dėmesį į savo poziciją, kad visi įtarimai sukčiavimu turėtų būti nedelsiant perduodami OLAF ir Europos prokuratūrai siekiant juos nuodugniai ištirti;</w:t>
      </w:r>
    </w:p>
    <w:p w14:paraId="166D7DD0" w14:textId="77777777" w:rsidR="0044639C" w:rsidRDefault="0044639C" w:rsidP="0044639C">
      <w:pPr>
        <w:pStyle w:val="NormalHanging12a"/>
      </w:pPr>
      <w:r>
        <w:t>75.</w:t>
      </w:r>
      <w:r>
        <w:tab/>
        <w:t>ragina Audito Rūmus su OLAF ir Europos prokuratūra sukurti struktūrizuotą bendradarbiavimo sukčiavimo atvejų nustatymo klausimais mechanizmą, įskaitant susitarimus tikruoju laiku dalytis duomenimis ir bendrą audito metodą didelės rizikos ES finansavimo srityse;</w:t>
      </w:r>
    </w:p>
    <w:p w14:paraId="01806198" w14:textId="77777777" w:rsidR="0044639C" w:rsidRDefault="0044639C" w:rsidP="0044639C">
      <w:pPr>
        <w:pStyle w:val="NormalHanging12a"/>
      </w:pPr>
      <w:r>
        <w:t>76.</w:t>
      </w:r>
      <w:r>
        <w:tab/>
        <w:t xml:space="preserve">yra įsitikinęs, kad bendra integruota duomenų gavybos ir rizikos vertinimo IT sistema galėtų būti vertingas duomenų šaltinis, kuris sudarytų sąlygas Audito Rūmams, OLAF ir Europos prokuratūrai sustiprinti savo audito ir kontrolės pastangas; pabrėžia, kad Audito Rūmams atliekant auditą turėtų būti suteikta neribota prieiga prie tokios </w:t>
      </w:r>
      <w:r>
        <w:lastRenderedPageBreak/>
        <w:t>sistemos ir joje esančių duomenų, kad šiai prieigai neturėtų būti taikomi jokie nepagrįsti apribojimai ir kad nedelsiant turėtų būti leidžiama tirti ir naudoti kitas skaitmenines priemones bei besiformuojančias technologijas;</w:t>
      </w:r>
    </w:p>
    <w:p w14:paraId="352CAD35" w14:textId="77777777" w:rsidR="0044639C" w:rsidRDefault="0044639C" w:rsidP="0044639C">
      <w:pPr>
        <w:pStyle w:val="NormalHanging12a"/>
      </w:pPr>
      <w:r>
        <w:t>77.</w:t>
      </w:r>
      <w:r>
        <w:tab/>
        <w:t>apgailestauja dėl to, kad, nepaisant geresnių galimybių susipažinti su EIB dokumentais ir informacija, Audito Rūmams trūksta įgaliojimų atlikti operacijų, finansuojamų EIB nuosavomis lėšomis, auditą; ragina suteikti Audito Rūmams šiuos įgaliojimus, atsižvelgiant į EIB misiją siekti Sąjungos tikslų ir didėjantį jo vaidmenį Sąjungos ekonominėje ir politinėje erdvėje, kuris apima ne tik Sąjungos biudžeto naudojimą jo operacijoms garantuoti; atkreipia dėmesį į Audito Rūmų specialiąją ataskaitą 05/2023 „ES finansų aplinka. Nevienalytė struktūra, kurią reikia toliau paprastinti ir didinti jos atskaitomybę“, kurioje Audito Rūmai nurodė, kad turėtų būti nustatyti visų rūšių Sąjungos politikos finansavimo viešojo audito įgaliojimai;</w:t>
      </w:r>
    </w:p>
    <w:p w14:paraId="0DFD8B72" w14:textId="77777777" w:rsidR="0044639C" w:rsidRDefault="0044639C" w:rsidP="0044639C">
      <w:pPr>
        <w:pStyle w:val="NormalHanging12a"/>
      </w:pPr>
      <w:r>
        <w:t>78.</w:t>
      </w:r>
      <w:r>
        <w:tab/>
        <w:t>pažymi, kad 2023 m. Audito Rūmai 22 skirtingiems Tarybos komitetams ir darbo grupėms pateikė 29 specialiąsias ataskaitas, vieną apžvalgą ir vieną nuomonę; taip pat pažymi, kad tais pačiais metais Audito Rūmų atstovai dalyvavo 23 posėdžiuose, kuriuose daugiausia dėmesio skirta 2021 ir 2022 finansinių metų Sąjungos biudžeto įvykdymo patvirtinimui;</w:t>
      </w:r>
    </w:p>
    <w:p w14:paraId="52DB5471" w14:textId="77777777" w:rsidR="0044639C" w:rsidRDefault="0044639C" w:rsidP="0044639C">
      <w:pPr>
        <w:pStyle w:val="NormalHanging12a"/>
      </w:pPr>
      <w:r>
        <w:t>79.</w:t>
      </w:r>
      <w:r>
        <w:tab/>
        <w:t>džiaugdamasis pažymi, kad 2023 m. Audito Rūmų nariai ir vadovybė aktyviai dalyvavo pristatydami savo darbą 120 susitikimų su 25 valstybių narių nacionalinėmis Vyriausybėmis ir Vyriausybinėmis įstaigomis, kurių daugumą sudarė ministrai arba finansų ministerijos; taip pat pažymi, kad tais pačiais metais Audito Rūmų nariai ir darbuotojai pristatė savo darbą 91 susitikime su 19 valstybių narių nacionaliniais ar regioniniais parlamentais, visų pirma pasitelkdami komitetus, kurie daugiausia dėmesio skiria biudžeto, finansų, audito ar ES reikalų klausimams; primygtinai ragina Audito Rūmus aktyviau bendradarbiauti su šalių, kuriose klaidų lygis yra didžiausias, valdžios institucijomis ir puoselėti aktyvesnį dialogą bei bendradarbiavimą siekiant veiksmingai spręsti šiuos klausimus;</w:t>
      </w:r>
    </w:p>
    <w:p w14:paraId="434341D7" w14:textId="77777777" w:rsidR="0044639C" w:rsidRDefault="0044639C" w:rsidP="0044639C">
      <w:pPr>
        <w:pStyle w:val="NormalHanging12a"/>
        <w:rPr>
          <w:b/>
          <w:i/>
        </w:rPr>
      </w:pPr>
      <w:r>
        <w:rPr>
          <w:b/>
          <w:i/>
        </w:rPr>
        <w:t>Komunikacija</w:t>
      </w:r>
    </w:p>
    <w:p w14:paraId="06419B8B" w14:textId="77777777" w:rsidR="0044639C" w:rsidRDefault="0044639C" w:rsidP="0044639C">
      <w:pPr>
        <w:pStyle w:val="NormalHanging12a"/>
      </w:pPr>
      <w:r>
        <w:t>80.</w:t>
      </w:r>
      <w:r>
        <w:tab/>
        <w:t>pažymi, kad 2023 m. Audito Rūmų komunikacijos ir viešinimo veiklai skirtas biudžetas sudarė 225 000 EUR, o panaudojimo lygis buvo 81,13 % (182 549,84 EUR); pažymi, kad didžioji biudžeto dalis buvo panaudota žiniasklaidos stebėsenos paslaugoms (81 650 EUR) ir spaudos veiksmams (12 348 EUR), po to eina santykių su suinteresuotaisiais subjektais išlaidos, kurias daugiausia sudarė politinės žvalgybos platformos (57 891 EUR), komunikacijos veiklos (28 002,88 EUR), socialinės žiniasklaidos (1 486,52 EUR) ir publikacijų (1 171,44 EUR) išlaidos;</w:t>
      </w:r>
    </w:p>
    <w:p w14:paraId="1DF8CD15" w14:textId="77777777" w:rsidR="0044639C" w:rsidRDefault="0044639C" w:rsidP="0044639C">
      <w:pPr>
        <w:pStyle w:val="NormalHanging12a"/>
      </w:pPr>
      <w:r>
        <w:t>81.</w:t>
      </w:r>
      <w:r>
        <w:tab/>
        <w:t>tvirtai remia plečiamą Audito Rūmų žiniasklaidos strategiją, kurią įgyvendinant internete paskelbtas rekordinis spaudos straipsnių, susijusių su jų audito ataskaitomis ir kitais leidiniais ar Audito Rūmais apskritai, skaičius – daugiau nei 22 000, o tai patvirtina pastaraisiais metais pastebėtą tendenciją, kad žiniasklaidos susidomėjimas didėja (2022 m. – 20 000; 2021 m. – 18 000); pabrėžia tai, kad beveik 54 000 įrašų socialiniuose tinkluose yra organiško augimo tęsinys, o 2022 m. skaičiai sudaro išskirtį (2022 m. – 110 000; 2021 m. – 49 000);</w:t>
      </w:r>
    </w:p>
    <w:p w14:paraId="6CE07133" w14:textId="77777777" w:rsidR="0044639C" w:rsidRDefault="0044639C" w:rsidP="0044639C">
      <w:pPr>
        <w:pStyle w:val="NormalHanging12a"/>
      </w:pPr>
      <w:r>
        <w:t>82.</w:t>
      </w:r>
      <w:r>
        <w:tab/>
        <w:t xml:space="preserve">palankiai vertina tai, kad 2023 m. Audito Rūmai paskelbė 45 pranešimus spaudai, parengtus 24 Sąjungos kalbomis, taip pat įvairių informacinių pranešimų, kvietimų </w:t>
      </w:r>
      <w:r>
        <w:lastRenderedPageBreak/>
        <w:t>žiniasklaidai ir (parengtų naudoti) garso pranešimų tam tikromis kalbomis; be to, pažymi, kad Audito Rūmai surengė 21 virtualiąją spaudos konferenciją ir 6 papildomas metinei ataskaitai skirtas spaudos konferencijas, susijusias su konkrečiomis šalimis; pabrėžia, kad iš viso Audito Rūmų spaudos konferencijos pritraukė 590 žurnalistų, kurių dauguma atstovauja pagrindinėms nacionalinėms žiniasklaidos priemonėms ES valstybėse narėse;</w:t>
      </w:r>
    </w:p>
    <w:p w14:paraId="796391CF" w14:textId="77777777" w:rsidR="0044639C" w:rsidRDefault="0044639C" w:rsidP="0044639C">
      <w:pPr>
        <w:pStyle w:val="NormalHanging12a"/>
      </w:pPr>
      <w:r>
        <w:t>83.</w:t>
      </w:r>
      <w:r>
        <w:tab/>
        <w:t>džiaugdamasis pažymi, kad 2023 m. pradėjo veikti nauja Audito Rūmų interneto svetainė, kurioje buvo apsilankyta daugiau kaip pusantro milijono kartų ir kuri sulaukė apie 700 000 unikalių lankytojų, t. y. 14 % daugiau, palyginti su 2022 m.; teigiamai vertina tai, kad iki 2023 m. pabaigos trys Audito Rūmų pagrindinės socialinių tinklų paskyros („X“ (anksčiau – „Twitter“), „</w:t>
      </w:r>
      <w:proofErr w:type="spellStart"/>
      <w:r>
        <w:t>LinkedIn</w:t>
      </w:r>
      <w:proofErr w:type="spellEnd"/>
      <w:r>
        <w:t>“ ir „Facebook“) buvo pritraukusios daugiau nei 48 000 sekėjų, t. y. daugiau nei 2022 m. (45 000) ir 2021 m. (39 000);</w:t>
      </w:r>
    </w:p>
    <w:p w14:paraId="7BDD9BC5" w14:textId="77777777" w:rsidR="0044639C" w:rsidRDefault="0044639C" w:rsidP="0044639C">
      <w:pPr>
        <w:pStyle w:val="NormalHanging12a"/>
      </w:pPr>
      <w:r>
        <w:t>84.</w:t>
      </w:r>
      <w:r>
        <w:tab/>
        <w:t>labai palankiai vertina tai, kad Audito Rūmai tikėtiną savo darbo poveikį ir naudingumą vertina taip, kaip jį suvokia jų ataskaitų skaitytojai Parlamente, Taryboje, Komisijoje, Sąjungos agentūrose, valstybių narių nuolatinėse atstovybėse, valstybių narių agentūrose ir aukščiausiojoje audito institucijoje (AAI), nevyriausybinėse organizacijose (NVO), akademinėse bendruomenėse, žiniasklaidoje ir kaip tai daro kiti subjektai; atsižvelgdamas į tai pažymi, kad nuo 2018 m. Audito Rūmai atliko anonimines elektronines apklausas, kuriose prašo skaitytojų pateikti kokybinių atsiliepimų apie atrinktas ataskaitas ir bendrų pasiūlymų dėl jų darbo; pabrėžia, kad 2023 m. 85 % iš beveik 1 060 respondentų manė, kad Audito Rūmų ataskaitos naudingos jų darbui, o 78 % – kad jos turėjo poveikį.</w:t>
      </w:r>
    </w:p>
    <w:sectPr w:rsidR="0044639C" w:rsidSect="004463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122F4" w14:textId="77777777" w:rsidR="00055CB3" w:rsidRPr="00C80A48" w:rsidRDefault="00055CB3">
      <w:r w:rsidRPr="00C80A48">
        <w:separator/>
      </w:r>
    </w:p>
  </w:endnote>
  <w:endnote w:type="continuationSeparator" w:id="0">
    <w:p w14:paraId="091CDBEF" w14:textId="77777777" w:rsidR="00055CB3" w:rsidRPr="00C80A48" w:rsidRDefault="00055CB3">
      <w:r w:rsidRPr="00C80A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B65F0" w14:textId="77777777" w:rsidR="00064002" w:rsidRPr="00C80A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8418" w14:textId="77777777" w:rsidR="00064002" w:rsidRPr="00C80A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B86E0" w14:textId="77777777" w:rsidR="00064002" w:rsidRPr="00C80A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A85EB" w14:textId="77777777" w:rsidR="00055CB3" w:rsidRPr="00C80A48" w:rsidRDefault="00055CB3">
      <w:r w:rsidRPr="00C80A48">
        <w:separator/>
      </w:r>
    </w:p>
  </w:footnote>
  <w:footnote w:type="continuationSeparator" w:id="0">
    <w:p w14:paraId="38E7F63F" w14:textId="77777777" w:rsidR="00055CB3" w:rsidRPr="00C80A48" w:rsidRDefault="00055CB3">
      <w:r w:rsidRPr="00C80A48">
        <w:continuationSeparator/>
      </w:r>
    </w:p>
  </w:footnote>
  <w:footnote w:id="1">
    <w:p w14:paraId="48C8E023" w14:textId="77777777" w:rsidR="0044639C" w:rsidRDefault="0044639C" w:rsidP="0044639C">
      <w:pPr>
        <w:ind w:left="567" w:hanging="567"/>
      </w:pPr>
      <w:r>
        <w:rPr>
          <w:rStyle w:val="FootnoteReference"/>
        </w:rPr>
        <w:footnoteRef/>
      </w:r>
      <w:r>
        <w:t xml:space="preserve"> </w:t>
      </w:r>
      <w:r>
        <w:tab/>
        <w:t xml:space="preserve">OL L 58, 2023 2 23, p. 1, ELI: </w:t>
      </w:r>
      <w:hyperlink r:id="rId1" w:tooltip="Prieiga prie šio dokumento per jo ELI nuorodą." w:history="1">
        <w:r>
          <w:rPr>
            <w:rStyle w:val="Hyperlink"/>
            <w:color w:val="337AB7"/>
            <w:shd w:val="clear" w:color="auto" w:fill="FFFFFF"/>
          </w:rPr>
          <w:t>http://data.europa.eu/eli/budget/2023/1/oj</w:t>
        </w:r>
      </w:hyperlink>
      <w:r>
        <w:rPr>
          <w:shd w:val="clear" w:color="auto" w:fill="FFFFFF"/>
        </w:rPr>
        <w:t>.</w:t>
      </w:r>
    </w:p>
  </w:footnote>
  <w:footnote w:id="2">
    <w:p w14:paraId="5D4B7482" w14:textId="77777777" w:rsidR="0044639C" w:rsidRDefault="0044639C" w:rsidP="0044639C">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C/2024/5462, 2024 10 10, ELI: </w:t>
      </w:r>
      <w:hyperlink r:id="rId2" w:history="1">
        <w:r>
          <w:rPr>
            <w:rStyle w:val="Hyperlink"/>
            <w:sz w:val="24"/>
            <w:lang w:val="lt-LT"/>
          </w:rPr>
          <w:t>http://data.europa.eu/eli/C/2024/5462/oj</w:t>
        </w:r>
      </w:hyperlink>
      <w:r>
        <w:rPr>
          <w:sz w:val="24"/>
          <w:szCs w:val="24"/>
          <w:shd w:val="clear" w:color="auto" w:fill="FFFFFF"/>
          <w:lang w:val="lt-LT"/>
        </w:rPr>
        <w:t>.</w:t>
      </w:r>
    </w:p>
  </w:footnote>
  <w:footnote w:id="3">
    <w:p w14:paraId="32C1783E" w14:textId="77777777" w:rsidR="0044639C" w:rsidRDefault="0044639C" w:rsidP="0044639C">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C/2024/5882, 2024 10 9, ELI: </w:t>
      </w:r>
      <w:hyperlink r:id="rId3" w:history="1">
        <w:r>
          <w:rPr>
            <w:rStyle w:val="Hyperlink"/>
            <w:sz w:val="24"/>
            <w:lang w:val="lt-LT"/>
          </w:rPr>
          <w:t>http://data.europa.eu/eli/C/2024/5882/oj</w:t>
        </w:r>
      </w:hyperlink>
      <w:r>
        <w:rPr>
          <w:sz w:val="24"/>
          <w:szCs w:val="24"/>
          <w:shd w:val="clear" w:color="auto" w:fill="FFFFFF"/>
          <w:lang w:val="lt-LT"/>
        </w:rPr>
        <w:t>.</w:t>
      </w:r>
    </w:p>
  </w:footnote>
  <w:footnote w:id="4">
    <w:p w14:paraId="432EB445" w14:textId="77777777" w:rsidR="0044639C" w:rsidRDefault="0044639C" w:rsidP="0044639C">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C/2024/6041, 2024 10 10, ELI: </w:t>
      </w:r>
      <w:hyperlink r:id="rId4" w:history="1">
        <w:r>
          <w:rPr>
            <w:rStyle w:val="Hyperlink"/>
            <w:sz w:val="24"/>
            <w:lang w:val="lt-LT"/>
          </w:rPr>
          <w:t>http://data.europa.eu/eli/C/2024/6041/oj</w:t>
        </w:r>
      </w:hyperlink>
      <w:r>
        <w:rPr>
          <w:sz w:val="24"/>
          <w:szCs w:val="24"/>
          <w:shd w:val="clear" w:color="auto" w:fill="FFFFFF"/>
          <w:lang w:val="lt-LT"/>
        </w:rPr>
        <w:t>.</w:t>
      </w:r>
    </w:p>
  </w:footnote>
  <w:footnote w:id="5">
    <w:p w14:paraId="71C69B6C" w14:textId="77777777" w:rsidR="0044639C" w:rsidRDefault="0044639C" w:rsidP="0044639C">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L 193, 2018 7 30, p. 1, ELI: </w:t>
      </w:r>
      <w:hyperlink r:id="rId5" w:history="1">
        <w:r>
          <w:rPr>
            <w:rStyle w:val="Hyperlink"/>
            <w:sz w:val="24"/>
            <w:lang w:val="lt-LT"/>
          </w:rPr>
          <w:t>http://data.europa.eu/eli/reg/2018/1046/oj</w:t>
        </w:r>
      </w:hyperlink>
      <w:r>
        <w:rPr>
          <w:sz w:val="24"/>
          <w:szCs w:val="24"/>
          <w:lang w:val="lt-LT"/>
        </w:rPr>
        <w:t>.</w:t>
      </w:r>
    </w:p>
  </w:footnote>
  <w:footnote w:id="6">
    <w:p w14:paraId="6B456EB3" w14:textId="77777777" w:rsidR="0044639C" w:rsidRDefault="0044639C" w:rsidP="0044639C">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L, 2024/2509, 2024 9 26, ELI: </w:t>
      </w:r>
      <w:hyperlink r:id="rId6" w:history="1">
        <w:r>
          <w:rPr>
            <w:rStyle w:val="Hyperlink"/>
            <w:sz w:val="24"/>
            <w:lang w:val="lt-LT"/>
          </w:rPr>
          <w:t>http://data.europa.eu/eli/reg/2024/2509/oj</w:t>
        </w:r>
      </w:hyperlink>
      <w:r>
        <w:rPr>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A4D27" w14:textId="77777777" w:rsidR="00064002" w:rsidRPr="00C80A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1CE69" w14:textId="77777777" w:rsidR="00064002" w:rsidRPr="00C80A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95F65" w14:textId="77777777" w:rsidR="00064002" w:rsidRPr="00C80A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8786845">
    <w:abstractNumId w:val="9"/>
  </w:num>
  <w:num w:numId="2" w16cid:durableId="710766554">
    <w:abstractNumId w:val="9"/>
  </w:num>
  <w:num w:numId="3" w16cid:durableId="916523015">
    <w:abstractNumId w:val="7"/>
  </w:num>
  <w:num w:numId="4" w16cid:durableId="448935448">
    <w:abstractNumId w:val="7"/>
  </w:num>
  <w:num w:numId="5" w16cid:durableId="200243031">
    <w:abstractNumId w:val="6"/>
  </w:num>
  <w:num w:numId="6" w16cid:durableId="1358041916">
    <w:abstractNumId w:val="6"/>
  </w:num>
  <w:num w:numId="7" w16cid:durableId="174349733">
    <w:abstractNumId w:val="5"/>
  </w:num>
  <w:num w:numId="8" w16cid:durableId="1250774824">
    <w:abstractNumId w:val="5"/>
  </w:num>
  <w:num w:numId="9" w16cid:durableId="866139596">
    <w:abstractNumId w:val="4"/>
  </w:num>
  <w:num w:numId="10" w16cid:durableId="1652442498">
    <w:abstractNumId w:val="4"/>
  </w:num>
  <w:num w:numId="11" w16cid:durableId="1669164233">
    <w:abstractNumId w:val="8"/>
  </w:num>
  <w:num w:numId="12" w16cid:durableId="1327711450">
    <w:abstractNumId w:val="8"/>
  </w:num>
  <w:num w:numId="13" w16cid:durableId="1751081971">
    <w:abstractNumId w:val="3"/>
  </w:num>
  <w:num w:numId="14" w16cid:durableId="198399111">
    <w:abstractNumId w:val="3"/>
  </w:num>
  <w:num w:numId="15" w16cid:durableId="793865147">
    <w:abstractNumId w:val="2"/>
  </w:num>
  <w:num w:numId="16" w16cid:durableId="766585016">
    <w:abstractNumId w:val="2"/>
  </w:num>
  <w:num w:numId="17" w16cid:durableId="346373218">
    <w:abstractNumId w:val="1"/>
  </w:num>
  <w:num w:numId="18" w16cid:durableId="1056052806">
    <w:abstractNumId w:val="1"/>
  </w:num>
  <w:num w:numId="19" w16cid:durableId="1126653635">
    <w:abstractNumId w:val="0"/>
  </w:num>
  <w:num w:numId="20" w16cid:durableId="1241672672">
    <w:abstractNumId w:val="0"/>
  </w:num>
  <w:num w:numId="21" w16cid:durableId="253365847">
    <w:abstractNumId w:val="9"/>
  </w:num>
  <w:num w:numId="22" w16cid:durableId="2121561680">
    <w:abstractNumId w:val="7"/>
  </w:num>
  <w:num w:numId="23" w16cid:durableId="883054013">
    <w:abstractNumId w:val="6"/>
  </w:num>
  <w:num w:numId="24" w16cid:durableId="2031830605">
    <w:abstractNumId w:val="5"/>
  </w:num>
  <w:num w:numId="25" w16cid:durableId="718437487">
    <w:abstractNumId w:val="4"/>
  </w:num>
  <w:num w:numId="26" w16cid:durableId="713627504">
    <w:abstractNumId w:val="8"/>
  </w:num>
  <w:num w:numId="27" w16cid:durableId="747461924">
    <w:abstractNumId w:val="3"/>
  </w:num>
  <w:num w:numId="28" w16cid:durableId="1580284937">
    <w:abstractNumId w:val="2"/>
  </w:num>
  <w:num w:numId="29" w16cid:durableId="1031032047">
    <w:abstractNumId w:val="1"/>
  </w:num>
  <w:num w:numId="30" w16cid:durableId="406537694">
    <w:abstractNumId w:val="0"/>
  </w:num>
  <w:num w:numId="31" w16cid:durableId="170461702">
    <w:abstractNumId w:val="9"/>
  </w:num>
  <w:num w:numId="32" w16cid:durableId="1560902006">
    <w:abstractNumId w:val="7"/>
  </w:num>
  <w:num w:numId="33" w16cid:durableId="1857621640">
    <w:abstractNumId w:val="6"/>
  </w:num>
  <w:num w:numId="34" w16cid:durableId="1635788202">
    <w:abstractNumId w:val="5"/>
  </w:num>
  <w:num w:numId="35" w16cid:durableId="794521964">
    <w:abstractNumId w:val="4"/>
  </w:num>
  <w:num w:numId="36" w16cid:durableId="1644962765">
    <w:abstractNumId w:val="8"/>
  </w:num>
  <w:num w:numId="37" w16cid:durableId="334647645">
    <w:abstractNumId w:val="3"/>
  </w:num>
  <w:num w:numId="38" w16cid:durableId="1952928205">
    <w:abstractNumId w:val="2"/>
  </w:num>
  <w:num w:numId="39" w16cid:durableId="1960725517">
    <w:abstractNumId w:val="1"/>
  </w:num>
  <w:num w:numId="40" w16cid:durableId="718818403">
    <w:abstractNumId w:val="0"/>
  </w:num>
  <w:num w:numId="41" w16cid:durableId="310015253">
    <w:abstractNumId w:val="10"/>
  </w:num>
  <w:num w:numId="42" w16cid:durableId="1008096751">
    <w:abstractNumId w:val="10"/>
  </w:num>
  <w:num w:numId="43" w16cid:durableId="846401803">
    <w:abstractNumId w:val="10"/>
  </w:num>
  <w:num w:numId="44" w16cid:durableId="677124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LT"/>
    <w:docVar w:name="dvnumam" w:val="0"/>
    <w:docVar w:name="dvpe" w:val="764.995"/>
    <w:docVar w:name="dvrapporteur" w:val="Pranešėjas: "/>
    <w:docVar w:name="dvtitre" w:val="1. 2025 m. geguzes XX d. Europos Parlamento sprendimas dėl 2023 finansinių metų Europos Sąjungos bendrojo biudžeto įvykdymo patvirtinimo, V skirsnis – Audito Rūmai(2024/2023(DEC))"/>
  </w:docVars>
  <w:rsids>
    <w:rsidRoot w:val="00055CB3"/>
    <w:rsid w:val="00002272"/>
    <w:rsid w:val="00024AF0"/>
    <w:rsid w:val="00055CB3"/>
    <w:rsid w:val="00064002"/>
    <w:rsid w:val="000677B9"/>
    <w:rsid w:val="000831BA"/>
    <w:rsid w:val="000A42CC"/>
    <w:rsid w:val="000E7DD9"/>
    <w:rsid w:val="0010095E"/>
    <w:rsid w:val="00125B37"/>
    <w:rsid w:val="00125EB5"/>
    <w:rsid w:val="00187494"/>
    <w:rsid w:val="001D1CE2"/>
    <w:rsid w:val="001F32AE"/>
    <w:rsid w:val="002767FF"/>
    <w:rsid w:val="002778FC"/>
    <w:rsid w:val="002B18FE"/>
    <w:rsid w:val="002B5493"/>
    <w:rsid w:val="00300712"/>
    <w:rsid w:val="00343214"/>
    <w:rsid w:val="00361C00"/>
    <w:rsid w:val="00364D79"/>
    <w:rsid w:val="00395FA1"/>
    <w:rsid w:val="003E15D4"/>
    <w:rsid w:val="00411CCE"/>
    <w:rsid w:val="0041666E"/>
    <w:rsid w:val="00421060"/>
    <w:rsid w:val="0044639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31D9"/>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88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763"/>
    <w:rsid w:val="00C80A48"/>
    <w:rsid w:val="00C941CB"/>
    <w:rsid w:val="00CC2357"/>
    <w:rsid w:val="00CC729D"/>
    <w:rsid w:val="00CF071A"/>
    <w:rsid w:val="00D058B8"/>
    <w:rsid w:val="00D26D18"/>
    <w:rsid w:val="00D56C11"/>
    <w:rsid w:val="00D6276A"/>
    <w:rsid w:val="00D834A0"/>
    <w:rsid w:val="00D872DF"/>
    <w:rsid w:val="00D91E21"/>
    <w:rsid w:val="00DA7FCD"/>
    <w:rsid w:val="00E365E1"/>
    <w:rsid w:val="00E55064"/>
    <w:rsid w:val="00E810CB"/>
    <w:rsid w:val="00E820A4"/>
    <w:rsid w:val="00EB006A"/>
    <w:rsid w:val="00EB4772"/>
    <w:rsid w:val="00ED169E"/>
    <w:rsid w:val="00ED4235"/>
    <w:rsid w:val="00F00033"/>
    <w:rsid w:val="00F04346"/>
    <w:rsid w:val="00F075DC"/>
    <w:rsid w:val="00F149E9"/>
    <w:rsid w:val="00F3380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044F2"/>
  <w15:chartTrackingRefBased/>
  <w15:docId w15:val="{101990A9-B062-4DC4-AB43-9D57D32F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276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276A"/>
    <w:pPr>
      <w:spacing w:before="480" w:after="240"/>
    </w:pPr>
  </w:style>
  <w:style w:type="paragraph" w:customStyle="1" w:styleId="PageHeading">
    <w:name w:val="PageHeading"/>
    <w:basedOn w:val="Normal"/>
    <w:rsid w:val="00D6276A"/>
    <w:pPr>
      <w:keepNext/>
      <w:spacing w:after="480"/>
      <w:jc w:val="center"/>
    </w:pPr>
    <w:rPr>
      <w:rFonts w:ascii="Arial" w:hAnsi="Arial" w:cs="Arial"/>
      <w:b/>
    </w:rPr>
  </w:style>
  <w:style w:type="paragraph" w:customStyle="1" w:styleId="NormalBold">
    <w:name w:val="NormalBold"/>
    <w:basedOn w:val="Normal"/>
    <w:rsid w:val="00D6276A"/>
    <w:rPr>
      <w:b/>
    </w:rPr>
  </w:style>
  <w:style w:type="paragraph" w:customStyle="1" w:styleId="NormalHanging12a">
    <w:name w:val="NormalHanging12a"/>
    <w:basedOn w:val="Normal"/>
    <w:link w:val="NormalHanging12aChar"/>
    <w:qFormat/>
    <w:rsid w:val="00D6276A"/>
    <w:pPr>
      <w:spacing w:after="240"/>
      <w:ind w:left="567" w:hanging="567"/>
    </w:pPr>
  </w:style>
  <w:style w:type="paragraph" w:styleId="Header">
    <w:name w:val="header"/>
    <w:basedOn w:val="Normal"/>
    <w:link w:val="HeaderChar"/>
    <w:rsid w:val="00D6276A"/>
    <w:pPr>
      <w:tabs>
        <w:tab w:val="center" w:pos="4513"/>
        <w:tab w:val="right" w:pos="9026"/>
      </w:tabs>
    </w:pPr>
  </w:style>
  <w:style w:type="character" w:customStyle="1" w:styleId="HeaderChar">
    <w:name w:val="Header Char"/>
    <w:basedOn w:val="DefaultParagraphFont"/>
    <w:link w:val="Header"/>
    <w:rsid w:val="00D6276A"/>
    <w:rPr>
      <w:sz w:val="24"/>
      <w:lang w:val="lt-LT"/>
    </w:rPr>
  </w:style>
  <w:style w:type="paragraph" w:customStyle="1" w:styleId="EPFooter">
    <w:name w:val="EPFooter"/>
    <w:basedOn w:val="Normal"/>
    <w:rsid w:val="00D6276A"/>
    <w:pPr>
      <w:tabs>
        <w:tab w:val="center" w:pos="4535"/>
        <w:tab w:val="right" w:pos="9071"/>
      </w:tabs>
      <w:spacing w:before="240" w:after="240"/>
    </w:pPr>
    <w:rPr>
      <w:color w:val="010000"/>
      <w:sz w:val="22"/>
    </w:rPr>
  </w:style>
  <w:style w:type="character" w:styleId="Hyperlink">
    <w:name w:val="Hyperlink"/>
    <w:basedOn w:val="DefaultParagraphFont"/>
    <w:uiPriority w:val="99"/>
    <w:rsid w:val="00D6276A"/>
    <w:rPr>
      <w:color w:val="0563C1" w:themeColor="hyperlink"/>
      <w:u w:val="single"/>
    </w:rPr>
  </w:style>
  <w:style w:type="character" w:customStyle="1" w:styleId="NormalHanging12aChar">
    <w:name w:val="NormalHanging12a Char"/>
    <w:basedOn w:val="DefaultParagraphFont"/>
    <w:link w:val="NormalHanging12a"/>
    <w:locked/>
    <w:rsid w:val="00D6276A"/>
    <w:rPr>
      <w:sz w:val="24"/>
      <w:lang w:val="lt-LT"/>
    </w:rPr>
  </w:style>
  <w:style w:type="character" w:customStyle="1" w:styleId="pointer">
    <w:name w:val="pointer"/>
    <w:basedOn w:val="DefaultParagraphFont"/>
    <w:rsid w:val="00D6276A"/>
  </w:style>
  <w:style w:type="paragraph" w:styleId="BalloonText">
    <w:name w:val="Balloon Text"/>
    <w:basedOn w:val="Normal"/>
    <w:link w:val="BalloonTextChar"/>
    <w:rsid w:val="00125EB5"/>
    <w:rPr>
      <w:rFonts w:ascii="Segoe UI" w:hAnsi="Segoe UI" w:cs="Segoe UI"/>
      <w:sz w:val="18"/>
      <w:szCs w:val="18"/>
    </w:rPr>
  </w:style>
  <w:style w:type="character" w:customStyle="1" w:styleId="BalloonTextChar">
    <w:name w:val="Balloon Text Char"/>
    <w:basedOn w:val="DefaultParagraphFont"/>
    <w:link w:val="BalloonText"/>
    <w:rsid w:val="00125EB5"/>
    <w:rPr>
      <w:rFonts w:ascii="Segoe UI" w:hAnsi="Segoe UI" w:cs="Segoe UI"/>
      <w:sz w:val="18"/>
      <w:szCs w:val="18"/>
      <w:lang w:val="lt-LT"/>
    </w:rPr>
  </w:style>
  <w:style w:type="paragraph" w:styleId="CommentText">
    <w:name w:val="annotation text"/>
    <w:basedOn w:val="Normal"/>
    <w:link w:val="CommentTextChar"/>
    <w:uiPriority w:val="99"/>
    <w:unhideWhenUsed/>
    <w:rsid w:val="0044639C"/>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44639C"/>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44639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19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0DA4D-88EE-42C9-9455-D430E3990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6152</Words>
  <Characters>40511</Characters>
  <Application>Microsoft Office Word</Application>
  <DocSecurity>0</DocSecurity>
  <Lines>337</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2025-11-24T17:49:00Z</dcterms:created>
  <dcterms:modified xsi:type="dcterms:W3CDTF">2025-11-24T17:49:00Z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P10_TA(2025)0081_</vt:lpwstr>
  </property>
  <property fmtid="{D5CDD505-2E9C-101B-9397-08002B2CF9AE}" pid="4" name="&lt;Type&gt;">
    <vt:lpwstr>RR</vt:lpwstr>
  </property>
</Properties>
</file>