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771C" w14:paraId="72BC7A5C" w14:textId="77777777" w:rsidTr="0010095E">
        <w:trPr>
          <w:trHeight w:hRule="exact" w:val="1418"/>
        </w:trPr>
        <w:tc>
          <w:tcPr>
            <w:tcW w:w="6804" w:type="dxa"/>
            <w:shd w:val="clear" w:color="auto" w:fill="auto"/>
            <w:vAlign w:val="center"/>
          </w:tcPr>
          <w:p w14:paraId="292DE2A8" w14:textId="77777777" w:rsidR="00751A4A" w:rsidRPr="0092771C" w:rsidRDefault="0092771C" w:rsidP="0010095E">
            <w:pPr>
              <w:pStyle w:val="EPName"/>
            </w:pPr>
            <w:r w:rsidRPr="0092771C">
              <w:t>Европейски</w:t>
            </w:r>
            <w:r w:rsidR="009F2C17" w:rsidRPr="0092771C">
              <w:t xml:space="preserve"> парламент</w:t>
            </w:r>
          </w:p>
          <w:p w14:paraId="605D10D5" w14:textId="77777777" w:rsidR="00751A4A" w:rsidRPr="0092771C" w:rsidRDefault="005F1B17" w:rsidP="005F1B17">
            <w:pPr>
              <w:pStyle w:val="EPTerm"/>
              <w:rPr>
                <w:rStyle w:val="HideTWBExt"/>
                <w:noProof w:val="0"/>
                <w:vanish w:val="0"/>
                <w:color w:val="auto"/>
              </w:rPr>
            </w:pPr>
            <w:r w:rsidRPr="0092771C">
              <w:t>2024</w:t>
            </w:r>
            <w:r w:rsidR="0092771C">
              <w:rPr>
                <w:lang w:val="en-GB"/>
              </w:rPr>
              <w:t> – </w:t>
            </w:r>
            <w:r w:rsidR="00817416" w:rsidRPr="0092771C">
              <w:t>202</w:t>
            </w:r>
            <w:r w:rsidRPr="0092771C">
              <w:t>9</w:t>
            </w:r>
          </w:p>
        </w:tc>
        <w:tc>
          <w:tcPr>
            <w:tcW w:w="2268" w:type="dxa"/>
            <w:shd w:val="clear" w:color="auto" w:fill="auto"/>
          </w:tcPr>
          <w:p w14:paraId="6D5BB85B" w14:textId="77777777" w:rsidR="00751A4A" w:rsidRPr="0092771C" w:rsidRDefault="00187494" w:rsidP="0010095E">
            <w:pPr>
              <w:pStyle w:val="EPLogo"/>
            </w:pPr>
            <w:r w:rsidRPr="0092771C">
              <w:rPr>
                <w:noProof/>
                <w:lang w:val="en-GB"/>
              </w:rPr>
              <w:drawing>
                <wp:inline distT="0" distB="0" distL="0" distR="0" wp14:anchorId="41070F6E" wp14:editId="46E7CD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3AF0CA3" w14:textId="77777777" w:rsidR="00D058B8" w:rsidRPr="0092771C" w:rsidRDefault="00D058B8" w:rsidP="004C5D52">
      <w:pPr>
        <w:pStyle w:val="LineTop"/>
      </w:pPr>
    </w:p>
    <w:p w14:paraId="2D84B4BD" w14:textId="77777777" w:rsidR="00680577" w:rsidRPr="0092771C" w:rsidRDefault="009F2C17" w:rsidP="00680577">
      <w:pPr>
        <w:pStyle w:val="EPBodyTA1"/>
      </w:pPr>
      <w:r w:rsidRPr="0092771C">
        <w:t>ПРИЕТИ ТЕКСТОВЕ</w:t>
      </w:r>
    </w:p>
    <w:p w14:paraId="5716833C" w14:textId="77777777" w:rsidR="00D058B8" w:rsidRPr="0092771C" w:rsidRDefault="00D058B8" w:rsidP="00D058B8">
      <w:pPr>
        <w:pStyle w:val="LineBottom"/>
      </w:pPr>
    </w:p>
    <w:p w14:paraId="15B58711" w14:textId="77777777" w:rsidR="009F2C17" w:rsidRPr="0092771C" w:rsidRDefault="009F2C17" w:rsidP="00DE634B">
      <w:pPr>
        <w:pStyle w:val="ATHeading1"/>
      </w:pPr>
      <w:bookmarkStart w:id="0" w:name="TANumber"/>
      <w:r w:rsidRPr="0092771C">
        <w:t>P10_TA(2025)</w:t>
      </w:r>
      <w:bookmarkEnd w:id="0"/>
      <w:r w:rsidR="00DE634B" w:rsidRPr="0092771C">
        <w:t>00</w:t>
      </w:r>
      <w:r w:rsidR="00DE634B">
        <w:t>82</w:t>
      </w:r>
    </w:p>
    <w:p w14:paraId="700B4AB9" w14:textId="77777777" w:rsidR="009F2C17" w:rsidRPr="0092771C" w:rsidRDefault="009F2C17" w:rsidP="009F2C17">
      <w:pPr>
        <w:pStyle w:val="ATHeading2"/>
      </w:pPr>
      <w:bookmarkStart w:id="1" w:name="title"/>
      <w:r w:rsidRPr="0092771C">
        <w:t>Освобождаване от отговорност във връзка с изпълнението на бюджета за 2023 г.: Общ бюджет на ЕС – Европейски икономически и социален комитет</w:t>
      </w:r>
      <w:bookmarkEnd w:id="1"/>
    </w:p>
    <w:p w14:paraId="7C3E9A35" w14:textId="77777777" w:rsidR="009F2C17" w:rsidRPr="0092771C" w:rsidRDefault="009F2C17" w:rsidP="009F2C17">
      <w:pPr>
        <w:rPr>
          <w:i/>
          <w:vanish/>
        </w:rPr>
      </w:pPr>
      <w:r w:rsidRPr="0092771C">
        <w:rPr>
          <w:i/>
        </w:rPr>
        <w:fldChar w:fldCharType="begin"/>
      </w:r>
      <w:r w:rsidRPr="0092771C">
        <w:rPr>
          <w:i/>
        </w:rPr>
        <w:instrText xml:space="preserve"> TC"(</w:instrText>
      </w:r>
      <w:bookmarkStart w:id="2" w:name="DocNumber"/>
      <w:r w:rsidRPr="0092771C">
        <w:rPr>
          <w:i/>
        </w:rPr>
        <w:instrText>A10-0054/2025</w:instrText>
      </w:r>
      <w:bookmarkEnd w:id="2"/>
      <w:r w:rsidRPr="0092771C">
        <w:rPr>
          <w:i/>
        </w:rPr>
        <w:instrText xml:space="preserve"> - Докладчик: Йоахим Станислав </w:instrText>
      </w:r>
      <w:proofErr w:type="spellStart"/>
      <w:r w:rsidRPr="0092771C">
        <w:rPr>
          <w:i/>
        </w:rPr>
        <w:instrText>Бруджински</w:instrText>
      </w:r>
      <w:proofErr w:type="spellEnd"/>
      <w:r w:rsidRPr="0092771C">
        <w:rPr>
          <w:i/>
        </w:rPr>
        <w:instrText xml:space="preserve">)"\l3 \n&gt; \* MERGEFORMAT </w:instrText>
      </w:r>
      <w:r w:rsidRPr="0092771C">
        <w:rPr>
          <w:i/>
        </w:rPr>
        <w:fldChar w:fldCharType="end"/>
      </w:r>
    </w:p>
    <w:p w14:paraId="08AEDEF7" w14:textId="77777777" w:rsidR="009F2C17" w:rsidRPr="0092771C" w:rsidRDefault="009F2C17" w:rsidP="009F2C17">
      <w:pPr>
        <w:rPr>
          <w:vanish/>
        </w:rPr>
      </w:pPr>
      <w:bookmarkStart w:id="3" w:name="Commission"/>
      <w:r w:rsidRPr="0092771C">
        <w:rPr>
          <w:vanish/>
        </w:rPr>
        <w:t>Комисия по бюджетен контрол</w:t>
      </w:r>
      <w:bookmarkEnd w:id="3"/>
    </w:p>
    <w:p w14:paraId="37AC5903" w14:textId="77777777" w:rsidR="009F2C17" w:rsidRPr="0092771C" w:rsidRDefault="009F2C17" w:rsidP="009F2C17">
      <w:pPr>
        <w:rPr>
          <w:vanish/>
        </w:rPr>
      </w:pPr>
      <w:bookmarkStart w:id="4" w:name="PE"/>
      <w:r w:rsidRPr="0092771C">
        <w:rPr>
          <w:vanish/>
        </w:rPr>
        <w:t>PE764.993</w:t>
      </w:r>
      <w:bookmarkEnd w:id="4"/>
    </w:p>
    <w:p w14:paraId="69DF932A" w14:textId="77777777" w:rsidR="009F2C17" w:rsidRPr="0092771C" w:rsidRDefault="00042F8B" w:rsidP="009F2C17">
      <w:pPr>
        <w:pStyle w:val="ATHeading3"/>
      </w:pPr>
      <w:bookmarkStart w:id="5" w:name="Sujet"/>
      <w:r w:rsidRPr="0092771C">
        <w:rPr>
          <w:lang w:val="hu-HU"/>
        </w:rPr>
        <w:t xml:space="preserve">1. </w:t>
      </w:r>
      <w:r w:rsidR="009F2C17" w:rsidRPr="0092771C">
        <w:t>Решение</w:t>
      </w:r>
      <w:r w:rsidR="0092771C">
        <w:t xml:space="preserve"> на Европейския парламент от </w:t>
      </w:r>
      <w:r w:rsidR="0092771C">
        <w:rPr>
          <w:lang w:val="en-GB"/>
        </w:rPr>
        <w:t xml:space="preserve">7 </w:t>
      </w:r>
      <w:r w:rsidR="0092771C">
        <w:t>май</w:t>
      </w:r>
      <w:r w:rsidR="009F2C17" w:rsidRPr="0092771C">
        <w:t xml:space="preserve"> 2025 г. относно освобождаването от отговорност във връзка с изпълнението на общия бюджет на Европейския съюз за финансовата 2023 година, раздел VI ‒ Европейски икономически и социален комитет</w:t>
      </w:r>
      <w:bookmarkEnd w:id="5"/>
      <w:r w:rsidR="009F2C17" w:rsidRPr="0092771C">
        <w:t xml:space="preserve"> </w:t>
      </w:r>
      <w:bookmarkStart w:id="6" w:name="References"/>
      <w:r w:rsidR="009F2C17" w:rsidRPr="0092771C">
        <w:t>(2024/2025(DEC))</w:t>
      </w:r>
      <w:bookmarkEnd w:id="6"/>
    </w:p>
    <w:p w14:paraId="411DB29C" w14:textId="77777777" w:rsidR="0089522E" w:rsidRPr="0092771C" w:rsidRDefault="0089522E" w:rsidP="0089522E">
      <w:pPr>
        <w:pStyle w:val="EPComma"/>
      </w:pPr>
      <w:bookmarkStart w:id="7" w:name="TextBodyBegin"/>
      <w:bookmarkEnd w:id="7"/>
      <w:r w:rsidRPr="0092771C">
        <w:rPr>
          <w:i/>
          <w:iCs/>
        </w:rPr>
        <w:t>Европейският парламент,</w:t>
      </w:r>
    </w:p>
    <w:p w14:paraId="2B59EA48" w14:textId="77777777" w:rsidR="0089522E" w:rsidRPr="0092771C" w:rsidRDefault="0089522E" w:rsidP="00042F8B">
      <w:pPr>
        <w:pStyle w:val="NormalHanging12a"/>
        <w:widowControl/>
      </w:pPr>
      <w:r w:rsidRPr="0092771C">
        <w:t>–</w:t>
      </w:r>
      <w:r w:rsidRPr="0092771C">
        <w:tab/>
        <w:t>като взе предвид общия бюджет на Европейския съюз за финансовата 2023 година</w:t>
      </w:r>
      <w:r w:rsidRPr="0092771C">
        <w:rPr>
          <w:rStyle w:val="FootnoteReference"/>
        </w:rPr>
        <w:footnoteReference w:id="1"/>
      </w:r>
      <w:r w:rsidRPr="0092771C">
        <w:t>,</w:t>
      </w:r>
    </w:p>
    <w:p w14:paraId="337D9D4E" w14:textId="77777777" w:rsidR="0089522E" w:rsidRPr="0092771C" w:rsidRDefault="0089522E" w:rsidP="00042F8B">
      <w:pPr>
        <w:pStyle w:val="NormalHanging12a"/>
        <w:widowControl/>
      </w:pPr>
      <w:r w:rsidRPr="0092771C">
        <w:t>–</w:t>
      </w:r>
      <w:r w:rsidRPr="0092771C">
        <w:tab/>
        <w:t>като взе предвид консолидираните годишни отчети на Европейския съюз за финансовата 2023 година (COM(2024)0272 – C10</w:t>
      </w:r>
      <w:r w:rsidRPr="0092771C">
        <w:noBreakHyphen/>
        <w:t>0073/2024)</w:t>
      </w:r>
      <w:r w:rsidRPr="0092771C">
        <w:rPr>
          <w:rStyle w:val="FootnoteReference"/>
        </w:rPr>
        <w:footnoteReference w:id="2"/>
      </w:r>
      <w:r w:rsidRPr="0092771C">
        <w:t>,</w:t>
      </w:r>
    </w:p>
    <w:p w14:paraId="7508884F" w14:textId="77777777" w:rsidR="0089522E" w:rsidRPr="0092771C" w:rsidRDefault="0089522E" w:rsidP="00042F8B">
      <w:pPr>
        <w:pStyle w:val="NormalHanging12a"/>
        <w:widowControl/>
        <w:rPr>
          <w:szCs w:val="24"/>
        </w:rPr>
      </w:pPr>
      <w:r w:rsidRPr="0092771C">
        <w:t>–</w:t>
      </w:r>
      <w:r w:rsidRPr="0092771C">
        <w:tab/>
        <w:t>като взе предвид годишния отчет за дейността на Европейския икономически и социален комитет за 2023 г.,</w:t>
      </w:r>
    </w:p>
    <w:p w14:paraId="636229C5" w14:textId="77777777" w:rsidR="0089522E" w:rsidRPr="0092771C" w:rsidRDefault="0089522E" w:rsidP="00042F8B">
      <w:pPr>
        <w:pStyle w:val="NormalHanging12a"/>
        <w:widowControl/>
      </w:pPr>
      <w:r w:rsidRPr="0092771C">
        <w:t>–</w:t>
      </w:r>
      <w:r w:rsidRPr="0092771C">
        <w:tab/>
        <w:t>като взе предвид годишния доклад на Сметната палата относно изпълнението на бюджета за финансовата 2023 година, придружен от отговорите на институциите</w:t>
      </w:r>
      <w:r w:rsidRPr="0092771C">
        <w:rPr>
          <w:rStyle w:val="FootnoteReference"/>
        </w:rPr>
        <w:footnoteReference w:id="3"/>
      </w:r>
      <w:r w:rsidRPr="0092771C">
        <w:t>,</w:t>
      </w:r>
    </w:p>
    <w:p w14:paraId="47E95A22" w14:textId="77777777" w:rsidR="0089522E" w:rsidRPr="0092771C" w:rsidRDefault="0089522E" w:rsidP="00042F8B">
      <w:pPr>
        <w:pStyle w:val="NormalHanging12a"/>
        <w:widowControl/>
      </w:pPr>
      <w:r w:rsidRPr="0092771C">
        <w:t>–</w:t>
      </w:r>
      <w:r w:rsidRPr="0092771C">
        <w:tab/>
        <w:t>като взе предвид декларацията за достоверност</w:t>
      </w:r>
      <w:r w:rsidRPr="0092771C">
        <w:rPr>
          <w:rStyle w:val="FootnoteReference"/>
        </w:rPr>
        <w:footnoteReference w:id="4"/>
      </w:r>
      <w:r w:rsidRPr="0092771C">
        <w:t xml:space="preserve"> относно надеждността и точността на отчетите, както и законосъобразността и редовността на свързаните с тях операции, предоставена от Сметната палата за финансовата 2023 година в съответствие с член 287 от Договора за функционирането на Европейския съюз,</w:t>
      </w:r>
    </w:p>
    <w:p w14:paraId="5E33B5F2" w14:textId="77777777" w:rsidR="0089522E" w:rsidRPr="0092771C" w:rsidRDefault="0089522E" w:rsidP="00042F8B">
      <w:pPr>
        <w:pStyle w:val="NormalHanging12a"/>
        <w:widowControl/>
      </w:pPr>
      <w:r w:rsidRPr="0092771C">
        <w:t>–</w:t>
      </w:r>
      <w:r w:rsidRPr="0092771C">
        <w:tab/>
        <w:t>като взе предвид член 314, параграф 10 и членове 317, 318 и 319 от Договора за функционирането на Европейския съюз,</w:t>
      </w:r>
    </w:p>
    <w:p w14:paraId="00D7FED4" w14:textId="77777777" w:rsidR="0089522E" w:rsidRPr="0092771C" w:rsidRDefault="0089522E" w:rsidP="00042F8B">
      <w:pPr>
        <w:pStyle w:val="NormalHanging12a"/>
        <w:widowControl/>
      </w:pPr>
      <w:r w:rsidRPr="0092771C">
        <w:lastRenderedPageBreak/>
        <w:t>–</w:t>
      </w:r>
      <w:r w:rsidRPr="0092771C">
        <w:tab/>
        <w:t>като взе предвид Регламент (ЕС, Евратом) 2018/1046 на Европейския парламент и на Съвета от 18 юли 2018 г. за финансовите правила, приложими за общия бюджет на Съюза, за изменение на регламенти (ЕС) № 1296/2013, (ЕС) № 1301/2013, (ЕС) № 1303/2013, (ЕС) № 1304/2013, (ЕС) № 1309/2013, (ЕС) № 1316/2013, (ЕС) № 223/2014 и (ЕС) № 283/2014 и на Решение № 541/2014/ЕС и за отмяна на Регламент (ЕС, Евратом) № 966/2012</w:t>
      </w:r>
      <w:r w:rsidRPr="0092771C">
        <w:rPr>
          <w:rStyle w:val="FootnoteReference"/>
        </w:rPr>
        <w:footnoteReference w:id="5"/>
      </w:r>
      <w:r w:rsidRPr="0092771C">
        <w:t>, и по-специално членове 59, 118, 260, 261 и 262 от него,</w:t>
      </w:r>
    </w:p>
    <w:p w14:paraId="7957AC6E" w14:textId="77777777" w:rsidR="0089522E" w:rsidRPr="0092771C" w:rsidRDefault="0089522E" w:rsidP="00042F8B">
      <w:pPr>
        <w:pStyle w:val="NormalHanging12a"/>
        <w:widowControl/>
      </w:pPr>
      <w:r w:rsidRPr="0092771C">
        <w:t>–</w:t>
      </w:r>
      <w:r w:rsidRPr="0092771C">
        <w:tab/>
        <w:t xml:space="preserve">като взе предвид </w:t>
      </w:r>
      <w:r w:rsidRPr="0092771C">
        <w:rPr>
          <w:color w:val="333333"/>
          <w:shd w:val="clear" w:color="auto" w:fill="FFFFFF"/>
        </w:rPr>
        <w:t>Регламент (ЕС, Евратом) 2024/2509 на Европейския парламент и на Съвета от 23 септември 2024 г. за финансовите правила, приложими за общия бюджет на Съюза</w:t>
      </w:r>
      <w:r w:rsidRPr="0092771C">
        <w:rPr>
          <w:rStyle w:val="FootnoteReference"/>
          <w:bCs/>
          <w:color w:val="333333"/>
          <w:szCs w:val="24"/>
          <w:shd w:val="clear" w:color="auto" w:fill="FFFFFF"/>
        </w:rPr>
        <w:footnoteReference w:id="6"/>
      </w:r>
      <w:r w:rsidRPr="0092771C">
        <w:rPr>
          <w:color w:val="333333"/>
          <w:shd w:val="clear" w:color="auto" w:fill="FFFFFF"/>
        </w:rPr>
        <w:t>, и по-специално членове 59, 118, 266, 267 и 268 от него</w:t>
      </w:r>
      <w:r w:rsidRPr="0092771C">
        <w:t>,</w:t>
      </w:r>
    </w:p>
    <w:p w14:paraId="337EF89D" w14:textId="77777777" w:rsidR="0089522E" w:rsidRPr="0092771C" w:rsidRDefault="0089522E" w:rsidP="00042F8B">
      <w:pPr>
        <w:pStyle w:val="NormalHanging12a"/>
        <w:widowControl/>
      </w:pPr>
      <w:r w:rsidRPr="0092771C">
        <w:t>–</w:t>
      </w:r>
      <w:r w:rsidRPr="0092771C">
        <w:tab/>
        <w:t>като взе предвид член 102 и приложение V към своя Правилник за дейността,</w:t>
      </w:r>
    </w:p>
    <w:p w14:paraId="29147FC5" w14:textId="77777777" w:rsidR="0089522E" w:rsidRPr="0092771C" w:rsidRDefault="0089522E" w:rsidP="00042F8B">
      <w:pPr>
        <w:pStyle w:val="NormalHanging12a"/>
        <w:widowControl/>
      </w:pPr>
      <w:r w:rsidRPr="0092771C">
        <w:t>–</w:t>
      </w:r>
      <w:r w:rsidRPr="0092771C">
        <w:tab/>
        <w:t>като взе предвид доклада на комисията по бюджетен контрол (A10-0054/2025),</w:t>
      </w:r>
    </w:p>
    <w:p w14:paraId="12766F27" w14:textId="77777777" w:rsidR="0089522E" w:rsidRPr="0092771C" w:rsidRDefault="0089522E" w:rsidP="00042F8B">
      <w:pPr>
        <w:pStyle w:val="NormalHanging12a"/>
        <w:widowControl/>
      </w:pPr>
      <w:r w:rsidRPr="0092771C">
        <w:t>1.</w:t>
      </w:r>
      <w:r w:rsidRPr="0092771C">
        <w:tab/>
        <w:t>освобождава от отговорност генералния секретар на Европейския икономически и социален комитет във връзка с изпълнението на бюджета на Европейския икономически и социален комитет за финансовата 2023 година;</w:t>
      </w:r>
    </w:p>
    <w:p w14:paraId="6492E2B0" w14:textId="77777777" w:rsidR="0089522E" w:rsidRPr="0092771C" w:rsidRDefault="0089522E" w:rsidP="00042F8B">
      <w:pPr>
        <w:pStyle w:val="NormalHanging12a"/>
        <w:widowControl/>
      </w:pPr>
      <w:r w:rsidRPr="0092771C">
        <w:t>2.</w:t>
      </w:r>
      <w:r w:rsidRPr="0092771C">
        <w:tab/>
        <w:t>представя своите забележки в резолюцията по-долу;</w:t>
      </w:r>
    </w:p>
    <w:p w14:paraId="720F6AA0" w14:textId="77777777" w:rsidR="0089522E" w:rsidRPr="0092771C" w:rsidRDefault="0089522E" w:rsidP="00042F8B">
      <w:pPr>
        <w:pStyle w:val="NormalHanging12a"/>
        <w:widowControl/>
      </w:pPr>
      <w:r w:rsidRPr="0092771C">
        <w:t>3.</w:t>
      </w:r>
      <w:r w:rsidRPr="0092771C">
        <w:tab/>
        <w:t>възлага на своя председател да предаде настоящото решение, както и резолюцията, която е неразделна част от него, на Европейския икономически и социален комитет, Съвета, Комисията и Сметната палата и да осигури публикуването им в</w:t>
      </w:r>
      <w:r w:rsidRPr="0092771C">
        <w:rPr>
          <w:i/>
        </w:rPr>
        <w:t xml:space="preserve"> Официален вестник на Европейския съюз</w:t>
      </w:r>
      <w:r w:rsidRPr="0092771C">
        <w:t xml:space="preserve"> (серия L).</w:t>
      </w:r>
    </w:p>
    <w:p w14:paraId="547A8385" w14:textId="77777777" w:rsidR="0089522E" w:rsidRPr="0092771C" w:rsidRDefault="0089522E" w:rsidP="0089522E">
      <w:pPr>
        <w:pStyle w:val="PageHeading"/>
      </w:pPr>
    </w:p>
    <w:p w14:paraId="7B1467D8" w14:textId="77777777" w:rsidR="0089522E" w:rsidRPr="0092771C" w:rsidRDefault="0089522E" w:rsidP="0089522E">
      <w:pPr>
        <w:pStyle w:val="PageHeading"/>
        <w:sectPr w:rsidR="0089522E" w:rsidRPr="0092771C" w:rsidSect="00716E5F">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8E0C433" w14:textId="77777777" w:rsidR="0089522E" w:rsidRPr="0092771C" w:rsidRDefault="0089522E" w:rsidP="00042F8B">
      <w:pPr>
        <w:pStyle w:val="ATHeading3"/>
        <w:rPr>
          <w:lang w:val="hu-HU"/>
        </w:rPr>
      </w:pPr>
      <w:bookmarkStart w:id="8" w:name="_Toc195529788"/>
      <w:r w:rsidRPr="0092771C">
        <w:rPr>
          <w:lang w:val="hu-HU"/>
        </w:rPr>
        <w:lastRenderedPageBreak/>
        <w:t xml:space="preserve">2. </w:t>
      </w:r>
      <w:r w:rsidR="00042F8B" w:rsidRPr="0092771C">
        <w:t xml:space="preserve">Резолюция на Европейския парламент от </w:t>
      </w:r>
      <w:r w:rsidR="0092771C">
        <w:t>7 май</w:t>
      </w:r>
      <w:r w:rsidR="00042F8B" w:rsidRPr="0092771C">
        <w:t xml:space="preserve"> 2025 г., </w:t>
      </w:r>
      <w:bookmarkEnd w:id="8"/>
      <w:r w:rsidRPr="0092771C">
        <w:t>съдържащ</w:t>
      </w:r>
      <w:r w:rsidR="0092771C">
        <w:t>а</w:t>
      </w:r>
      <w:r w:rsidRPr="0092771C">
        <w:t xml:space="preserve"> забележките, които са неразделна част от решението за освобождаване от отговорност във връзка с изпълнението на общия бюджет на Европейския съюз за финансовата 2023 година, раздел VI – Европейски икономически и социален комитет</w:t>
      </w:r>
      <w:r w:rsidR="00042F8B" w:rsidRPr="0092771C">
        <w:rPr>
          <w:lang w:val="hu-HU"/>
        </w:rPr>
        <w:t xml:space="preserve"> </w:t>
      </w:r>
      <w:r w:rsidRPr="0092771C">
        <w:rPr>
          <w:lang w:val="hu-HU"/>
        </w:rPr>
        <w:t>(2024/2025(DEC))</w:t>
      </w:r>
    </w:p>
    <w:p w14:paraId="41D3C6BF" w14:textId="77777777" w:rsidR="0089522E" w:rsidRPr="0092771C" w:rsidRDefault="0089522E" w:rsidP="0089522E">
      <w:pPr>
        <w:pStyle w:val="EPComma"/>
      </w:pPr>
      <w:r w:rsidRPr="0092771C">
        <w:rPr>
          <w:i/>
          <w:iCs/>
        </w:rPr>
        <w:t>Европейският парламент,</w:t>
      </w:r>
    </w:p>
    <w:p w14:paraId="747C6EA4" w14:textId="77777777" w:rsidR="0089522E" w:rsidRPr="0092771C" w:rsidRDefault="0089522E" w:rsidP="00042F8B">
      <w:pPr>
        <w:pStyle w:val="NormalHanging12a"/>
        <w:widowControl/>
      </w:pPr>
      <w:r w:rsidRPr="0092771C">
        <w:t>–</w:t>
      </w:r>
      <w:r w:rsidRPr="0092771C">
        <w:tab/>
        <w:t>като взе предвид своето решение за освобождаване от отговорност във връзка с изпълнението на общия бюджет на Европейския съюз за финансовата 2023 година, раздел VI ‒ Европейски икономически и социален комитет,</w:t>
      </w:r>
    </w:p>
    <w:p w14:paraId="64AD80F0" w14:textId="77777777" w:rsidR="0089522E" w:rsidRPr="0092771C" w:rsidRDefault="0089522E" w:rsidP="00042F8B">
      <w:pPr>
        <w:pStyle w:val="NormalHanging12a"/>
        <w:widowControl/>
      </w:pPr>
      <w:r w:rsidRPr="0092771C">
        <w:t>–</w:t>
      </w:r>
      <w:r w:rsidRPr="0092771C">
        <w:tab/>
        <w:t>като взе предвид член 102 и приложение V към своя Правилник за дейността,</w:t>
      </w:r>
    </w:p>
    <w:p w14:paraId="6F385EA9" w14:textId="77777777" w:rsidR="0089522E" w:rsidRPr="0092771C" w:rsidRDefault="0089522E" w:rsidP="00042F8B">
      <w:pPr>
        <w:pStyle w:val="NormalHanging12a"/>
        <w:widowControl/>
      </w:pPr>
      <w:r w:rsidRPr="0092771C">
        <w:t>–</w:t>
      </w:r>
      <w:r w:rsidRPr="0092771C">
        <w:tab/>
        <w:t>като взе предвид доклада на комисията по бюджетен контрол (A10-0054/2025),</w:t>
      </w:r>
    </w:p>
    <w:p w14:paraId="609473AD" w14:textId="77777777" w:rsidR="0089522E" w:rsidRPr="0092771C" w:rsidRDefault="0089522E" w:rsidP="00042F8B">
      <w:pPr>
        <w:pStyle w:val="NormalHanging12a"/>
        <w:widowControl/>
      </w:pPr>
      <w:r w:rsidRPr="0092771C">
        <w:t>А.</w:t>
      </w:r>
      <w:r w:rsidRPr="0092771C">
        <w:tab/>
        <w:t>като има предвид, че в контекста на процедурата по освобождаване от отговорност органът по освобождаване от отговорност желае да подчертае особеното значение на по-нататъшното укрепване на демократичната легитимност на институциите на Съюза чрез повишаване на прозрачността и отчетността и прилагане на концепцията за бюджетиране, основано на изпълнението, както и добро управление на човешките ресурси;</w:t>
      </w:r>
    </w:p>
    <w:p w14:paraId="3A269E79" w14:textId="77777777" w:rsidR="0089522E" w:rsidRPr="0092771C" w:rsidRDefault="0089522E" w:rsidP="00042F8B">
      <w:pPr>
        <w:pStyle w:val="NormalHanging12a"/>
        <w:widowControl/>
      </w:pPr>
      <w:r w:rsidRPr="0092771C">
        <w:t>Б.</w:t>
      </w:r>
      <w:r w:rsidRPr="0092771C">
        <w:tab/>
        <w:t>като има предвид, че Европейският икономически и социален комитет („Комитетът“) е консултативен орган на Съюза, който осигурява форум за консултации, диалог и консенсус между представителите на различните икономически, социални и граждански компоненти на организираното гражданско общество от държавите членки;</w:t>
      </w:r>
    </w:p>
    <w:p w14:paraId="769A4DA3" w14:textId="77777777" w:rsidR="0089522E" w:rsidRPr="0092771C" w:rsidRDefault="0089522E" w:rsidP="00042F8B">
      <w:pPr>
        <w:pStyle w:val="NormalHanging12a"/>
        <w:widowControl/>
      </w:pPr>
      <w:r w:rsidRPr="0092771C">
        <w:t>В.</w:t>
      </w:r>
      <w:r w:rsidRPr="0092771C">
        <w:tab/>
        <w:t>като има предвид, че Комитетът допринася за процеса на вземане на решения в Съюза и че осигурявайки връзка между политиките на Съюза и икономическите, социалните и гражданските обстоятелства, изпълнява своите мисии за по-добро законотворчество, демокрация на участието „от долу нагоре“ и насърчаване на европейските ценности;</w:t>
      </w:r>
    </w:p>
    <w:p w14:paraId="18A16393" w14:textId="77777777" w:rsidR="0089522E" w:rsidRPr="0092771C" w:rsidRDefault="0089522E" w:rsidP="00042F8B">
      <w:pPr>
        <w:pStyle w:val="NormalHanging12a"/>
        <w:widowControl/>
      </w:pPr>
      <w:r w:rsidRPr="0092771C">
        <w:t>Г.</w:t>
      </w:r>
      <w:r w:rsidRPr="0092771C">
        <w:tab/>
        <w:t>като има предвид, че в определени области решения могат да се вземат само след като Комисията или Съветът се консултират с Комитета и че Комитетът може също да приема становища по собствена инициатива, като същевременно с него може да се провеждат консултации по широк кръг от теми, както е определено в Единния европейски акт, Договора от Маастрихт и Договора от Амстердам, които предвиждат той да предоставя консултации на Парламента;</w:t>
      </w:r>
    </w:p>
    <w:p w14:paraId="0275AD89" w14:textId="77777777" w:rsidR="0089522E" w:rsidRPr="0092771C" w:rsidRDefault="0089522E" w:rsidP="00042F8B">
      <w:pPr>
        <w:pStyle w:val="NormalHanging12a"/>
        <w:widowControl/>
      </w:pPr>
      <w:r w:rsidRPr="0092771C">
        <w:t>Д.</w:t>
      </w:r>
      <w:r w:rsidRPr="0092771C">
        <w:tab/>
        <w:t>като има предвид, че комисията по финансови и бюджетни въпроси (CAF) на Комитета е надзорният орган на Комитета за всички бюджетни процедури и по-специално за изготвянето на бюджетните прогнози, изпълнението на бюджета, годишния отчет за дейността, освобождаването от отговорност и последващите действия във връзка с годишния доклад на Сметната палата („Палатата“);</w:t>
      </w:r>
    </w:p>
    <w:p w14:paraId="778F1DE8" w14:textId="77777777" w:rsidR="0089522E" w:rsidRPr="0092771C" w:rsidRDefault="0089522E" w:rsidP="00042F8B">
      <w:pPr>
        <w:pStyle w:val="NormalHanging12a"/>
        <w:widowControl/>
      </w:pPr>
      <w:r w:rsidRPr="0092771C">
        <w:t>Е.</w:t>
      </w:r>
      <w:r w:rsidRPr="0092771C">
        <w:tab/>
        <w:t xml:space="preserve">като има предвид, че през последните години Комитетът предприе инициативи за привличане и задържане на квалифициран персонал, за оптимизиране на </w:t>
      </w:r>
      <w:r w:rsidRPr="0092771C">
        <w:lastRenderedPageBreak/>
        <w:t>организационната си структура и методите си на работа и за насърчаване на достойна работна среда, в контекста на ограничен бюджет;</w:t>
      </w:r>
    </w:p>
    <w:p w14:paraId="487B55E1" w14:textId="77777777" w:rsidR="0089522E" w:rsidRPr="0092771C" w:rsidRDefault="0089522E" w:rsidP="00042F8B">
      <w:pPr>
        <w:pStyle w:val="NormalHanging12a"/>
        <w:widowControl/>
      </w:pPr>
      <w:r w:rsidRPr="0092771C">
        <w:t>1.</w:t>
      </w:r>
      <w:r w:rsidRPr="0092771C">
        <w:tab/>
        <w:t xml:space="preserve">отбелязва, че бюджетът на Комитета попада в обхвата на функция 7 от МФР „Европейска публична администрация“, която през 2023 г. възлиза на общо 12,3 милиарда евро, т.е. 6,4% от бюджетните разходи на Съюза; отбелязва, че през 2023 г. бюджетът на </w:t>
      </w:r>
      <w:r w:rsidRPr="0092771C">
        <w:rPr>
          <w:color w:val="000000"/>
        </w:rPr>
        <w:t>Комитета</w:t>
      </w:r>
      <w:r w:rsidRPr="0092771C">
        <w:t xml:space="preserve"> представлява 1,29% от бюджетните кредити по функция 7 от МФР;</w:t>
      </w:r>
    </w:p>
    <w:p w14:paraId="3E9A683D" w14:textId="77777777" w:rsidR="0089522E" w:rsidRPr="0092771C" w:rsidRDefault="0089522E" w:rsidP="00042F8B">
      <w:pPr>
        <w:pStyle w:val="NormalHanging12a"/>
        <w:widowControl/>
      </w:pPr>
      <w:r w:rsidRPr="0092771C">
        <w:t>2.</w:t>
      </w:r>
      <w:r w:rsidRPr="0092771C">
        <w:tab/>
        <w:t xml:space="preserve">отбелязва, че в своя годишен доклад за финансовата 2023 година („доклада на Палатата“) Палатата посочва, че е проверила извадка от 70 операции по функция 7, от които 21 операции (30%) съдържат грешки; отбелязва освен това, че за пет от тези грешки, </w:t>
      </w:r>
      <w:proofErr w:type="spellStart"/>
      <w:r w:rsidRPr="0092771C">
        <w:t>остойностени</w:t>
      </w:r>
      <w:proofErr w:type="spellEnd"/>
      <w:r w:rsidRPr="0092771C">
        <w:t xml:space="preserve"> от Палатата, тя е изчислила процент на грешки под прага на същественост;</w:t>
      </w:r>
    </w:p>
    <w:p w14:paraId="449DBB49" w14:textId="77777777" w:rsidR="0089522E" w:rsidRPr="0092771C" w:rsidRDefault="0089522E" w:rsidP="00042F8B">
      <w:pPr>
        <w:pStyle w:val="NormalHanging12a"/>
        <w:widowControl/>
      </w:pPr>
      <w:r w:rsidRPr="0092771C">
        <w:t>3.</w:t>
      </w:r>
      <w:r w:rsidRPr="0092771C">
        <w:tab/>
        <w:t>отбелязва от доклада на Палатата, че административните разходи включват разходи за човешки ресурси, в т.ч. и пенсии, които през 2023 г. са били около 70% от всички административни разходи, както и разходи за сгради, оборудване, енергия, комуникации и информационни технологии; приветства факта, че както и през предходните години, Палатата е заключила, че административните разходи като цяло се характеризират с ниско ниво на риск; отбелязва, че Палатата не установи никакъв конкретен проблем, засягащ Комитета през 2023 г.;</w:t>
      </w:r>
    </w:p>
    <w:p w14:paraId="7226B22A" w14:textId="77777777" w:rsidR="0089522E" w:rsidRPr="0092771C" w:rsidRDefault="0089522E" w:rsidP="00042F8B">
      <w:pPr>
        <w:pStyle w:val="NormalHanging12a"/>
        <w:widowControl/>
        <w:rPr>
          <w:b/>
          <w:i/>
        </w:rPr>
      </w:pPr>
      <w:r w:rsidRPr="0092771C">
        <w:rPr>
          <w:b/>
          <w:i/>
        </w:rPr>
        <w:t>Бюджетно и финансово управление</w:t>
      </w:r>
    </w:p>
    <w:p w14:paraId="518DDC82" w14:textId="77777777" w:rsidR="0089522E" w:rsidRPr="0092771C" w:rsidRDefault="0089522E" w:rsidP="00042F8B">
      <w:pPr>
        <w:pStyle w:val="NormalHanging12a"/>
        <w:widowControl/>
      </w:pPr>
      <w:r w:rsidRPr="0092771C">
        <w:t>4.</w:t>
      </w:r>
      <w:r w:rsidRPr="0092771C">
        <w:tab/>
        <w:t>отбелязва, че през 2023 г. окончателният приет бюджет на Комитета възлиза на 158 767 970 EUR, което представлява увеличение с 4,1% в сравнение с 2022 г.; отбелязва въз основа на отговорите на Комитета на въпросника, представен от комисията по бюджетен контрол за освобождаването от отговорност във връзка с изпълнението на бюджета за 2023 г. („въпросника“), и на годишния отчет за дейн</w:t>
      </w:r>
      <w:r w:rsidR="00DE634B">
        <w:t>остта на Комитета за 2023 г. („г</w:t>
      </w:r>
      <w:r w:rsidRPr="0092771C">
        <w:t>одишен доклад“), че между 2022 г. и 2023 г. бюджетният ред за възнагражденията и надбавките (разходи, свързани със служителите и членовете на Комитета) се е увеличил с 8,4% вследствие на инфлацията; отбелязва въз основа на въпросника, че бюджетът за външна помощ за експлоатацията, разработването и поддръжката на софтуерни системи се е увеличил с 33,70% от 2022 г. до 2023 г., тъй като през 2023 г. Комитетът превърна в приоритет изпълнението на своята стратегия в областта на цифровите технологии за периода 2024 – 2026 г.; отбелязва, че останалото разпределение на бюджетните кредити по бюджетните редове в бюджета на Комитета за 2023 г. остава сравнимо с разпределението от предходни години;</w:t>
      </w:r>
    </w:p>
    <w:p w14:paraId="4A514CC1" w14:textId="77777777" w:rsidR="0089522E" w:rsidRPr="0092771C" w:rsidRDefault="0089522E" w:rsidP="00042F8B">
      <w:pPr>
        <w:pStyle w:val="NormalHanging12a"/>
        <w:widowControl/>
      </w:pPr>
      <w:r w:rsidRPr="0092771C">
        <w:t>5.</w:t>
      </w:r>
      <w:r w:rsidRPr="0092771C">
        <w:tab/>
        <w:t>отбелязва със задоволство, че степента на изпълнение на бюджета на Комитета по отношение на бюджетните кредити за поети задължения за текущата година се е увеличила допълнително от 96,12% през 2022 г. на 98,70% през 2023 г., с което се преодолява по-ниското изпълнение на бюджета от предходните години поради пандемията от COVID-19 и свързаните с нея ограничения за пътуване; отбелязва освен това, че степента на изпълнение на бюджетните кредити за плащания за текущата година се е увеличила от 88,12% през 2022 г. на 90,67% през 2023 г.; отбелязва, че средният срок за извършване на плащания през 2023 г. е бил 20,14 дни, което е повече, отколкото през 2022 г. (т.е. 18,34 дни);</w:t>
      </w:r>
    </w:p>
    <w:p w14:paraId="2BFA66AD" w14:textId="77777777" w:rsidR="0089522E" w:rsidRPr="0092771C" w:rsidRDefault="0089522E" w:rsidP="00042F8B">
      <w:pPr>
        <w:pStyle w:val="NormalHanging12a"/>
        <w:widowControl/>
      </w:pPr>
      <w:r w:rsidRPr="0092771C">
        <w:lastRenderedPageBreak/>
        <w:t>6.</w:t>
      </w:r>
      <w:r w:rsidRPr="0092771C">
        <w:tab/>
        <w:t>отбелязва, че пренесените бюджетни кредити от 2023 към 2024 г. възлизат на 13 827 713 EUR (т.е. приблизително 8,70% от бюджета на Комитета за 2023 г.), което представлява намаление спрямо равнището от предходната година в размер на 20 162 518 EUR (т.е. приблизително 13% от бюджета на Комитета за 2022 г.); отбелязва със задоволство освен това, че степента на изпълнение на бюджетните кредити, пренесени от 2022 г. към 2023 г., е 86,76% през 2023 г. в сравнение със 76,91% през 2022 г.; насърчава Комитета да продължи да използва ефективно предоставените средства;</w:t>
      </w:r>
    </w:p>
    <w:p w14:paraId="4041B72A" w14:textId="77777777" w:rsidR="0089522E" w:rsidRPr="0092771C" w:rsidRDefault="0089522E" w:rsidP="00042F8B">
      <w:pPr>
        <w:pStyle w:val="NormalHanging12a"/>
        <w:widowControl/>
      </w:pPr>
      <w:r w:rsidRPr="0092771C">
        <w:t>7.</w:t>
      </w:r>
      <w:r w:rsidRPr="0092771C">
        <w:tab/>
        <w:t>отбелязва, че през 2022 г. собствените служби на Комитета са стартирали 12 процедури на договаряне на стойност под 60 000 EUR, главно за проучвания на отделни случаи, проучвания и логистична подкрепа; отбелязва, че Комитетът е стартирал и шест процедури за възлагане на обществени поръчки със съвместни служби, споделени с Европейския комитет на регионите („КР“), главно в областта на логистиката и поддръжката;</w:t>
      </w:r>
    </w:p>
    <w:p w14:paraId="341CA891" w14:textId="77777777" w:rsidR="0089522E" w:rsidRPr="0092771C" w:rsidRDefault="0089522E" w:rsidP="00042F8B">
      <w:pPr>
        <w:pStyle w:val="NormalHanging12a"/>
        <w:widowControl/>
      </w:pPr>
      <w:r w:rsidRPr="0092771C">
        <w:t>8.</w:t>
      </w:r>
      <w:r w:rsidRPr="0092771C">
        <w:tab/>
        <w:t xml:space="preserve">отбелязва, че през 2023 г. Комитетът е продължил да подобрява разходната ефективност на своите дейности, по-специално благодарение на хибридния модел на работа, увеличаване на работата от разстояние, пълната </w:t>
      </w:r>
      <w:proofErr w:type="spellStart"/>
      <w:r w:rsidRPr="0092771C">
        <w:t>дематериализация</w:t>
      </w:r>
      <w:proofErr w:type="spellEnd"/>
      <w:r w:rsidRPr="0092771C">
        <w:t xml:space="preserve"> на финансовите вериги и намаленото потребление на енергия; отбелязва въз основа на въпросника, че през 2023 г. Комитетът е постигнал финансови икономии в размер на 65 000 EUR в резултат на намаляването на потреблението на енергия; приветства Комитета за това, че е подписал нов рамков договор за медицински прегледи, който предвижда по-ниски цени, по-голяма гъвкавост и като цяло по-добро обслужване в сравнение с предишния договор; отбелязва значителните бюджетни и административни икономии, постигнати от Комитета чрез междуинституционално сътрудничество, по-специално чрез съвместните служби с КР и възлагането (споразумения за нивото на обслужване) на конкретни услуги на Комисията по въпроси, свързани с човешките ресурси, и използването на различни ИТ инструменти за финансово управление и човешки ресурси, както и чрез участие в междуинституционални процедури за възлагане на обществени поръчки, провеждани от други институции; отбелязва въз основа на въпросника, че общите разходи, направени от Комитета за възлагане на конкретни услуги на Комисията, са се увеличили от 743 600 EUR през 2022 г. на 793 000 EUR през 2023 г.;</w:t>
      </w:r>
    </w:p>
    <w:p w14:paraId="4A7B8224" w14:textId="77777777" w:rsidR="0089522E" w:rsidRPr="0092771C" w:rsidRDefault="0089522E" w:rsidP="00042F8B">
      <w:pPr>
        <w:pStyle w:val="NormalHanging12a"/>
        <w:widowControl/>
      </w:pPr>
      <w:r w:rsidRPr="0092771C">
        <w:t>9.</w:t>
      </w:r>
      <w:r w:rsidRPr="0092771C">
        <w:tab/>
        <w:t>припомня, че с решението на Съвета от 25 май 2023 г. надбавката за дистанционно участие на членовете на Комитета на незадължителните заседания беше определена на 145 EUR на дистанционно заседание на ден, което представлява 50% от дневната надбавка за физическо участие през 2023 г.; счита, че въпреки че дистанционното присъствие е важен инструмент за съвременните институции предвид факта, наред с другото, че то намалява разходите за заседания и позволява по-широко участие, отпускането на надбавка за дистанционно участие в заседания, дори намалена и предназначена само за някои видове прояви, е трудно за разбиране от обществеността, още повече когато се вземе предвид различната сума, плащана за дистанционно участие на членовете на Комитета и на членовете на Комитета на регионите; отбелязва със задоволство въз основа на доклада на Комитета относно последващите действия във връзка с резолюцията на Парламента относно изпълнението на бюджета на Комитета за 2022 г. („доклад за последващите действия“), че прилагането на това решение вече е довело до бюджетни икономии в размер на 1 677 000 EUR поради по-</w:t>
      </w:r>
      <w:r w:rsidRPr="0092771C">
        <w:lastRenderedPageBreak/>
        <w:t>ниските пътни разходи и изплатени надбавки, както и до икономии за околната среда в размер на около 553,66 тона CO</w:t>
      </w:r>
      <w:r w:rsidRPr="0092771C">
        <w:rPr>
          <w:vertAlign w:val="subscript"/>
        </w:rPr>
        <w:t>2</w:t>
      </w:r>
      <w:r w:rsidRPr="0092771C">
        <w:t>, дължащи се на по-малкото пътувания през 2023 г.; отбелязва въз основа на годишния доклад, че броят на дните, за които са били възстановени разходите за дистанционно участие в заседания, е бил 2006 (6 259 през 2022 г.), със средна продължителност от 3 часа на заседание на обща стойност 294 930 EUR през 2023 г. (922 925 EUR през 2022 г.); приветства многократните проверки, извършени от Комитета с цел доказване на дистанционното присъствие на членовете преди изплащането на надбавката;</w:t>
      </w:r>
    </w:p>
    <w:p w14:paraId="7F3C7325" w14:textId="77777777" w:rsidR="0089522E" w:rsidRPr="0092771C" w:rsidRDefault="0089522E" w:rsidP="00042F8B">
      <w:pPr>
        <w:pStyle w:val="NormalHanging12a"/>
        <w:widowControl/>
      </w:pPr>
      <w:r w:rsidRPr="0092771C">
        <w:t>10.</w:t>
      </w:r>
      <w:r w:rsidRPr="0092771C">
        <w:tab/>
        <w:t>отбелязва, че въздействието на агресивната война на Русия срещу Украйна продължи да оказва натиск върху бюджета на Комитета през 2023 г. чрез нарастващата инфлация и корекциите на заплатите, предизвикателствата при строителните проекти поради забавяния и по-високи цени на суровините, индексацията на договорите за наем (+ 10,3% през 2023 г. в сравнение с 2022 г.), както и индексацията на договорите за поддръжка и услуги в областта на сигурността (+ 13,50% през 2023 г. в сравнение с 2021 г.); отбелязва по-специално, че между 2021 г. и 2022 г. разходите за енергия са се увеличили от 726 000 EUR на 3 125 000 EUR, преди да спаднат на 1 923 391 EUR през 2023 г.; потвърждава тавана от 2% за разходите, които не са свързани със заплати; в този контекст поздравява Комитета за неговата инициатива за справяне с предизвикателствата на бюджетно равнище, например чрез прилагане на стратегии за енергоспестяване чрез краткосрочни, както и средносрочни и дългосрочни мерки, като по този начин през 2023 г. не беше необходим коригиращ бюджет;</w:t>
      </w:r>
    </w:p>
    <w:p w14:paraId="4D1A4B00" w14:textId="50286A4A" w:rsidR="0089522E" w:rsidRPr="0092771C" w:rsidRDefault="0089522E" w:rsidP="00042F8B">
      <w:pPr>
        <w:pStyle w:val="NormalHanging12a"/>
        <w:widowControl/>
      </w:pPr>
      <w:r w:rsidRPr="0092771C">
        <w:t>11.</w:t>
      </w:r>
      <w:r w:rsidRPr="0092771C">
        <w:tab/>
        <w:t>отбелязва намаляването на бюджетните кредити за текущата година по бюджетен ред 1</w:t>
      </w:r>
      <w:r w:rsidR="00AB20B6">
        <w:t> </w:t>
      </w:r>
      <w:r w:rsidRPr="0092771C">
        <w:t>0</w:t>
      </w:r>
      <w:r w:rsidR="00AB20B6">
        <w:t> </w:t>
      </w:r>
      <w:r w:rsidRPr="0092771C">
        <w:t>0</w:t>
      </w:r>
      <w:r w:rsidR="00AB20B6">
        <w:t> </w:t>
      </w:r>
      <w:r w:rsidRPr="0092771C">
        <w:t>4 (разходи за пътни разноски на членовете, включително дневни и заседателни надбавки) от 19,790 милиона евро през 2022 г. (от които са изплатени 15,895 милиона евро) на 19,761 милиона евро през 2023 г. (от които са изплатени 18,344 милиона евро); отбелязва със задоволство подобряването на степента на изпълнение на тези бюджетни кредити от 80,31% през 2022 г. на 92,83% през 2023 г.; отбелязва, че през 2023 г. председателят на Комитета е участвал в 35 командировки на обща стойност 71 926 EUR в сравнение с 26 командировки на обща стойност 38 042 EUR през 2022 г.;</w:t>
      </w:r>
    </w:p>
    <w:p w14:paraId="04BC22E2" w14:textId="77777777" w:rsidR="0089522E" w:rsidRPr="0092771C" w:rsidRDefault="0089522E" w:rsidP="00042F8B">
      <w:pPr>
        <w:pStyle w:val="NormalHanging12a"/>
        <w:widowControl/>
      </w:pPr>
      <w:r w:rsidRPr="0092771C">
        <w:t>12.</w:t>
      </w:r>
      <w:r w:rsidRPr="0092771C">
        <w:tab/>
        <w:t xml:space="preserve">отбелязва въз основа на въпросника, че съвместната дирекция за иновации и информационни технологии на Комитета и Комитета на регионите разпределя около 3% от своя бюджет за информационни технологии за киберсигурност, което е далеч от целта от 10%, предвидена в съответното законодателство; призовава </w:t>
      </w:r>
      <w:proofErr w:type="spellStart"/>
      <w:r w:rsidRPr="0092771C">
        <w:t>съзаконодателите</w:t>
      </w:r>
      <w:proofErr w:type="spellEnd"/>
      <w:r w:rsidRPr="0092771C">
        <w:t xml:space="preserve"> и Комисията да вземат това предвид в контекста на годишната бюджетна процедура;</w:t>
      </w:r>
    </w:p>
    <w:p w14:paraId="4092F073" w14:textId="77777777" w:rsidR="0089522E" w:rsidRPr="0092771C" w:rsidRDefault="0089522E" w:rsidP="00042F8B">
      <w:pPr>
        <w:pStyle w:val="NormalHanging12a"/>
        <w:widowControl/>
      </w:pPr>
      <w:r w:rsidRPr="0092771C">
        <w:rPr>
          <w:b/>
          <w:i/>
        </w:rPr>
        <w:t>Вътрешно управление, резултати от дейността и вътрешен контрол</w:t>
      </w:r>
    </w:p>
    <w:p w14:paraId="601F3608" w14:textId="77777777" w:rsidR="0089522E" w:rsidRPr="0092771C" w:rsidRDefault="0089522E" w:rsidP="00042F8B">
      <w:pPr>
        <w:pStyle w:val="NormalHanging12a"/>
        <w:widowControl/>
      </w:pPr>
      <w:r w:rsidRPr="0092771C">
        <w:t>13.</w:t>
      </w:r>
      <w:r w:rsidRPr="0092771C">
        <w:tab/>
        <w:t xml:space="preserve">отбелязва въз основа на годишния доклад, че като част от годишната си работна програма за 2023 г. Комитетът е имал общо 31 цели, предназначени за всички структури на неговата администрация, а като част от стратегията на генералния секретариат за периода 2021 – 2025 г. Комитетът има пет основни ценности и пет ключови стратегически цели; отбелязва въз основа на въпросника, че броят на изготвените становища и участието в срещи на високо равнище са ключови показатели за измерване на резултатите от дейността на Комитета; отбелязва въз </w:t>
      </w:r>
      <w:r w:rsidRPr="0092771C">
        <w:lastRenderedPageBreak/>
        <w:t>основа на въпросника, че Комитетът разполага с показатели за изпълнение в различни области, като например информационните технологии, човешките ресурси, писмените преводи и комуникацията; изисква от Комитета да включи в бъдещото си докладване списък, по дейности, на всички ключови показатели за изпълнение и цели, както и целевата стойност (%), определена за постигането им, и равнището (%) на тяхното постигане;</w:t>
      </w:r>
    </w:p>
    <w:p w14:paraId="2868AAF9" w14:textId="77777777" w:rsidR="0089522E" w:rsidRPr="0092771C" w:rsidRDefault="0089522E" w:rsidP="00042F8B">
      <w:pPr>
        <w:pStyle w:val="NormalHanging12a"/>
        <w:widowControl/>
      </w:pPr>
      <w:r w:rsidRPr="0092771C">
        <w:t>14.</w:t>
      </w:r>
      <w:r w:rsidRPr="0092771C">
        <w:tab/>
        <w:t>отбелязва, че Комитетът изпълнява своята мисия чрез становища по законодателни предложения, направени от Комисията (сезирания), становища по собствена инициатива, в които институциите на Съюза се призовават да предприемат действия, и проучвателни становища, които се използват от Комисията за планираните ѝ инициативи, и че позициите на Комитета могат да бъдат посочвани в резолюции или включвани в доклади за оценка и информационни доклади; поздравява Комитета за неговите резултати в подпомагането на Парламента, Съвета и Комисията в хода на законодателния цикъл през 2023 г.; отбелязва в този контекст, че през 2023 г. Комитетът е приел 213 становища и доклади, което представлява увеличение спрямо 202 през 2022 г., и е организирал 146 изслушвания и 23 конференции, в сравнение със съответно 116 и 29 през 2022 г.; отбелязва, че членове на Комитета са участвали в 429 срещи на високо равнище, срещи на върха и конференции през 2023 г. в сравнение с 345 през 2022 г.;</w:t>
      </w:r>
    </w:p>
    <w:p w14:paraId="5273D2AB" w14:textId="77777777" w:rsidR="0089522E" w:rsidRPr="0092771C" w:rsidRDefault="0089522E" w:rsidP="00042F8B">
      <w:pPr>
        <w:pStyle w:val="NormalHanging12a"/>
        <w:widowControl/>
      </w:pPr>
      <w:r w:rsidRPr="0092771C">
        <w:t>15.</w:t>
      </w:r>
      <w:r w:rsidRPr="0092771C">
        <w:tab/>
        <w:t>оценява факта, че през 2023 г. Комитетът е предприел действия за подобряване на видимостта и въздействието на своята работа във връзка с формата на своите становища, методологията за изготвянето на последващи становища, сътрудничеството с Парламента и Комисията и други проекти с хоризонтален характер, както и иновативни инициативи, като например оценката на въздействието на ЕС от гледна точка на младежта, инициативата „Кандидати за членство, обхванати от процеса на разширяване“ и Европейската платформа на заинтересованите страни в областта на кръговата икономика, наред с другото;</w:t>
      </w:r>
    </w:p>
    <w:p w14:paraId="4065DD83" w14:textId="77777777" w:rsidR="0089522E" w:rsidRPr="0092771C" w:rsidRDefault="0089522E" w:rsidP="00042F8B">
      <w:pPr>
        <w:pStyle w:val="NormalHanging12a"/>
        <w:widowControl/>
      </w:pPr>
      <w:r w:rsidRPr="0092771C">
        <w:t>16.</w:t>
      </w:r>
      <w:r w:rsidRPr="0092771C">
        <w:rPr>
          <w:b/>
          <w:i/>
        </w:rPr>
        <w:tab/>
      </w:r>
      <w:r w:rsidRPr="0092771C">
        <w:t>приветства инициативите, предприети от Комитета, насочени към насърчаване на активно участие на младите хора в процеса на създаване на политики;</w:t>
      </w:r>
    </w:p>
    <w:p w14:paraId="1EEFB9F1" w14:textId="77777777" w:rsidR="0089522E" w:rsidRPr="0092771C" w:rsidRDefault="0089522E" w:rsidP="00042F8B">
      <w:pPr>
        <w:pStyle w:val="NormalHanging12a"/>
        <w:widowControl/>
      </w:pPr>
      <w:r w:rsidRPr="0092771C">
        <w:t>17.</w:t>
      </w:r>
      <w:r w:rsidRPr="0092771C">
        <w:tab/>
        <w:t>приветства пилотния проект, осъществен между септември 2022 г. и април 2023 г. с цел засилване на последващите действия във връзка с избрани становища по отношение на всички институции, като в рамките на този проект 19 становища бяха избрани за засилени последващи действия; отбелязва въз основа на въпросника положителните като цяло резултати от този пилотен проект, като например подобряване на капацитета на Комитета за предприемане на последващи действия, подобряване на определянето на приоритети в работата на Комитета и увеличаване на обхвата и въздействието на избраните становища;</w:t>
      </w:r>
    </w:p>
    <w:p w14:paraId="6DBD13BC" w14:textId="77777777" w:rsidR="0089522E" w:rsidRPr="0092771C" w:rsidRDefault="0089522E" w:rsidP="00042F8B">
      <w:pPr>
        <w:pStyle w:val="NormalHanging12a"/>
        <w:widowControl/>
      </w:pPr>
      <w:r w:rsidRPr="0092771C">
        <w:t>18.</w:t>
      </w:r>
      <w:r w:rsidRPr="0092771C">
        <w:tab/>
        <w:t xml:space="preserve">подчертава, че ефективното управление на ограничените ресурси продължи да бъде основно предизвикателство през цялата 2023 г. поради ограниченията във връзка с персонала, което се усложнява от увеличените дейности и запазената стабилна политика по отношение на персонала; отбелязва плана на Комитета да въведе нов подход към стратегическото планиране на работната сила и разпределението на персонала, като използва събиране на данни за уменията на персонала, активно изслушване в цялата организация и размисъл относно стратегическите приоритети от политическите органи на Комитета; приканва </w:t>
      </w:r>
      <w:r w:rsidRPr="0092771C">
        <w:lastRenderedPageBreak/>
        <w:t>Комитета да информира редовно Парламента за резултатите от този нов план, тъй като той би могъл да вдъхнови други институции, които са изправени пред сходни и повтарящи се предизвикателства по отношение на ресурсите;</w:t>
      </w:r>
    </w:p>
    <w:p w14:paraId="09AB148D" w14:textId="77777777" w:rsidR="0089522E" w:rsidRPr="0092771C" w:rsidRDefault="0089522E" w:rsidP="00042F8B">
      <w:pPr>
        <w:pStyle w:val="NormalHanging12a"/>
        <w:widowControl/>
      </w:pPr>
      <w:r w:rsidRPr="0092771C">
        <w:t>19.</w:t>
      </w:r>
      <w:r w:rsidRPr="0092771C">
        <w:tab/>
        <w:t>отбелязва по повод на стандартите за вътрешен контрол (СВК), че проверката на съответствието за 2023 г. е показала подобрения в сравнение с 2022 г.; отбелязва в този контекст, че спазването, а именно степента на прилагане на изискванията на 16-те СВК, се е увеличило от 80,30% през 2022 г. на 87,40% през 2023 г., докато ефективността, а именно степента, в която изпълнението на тези изисквания функционира по предназначение, се е увеличила от 74% през 2022 г. на 78,10% през 2023 г.; отбелязва освен това, че годишната оценка на риска за 2023 г. показа, че прилагането на вътрешен контрол е намалило присъщите рискове (в категориите „критични“ и „много важни“) с 53% – от 40 на 19 през 2023 г.;</w:t>
      </w:r>
    </w:p>
    <w:p w14:paraId="03402571" w14:textId="77777777" w:rsidR="0089522E" w:rsidRPr="0092771C" w:rsidRDefault="0089522E" w:rsidP="00042F8B">
      <w:pPr>
        <w:pStyle w:val="NormalHanging12a"/>
        <w:widowControl/>
      </w:pPr>
      <w:r w:rsidRPr="0092771C">
        <w:t>20.</w:t>
      </w:r>
      <w:r w:rsidRPr="0092771C">
        <w:rPr>
          <w:b/>
          <w:i/>
        </w:rPr>
        <w:tab/>
      </w:r>
      <w:r w:rsidRPr="0092771C">
        <w:t>отбелязва, че през 2023 г. беше извършено преструктуриране на Службата за вътрешен одит (IAS), което засили нейното съответствие с международните одитни стандарти и рационализира и документира целия ѝ процес на работа;</w:t>
      </w:r>
    </w:p>
    <w:p w14:paraId="4EE906B7" w14:textId="77777777" w:rsidR="0089522E" w:rsidRPr="0092771C" w:rsidRDefault="0089522E" w:rsidP="00042F8B">
      <w:pPr>
        <w:pStyle w:val="NormalHanging12a"/>
        <w:widowControl/>
      </w:pPr>
      <w:r w:rsidRPr="0092771C">
        <w:t>21</w:t>
      </w:r>
      <w:r w:rsidRPr="0092771C">
        <w:tab/>
        <w:t>отбелязва, че в областта на финансовите операции в началото на 2023 г. Службата за вътрешен одит на Комитета (IAS) прие ново решение относно оценката на рисковете за прилагането на опростена процедура; отбелязва освен това, че през 2023 г. Бюрото на Комитета е приело нова харта за вътрешния одит и харта на одиторския комитет, която включва процедурни правила;</w:t>
      </w:r>
    </w:p>
    <w:p w14:paraId="5CB369D5" w14:textId="77777777" w:rsidR="0089522E" w:rsidRPr="0092771C" w:rsidRDefault="0089522E" w:rsidP="00042F8B">
      <w:pPr>
        <w:pStyle w:val="NormalHanging12a"/>
        <w:widowControl/>
      </w:pPr>
      <w:r w:rsidRPr="0092771C">
        <w:t>22.</w:t>
      </w:r>
      <w:r w:rsidRPr="0092771C">
        <w:tab/>
        <w:t>отбелязва въз основа на годишния доклад и на въпросника, че през 2023 г. IAS е започнала четири одита, а именно относно разрешенията за заседания, подбора на консултативната комисия по индустриални промени, стратегическия цикъл и надбавките за продължителност и разстояние за членовете на Комитета; призовава Комитета да информира редовно органа по освобождаване от отговорност относно резултатите от тези одити и да изпълни всички неизпълнени препоръки, произтичащи от предишни одити (относно институционалните срокове, тълкуването, проверката, етиката и почтеността, законоустановените права и сроковете за плащане);</w:t>
      </w:r>
    </w:p>
    <w:p w14:paraId="69EFE891" w14:textId="77777777" w:rsidR="0089522E" w:rsidRPr="0092771C" w:rsidRDefault="0089522E" w:rsidP="00042F8B">
      <w:pPr>
        <w:pStyle w:val="NormalHanging12a"/>
        <w:widowControl/>
        <w:rPr>
          <w:b/>
          <w:i/>
        </w:rPr>
      </w:pPr>
      <w:r w:rsidRPr="0092771C">
        <w:rPr>
          <w:b/>
          <w:i/>
        </w:rPr>
        <w:t>Човешки ресурси, равенство и благосъстояние на служителите</w:t>
      </w:r>
    </w:p>
    <w:p w14:paraId="33B9FADD" w14:textId="77777777" w:rsidR="0089522E" w:rsidRPr="0092771C" w:rsidRDefault="0089522E" w:rsidP="00042F8B">
      <w:pPr>
        <w:pStyle w:val="NormalHanging12a"/>
        <w:widowControl/>
      </w:pPr>
      <w:r w:rsidRPr="0092771C">
        <w:t>23.</w:t>
      </w:r>
      <w:r w:rsidRPr="0092771C">
        <w:tab/>
        <w:t>отбелязва, че в края на 2023 г. Комитетът е имал общо 707 служители в сравнение със 706 през 2022 г.; отбелязва освен това, че през 2023 г. са били наети 49 договорно наети служители и 130 срочно наети служители (от които 52 назначени през 2023 г.) (в сравнение с 50 договорно наети служители и 128 срочно наети служители през 2022 г.); отбелязва също така, че в Комитета са работили 12 временни служители и 10 външни служители, работещи на място, без да се включват външните доставчици на услуги в областта на логистиката и информационните технологии; отбелязва, че през 2023 г. процентът на заетост е бил 95,50% в сравнение с 95,10% през 2022 г., а текучеството на персонала през 2023 г. е било 7%;</w:t>
      </w:r>
    </w:p>
    <w:p w14:paraId="00D9B141" w14:textId="77777777" w:rsidR="0089522E" w:rsidRPr="0092771C" w:rsidRDefault="0089522E" w:rsidP="00042F8B">
      <w:pPr>
        <w:pStyle w:val="NormalHanging12a"/>
        <w:widowControl/>
      </w:pPr>
      <w:r w:rsidRPr="0092771C">
        <w:t>24.</w:t>
      </w:r>
      <w:r w:rsidRPr="0092771C">
        <w:tab/>
        <w:t xml:space="preserve">приветства продължаващите усилия на Комитета за подобряване на неговата рамка в областта на човешките ресурси с оглед превръщането му в привлекателен работодател и работно място, където всеки човек е ценен и може да развие напълно своя потенциал; отбелязва, че като част от изпълнението на своята </w:t>
      </w:r>
      <w:r w:rsidRPr="0092771C">
        <w:lastRenderedPageBreak/>
        <w:t>стратегия в областта на човешките ресурси за периода 2023 – 2025 г. през 2023 г. Комитетът изпълни няколко ключови етапа, като бяха приети нови решения относно условията на труд (хибриден режим на работа, извънреден труд, специален отпуск), стратегията и плана за действие за многообразие и приобщаване за периода 2023 – 2027 г., мобилността на персонала и методологията за чувствителните длъжности, както и относно системата за оценяване и повишаване на персонала, наред с други въпроси; отбелязва със задоволство положителните резултати от проучването на удовлетвореността на персонала, публикувано през май 2023 г., при което както служителите, така и ръководителите са изразили висока степен на удовлетвореност от различни въпроси, свързани с човешките ресурси, по-специално въпросите, свързани с работните договорености – тема, по която изглежда, че Комитетът е намерил идеалния баланс;</w:t>
      </w:r>
    </w:p>
    <w:p w14:paraId="3A71AA3C" w14:textId="7F6495A8" w:rsidR="0089522E" w:rsidRPr="0092771C" w:rsidRDefault="0089522E" w:rsidP="00042F8B">
      <w:pPr>
        <w:pStyle w:val="NormalHanging12a"/>
        <w:widowControl/>
      </w:pPr>
      <w:r w:rsidRPr="0092771C">
        <w:t>25.</w:t>
      </w:r>
      <w:r w:rsidRPr="0092771C">
        <w:tab/>
        <w:t xml:space="preserve">отбелязва, че Комитетът се превърна в нетен вносител на таланти (от други институции) за втора поредна година в резултат на прилагането на целенасочен план за привлекателност и задържане; въпреки това признава продължаващите предизвикателства, дължащи се на факта, че на фона на недостиг в списъците с резерви на </w:t>
      </w:r>
      <w:r w:rsidR="00AB20B6" w:rsidRPr="00A511BA">
        <w:t>Европейска служба за подбор на персонал</w:t>
      </w:r>
      <w:r w:rsidR="00AB20B6">
        <w:t xml:space="preserve"> (</w:t>
      </w:r>
      <w:r w:rsidRPr="0092771C">
        <w:t>EPSO</w:t>
      </w:r>
      <w:r w:rsidR="00AB20B6">
        <w:t>)</w:t>
      </w:r>
      <w:r w:rsidRPr="0092771C">
        <w:t xml:space="preserve"> се разчита на срочно наети служители, което създава рискове за запазването на експертен опит; подчертава значението на служителите на постоянни трудови договори за поддържането на умения, приемственост и продуктивна работна среда; препоръчва на Комитета да приложи инициативи, за да отговори на тези предизвикателства, например като организира вътрешни конкурси;</w:t>
      </w:r>
    </w:p>
    <w:p w14:paraId="359C8C4D" w14:textId="77777777" w:rsidR="0089522E" w:rsidRPr="0092771C" w:rsidRDefault="0089522E" w:rsidP="00042F8B">
      <w:pPr>
        <w:pStyle w:val="NormalHanging12a"/>
        <w:widowControl/>
      </w:pPr>
      <w:r w:rsidRPr="0092771C">
        <w:t>26.</w:t>
      </w:r>
      <w:r w:rsidRPr="0092771C">
        <w:tab/>
        <w:t>отбелязва, че с оглед на по-доброто разпределение на ограничените ресурси през 2023 г. беше завършен външен одит на картографирането на човешките ресурси, възложен от Комитета; отбелязва със загриженост, че резултатите от този одит потвърдиха голямото работно натоварване в много различни служби в рамките на Комитета, което излага на риск изпълнението на мисията и задълженията на Комитета; призовава Комитета да изпълни препоръките на горепосочения одит, включително като преразгледа системата за оценка и изпълнение до 2025 г., приеме новото решение относно условията на труд и провежда редовен мониторинг на ангажираността на персонала; подчертава значението на стратегическото планиране на работната сила за оптимизиране на разпределението на ресурсите, за осигуряване на съответствие с приоритетите на високо равнище, определени от политическите органи, и за продължаване на усилията за ефективност на разходите;</w:t>
      </w:r>
    </w:p>
    <w:p w14:paraId="51BF365F" w14:textId="77615F47" w:rsidR="0089522E" w:rsidRPr="0092771C" w:rsidRDefault="0089522E" w:rsidP="00042F8B">
      <w:pPr>
        <w:pStyle w:val="NormalHanging12a"/>
        <w:widowControl/>
      </w:pPr>
      <w:r w:rsidRPr="0092771C">
        <w:t>27.</w:t>
      </w:r>
      <w:r w:rsidRPr="0092771C">
        <w:tab/>
        <w:t xml:space="preserve">отбелязва, че през 2023 г. положителните тенденции, започнати през 2022 г. във връзка с набирането на персонал, са продължили; поздравява Комитета за действията, предприети в тази област, като например привеждането на публикуването на свободни длъжности в съответствие с публикуването на нови списъци с резерви на EPSO или публикуването на възможностите за работа на уебсайта на Комитета и </w:t>
      </w:r>
      <w:proofErr w:type="spellStart"/>
      <w:r w:rsidRPr="0092771C">
        <w:t>Linked</w:t>
      </w:r>
      <w:proofErr w:type="spellEnd"/>
      <w:r w:rsidR="00AB20B6">
        <w:rPr>
          <w:lang w:val="en-GB"/>
        </w:rPr>
        <w:t>I</w:t>
      </w:r>
      <w:r w:rsidRPr="0092771C">
        <w:t xml:space="preserve">n, наред с другото; отправя искане към Комитета да информира Парламента за резултатите от пилотния си проект за дейности за изграждане на положителен имидж като работодател; подчертава, че приобщаването на новопостъпилите служители е важен фактор за стратегическо съгласуване, който гарантира, че служителите са информирани за действащите правила и стратегии в дадена институция; поздравява Комитета за това, че през 2023 г. е засилил приобщаването на нови служители чрез актуализирана брошура </w:t>
      </w:r>
      <w:r w:rsidRPr="0092771C">
        <w:lastRenderedPageBreak/>
        <w:t xml:space="preserve">за посрещане и писмо към </w:t>
      </w:r>
      <w:proofErr w:type="spellStart"/>
      <w:r w:rsidRPr="0092771C">
        <w:t>новопостъпващите</w:t>
      </w:r>
      <w:proofErr w:type="spellEnd"/>
      <w:r w:rsidRPr="0092771C">
        <w:t>, информационен пакет, придружен от екологосъобразни дребни подаръци, канал за обратна връзка относно постъпването на работа, подобрен график на сесиите за посрещане, обновен Кът на новодошлите и практически съвети за приобщаване в системата за ръководители;</w:t>
      </w:r>
    </w:p>
    <w:p w14:paraId="2F95B088" w14:textId="77777777" w:rsidR="0089522E" w:rsidRPr="0092771C" w:rsidRDefault="0089522E" w:rsidP="00042F8B">
      <w:pPr>
        <w:pStyle w:val="NormalHanging12a"/>
        <w:widowControl/>
      </w:pPr>
      <w:r w:rsidRPr="0092771C">
        <w:t>28.</w:t>
      </w:r>
      <w:r w:rsidRPr="0092771C">
        <w:tab/>
        <w:t>припомня, че Комитетът прие Решение 282/23A, в сила от 1 януари 2024 г., с което се установява гъвкава, основана на доверие хибридна политика на работа, като същевременно на служителите се предлага по-добър баланс между професионалния и личния живот и се повишава адаптивността и ефикасността; изисква от Комитета своевременно да информира органа по освобождаване от отговорност относно развитието във връзка с това;</w:t>
      </w:r>
    </w:p>
    <w:p w14:paraId="1CA218F7" w14:textId="77777777" w:rsidR="0089522E" w:rsidRPr="0092771C" w:rsidRDefault="0089522E" w:rsidP="00042F8B">
      <w:pPr>
        <w:widowControl/>
        <w:spacing w:after="240"/>
        <w:ind w:left="567" w:hanging="567"/>
        <w:rPr>
          <w:sz w:val="22"/>
        </w:rPr>
      </w:pPr>
      <w:r w:rsidRPr="0092771C">
        <w:t>29.</w:t>
      </w:r>
      <w:r w:rsidRPr="0092771C">
        <w:tab/>
        <w:t>приветства назначаването на жена генерален секретар през януари 2024 г. като положително развитие към постигане на баланс между половете; изразява съжаление обаче, че процентът на жените на висши ръководни длъжности остава нисък през 2023 г., като само две от седемте висши ръководни длъжности понастоящем се заемат от жени; при все това приветства факта, че Комитетът счита баланса между половете сред своите служители, и по-специално сред висшето ръководство, за важен фактор, и приканва Комитета бързо да подобри положението на най-високите равнища, като осигури балансирано представителство в съответствие със своите ангажименти за многообразие и приобщаване;</w:t>
      </w:r>
    </w:p>
    <w:p w14:paraId="11A4811E" w14:textId="77777777" w:rsidR="0089522E" w:rsidRPr="0092771C" w:rsidRDefault="0089522E" w:rsidP="00042F8B">
      <w:pPr>
        <w:pStyle w:val="Normal6a"/>
        <w:widowControl/>
        <w:spacing w:after="240"/>
        <w:ind w:left="567" w:hanging="567"/>
      </w:pPr>
      <w:r w:rsidRPr="0092771C">
        <w:t>30.</w:t>
      </w:r>
      <w:r w:rsidRPr="0092771C">
        <w:tab/>
        <w:t xml:space="preserve">изразява съжаление, че Комитетът не е бил в състояние да предостави данни за случаите на професионално изчерпване през 2023 г., и отхвърля позицията на Комитета, изразена в неговия последващ доклад, че професионалното изчерпване само по себе си не е призната медицинска диагноза и причините за професионалното изчерпване могат да бъдат многобройни; припомня значението на статистическите данни за професионалното изчерпване с цел да се спомогне за определянето на решения относно благосъстоянието на персонала, които следва да се основават и на поуките, извлечени от миналия много неприятен опит, както и на външни оценки на настоящата рамка; признава ограниченията, свързани със защитата на данните, но подчертава стойността на </w:t>
      </w:r>
      <w:proofErr w:type="spellStart"/>
      <w:r w:rsidRPr="0092771C">
        <w:t>анонимизираните</w:t>
      </w:r>
      <w:proofErr w:type="spellEnd"/>
      <w:r w:rsidRPr="0092771C">
        <w:t xml:space="preserve"> статистически данни в подкрепа на вземането на информирани управленски решения; отбелязва със загриженост констатациите, които подчертават тежкото работно натоварване в няколко служби поради ограничените човешки ресурси; приветства приемането на нови схеми на работа като положителна стъпка, но насърчава Комитета да предприеме по-нататъшни действия, за да гарантира публикуването на </w:t>
      </w:r>
      <w:proofErr w:type="spellStart"/>
      <w:r w:rsidRPr="0092771C">
        <w:t>анонимизирани</w:t>
      </w:r>
      <w:proofErr w:type="spellEnd"/>
      <w:r w:rsidRPr="0092771C">
        <w:t xml:space="preserve"> данни за случаите на професионално изчерпване;</w:t>
      </w:r>
    </w:p>
    <w:p w14:paraId="6EFA1704" w14:textId="77777777" w:rsidR="0089522E" w:rsidRPr="0092771C" w:rsidRDefault="0089522E" w:rsidP="00042F8B">
      <w:pPr>
        <w:pStyle w:val="NormalHanging12a"/>
        <w:widowControl/>
      </w:pPr>
      <w:r w:rsidRPr="0092771C">
        <w:t>31.</w:t>
      </w:r>
      <w:r w:rsidRPr="0092771C">
        <w:tab/>
        <w:t xml:space="preserve">отбелязва, че през 2023 г. в Комитета са работели служители от всички държави членки, като някои от тях са били </w:t>
      </w:r>
      <w:proofErr w:type="spellStart"/>
      <w:r w:rsidRPr="0092771C">
        <w:t>свръхпредставени</w:t>
      </w:r>
      <w:proofErr w:type="spellEnd"/>
      <w:r w:rsidRPr="0092771C">
        <w:t xml:space="preserve"> (напр. Белгия, Италия); отбелязва, че през 2023 г. 24% от служителите на ръководни длъжности, наети от Комитета, са били от 13-те държави членки, присъединили се към Съюза след 2004 г., което представлява леко увеличение в сравнение с 21% през 2022 г. и 19% през 2021 г.; отново насърчава Комитета да продължи да предприема стъпки за постигане на балансирано от географска гледна точка представителство сред своя персонал, със специален акцент върху управленското равнище;</w:t>
      </w:r>
    </w:p>
    <w:p w14:paraId="0B51DA5C" w14:textId="77777777" w:rsidR="0089522E" w:rsidRPr="0092771C" w:rsidRDefault="0089522E" w:rsidP="00042F8B">
      <w:pPr>
        <w:pStyle w:val="NormalHanging12a"/>
        <w:widowControl/>
      </w:pPr>
      <w:r w:rsidRPr="0092771C">
        <w:lastRenderedPageBreak/>
        <w:t>32.</w:t>
      </w:r>
      <w:r w:rsidRPr="0092771C">
        <w:tab/>
        <w:t>приветства усилията на Комитета за създаване на здравословна работна среда за своите служители; приветства по-специално акцента, поставен от Комитета върху психичното и физическото здраве на персонала, и усилията, полагани за повишаване на осведомеността по въпроси, свързани със здравето; отбелязва мерките на Комитета относно управлението на отпуските по болест, като например медицинския отпуск на непълно работно време и разширената дистанционна работа, за да се гарантира, че служителите с продължително отсъствие по болест се връщат на работа своевременно, както и увеличаването на процента на служителите без отсъствия от 27% през 2022 г. на 30% през 2023 г.; отбелязва със задоволство, че Комитетът е организирал безплатна кампания за скрининг за рак на кожата в помещенията на Комитета, при което през 2023 г. в рамките на 4 дни 104 членове на персонала са се консултирали с външен дерматолог;</w:t>
      </w:r>
    </w:p>
    <w:p w14:paraId="5E32B018" w14:textId="77777777" w:rsidR="0089522E" w:rsidRPr="0092771C" w:rsidRDefault="0089522E" w:rsidP="00042F8B">
      <w:pPr>
        <w:pStyle w:val="NormalHanging12a"/>
        <w:widowControl/>
        <w:rPr>
          <w:b/>
          <w:i/>
        </w:rPr>
      </w:pPr>
      <w:r w:rsidRPr="0092771C">
        <w:rPr>
          <w:b/>
          <w:i/>
        </w:rPr>
        <w:t>Етична рамка и прозрачност</w:t>
      </w:r>
    </w:p>
    <w:p w14:paraId="599A7D28" w14:textId="77777777" w:rsidR="0089522E" w:rsidRPr="0092771C" w:rsidRDefault="0089522E" w:rsidP="00042F8B">
      <w:pPr>
        <w:pStyle w:val="NormalHanging12a"/>
        <w:widowControl/>
      </w:pPr>
      <w:r w:rsidRPr="0092771C">
        <w:t>33.</w:t>
      </w:r>
      <w:r w:rsidRPr="0092771C">
        <w:tab/>
        <w:t xml:space="preserve">приветства приемането на новата стратегия за многообразие и приобщаване, която е в сила до 2027 г.; приветства конкретните действия за повишаване на осведомеността относно уврежданията, предприети в началото на 2024 г.; отбелязва със задоволство, че обучението по въпросите на многообразието и приобщаването продължава да бъде задължително за ръководителите и препоръчително за служителите; потвърждава твърдия ангажимент на Комитета за насърчаване на напълно приобщаващо работно място; насърчава Комитета да предприеме допълнителни стъпки за наблюдение на представителството на служителите с увреждания и да гарантира публикуването на </w:t>
      </w:r>
      <w:proofErr w:type="spellStart"/>
      <w:r w:rsidRPr="0092771C">
        <w:t>анонимизирани</w:t>
      </w:r>
      <w:proofErr w:type="spellEnd"/>
      <w:r w:rsidRPr="0092771C">
        <w:t xml:space="preserve"> данни в това отношение;</w:t>
      </w:r>
    </w:p>
    <w:p w14:paraId="16C04BB7" w14:textId="77777777" w:rsidR="0089522E" w:rsidRPr="0092771C" w:rsidRDefault="0089522E" w:rsidP="00042F8B">
      <w:pPr>
        <w:pStyle w:val="NormalHanging12a"/>
        <w:widowControl/>
      </w:pPr>
      <w:r w:rsidRPr="0092771C">
        <w:t>34.</w:t>
      </w:r>
      <w:r w:rsidRPr="0092771C">
        <w:tab/>
        <w:t>отбелязва, че Комитетът е продължил процеса на вътрешна реформа, като е приел решение относно общите разпоредби за прилагане относно административните разследвания и правилата за прилагане на дисциплинарните производства през 2023 г.; поздравява Комитета за това, че е предприел тази последна стъпка, необходима за пълното прилагане на мерките за засилена етична рамка на Комитета; отбелязва въз основа на доклада за последващите действия, че Комитетът и вътрешният одитор са постигнали съгласие по план за действие, свързан с одита на етиката и почтеността на Комитета, като осем препоръки са изпълнени и приключени, а две препоръки все още са неприключени и предстои да бъдат изпълнени до март 2025 г.; отправя искане към Комитета да информира органа по освобождаване от отговорност за напредъка, постигнат по този въпрос;</w:t>
      </w:r>
    </w:p>
    <w:p w14:paraId="6A255956" w14:textId="77777777" w:rsidR="0089522E" w:rsidRPr="0092771C" w:rsidRDefault="0089522E" w:rsidP="00042F8B">
      <w:pPr>
        <w:pStyle w:val="NormalHanging12a"/>
        <w:widowControl/>
      </w:pPr>
      <w:r w:rsidRPr="0092771C">
        <w:t>35.</w:t>
      </w:r>
      <w:r w:rsidRPr="0092771C">
        <w:tab/>
        <w:t>отбелязва, че през 2023 г. Комитетът е продължил да обучава персонала и да повишава осведомеността по теми, свързани с подаването на сигнали за нередности, конфликтите на интереси и други етични въпроси; отбелязва в този контекст със задоволство резултатите от проучването относно ангажираността на персонала, проведено през 2023 г., което показва висока степен на осведоменост сред служителите по отношение на етичната рамка на Комитета, по-специално относно мрежите от доверени съветници (93%) и съветници по етика (83%); отбелязва, че Комитетът е организирал 12 обучения по тези теми, в които през 2023 г. са участвали общо 79 членове на персонала; приветства Комитета за организирането на задължително обучение относно уважението и достойнството на работното място за всички служители, включително ръководителите;</w:t>
      </w:r>
    </w:p>
    <w:p w14:paraId="35E11860" w14:textId="77777777" w:rsidR="0089522E" w:rsidRPr="0092771C" w:rsidRDefault="0089522E" w:rsidP="00042F8B">
      <w:pPr>
        <w:pStyle w:val="NormalHanging12a"/>
        <w:widowControl/>
      </w:pPr>
      <w:r w:rsidRPr="0092771C">
        <w:lastRenderedPageBreak/>
        <w:t>36.</w:t>
      </w:r>
      <w:r w:rsidRPr="0092771C">
        <w:tab/>
        <w:t>отбелязва, че през 2023 г. беше докладвано за една жалба за тормоз, която приключи същата година в резултат на разследване и посредничество от страна на Комитета, без да бъдат наложени санкции; припомня, че Комитетът е гражданска страна по текущото съдебно производство, образувано от националните органи на Белгия срещу бивш член, обвинен в неправомерни действия, което понастоящем се разглежда от белгийските съдилища; отправя искане към Комитета да информира Парламента за развитието по случая; счита, че насърчаването на култура на уважение и достойнство, подкрепена от политика на нулева толерантност към тормоза, е от решаващо значение за предотвратяване на бъдещи твърдения и за гарантиране на безопасна и приобщаваща работна среда в Комитета;</w:t>
      </w:r>
    </w:p>
    <w:p w14:paraId="1770F671" w14:textId="77777777" w:rsidR="0089522E" w:rsidRPr="0092771C" w:rsidRDefault="0089522E" w:rsidP="00042F8B">
      <w:pPr>
        <w:pStyle w:val="NormalHanging12a"/>
        <w:widowControl/>
      </w:pPr>
      <w:r w:rsidRPr="0092771C">
        <w:t>37.</w:t>
      </w:r>
      <w:r w:rsidRPr="0092771C">
        <w:tab/>
        <w:t>отново заявява, че е необходима политика на нулева толерантност срещу тормоза, за да се защити благосъстоянието на служителите, и че тя е задължение на всеки работодател; припомня, че при разглеждането на твърденията за тормоз следва да се въведе подход, основан на извлечените поуки, за да се избегнат евентуални нарушения; все пак счита, че едно външно и независимо разследване на случая, който понастоящем е предмет на съдебно производство, би било от полза за подобряване на реакцията на Комитета по подобни случаи;</w:t>
      </w:r>
    </w:p>
    <w:p w14:paraId="63AAFF2D" w14:textId="77777777" w:rsidR="0089522E" w:rsidRPr="0092771C" w:rsidRDefault="0089522E" w:rsidP="00042F8B">
      <w:pPr>
        <w:pStyle w:val="NormalHanging12a"/>
        <w:widowControl/>
      </w:pPr>
      <w:r w:rsidRPr="0092771C">
        <w:t>38.</w:t>
      </w:r>
      <w:r w:rsidRPr="0092771C">
        <w:tab/>
        <w:t>оценява готовността на Комитета да си сътрудничи с разследващите органи на Съюза, а именно Европейската служба за борба с измамите (OLAF), Европейската прокуратура и Омбудсмана; отбелязва, че през 2023 г. са били започнати два случая от OLAF, като и двата случая са били прекратени през същата година: единият поради липса на достатъчно доказателства, а другият отнесен до Комитета за последващи действия; призовава Комитета да информира органа по освобождаване от отговорност за напредъка, постигнат по втория случай; отбелязва освен това, че през 2023 г. Омбудсманът е започнал разследване във връзка с управлението на случай, свързан с твърдения за тормоз; призовава Комитета да информира органа по освобождаване от отговорност за резултатите от това разследване;</w:t>
      </w:r>
    </w:p>
    <w:p w14:paraId="320C4F0B" w14:textId="77777777" w:rsidR="0089522E" w:rsidRPr="0092771C" w:rsidRDefault="0089522E" w:rsidP="00042F8B">
      <w:pPr>
        <w:pStyle w:val="NormalHanging12a"/>
        <w:widowControl/>
      </w:pPr>
      <w:r w:rsidRPr="0092771C">
        <w:t>39.</w:t>
      </w:r>
      <w:r w:rsidRPr="0092771C">
        <w:tab/>
        <w:t>отбелязва със задоволство работата на Комитета за по-голяма прозрачност на неговите дейности през 2023 г.; отбелязва в този контекст приемането на решение за разширяване на набора от документи, достъпни онлайн чрез Регистъра за прозрачност, като протоколите от заседанията на Комитета и присъствените списъци, както и решение, с което от членовете на Комитета се изисква да се срещнат само с регистрирани заинтересовани страни, да публикуват списък на своите заседания и да приложат своя „законодателен отпечатък“ към своите становища; оценява факта, че Комитетът публикува онлайн информация относно своя годишен бюджет, показатели за изпълнение, разходи или обществени поръчки; призовава за публикуване на всички заседания, провеждани от членове на ЕИСК с трети страни;</w:t>
      </w:r>
    </w:p>
    <w:p w14:paraId="1D412FD7" w14:textId="77777777" w:rsidR="0089522E" w:rsidRPr="0092771C" w:rsidRDefault="0089522E" w:rsidP="00042F8B">
      <w:pPr>
        <w:widowControl/>
        <w:spacing w:after="240"/>
        <w:ind w:left="567" w:hanging="567"/>
        <w:rPr>
          <w:szCs w:val="24"/>
        </w:rPr>
      </w:pPr>
      <w:r w:rsidRPr="0092771C">
        <w:t>40.</w:t>
      </w:r>
      <w:r w:rsidRPr="0092771C">
        <w:tab/>
        <w:t xml:space="preserve">отбелязва със задоволство, че Комитетът е въвел солидни правила и процедури за предотвратяване на конфликтите на интереси и за избягване на кадровата въртележка между държавния и частния сектор по отношение на персонала, който извършва външни дейности, или членовете, които заемат работа, след като вече не са членове на Комитета; отбелязва в този контекст, че през 2023 г. Комитетът е въвел нова „Декларация за финансови интереси“; отбелязва, че формулярът се използва за декларации от членовете, делегатите, заместниците и съветниците </w:t>
      </w:r>
      <w:r w:rsidRPr="0092771C">
        <w:lastRenderedPageBreak/>
        <w:t>както за платените, така за неплатените им длъжности или дейности извън Комитета; освен това поздравява Комитета за участието му през 2023 г. в политическите преговори за създаване на междуинституционален орган по етика, натоварен със задачата да определя етични стандарти за укрепване на прозрачността и почтеността;</w:t>
      </w:r>
    </w:p>
    <w:p w14:paraId="68D51296" w14:textId="77777777" w:rsidR="0089522E" w:rsidRPr="0092771C" w:rsidRDefault="0089522E" w:rsidP="00042F8B">
      <w:pPr>
        <w:pStyle w:val="NormalHanging12a"/>
        <w:widowControl/>
      </w:pPr>
      <w:r w:rsidRPr="0092771C">
        <w:t>41.</w:t>
      </w:r>
      <w:r w:rsidRPr="0092771C">
        <w:tab/>
        <w:t>отбелязва, че на 21 март 2023 г. Бюрото на Комитета прие няколко мерки за прозрачност в съответствие с принципите, определени по отношение на регистъра за прозрачност на ЕС, като например препоръката членовете на мандатна длъжност да се срещат само с регистрирани заинтересовани страни, задължението членовете на мандатна длъжност да публикуват списъци на срещите си и въвеждането на доброволен „законодателен отпечатък“ за докладчиците; отбелязва, че са предприети няколко действия за изпълнение на решението на Бюрото, включително издаване на докладна записка на службите за определяне на практическите условия за изпълнение на решението, кампания за обучение за повишаване на осведомеността и предоставяне на образци на съобщения, които да бъдат включени в кореспонденцията между членовете на Комитета и външните заинтересовани страни, като ги насърчават да се присъединят към регистъра за прозрачност на ЕС (ако е приложимо);</w:t>
      </w:r>
    </w:p>
    <w:p w14:paraId="5136E945" w14:textId="77777777" w:rsidR="0089522E" w:rsidRPr="0092771C" w:rsidRDefault="0089522E" w:rsidP="00042F8B">
      <w:pPr>
        <w:pStyle w:val="NormalHanging12a"/>
        <w:widowControl/>
      </w:pPr>
      <w:r w:rsidRPr="0092771C">
        <w:t>42.</w:t>
      </w:r>
      <w:r w:rsidRPr="0092771C">
        <w:tab/>
        <w:t>настоятелно призовава ЕИСК да въведе проследяване в реално време на декларираните конфликти на интереси, като изисква от всички членове и висши служители ежегодно да оповестяват публично своите финансови интереси, активи и външни връзки, за да се предотвратят неправомерни влияния върху вземането на решения;</w:t>
      </w:r>
    </w:p>
    <w:p w14:paraId="429FE1AB" w14:textId="77777777" w:rsidR="0089522E" w:rsidRPr="0092771C" w:rsidRDefault="0089522E" w:rsidP="00042F8B">
      <w:pPr>
        <w:pStyle w:val="Normal6a"/>
        <w:widowControl/>
        <w:spacing w:after="240"/>
        <w:ind w:left="567" w:hanging="567"/>
      </w:pPr>
      <w:r w:rsidRPr="0092771C">
        <w:t>43.</w:t>
      </w:r>
      <w:r w:rsidRPr="0092771C">
        <w:tab/>
        <w:t>отбелязва липсата на случаи в областта на измамите, конфликтите на интереси и подаването на сигнали за нередности през 2023 г.; отбелязва, че ефективността на мерките на Комитета за борба с измамите беше преразгледана, за да се разработи стратегия за борба с измамите, която все още липсва въпреки неколкократните искания на Парламента в неговите резолюции за освобождаване от отговорност във връзка с изпълнението на бюджета да бъдат предприети действия за подобряване на цялостната система за борба с измамите; припомня значението на една всеобхватна стратегия за борба с измамите и призовава Комитета да информира редовно органа по освобождаване от отговорност относно резултата от тези действия, които трябваше да се увенчаят с приемането на стратегия за борба с измамите през 2024 г.;</w:t>
      </w:r>
    </w:p>
    <w:p w14:paraId="0AA142A7" w14:textId="77777777" w:rsidR="0089522E" w:rsidRPr="0092771C" w:rsidRDefault="0089522E" w:rsidP="00042F8B">
      <w:pPr>
        <w:pStyle w:val="NormalHanging12a"/>
        <w:widowControl/>
        <w:rPr>
          <w:b/>
          <w:i/>
          <w:szCs w:val="24"/>
        </w:rPr>
      </w:pPr>
      <w:r w:rsidRPr="0092771C">
        <w:rPr>
          <w:b/>
          <w:i/>
        </w:rPr>
        <w:t>Цифровизация, киберсигурност и защита на данните</w:t>
      </w:r>
    </w:p>
    <w:p w14:paraId="6786B8DD" w14:textId="77777777" w:rsidR="0089522E" w:rsidRPr="0092771C" w:rsidRDefault="0089522E" w:rsidP="00042F8B">
      <w:pPr>
        <w:pStyle w:val="NormalHanging12a"/>
        <w:widowControl/>
      </w:pPr>
      <w:r w:rsidRPr="0092771C">
        <w:t>44.</w:t>
      </w:r>
      <w:r w:rsidRPr="0092771C">
        <w:tab/>
        <w:t>отбелязва, че през 2023 г. общият бюджет за информационни технологии на Комитета и Комитета на регионите е възлизал на 12 700 000 EUR в сравнение с 11 712 000 EUR през 2022 г., т.е. увеличение с 8,4%, като през 2023 г. 350 000 EUR от този бюджет (или 3% от него) са изплатени за киберсигурност; отбелязва освен това, че 6,24% от общия бюджет на Комитета за 2023 г. представляват разходи за действия в изпълнение на новата „Стратегия в областта на цифровите технологии за периода 2024 – 2026 г.“ (DS2026), изготвена от Съвместната дирекция за иновации и информационни технологии (DIIT) през 2023 г.;</w:t>
      </w:r>
    </w:p>
    <w:p w14:paraId="366ED8F7" w14:textId="77777777" w:rsidR="0089522E" w:rsidRPr="0092771C" w:rsidRDefault="0089522E" w:rsidP="00042F8B">
      <w:pPr>
        <w:pStyle w:val="NormalHanging12a"/>
        <w:widowControl/>
      </w:pPr>
      <w:r w:rsidRPr="0092771C">
        <w:t>45.</w:t>
      </w:r>
      <w:r w:rsidRPr="0092771C">
        <w:tab/>
        <w:t xml:space="preserve">отбелязва, че в DS2026 се предвижда бъдеще, в което технологиите се интегрират в основната мисия на Комитета, като се поставя акцент върху ефикасността, </w:t>
      </w:r>
      <w:r w:rsidRPr="0092771C">
        <w:lastRenderedPageBreak/>
        <w:t xml:space="preserve">бързината и непрекъснатото цифрово развитие, като администрацията и членовете се поставят в центъра на цифровата трансформация и се цели подобряване на предоставянето на услуги, овластяването и адаптивността; отбелязва, че DS2026 е структурирана около осем цели, осем ключови принципа и четири големи проекта, като например приемането на </w:t>
      </w:r>
      <w:proofErr w:type="spellStart"/>
      <w:r w:rsidRPr="0092771C">
        <w:t>Ares</w:t>
      </w:r>
      <w:proofErr w:type="spellEnd"/>
      <w:r w:rsidRPr="0092771C">
        <w:t xml:space="preserve"> и </w:t>
      </w:r>
      <w:proofErr w:type="spellStart"/>
      <w:r w:rsidRPr="0092771C">
        <w:t>EdiT</w:t>
      </w:r>
      <w:proofErr w:type="spellEnd"/>
      <w:r w:rsidRPr="0092771C">
        <w:t>, които се очаква да бъдат въведени съответно през 2026 г. и 2025 г.; отбелязва със задоволство въз основа на въпросника напредъка, постигнат през 2023 г. от DIIT при изпълнението на DS2026, като са предприети действия като приемането на насоки за персонала относно изкуствения интелект, интегрирането на потоците от изменения с инструментите за превод и създаването на служба за управление на проекти, наред с много други;</w:t>
      </w:r>
    </w:p>
    <w:p w14:paraId="55865E09" w14:textId="54D73A7F" w:rsidR="0089522E" w:rsidRPr="0092771C" w:rsidRDefault="0089522E" w:rsidP="00042F8B">
      <w:pPr>
        <w:pStyle w:val="NormalHanging12a"/>
        <w:widowControl/>
      </w:pPr>
      <w:r w:rsidRPr="0092771C">
        <w:t>46.</w:t>
      </w:r>
      <w:r w:rsidRPr="0092771C">
        <w:tab/>
        <w:t xml:space="preserve">отбелязва въз основа на годишния доклад действията на Комитета в областта на защитата на личните данни и тяхното обработване; отбелязва, че през 2023 г. Комитетът е създал нова онлайн версия на своя запис на операциите и нов съвместен запис на операциите с КР, като в края на 2023 г. първият е имал 121 записа, а вторият – 25; отбелязва освен това, че Комитетът е приел нова процедура за справяне с нарушенията на сигурността на данните, публикувал е ръководство за защита на данните и е изпълнил няколко инициативи за повишаване на осведомеността за своите служители и членове през 2023 г.; отбелязва на последно място, че през 2023 г. </w:t>
      </w:r>
      <w:r w:rsidR="00AB20B6" w:rsidRPr="00A511BA">
        <w:t>Европейският надзорен орган по защита на данните</w:t>
      </w:r>
      <w:r w:rsidRPr="0092771C">
        <w:t xml:space="preserve"> е започнал проучване, свързано с управлението на външен одит, и е продължил по-старо проучване относно използването на услуги в облак в рамките на договорите „</w:t>
      </w:r>
      <w:proofErr w:type="spellStart"/>
      <w:r w:rsidRPr="0092771C">
        <w:t>Cloud</w:t>
      </w:r>
      <w:proofErr w:type="spellEnd"/>
      <w:r w:rsidRPr="0092771C">
        <w:t xml:space="preserve"> II“ от институциите на Съюза, като заключенията и по двете проучвания все още се очакват; отправя искане към Комитета да информира редовно органа по освобождаване от отговорност за последващите действия по тези въпроси;</w:t>
      </w:r>
    </w:p>
    <w:p w14:paraId="1ED26519" w14:textId="77777777" w:rsidR="0089522E" w:rsidRPr="0092771C" w:rsidRDefault="0089522E" w:rsidP="00042F8B">
      <w:pPr>
        <w:pStyle w:val="NormalHanging12a"/>
        <w:widowControl/>
      </w:pPr>
      <w:r w:rsidRPr="0092771C">
        <w:t>47.</w:t>
      </w:r>
      <w:r w:rsidRPr="0092771C">
        <w:tab/>
        <w:t>отбелязва, че през 2023 г. Комитетът е финализирал своя проект за оборудване на всички свои заседателни зали, като още 14 такива зали са били оборудвани с технологии, които ги правят напълно оперативни в хибриден режим; оценява факта, че Комитетът е провел всички процедури за възлагане на обществени поръчки за договори с висока стойност по напълно цифровизиран начин, използвал е квалифицирания електронен подпис за всякакъв вид договорни споразумения и е предоставил обучения на служителите относно прехода към системата от инструменти за управление на обществените поръчки и портала за финансиране и обществени поръчки през 2023 г.;</w:t>
      </w:r>
    </w:p>
    <w:p w14:paraId="087D4428" w14:textId="77777777" w:rsidR="0089522E" w:rsidRPr="0092771C" w:rsidRDefault="0089522E" w:rsidP="00042F8B">
      <w:pPr>
        <w:pStyle w:val="NormalHanging12a"/>
        <w:widowControl/>
      </w:pPr>
      <w:r w:rsidRPr="0092771C">
        <w:t>48.</w:t>
      </w:r>
      <w:r w:rsidRPr="0092771C">
        <w:tab/>
        <w:t>поздравява Комитета за конкретните му действия, за да гарантира, че през 2023 г. неговите служители придобиват цифровите умения, необходими за едно все по-цифровизирано работно място; отбелязва в този контекст дейностите, като например „мини-</w:t>
      </w:r>
      <w:proofErr w:type="spellStart"/>
      <w:r w:rsidRPr="0092771C">
        <w:t>хакатони</w:t>
      </w:r>
      <w:proofErr w:type="spellEnd"/>
      <w:r w:rsidRPr="0092771C">
        <w:t>“, организирани в рамките на партньорска мрежа, създадена с КР с цел насърчаване на по-доброто използване и разбиране на цифровите инструменти за сътрудничество, както и партньорското обучение и обмена на опит; отбелязва, че резултатите от тези дейности бяха включени в обученията, предлагани от Комитета;</w:t>
      </w:r>
    </w:p>
    <w:p w14:paraId="48AC5E5D" w14:textId="77777777" w:rsidR="0089522E" w:rsidRPr="0092771C" w:rsidRDefault="0089522E" w:rsidP="00042F8B">
      <w:pPr>
        <w:pStyle w:val="NormalHanging12a"/>
        <w:widowControl/>
      </w:pPr>
      <w:r w:rsidRPr="0092771C">
        <w:t>49.</w:t>
      </w:r>
      <w:r w:rsidRPr="0092771C">
        <w:tab/>
        <w:t xml:space="preserve">отбелязва, че през октомври 2023 г. бяха приети насоки за служителите относно използването на изкуствения интелект (ИИ), че е била предоставена информационна сесия за всички служители, като са подчертани съответните възможности и предизвикателства, и че е била осигурена допълнителна </w:t>
      </w:r>
      <w:r w:rsidRPr="0092771C">
        <w:lastRenderedPageBreak/>
        <w:t>комуникация с членовете на персонала чрез основани на знанието статии на интранет страницата на Комитета с цел повишаване на осведомеността; </w:t>
      </w:r>
    </w:p>
    <w:p w14:paraId="17ACF998" w14:textId="77777777" w:rsidR="0089522E" w:rsidRPr="0092771C" w:rsidRDefault="0089522E" w:rsidP="00042F8B">
      <w:pPr>
        <w:pStyle w:val="NormalHanging12a"/>
        <w:widowControl/>
      </w:pPr>
      <w:r w:rsidRPr="0092771C">
        <w:t>50.</w:t>
      </w:r>
      <w:r w:rsidRPr="0092771C">
        <w:tab/>
        <w:t>отбелязва, че работата продължи с приемането и прилагането на рамката за киберсигурност на NIST както в Комитета, така и в КР през 2023 г., като предприетите през посочената година действия бяха съсредоточени върху някои от принципите на тази рамка, т.е. принципите за защита и откриване; отбелязва, че стратегиите за смекчаване на последиците се прилагат, като се използва рамката за киберсигурност “</w:t>
      </w:r>
      <w:proofErr w:type="spellStart"/>
      <w:r w:rsidRPr="0092771C">
        <w:t>Essential</w:t>
      </w:r>
      <w:proofErr w:type="spellEnd"/>
      <w:r w:rsidRPr="0092771C">
        <w:t xml:space="preserve"> </w:t>
      </w:r>
      <w:proofErr w:type="spellStart"/>
      <w:r w:rsidRPr="0092771C">
        <w:t>Eight</w:t>
      </w:r>
      <w:proofErr w:type="spellEnd"/>
      <w:r w:rsidRPr="0092771C">
        <w:t>“; отбелязва освен това, че Комитетът не е бил обект на кибератаки през 2023 г., но в края на 2022 г. и началото на 2024 г. е изпитал кратки атаки за отказ на услуги (</w:t>
      </w:r>
      <w:proofErr w:type="spellStart"/>
      <w:r w:rsidRPr="0092771C">
        <w:t>DoS</w:t>
      </w:r>
      <w:proofErr w:type="spellEnd"/>
      <w:r w:rsidRPr="0092771C">
        <w:t>) срещу външно хостваните корпоративни уебсайтове на Комитета;</w:t>
      </w:r>
    </w:p>
    <w:p w14:paraId="61EFED98" w14:textId="77777777" w:rsidR="0089522E" w:rsidRPr="0092771C" w:rsidRDefault="0089522E" w:rsidP="00042F8B">
      <w:pPr>
        <w:pStyle w:val="NormalHanging12a"/>
        <w:widowControl/>
      </w:pPr>
      <w:r w:rsidRPr="0092771C">
        <w:t>51.</w:t>
      </w:r>
      <w:r w:rsidRPr="0092771C">
        <w:tab/>
        <w:t>настоятелно призовава ЕИСК да увеличи своя бюджет за киберсигурност на най-малко 10% от общите си разходи за ИТ в съответствие с директивите на ЕС в областта на киберсигурността, като гарантира засилена защита срещу киберзаплахи, особено за чувствителни данни, свързани с политиките и бюджетните въпроси;</w:t>
      </w:r>
    </w:p>
    <w:p w14:paraId="4C7AD4F5" w14:textId="77777777" w:rsidR="0089522E" w:rsidRPr="0092771C" w:rsidRDefault="0089522E" w:rsidP="00042F8B">
      <w:pPr>
        <w:pStyle w:val="NormalHanging12a"/>
        <w:widowControl/>
        <w:rPr>
          <w:b/>
          <w:i/>
        </w:rPr>
      </w:pPr>
      <w:r w:rsidRPr="0092771C">
        <w:rPr>
          <w:b/>
          <w:i/>
        </w:rPr>
        <w:t>Сгради</w:t>
      </w:r>
    </w:p>
    <w:p w14:paraId="1F4894B2" w14:textId="77777777" w:rsidR="0089522E" w:rsidRPr="0092771C" w:rsidRDefault="0089522E" w:rsidP="00042F8B">
      <w:pPr>
        <w:pStyle w:val="NormalHanging12a"/>
        <w:widowControl/>
      </w:pPr>
      <w:r w:rsidRPr="0092771C">
        <w:t>52.</w:t>
      </w:r>
      <w:r w:rsidRPr="0092771C">
        <w:tab/>
        <w:t>потвърждава получаването на доклада на Комитета от 3 юни 2024 г., с който органът по освобождаване от отговорност се информира за политиката на Комитета в областта на сградния фонд в съответствие с член 266, параграф 1 от Финансовия регламент на Съюза; отбелязва със задоволство въз основа на този доклад, че Комитетът, заедно с КР, е постигнал един от основните приоритети на своята стратегия за сградния фонд от 2017 г., а именно „географска концентрация на сградите“; отбелязва освен това, че това постижение вече е довело до икономии поради по-ниските разходи за наем на цялата сграда VMA в сравнение с трите сгради, които са били наети преди това; разбира, че тези икономии възлизат на приблизително 1,8 милиона евро, което според посочения доклад е равностойно на наема, плащан за сградата B100; отбелязва, че Комитетът понастоящем работи по актуализирането на своята дългосрочна стратегия за сградния фонд от 2017 г. и че тази работа следва да приключи до края на 2025 г.; призовава Комитета да информира редовно органа по освобождаване от отговорност относно резултата от тези действия;</w:t>
      </w:r>
    </w:p>
    <w:p w14:paraId="3E7D3466" w14:textId="77777777" w:rsidR="0089522E" w:rsidRPr="0092771C" w:rsidRDefault="0089522E" w:rsidP="00042F8B">
      <w:pPr>
        <w:widowControl/>
        <w:spacing w:after="240"/>
        <w:ind w:left="567" w:hanging="567"/>
        <w:rPr>
          <w:szCs w:val="24"/>
        </w:rPr>
      </w:pPr>
      <w:r w:rsidRPr="0092771C">
        <w:t>53.</w:t>
      </w:r>
      <w:r w:rsidRPr="0092771C">
        <w:tab/>
        <w:t>приветства приключването на ремонта (т.е. дейности по оборудване) на новопридобитата сграда VMA, което включва инсталирането на интелигентни енергоспестяващи технологии; подкрепя плана на Комитета да извърши технически и екологични одити на всички свои сгради, като има предвид, че резултатите от тези одити следва да дадат възможност за идентифициране на всички технически инсталации и сградни компоненти, които трябва да бъдат изцяло или частично обновени или поддържани в настоящия си вид, в съответствие с целите на Европейския зелен пакт; приканва Комитета да информира органа по освобождаване от отговорност относно резултатите от тези одити и последващите действия във връзка с тях;</w:t>
      </w:r>
    </w:p>
    <w:p w14:paraId="64500EAF" w14:textId="77777777" w:rsidR="0089522E" w:rsidRPr="0092771C" w:rsidRDefault="0089522E" w:rsidP="00042F8B">
      <w:pPr>
        <w:widowControl/>
        <w:spacing w:after="240"/>
        <w:ind w:left="567" w:hanging="567"/>
        <w:rPr>
          <w:szCs w:val="24"/>
        </w:rPr>
      </w:pPr>
      <w:r w:rsidRPr="0092771C">
        <w:t>54.</w:t>
      </w:r>
      <w:r w:rsidRPr="0092771C">
        <w:tab/>
        <w:t xml:space="preserve">отбелязва, че работната група относно „новите начини на работа“, създадена през 2022 г., публикува първия прогнозен доклад през 2023 г., като се съсредоточи върху наличните офис пространства и възможните варианти за оптимизиране; </w:t>
      </w:r>
      <w:r w:rsidRPr="0092771C">
        <w:lastRenderedPageBreak/>
        <w:t>отбелязва плана на Комитета да продължи усилията в тази посока с процес на участие, при който служителите ще бъдат включени в проектирането на бъдещите работни пространства; приканва Комитета да информира органа по освобождаване от отговорност за напредъка, постигнат по този въпрос;</w:t>
      </w:r>
    </w:p>
    <w:p w14:paraId="6E504369" w14:textId="77777777" w:rsidR="0089522E" w:rsidRPr="0092771C" w:rsidRDefault="0089522E" w:rsidP="00042F8B">
      <w:pPr>
        <w:widowControl/>
        <w:spacing w:after="240"/>
        <w:ind w:left="567" w:hanging="567"/>
        <w:rPr>
          <w:szCs w:val="24"/>
        </w:rPr>
      </w:pPr>
      <w:r w:rsidRPr="0092771C">
        <w:t>55.</w:t>
      </w:r>
      <w:r w:rsidRPr="0092771C">
        <w:tab/>
        <w:t>приветства ангажимента на Комитета и КР да прилагат систематично принципа „проектиране за всички“ по отношение на инфраструктурата си, като гарантират достъпността на своите сгради още при проектирането; отбелязва, че през 2023 г. двата комитета предприеха редица различни мерки, за да гарантират достъпността на своите сгради за хора с различни видове увреждания, включително при модернизирането на асансьорите в сграда JDE;</w:t>
      </w:r>
    </w:p>
    <w:p w14:paraId="18370C4E" w14:textId="77777777" w:rsidR="0089522E" w:rsidRPr="0092771C" w:rsidRDefault="0089522E" w:rsidP="00042F8B">
      <w:pPr>
        <w:pStyle w:val="NormalHanging12a"/>
        <w:widowControl/>
        <w:rPr>
          <w:b/>
          <w:i/>
          <w:szCs w:val="24"/>
        </w:rPr>
      </w:pPr>
      <w:r w:rsidRPr="0092771C">
        <w:rPr>
          <w:b/>
          <w:i/>
        </w:rPr>
        <w:t>Околна среда и устойчивост</w:t>
      </w:r>
    </w:p>
    <w:p w14:paraId="12DFDB3D" w14:textId="77777777" w:rsidR="0089522E" w:rsidRPr="0092771C" w:rsidRDefault="0089522E" w:rsidP="00042F8B">
      <w:pPr>
        <w:pStyle w:val="NormalHanging12a"/>
        <w:widowControl/>
      </w:pPr>
      <w:r w:rsidRPr="0092771C">
        <w:t>56.</w:t>
      </w:r>
      <w:r w:rsidRPr="0092771C">
        <w:tab/>
        <w:t>приветства екологосъобразните практики на Комитета и приветства по-нататъшното намаляване на потреблението на газ, електроенергия и вода и на въглеродните емисии, както и увеличаването на процента на рециклиране във връзка с дейностите на Комитета през 2023 г. в сравнение с 2019 г.; отбелязва леко влошаване в сравнение с равнищата от 2019 г. на обема на отпадъците – от -66% през 2022 г. на -56% през 2023 г. поради по-голямото присъствие в офисите;</w:t>
      </w:r>
    </w:p>
    <w:p w14:paraId="30EA70E7" w14:textId="77777777" w:rsidR="0089522E" w:rsidRPr="0092771C" w:rsidRDefault="0089522E" w:rsidP="00042F8B">
      <w:pPr>
        <w:pStyle w:val="NormalHanging12a"/>
        <w:widowControl/>
      </w:pPr>
      <w:r w:rsidRPr="0092771C">
        <w:t>57.</w:t>
      </w:r>
      <w:r w:rsidRPr="0092771C">
        <w:tab/>
        <w:t>отбелязва, че енергийната ефективност и намаляването на емисиите са постигнати чрез инвестиции в иновативни енергийно ефективни сградни инсталации, включително чрез интелигентни енергоспестяващи технологии, инсталирани в сградата VMA, закупуване на 100% зелена електроенергия, въвеждане на (персонализирани) екологични критерии във всички тръжни процедури на стойност 60 000 EUR или повече, използване на работни потоци без документи на хартиен носител и други мерки, като например намаляване на работното време за осветление, намаляване на зимната референтна температура във всички сгради до 19 градуса или затваряне на сградите в периоди на ниско присъствие на персонал, наред с много други мерки; отбелязва, че намаляването на потреблението на енергия на Комитета съответства на 3,4% и финансова печалба в размер на 65 395 EUR;</w:t>
      </w:r>
    </w:p>
    <w:p w14:paraId="2CFA1B2C" w14:textId="77777777" w:rsidR="0089522E" w:rsidRPr="0092771C" w:rsidRDefault="0089522E" w:rsidP="00042F8B">
      <w:pPr>
        <w:pStyle w:val="NormalHanging12a"/>
        <w:widowControl/>
      </w:pPr>
      <w:r w:rsidRPr="0092771C">
        <w:t>58.</w:t>
      </w:r>
      <w:r w:rsidRPr="0092771C">
        <w:tab/>
        <w:t xml:space="preserve">отбелязва въз основа на доклада за последващите действия, че интелигентните енергоспестяващи технологии, инсталирани в наскоро обновената сграда VMA, са допринесли за намаляване на потреблението на енергия на Комитета (газ и електроенергия) с 20 до 30% през 2023 г.; отново призовава Комитета обаче да предостави на Парламента актуална информация относно възвръщаемостта на инвестициите в посочените технологични инсталации; </w:t>
      </w:r>
    </w:p>
    <w:p w14:paraId="11F124E1" w14:textId="77777777" w:rsidR="0089522E" w:rsidRPr="0092771C" w:rsidRDefault="0089522E" w:rsidP="00042F8B">
      <w:pPr>
        <w:pStyle w:val="NormalHanging12a"/>
        <w:widowControl/>
      </w:pPr>
      <w:r w:rsidRPr="0092771C">
        <w:t>59.</w:t>
      </w:r>
      <w:r w:rsidRPr="0092771C">
        <w:tab/>
        <w:t>приветства факта, че Комитетът е приел стратегия за енергоспестяване с краткосрочни, средносрочни и дългосрочни мерки; отбелязва в този контекст, че Комитетът е започнал екологичен одит на всички свои сгради, за да установи, наред с другото, равнището на енергийните характеристики на настоящите структури и оборудване, както и да оцени екологичната възвръщаемост на необходимите инвестиции в сравнение с общите разходи (поддръжка, потребление и др.) за период от 30 години; отбелязва освен това, че за 2024 г. и 2025 г. са планирани проучвания относно мерките за енергийна ефективност; призовава Комитета да информира редовно органа по освобождаване от отговорност за напредъка, постигнат по тези въпроси;</w:t>
      </w:r>
    </w:p>
    <w:p w14:paraId="6B20808F" w14:textId="77777777" w:rsidR="0089522E" w:rsidRPr="0092771C" w:rsidRDefault="0089522E" w:rsidP="00042F8B">
      <w:pPr>
        <w:pStyle w:val="NormalHanging12a"/>
        <w:widowControl/>
      </w:pPr>
      <w:r w:rsidRPr="0092771C">
        <w:lastRenderedPageBreak/>
        <w:t>60.</w:t>
      </w:r>
      <w:r w:rsidRPr="0092771C">
        <w:tab/>
        <w:t>припомня, че през 2022 г. електроенергията, произведена от слънчевите панели на Комитета, е била 15,5 MWH или 0,25% от годишното потребление на Комитета, докато през 2023 г. същата цифра е намаляла на 5,75 </w:t>
      </w:r>
      <w:proofErr w:type="spellStart"/>
      <w:r w:rsidRPr="0092771C">
        <w:t>MWh</w:t>
      </w:r>
      <w:proofErr w:type="spellEnd"/>
      <w:r w:rsidRPr="0092771C">
        <w:t>; отбелязва със задоволство въз основа на въпросника, че Комитетът дава пример по отношение на мерките и действията, предприети в полза на устойчивата мобилност;</w:t>
      </w:r>
    </w:p>
    <w:p w14:paraId="58F0F053" w14:textId="77777777" w:rsidR="0089522E" w:rsidRPr="0092771C" w:rsidRDefault="0089522E" w:rsidP="00042F8B">
      <w:pPr>
        <w:pStyle w:val="NormalHanging12a"/>
        <w:widowControl/>
        <w:rPr>
          <w:b/>
          <w:i/>
        </w:rPr>
      </w:pPr>
      <w:r w:rsidRPr="0092771C">
        <w:rPr>
          <w:b/>
          <w:i/>
        </w:rPr>
        <w:t>Междуинституционално сътрудничество</w:t>
      </w:r>
    </w:p>
    <w:p w14:paraId="2E407C17" w14:textId="77777777" w:rsidR="0089522E" w:rsidRPr="0092771C" w:rsidRDefault="0089522E" w:rsidP="00042F8B">
      <w:pPr>
        <w:pStyle w:val="NormalHanging12a"/>
        <w:widowControl/>
      </w:pPr>
      <w:r w:rsidRPr="0092771C">
        <w:t>61.</w:t>
      </w:r>
      <w:r w:rsidRPr="0092771C">
        <w:tab/>
        <w:t>приветства тясното сътрудничество, установено от Комитета с КР на административно равнище чрез новото споразумение за сътрудничество, подписано през 2022 г., съгласно което двата комитета споделят помещения и съвместни служби в областта на писмените преводи, инфраструктурата, логистиката, сигурността, обществените поръчки, финансовото управление и информационните технологии, като същевременно запазват пълна институционална автономност; приветства положителното развитие през 2023 г., когато двата комитета постигнаха допълнително съгласие относно разработването и финансирането на общо пространство за комуникация със съвместни аудио-визуални съоръжения в сградата JDE; изисква от Комитета да определи и информира Парламента относно бюджетните икономии, реализирани през първата година от прилагането на това споразумение в аудио-визуалната област; призовава отново Комитета да продължи и разшири това сътрудничество в други области, за да се избегне дублирането и да се рационализират в още по-голяма степен оперативните разходи за наличните служби в помещенията, споделяни от Комитета и КР; приканва Комитета и КР да проучат възможността за създаване на единна администрация за своите съвместни служби, като поддържат отделни дирекции или отдели за службите, които се занимават с въпроси, свързани с техните специфични и независими мандати; насърчава Комитета и КР да продължат усилията си за по-нататъшно развитие на сътрудничеството и полезните взаимодействия;</w:t>
      </w:r>
    </w:p>
    <w:p w14:paraId="7AE55352" w14:textId="77777777" w:rsidR="0089522E" w:rsidRPr="0092771C" w:rsidRDefault="0089522E" w:rsidP="00042F8B">
      <w:pPr>
        <w:pStyle w:val="NormalHanging12a"/>
        <w:widowControl/>
      </w:pPr>
      <w:r w:rsidRPr="0092771C">
        <w:t>62.</w:t>
      </w:r>
      <w:r w:rsidRPr="0092771C">
        <w:tab/>
        <w:t>отбелязва, че през 2023 г. продължиха да се реализират бюджетни икономии и повишаване на ефективността чрез активно сътрудничество между Комитета и други институции на Съюза, включително чрез организиране на пленарните сесии на Комитета в помещенията на Комисията и Парламента, където местата на провеждане и свързаните с тях услуги се предоставят безплатно или на цени под външните пазарни цени;</w:t>
      </w:r>
    </w:p>
    <w:p w14:paraId="4ABA703E" w14:textId="77777777" w:rsidR="0089522E" w:rsidRPr="0092771C" w:rsidRDefault="0089522E" w:rsidP="00042F8B">
      <w:pPr>
        <w:pStyle w:val="NormalHanging12a"/>
        <w:widowControl/>
      </w:pPr>
      <w:r w:rsidRPr="0092771C">
        <w:t>63.</w:t>
      </w:r>
      <w:r w:rsidRPr="0092771C">
        <w:tab/>
        <w:t>отбелязва със задоволство, че Комитетът и Парламентът предоговориха през 2023 г. и подписаха през 2024 г. своето междуинституционално споразумение, като споразумението има за цел да се предоставя по-уместен и навременен принос през целия законодателен цикъл и да се засили двустранното сътрудничество; приветства факта, че новият протокол за сътрудничество на Комитета с Комисията, подписан през 2022 г., вече доведе до подобрения на въздействието на Комитета, например на етапа преди приемането на законодателството, чрез проучвателни становища; насърчава по-нататъшно укрепване на политическите, законодателните и комуникационните взаимодействия между Комитета и Парламента, особено в контекста на Европейската гражданска инициатива и европейския семестър;</w:t>
      </w:r>
    </w:p>
    <w:p w14:paraId="6D70D350" w14:textId="77777777" w:rsidR="0089522E" w:rsidRPr="0092771C" w:rsidRDefault="0089522E" w:rsidP="00042F8B">
      <w:pPr>
        <w:pStyle w:val="NormalHanging12a"/>
        <w:widowControl/>
      </w:pPr>
      <w:r w:rsidRPr="0092771C">
        <w:t>64.</w:t>
      </w:r>
      <w:r w:rsidRPr="0092771C">
        <w:tab/>
        <w:t xml:space="preserve">отново оценява високо възлагането на конкретни услуги на Комисията (споразумения за нивото на обслужване) при управлението на човешките ресурси </w:t>
      </w:r>
      <w:r w:rsidRPr="0092771C">
        <w:lastRenderedPageBreak/>
        <w:t>и използването на финансови ИТ инструменти и ИТ инструменти за управление на човешките ресурси, както и участието на Комитета в междуинституционални процедури за възлагане на обществени поръчки, ръководени от други институции, като през 2023 г. Комитетът продължи да се възползва от полезните взаимодействия в областта на информационните технологии, корпоративните пътувания, застраховането, транспорта, писмените преводи и аудио-визуалното оборудване;</w:t>
      </w:r>
    </w:p>
    <w:p w14:paraId="1C678745" w14:textId="77777777" w:rsidR="0089522E" w:rsidRPr="0092771C" w:rsidRDefault="0089522E" w:rsidP="00042F8B">
      <w:pPr>
        <w:pStyle w:val="Normal6a"/>
        <w:widowControl/>
        <w:spacing w:after="240"/>
        <w:ind w:left="567" w:hanging="567"/>
      </w:pPr>
      <w:r w:rsidRPr="0092771C">
        <w:t>65.</w:t>
      </w:r>
      <w:r w:rsidRPr="0092771C">
        <w:tab/>
        <w:t>отбелязва ролята на Комитета за укрепване на връзките със и между националните икономически и социални съвети (НИСС) на държавите членки; отбелязва въз основа на въпросника мерките, които Комитетът е предприел за укрепване на мрежата и онлайн общността с НИСС, като например създаване на съвместни работни групи и програми за обмен, работа върху платформа за сътрудничество в областта на информационните технологии и участие в общи прояви, наред с другото; призовава за продължаване на сътрудничеството по теми от общ интерес и обмена на добри практики, като подчертава жизненоважната роля на гражданското общество за справяне с настоящите предизвикателства пред Съюза;</w:t>
      </w:r>
    </w:p>
    <w:p w14:paraId="4ABD286C" w14:textId="77777777" w:rsidR="0089522E" w:rsidRPr="0092771C" w:rsidRDefault="0089522E" w:rsidP="00042F8B">
      <w:pPr>
        <w:pStyle w:val="NormalHanging12a"/>
        <w:widowControl/>
        <w:rPr>
          <w:b/>
          <w:i/>
        </w:rPr>
      </w:pPr>
      <w:r w:rsidRPr="0092771C">
        <w:rPr>
          <w:b/>
          <w:i/>
        </w:rPr>
        <w:t>Комуникация</w:t>
      </w:r>
    </w:p>
    <w:p w14:paraId="55C4A694" w14:textId="77777777" w:rsidR="0089522E" w:rsidRPr="0092771C" w:rsidRDefault="0089522E" w:rsidP="00042F8B">
      <w:pPr>
        <w:pStyle w:val="NormalHanging12a"/>
        <w:widowControl/>
      </w:pPr>
      <w:r w:rsidRPr="0092771C">
        <w:t>66.</w:t>
      </w:r>
      <w:r w:rsidRPr="0092771C">
        <w:tab/>
        <w:t>отбелязва, че общият бюджет на Комитета за комуникация през 2023 г. е възлизал на 2,15 милиона евро, което представлява увеличение в сравнение с 1,5 милиона евро през 2022 г.; отбелязва, че този бюджет беше разпределен предимно за четирите водещи прояви, организирани през 2023 г. (Европейска гражданска инициатива, Твоята Европа, твоето мнение!, Наградите за биологични храни и 14-ата награда за гражданското общество), подобряването и/или обновяването на социалните медии, външния уебсайт и аудио-визуалната продукция на Комитета, както и за публикации в медиите и пресата; поздравява Комитета за комуникационните му дейности в изпълнение на тези комуникационни приоритети за 2023 г., като например инициативата „Син пакт“, COP28, резолюцията относно демокрацията и 65-ата годишнина на Комитета, наред с другото;</w:t>
      </w:r>
    </w:p>
    <w:p w14:paraId="74375274" w14:textId="77777777" w:rsidR="0089522E" w:rsidRPr="0092771C" w:rsidRDefault="0089522E" w:rsidP="00042F8B">
      <w:pPr>
        <w:pStyle w:val="NormalHanging12a"/>
        <w:widowControl/>
      </w:pPr>
      <w:r w:rsidRPr="0092771C">
        <w:t>67.</w:t>
      </w:r>
      <w:r w:rsidRPr="0092771C">
        <w:tab/>
        <w:t>поздравява Комитета за усилията му във връзка с неговата стратегическа комуникация през 2023 г.; отбелязва, че Комитетът е приел нова комуникационна стратегия, насочена към укрепване на неговия имидж и обхват; отбелязва, че като част от тази стратегия Комитетът излъчи по интернет основните си прояви, предимно на всички езици на Съюза, въведе нови инструменти за комуникация, като например серията видеоматериали „Докладване от пленарните заседания“, която съсредоточи своите комуникационни ресурси върху водещите прояви на Комитета за 2023 г. и положи специални усилия за увеличаване на обхвата си в социалните медии;</w:t>
      </w:r>
    </w:p>
    <w:p w14:paraId="0963326A" w14:textId="77777777" w:rsidR="0089522E" w:rsidRPr="0092771C" w:rsidRDefault="0089522E" w:rsidP="00042F8B">
      <w:pPr>
        <w:pStyle w:val="NormalHanging12a"/>
        <w:widowControl/>
      </w:pPr>
      <w:r w:rsidRPr="0092771C">
        <w:t>68.</w:t>
      </w:r>
      <w:r w:rsidRPr="0092771C">
        <w:tab/>
        <w:t>призовава ЕИСК да засили своя мониторинг и докладване относно трудовите права, социалното приобщаване и нарушенията на правата на човека в рамките на финансираните от ЕС програми, като гарантира по-голяма отчетност в своите консултативни функции и политически препоръки;</w:t>
      </w:r>
    </w:p>
    <w:p w14:paraId="3D91D32A" w14:textId="77777777" w:rsidR="0089522E" w:rsidRPr="0092771C" w:rsidRDefault="0089522E" w:rsidP="00042F8B">
      <w:pPr>
        <w:pStyle w:val="NormalHanging12a"/>
        <w:widowControl/>
      </w:pPr>
      <w:r w:rsidRPr="0092771C">
        <w:t>69.</w:t>
      </w:r>
      <w:r w:rsidRPr="0092771C">
        <w:tab/>
        <w:t xml:space="preserve">отбелязва, че броят на последователите в социалните медии на Комитета в корпоративните платформи се е увеличил значително с 25 000 през 2023 г.; </w:t>
      </w:r>
      <w:r w:rsidRPr="0092771C">
        <w:lastRenderedPageBreak/>
        <w:t xml:space="preserve">отбелязва, че до края на 2023 г. Комитетът е достигнал 61 416 последователи в X, което представлява увеличение с 5% в сравнение с 2022 г., 61 761 последователи в </w:t>
      </w:r>
      <w:proofErr w:type="spellStart"/>
      <w:r w:rsidRPr="0092771C">
        <w:t>LinkedIn</w:t>
      </w:r>
      <w:proofErr w:type="spellEnd"/>
      <w:r w:rsidRPr="0092771C">
        <w:t xml:space="preserve">, което представлява увеличение с 30% в сравнение с 2022 г., 46 868 последователи във </w:t>
      </w:r>
      <w:proofErr w:type="spellStart"/>
      <w:r w:rsidRPr="0092771C">
        <w:t>Facebook</w:t>
      </w:r>
      <w:proofErr w:type="spellEnd"/>
      <w:r w:rsidRPr="0092771C">
        <w:t>, което представлява увеличение с 5,3% в сравнение с 2022 г., и 17 428 последователи в Instagram, което представлява увеличение с 45% в сравнение с 2022 г.;</w:t>
      </w:r>
    </w:p>
    <w:p w14:paraId="1E5ED71D" w14:textId="77777777" w:rsidR="00716E5F" w:rsidRPr="0092771C" w:rsidRDefault="0089522E" w:rsidP="00042F8B">
      <w:pPr>
        <w:pStyle w:val="NormalHanging12a"/>
        <w:widowControl/>
      </w:pPr>
      <w:r w:rsidRPr="0092771C">
        <w:t>70.</w:t>
      </w:r>
      <w:r w:rsidRPr="0092771C">
        <w:tab/>
        <w:t xml:space="preserve">приветства положителния подход на Комитета към използването на решения с отворен код за неговата онлайн комуникация; отбелязва, че през юли 2023 г. Комитетът създаде първия си профил в платформата EU </w:t>
      </w:r>
      <w:proofErr w:type="spellStart"/>
      <w:r w:rsidRPr="0092771C">
        <w:t>Voice</w:t>
      </w:r>
      <w:proofErr w:type="spellEnd"/>
      <w:r w:rsidRPr="0092771C">
        <w:t xml:space="preserve">, базираща се на софтуера </w:t>
      </w:r>
      <w:proofErr w:type="spellStart"/>
      <w:r w:rsidRPr="0092771C">
        <w:t>Mastodon</w:t>
      </w:r>
      <w:proofErr w:type="spellEnd"/>
      <w:r w:rsidRPr="0092771C">
        <w:t xml:space="preserve">, която представлява децентрализирана, безплатна мрежа на социалните медии с отворен код и свързва ползвателите в среда, съобразена с неприкосновеността на личния живот и без реклами; отбелязва през втората половина на 2023 г., че Комитетът е комуникирал активно чрез профила си в </w:t>
      </w:r>
      <w:proofErr w:type="spellStart"/>
      <w:r w:rsidRPr="0092771C">
        <w:t>Mastodon</w:t>
      </w:r>
      <w:proofErr w:type="spellEnd"/>
      <w:r w:rsidRPr="0092771C">
        <w:t>, като през всеки работен ден го е захранвал с публикации за своите дейности и приоритети и е повишавал осведомеността за Съюза; отбелязва решението на Комитета да преустанови присъствието си на тази платформа, считано от 2024 г.</w:t>
      </w:r>
    </w:p>
    <w:p w14:paraId="376F39BE" w14:textId="77777777" w:rsidR="00E365E1" w:rsidRPr="0092771C" w:rsidRDefault="00E365E1" w:rsidP="00042F8B">
      <w:pPr>
        <w:widowControl/>
        <w:spacing w:after="240"/>
        <w:ind w:left="567" w:hanging="567"/>
      </w:pPr>
    </w:p>
    <w:sectPr w:rsidR="00E365E1" w:rsidRPr="0092771C" w:rsidSect="00716E5F">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03EC5" w14:textId="77777777" w:rsidR="009F2C17" w:rsidRPr="00716E5F" w:rsidRDefault="009F2C17">
      <w:r w:rsidRPr="00716E5F">
        <w:separator/>
      </w:r>
    </w:p>
  </w:endnote>
  <w:endnote w:type="continuationSeparator" w:id="0">
    <w:p w14:paraId="3231EF79" w14:textId="77777777" w:rsidR="009F2C17" w:rsidRPr="00716E5F" w:rsidRDefault="009F2C17">
      <w:r w:rsidRPr="00716E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7328A" w14:textId="77777777" w:rsidR="0089522E" w:rsidRPr="00716E5F" w:rsidRDefault="0089522E" w:rsidP="00651409">
    <w:pPr>
      <w:pStyle w:val="EPFooter"/>
    </w:pPr>
    <w:r w:rsidRPr="00716E5F">
      <w:t>PE</w:t>
    </w:r>
    <w:r w:rsidRPr="00716E5F">
      <w:rPr>
        <w:rStyle w:val="HideTWBExt"/>
      </w:rPr>
      <w:t>&lt;</w:t>
    </w:r>
    <w:proofErr w:type="spellStart"/>
    <w:r w:rsidRPr="00716E5F">
      <w:rPr>
        <w:rStyle w:val="HideTWBExt"/>
      </w:rPr>
      <w:t>NoPE</w:t>
    </w:r>
    <w:proofErr w:type="spellEnd"/>
    <w:r w:rsidRPr="00716E5F">
      <w:rPr>
        <w:rStyle w:val="HideTWBExt"/>
      </w:rPr>
      <w:t>&gt;</w:t>
    </w:r>
    <w:r w:rsidRPr="00716E5F">
      <w:t>764.993</w:t>
    </w:r>
    <w:r w:rsidRPr="00716E5F">
      <w:rPr>
        <w:rStyle w:val="HideTWBExt"/>
      </w:rPr>
      <w:t>&lt;/</w:t>
    </w:r>
    <w:proofErr w:type="spellStart"/>
    <w:r w:rsidRPr="00716E5F">
      <w:rPr>
        <w:rStyle w:val="HideTWBExt"/>
      </w:rPr>
      <w:t>NoPE</w:t>
    </w:r>
    <w:proofErr w:type="spellEnd"/>
    <w:r w:rsidRPr="00716E5F">
      <w:rPr>
        <w:rStyle w:val="HideTWBExt"/>
      </w:rPr>
      <w:t>&gt;&lt;Version&gt;</w:t>
    </w:r>
    <w:r w:rsidRPr="00716E5F">
      <w:t>v03-00</w:t>
    </w:r>
    <w:r w:rsidRPr="00716E5F">
      <w:rPr>
        <w:rStyle w:val="HideTWBExt"/>
      </w:rPr>
      <w:t>&lt;/</w:t>
    </w:r>
    <w:proofErr w:type="spellStart"/>
    <w:r w:rsidRPr="00716E5F">
      <w:rPr>
        <w:rStyle w:val="HideTWBExt"/>
      </w:rPr>
      <w:t>Version</w:t>
    </w:r>
    <w:proofErr w:type="spellEnd"/>
    <w:r w:rsidRPr="00716E5F">
      <w:rPr>
        <w:rStyle w:val="HideTWBExt"/>
      </w:rPr>
      <w:t>&gt;</w:t>
    </w:r>
    <w:r w:rsidRPr="00716E5F">
      <w:tab/>
    </w:r>
    <w:r w:rsidRPr="00716E5F">
      <w:fldChar w:fldCharType="begin"/>
    </w:r>
    <w:r w:rsidRPr="00716E5F">
      <w:instrText xml:space="preserve"> PAGE  \* MERGEFORMAT </w:instrText>
    </w:r>
    <w:r w:rsidRPr="00716E5F">
      <w:fldChar w:fldCharType="separate"/>
    </w:r>
    <w:r w:rsidR="00716E5F" w:rsidRPr="00716E5F">
      <w:rPr>
        <w:noProof/>
      </w:rPr>
      <w:t>2</w:t>
    </w:r>
    <w:r w:rsidRPr="00716E5F">
      <w:fldChar w:fldCharType="end"/>
    </w:r>
    <w:r w:rsidRPr="00716E5F">
      <w:t>/</w:t>
    </w:r>
    <w:fldSimple w:instr=" NUMPAGES  \* MERGEFORMAT ">
      <w:r w:rsidR="00716E5F" w:rsidRPr="00716E5F">
        <w:rPr>
          <w:noProof/>
        </w:rPr>
        <w:t>3</w:t>
      </w:r>
    </w:fldSimple>
    <w:r w:rsidRPr="00716E5F">
      <w:tab/>
    </w:r>
    <w:r w:rsidRPr="00716E5F">
      <w:rPr>
        <w:rStyle w:val="HideTWBExt"/>
      </w:rPr>
      <w:t>&lt;PathFdR&gt;</w:t>
    </w:r>
    <w:r w:rsidRPr="00716E5F">
      <w:t>RR\1318546BG.docx</w:t>
    </w:r>
    <w:r w:rsidRPr="00716E5F">
      <w:rPr>
        <w:rStyle w:val="HideTWBExt"/>
      </w:rPr>
      <w:t>&lt;/</w:t>
    </w:r>
    <w:proofErr w:type="spellStart"/>
    <w:r w:rsidRPr="00716E5F">
      <w:rPr>
        <w:rStyle w:val="HideTWBExt"/>
      </w:rPr>
      <w:t>PathFdR</w:t>
    </w:r>
    <w:proofErr w:type="spellEnd"/>
    <w:r w:rsidRPr="00716E5F">
      <w:rPr>
        <w:rStyle w:val="HideTWBExt"/>
      </w:rPr>
      <w:t>&gt;</w:t>
    </w:r>
  </w:p>
  <w:p w14:paraId="745AB0EC" w14:textId="77777777" w:rsidR="0089522E" w:rsidRPr="00716E5F" w:rsidRDefault="0089522E" w:rsidP="00651409">
    <w:pPr>
      <w:pStyle w:val="EPFooter2"/>
    </w:pPr>
    <w:r w:rsidRPr="00716E5F">
      <w:t>BG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C53E9" w14:textId="77777777" w:rsidR="0089522E" w:rsidRPr="00716E5F" w:rsidRDefault="0089522E" w:rsidP="00651409">
    <w:pPr>
      <w:pStyle w:val="EPFooter"/>
    </w:pPr>
    <w:r w:rsidRPr="00716E5F">
      <w:rPr>
        <w:rStyle w:val="HideTWBExt"/>
      </w:rPr>
      <w:t>&lt;PathFdR&gt;</w:t>
    </w:r>
    <w:r w:rsidRPr="00716E5F">
      <w:t>RR\1318546BG.docx</w:t>
    </w:r>
    <w:r w:rsidRPr="00716E5F">
      <w:rPr>
        <w:rStyle w:val="HideTWBExt"/>
      </w:rPr>
      <w:t>&lt;/</w:t>
    </w:r>
    <w:proofErr w:type="spellStart"/>
    <w:r w:rsidRPr="00716E5F">
      <w:rPr>
        <w:rStyle w:val="HideTWBExt"/>
      </w:rPr>
      <w:t>PathFdR</w:t>
    </w:r>
    <w:proofErr w:type="spellEnd"/>
    <w:r w:rsidRPr="00716E5F">
      <w:rPr>
        <w:rStyle w:val="HideTWBExt"/>
      </w:rPr>
      <w:t>&gt;</w:t>
    </w:r>
    <w:r w:rsidRPr="00716E5F">
      <w:tab/>
    </w:r>
    <w:r w:rsidRPr="00716E5F">
      <w:tab/>
      <w:t>PE</w:t>
    </w:r>
    <w:r w:rsidRPr="00716E5F">
      <w:rPr>
        <w:rStyle w:val="HideTWBExt"/>
      </w:rPr>
      <w:t>&lt;</w:t>
    </w:r>
    <w:proofErr w:type="spellStart"/>
    <w:r w:rsidRPr="00716E5F">
      <w:rPr>
        <w:rStyle w:val="HideTWBExt"/>
      </w:rPr>
      <w:t>NoPE</w:t>
    </w:r>
    <w:proofErr w:type="spellEnd"/>
    <w:r w:rsidRPr="00716E5F">
      <w:rPr>
        <w:rStyle w:val="HideTWBExt"/>
      </w:rPr>
      <w:t>&gt;</w:t>
    </w:r>
    <w:r w:rsidRPr="00716E5F">
      <w:t>764.993</w:t>
    </w:r>
    <w:r w:rsidRPr="00716E5F">
      <w:rPr>
        <w:rStyle w:val="HideTWBExt"/>
      </w:rPr>
      <w:t>&lt;/</w:t>
    </w:r>
    <w:proofErr w:type="spellStart"/>
    <w:r w:rsidRPr="00716E5F">
      <w:rPr>
        <w:rStyle w:val="HideTWBExt"/>
      </w:rPr>
      <w:t>NoPE</w:t>
    </w:r>
    <w:proofErr w:type="spellEnd"/>
    <w:r w:rsidRPr="00716E5F">
      <w:rPr>
        <w:rStyle w:val="HideTWBExt"/>
      </w:rPr>
      <w:t>&gt;&lt;Version&gt;</w:t>
    </w:r>
    <w:r w:rsidRPr="00716E5F">
      <w:t>v03-00</w:t>
    </w:r>
    <w:r w:rsidRPr="00716E5F">
      <w:rPr>
        <w:rStyle w:val="HideTWBExt"/>
      </w:rPr>
      <w:t>&lt;/</w:t>
    </w:r>
    <w:proofErr w:type="spellStart"/>
    <w:r w:rsidRPr="00716E5F">
      <w:rPr>
        <w:rStyle w:val="HideTWBExt"/>
      </w:rPr>
      <w:t>Version</w:t>
    </w:r>
    <w:proofErr w:type="spellEnd"/>
    <w:r w:rsidRPr="00716E5F">
      <w:rPr>
        <w:rStyle w:val="HideTWBExt"/>
      </w:rPr>
      <w:t>&gt;</w:t>
    </w:r>
  </w:p>
  <w:p w14:paraId="250BDAA0" w14:textId="77777777" w:rsidR="0089522E" w:rsidRPr="00716E5F" w:rsidRDefault="0089522E" w:rsidP="00651409">
    <w:pPr>
      <w:pStyle w:val="EPFooter2"/>
    </w:pPr>
    <w:r w:rsidRPr="00716E5F">
      <w:t>BG</w:t>
    </w:r>
    <w:r w:rsidRPr="00716E5F">
      <w:tab/>
    </w:r>
    <w:r w:rsidRPr="00716E5F">
      <w:rPr>
        <w:b w:val="0"/>
        <w:i/>
        <w:color w:val="C0C0C0"/>
        <w:sz w:val="22"/>
      </w:rPr>
      <w:t>Единство в многообразието</w:t>
    </w:r>
    <w:r w:rsidRPr="00716E5F">
      <w:tab/>
      <w:t>BG</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0E499" w14:textId="77777777" w:rsidR="00064002" w:rsidRPr="00716E5F"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084F9" w14:textId="77777777" w:rsidR="00064002" w:rsidRPr="00716E5F"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7D9518" w14:textId="77777777" w:rsidR="00064002" w:rsidRPr="00716E5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7AF65" w14:textId="77777777" w:rsidR="009F2C17" w:rsidRPr="00716E5F" w:rsidRDefault="009F2C17">
      <w:r w:rsidRPr="00716E5F">
        <w:separator/>
      </w:r>
    </w:p>
  </w:footnote>
  <w:footnote w:type="continuationSeparator" w:id="0">
    <w:p w14:paraId="4032EE27" w14:textId="77777777" w:rsidR="009F2C17" w:rsidRPr="00716E5F" w:rsidRDefault="009F2C17">
      <w:r w:rsidRPr="00716E5F">
        <w:continuationSeparator/>
      </w:r>
    </w:p>
  </w:footnote>
  <w:footnote w:id="1">
    <w:p w14:paraId="4F31F316" w14:textId="77777777" w:rsidR="0089522E" w:rsidRPr="00716E5F" w:rsidRDefault="0089522E" w:rsidP="00716E5F">
      <w:pPr>
        <w:pStyle w:val="FootnoteText"/>
        <w:ind w:left="567" w:hanging="567"/>
        <w:rPr>
          <w:sz w:val="24"/>
          <w:lang w:val="bg-BG"/>
        </w:rPr>
      </w:pPr>
      <w:r w:rsidRPr="00716E5F">
        <w:rPr>
          <w:rStyle w:val="FootnoteReference"/>
          <w:sz w:val="24"/>
          <w:lang w:val="bg-BG"/>
        </w:rPr>
        <w:footnoteRef/>
      </w:r>
      <w:r w:rsidR="00716E5F" w:rsidRPr="00716E5F">
        <w:rPr>
          <w:sz w:val="24"/>
          <w:lang w:val="bg-BG"/>
        </w:rPr>
        <w:t xml:space="preserve"> </w:t>
      </w:r>
      <w:r w:rsidR="00716E5F" w:rsidRPr="00716E5F">
        <w:rPr>
          <w:sz w:val="24"/>
          <w:lang w:val="bg-BG"/>
        </w:rPr>
        <w:tab/>
      </w:r>
      <w:r w:rsidRPr="00716E5F">
        <w:rPr>
          <w:sz w:val="24"/>
          <w:lang w:val="bg-BG"/>
        </w:rPr>
        <w:t xml:space="preserve">ОВ L 58, 23.2.2023 г., стр. 1, ELI: </w:t>
      </w:r>
      <w:hyperlink r:id="rId1" w:tooltip="Предоставя достъп до този документ чрез неговия унифициран идентификатор на ресурс (URI) на европейския идентификатор на законодателството (ELI)." w:history="1">
        <w:r w:rsidRPr="00716E5F">
          <w:rPr>
            <w:rStyle w:val="Hyperlink"/>
            <w:color w:val="0563C1"/>
            <w:sz w:val="24"/>
            <w:shd w:val="clear" w:color="auto" w:fill="FFFFFF"/>
            <w:lang w:val="bg-BG"/>
          </w:rPr>
          <w:t>http://data.europa.eu/eli/budget/2023/1/oj</w:t>
        </w:r>
      </w:hyperlink>
      <w:r w:rsidRPr="00716E5F">
        <w:rPr>
          <w:sz w:val="24"/>
          <w:shd w:val="clear" w:color="auto" w:fill="FFFFFF"/>
          <w:lang w:val="bg-BG"/>
        </w:rPr>
        <w:t>.</w:t>
      </w:r>
    </w:p>
  </w:footnote>
  <w:footnote w:id="2">
    <w:p w14:paraId="4A4761D1" w14:textId="77777777" w:rsidR="0089522E" w:rsidRPr="00716E5F" w:rsidRDefault="0089522E" w:rsidP="00716E5F">
      <w:pPr>
        <w:pStyle w:val="FootnoteText"/>
        <w:ind w:left="567" w:hanging="567"/>
        <w:rPr>
          <w:sz w:val="24"/>
          <w:lang w:val="bg-BG"/>
        </w:rPr>
      </w:pPr>
      <w:r w:rsidRPr="00716E5F">
        <w:rPr>
          <w:rStyle w:val="FootnoteReference"/>
          <w:sz w:val="24"/>
          <w:lang w:val="bg-BG"/>
        </w:rPr>
        <w:footnoteRef/>
      </w:r>
      <w:r w:rsidR="00716E5F" w:rsidRPr="00716E5F">
        <w:rPr>
          <w:sz w:val="24"/>
          <w:lang w:val="bg-BG"/>
        </w:rPr>
        <w:t xml:space="preserve"> </w:t>
      </w:r>
      <w:r w:rsidR="00716E5F" w:rsidRPr="00716E5F">
        <w:rPr>
          <w:sz w:val="24"/>
          <w:lang w:val="bg-BG"/>
        </w:rPr>
        <w:tab/>
      </w:r>
      <w:r w:rsidRPr="00716E5F">
        <w:rPr>
          <w:sz w:val="24"/>
          <w:lang w:val="bg-BG"/>
        </w:rPr>
        <w:t xml:space="preserve">ОВ C, C/2024/5462, 10.10.2024 г., ELI: </w:t>
      </w:r>
      <w:hyperlink r:id="rId2" w:history="1">
        <w:r w:rsidRPr="00716E5F">
          <w:rPr>
            <w:rStyle w:val="Hyperlink"/>
            <w:sz w:val="24"/>
            <w:lang w:val="bg-BG"/>
          </w:rPr>
          <w:t>http://data.europa.eu/eli/C/2024/5462/oj</w:t>
        </w:r>
      </w:hyperlink>
      <w:r w:rsidRPr="00716E5F">
        <w:rPr>
          <w:sz w:val="24"/>
          <w:shd w:val="clear" w:color="auto" w:fill="FFFFFF"/>
          <w:lang w:val="bg-BG"/>
        </w:rPr>
        <w:t>.</w:t>
      </w:r>
    </w:p>
  </w:footnote>
  <w:footnote w:id="3">
    <w:p w14:paraId="2F806C10" w14:textId="77777777" w:rsidR="0089522E" w:rsidRPr="00716E5F" w:rsidRDefault="0089522E" w:rsidP="00716E5F">
      <w:pPr>
        <w:pStyle w:val="FootnoteText"/>
        <w:ind w:left="567" w:hanging="567"/>
        <w:rPr>
          <w:sz w:val="24"/>
          <w:lang w:val="bg-BG"/>
        </w:rPr>
      </w:pPr>
      <w:r w:rsidRPr="00716E5F">
        <w:rPr>
          <w:rStyle w:val="FootnoteReference"/>
          <w:sz w:val="24"/>
          <w:lang w:val="bg-BG"/>
        </w:rPr>
        <w:footnoteRef/>
      </w:r>
      <w:r w:rsidR="00716E5F" w:rsidRPr="00716E5F">
        <w:rPr>
          <w:sz w:val="24"/>
          <w:lang w:val="bg-BG"/>
        </w:rPr>
        <w:t xml:space="preserve"> </w:t>
      </w:r>
      <w:r w:rsidR="00716E5F" w:rsidRPr="00716E5F">
        <w:rPr>
          <w:sz w:val="24"/>
          <w:lang w:val="bg-BG"/>
        </w:rPr>
        <w:tab/>
      </w:r>
      <w:r w:rsidRPr="00716E5F">
        <w:rPr>
          <w:sz w:val="24"/>
          <w:lang w:val="bg-BG"/>
        </w:rPr>
        <w:t xml:space="preserve">ОВ C, C/2024/5882, 9.10.2024 г., ELI: </w:t>
      </w:r>
      <w:hyperlink r:id="rId3" w:history="1">
        <w:r w:rsidRPr="00716E5F">
          <w:rPr>
            <w:rStyle w:val="Hyperlink"/>
            <w:sz w:val="24"/>
            <w:lang w:val="bg-BG"/>
          </w:rPr>
          <w:t>http://data.europa.eu/eli/C/2024/5882/oj</w:t>
        </w:r>
      </w:hyperlink>
      <w:r w:rsidRPr="00716E5F">
        <w:rPr>
          <w:sz w:val="24"/>
          <w:shd w:val="clear" w:color="auto" w:fill="FFFFFF"/>
          <w:lang w:val="bg-BG"/>
        </w:rPr>
        <w:t>.</w:t>
      </w:r>
    </w:p>
  </w:footnote>
  <w:footnote w:id="4">
    <w:p w14:paraId="6CBE732F" w14:textId="77777777" w:rsidR="0089522E" w:rsidRPr="00716E5F" w:rsidRDefault="0089522E" w:rsidP="00716E5F">
      <w:pPr>
        <w:pStyle w:val="FootnoteText"/>
        <w:ind w:left="567" w:hanging="567"/>
        <w:rPr>
          <w:sz w:val="24"/>
          <w:lang w:val="bg-BG"/>
        </w:rPr>
      </w:pPr>
      <w:r w:rsidRPr="00716E5F">
        <w:rPr>
          <w:rStyle w:val="FootnoteReference"/>
          <w:sz w:val="24"/>
          <w:lang w:val="bg-BG"/>
        </w:rPr>
        <w:footnoteRef/>
      </w:r>
      <w:r w:rsidR="00716E5F" w:rsidRPr="00716E5F">
        <w:rPr>
          <w:sz w:val="24"/>
          <w:lang w:val="bg-BG"/>
        </w:rPr>
        <w:t xml:space="preserve"> </w:t>
      </w:r>
      <w:r w:rsidR="00716E5F" w:rsidRPr="00716E5F">
        <w:rPr>
          <w:sz w:val="24"/>
          <w:lang w:val="bg-BG"/>
        </w:rPr>
        <w:tab/>
      </w:r>
      <w:r w:rsidRPr="00716E5F">
        <w:rPr>
          <w:sz w:val="24"/>
          <w:lang w:val="bg-BG"/>
        </w:rPr>
        <w:t xml:space="preserve">ОВ C, C/2024/6041, 10.10.2024 г., ELI: </w:t>
      </w:r>
      <w:hyperlink r:id="rId4" w:history="1">
        <w:r w:rsidRPr="00716E5F">
          <w:rPr>
            <w:rStyle w:val="Hyperlink"/>
            <w:sz w:val="24"/>
            <w:lang w:val="bg-BG"/>
          </w:rPr>
          <w:t>http://data.europa.eu/eli/C/2024/6041/oj</w:t>
        </w:r>
      </w:hyperlink>
      <w:r w:rsidRPr="00716E5F">
        <w:rPr>
          <w:sz w:val="24"/>
          <w:shd w:val="clear" w:color="auto" w:fill="FFFFFF"/>
          <w:lang w:val="bg-BG"/>
        </w:rPr>
        <w:t>.</w:t>
      </w:r>
    </w:p>
  </w:footnote>
  <w:footnote w:id="5">
    <w:p w14:paraId="6155B5F4" w14:textId="77777777" w:rsidR="0089522E" w:rsidRPr="00716E5F" w:rsidRDefault="0089522E" w:rsidP="00716E5F">
      <w:pPr>
        <w:pStyle w:val="FootnoteText"/>
        <w:ind w:left="567" w:hanging="567"/>
        <w:rPr>
          <w:sz w:val="24"/>
          <w:lang w:val="bg-BG"/>
        </w:rPr>
      </w:pPr>
      <w:r w:rsidRPr="00716E5F">
        <w:rPr>
          <w:rStyle w:val="FootnoteReference"/>
          <w:sz w:val="24"/>
          <w:lang w:val="bg-BG"/>
        </w:rPr>
        <w:footnoteRef/>
      </w:r>
      <w:r w:rsidR="00716E5F" w:rsidRPr="00716E5F">
        <w:rPr>
          <w:sz w:val="24"/>
          <w:lang w:val="bg-BG"/>
        </w:rPr>
        <w:t xml:space="preserve"> </w:t>
      </w:r>
      <w:r w:rsidR="00716E5F" w:rsidRPr="00716E5F">
        <w:rPr>
          <w:sz w:val="24"/>
          <w:lang w:val="bg-BG"/>
        </w:rPr>
        <w:tab/>
      </w:r>
      <w:r w:rsidRPr="00716E5F">
        <w:rPr>
          <w:sz w:val="24"/>
          <w:lang w:val="bg-BG"/>
        </w:rPr>
        <w:t xml:space="preserve">ОВ L 193, 30.7.2018 г., стр. 1, ELI: </w:t>
      </w:r>
      <w:hyperlink r:id="rId5" w:history="1">
        <w:r w:rsidRPr="00716E5F">
          <w:rPr>
            <w:rStyle w:val="Hyperlink"/>
            <w:sz w:val="24"/>
            <w:lang w:val="bg-BG"/>
          </w:rPr>
          <w:t>http://data.europa.eu/eli/reg/2018/1046/oj</w:t>
        </w:r>
      </w:hyperlink>
      <w:r w:rsidRPr="00716E5F">
        <w:rPr>
          <w:sz w:val="24"/>
          <w:lang w:val="bg-BG"/>
        </w:rPr>
        <w:t>.</w:t>
      </w:r>
    </w:p>
  </w:footnote>
  <w:footnote w:id="6">
    <w:p w14:paraId="3032306D" w14:textId="133B19A7" w:rsidR="0089522E" w:rsidRPr="00716E5F" w:rsidRDefault="0089522E" w:rsidP="00716E5F">
      <w:pPr>
        <w:pStyle w:val="FootnoteText"/>
        <w:ind w:left="567" w:hanging="567"/>
        <w:rPr>
          <w:sz w:val="24"/>
          <w:lang w:val="bg-BG"/>
        </w:rPr>
      </w:pPr>
      <w:r w:rsidRPr="00716E5F">
        <w:rPr>
          <w:rStyle w:val="FootnoteReference"/>
          <w:sz w:val="24"/>
          <w:lang w:val="bg-BG"/>
        </w:rPr>
        <w:footnoteRef/>
      </w:r>
      <w:r w:rsidR="00716E5F" w:rsidRPr="00716E5F">
        <w:rPr>
          <w:sz w:val="24"/>
          <w:lang w:val="bg-BG"/>
        </w:rPr>
        <w:t xml:space="preserve"> </w:t>
      </w:r>
      <w:r w:rsidR="00716E5F" w:rsidRPr="00716E5F">
        <w:rPr>
          <w:sz w:val="24"/>
          <w:lang w:val="bg-BG"/>
        </w:rPr>
        <w:tab/>
      </w:r>
      <w:r w:rsidRPr="00716E5F">
        <w:rPr>
          <w:sz w:val="24"/>
          <w:lang w:val="bg-BG"/>
        </w:rPr>
        <w:t xml:space="preserve">ОВ L, 2024/2509, 26.9.2024 г., ELI: </w:t>
      </w:r>
      <w:hyperlink r:id="rId6" w:history="1">
        <w:r w:rsidR="005D3290" w:rsidRPr="00A511BA">
          <w:rPr>
            <w:rStyle w:val="Hyperlink"/>
            <w:sz w:val="24"/>
            <w:lang w:val="bg-BG"/>
          </w:rPr>
          <w:t>http://data.europa.eu/eli/reg/2024/2509/oj</w:t>
        </w:r>
      </w:hyperlink>
      <w:r w:rsidRPr="00716E5F">
        <w:rPr>
          <w:sz w:val="24"/>
          <w:shd w:val="clear" w:color="auto" w:fill="FFFFFF"/>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ABEBD5" w14:textId="77777777" w:rsidR="00064002" w:rsidRPr="00716E5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128E9" w14:textId="77777777" w:rsidR="00064002" w:rsidRPr="00716E5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2C434" w14:textId="77777777" w:rsidR="00064002" w:rsidRPr="00716E5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6831596">
    <w:abstractNumId w:val="9"/>
  </w:num>
  <w:num w:numId="2" w16cid:durableId="2060666665">
    <w:abstractNumId w:val="9"/>
  </w:num>
  <w:num w:numId="3" w16cid:durableId="227155621">
    <w:abstractNumId w:val="7"/>
  </w:num>
  <w:num w:numId="4" w16cid:durableId="196048090">
    <w:abstractNumId w:val="7"/>
  </w:num>
  <w:num w:numId="5" w16cid:durableId="2045787636">
    <w:abstractNumId w:val="6"/>
  </w:num>
  <w:num w:numId="6" w16cid:durableId="1880899235">
    <w:abstractNumId w:val="6"/>
  </w:num>
  <w:num w:numId="7" w16cid:durableId="538666739">
    <w:abstractNumId w:val="5"/>
  </w:num>
  <w:num w:numId="8" w16cid:durableId="2117478471">
    <w:abstractNumId w:val="5"/>
  </w:num>
  <w:num w:numId="9" w16cid:durableId="158466184">
    <w:abstractNumId w:val="4"/>
  </w:num>
  <w:num w:numId="10" w16cid:durableId="919563581">
    <w:abstractNumId w:val="4"/>
  </w:num>
  <w:num w:numId="11" w16cid:durableId="412817392">
    <w:abstractNumId w:val="8"/>
  </w:num>
  <w:num w:numId="12" w16cid:durableId="700203891">
    <w:abstractNumId w:val="8"/>
  </w:num>
  <w:num w:numId="13" w16cid:durableId="458107015">
    <w:abstractNumId w:val="3"/>
  </w:num>
  <w:num w:numId="14" w16cid:durableId="75638432">
    <w:abstractNumId w:val="3"/>
  </w:num>
  <w:num w:numId="15" w16cid:durableId="1802306169">
    <w:abstractNumId w:val="2"/>
  </w:num>
  <w:num w:numId="16" w16cid:durableId="191497243">
    <w:abstractNumId w:val="2"/>
  </w:num>
  <w:num w:numId="17" w16cid:durableId="1492481597">
    <w:abstractNumId w:val="1"/>
  </w:num>
  <w:num w:numId="18" w16cid:durableId="1367679304">
    <w:abstractNumId w:val="1"/>
  </w:num>
  <w:num w:numId="19" w16cid:durableId="109278005">
    <w:abstractNumId w:val="0"/>
  </w:num>
  <w:num w:numId="20" w16cid:durableId="574432565">
    <w:abstractNumId w:val="0"/>
  </w:num>
  <w:num w:numId="21" w16cid:durableId="311758420">
    <w:abstractNumId w:val="9"/>
  </w:num>
  <w:num w:numId="22" w16cid:durableId="907110248">
    <w:abstractNumId w:val="7"/>
  </w:num>
  <w:num w:numId="23" w16cid:durableId="406267645">
    <w:abstractNumId w:val="6"/>
  </w:num>
  <w:num w:numId="24" w16cid:durableId="1741831139">
    <w:abstractNumId w:val="5"/>
  </w:num>
  <w:num w:numId="25" w16cid:durableId="1812365275">
    <w:abstractNumId w:val="4"/>
  </w:num>
  <w:num w:numId="26" w16cid:durableId="1669013228">
    <w:abstractNumId w:val="8"/>
  </w:num>
  <w:num w:numId="27" w16cid:durableId="904798363">
    <w:abstractNumId w:val="3"/>
  </w:num>
  <w:num w:numId="28" w16cid:durableId="1633363322">
    <w:abstractNumId w:val="2"/>
  </w:num>
  <w:num w:numId="29" w16cid:durableId="1646665966">
    <w:abstractNumId w:val="1"/>
  </w:num>
  <w:num w:numId="30" w16cid:durableId="386760235">
    <w:abstractNumId w:val="0"/>
  </w:num>
  <w:num w:numId="31" w16cid:durableId="1093093092">
    <w:abstractNumId w:val="9"/>
  </w:num>
  <w:num w:numId="32" w16cid:durableId="1608658215">
    <w:abstractNumId w:val="7"/>
  </w:num>
  <w:num w:numId="33" w16cid:durableId="1953854294">
    <w:abstractNumId w:val="6"/>
  </w:num>
  <w:num w:numId="34" w16cid:durableId="1859464871">
    <w:abstractNumId w:val="5"/>
  </w:num>
  <w:num w:numId="35" w16cid:durableId="328679113">
    <w:abstractNumId w:val="4"/>
  </w:num>
  <w:num w:numId="36" w16cid:durableId="1702585338">
    <w:abstractNumId w:val="8"/>
  </w:num>
  <w:num w:numId="37" w16cid:durableId="272519078">
    <w:abstractNumId w:val="3"/>
  </w:num>
  <w:num w:numId="38" w16cid:durableId="1893760707">
    <w:abstractNumId w:val="2"/>
  </w:num>
  <w:num w:numId="39" w16cid:durableId="1317294779">
    <w:abstractNumId w:val="1"/>
  </w:num>
  <w:num w:numId="40" w16cid:durableId="1510605219">
    <w:abstractNumId w:val="0"/>
  </w:num>
  <w:num w:numId="41" w16cid:durableId="1067415597">
    <w:abstractNumId w:val="10"/>
  </w:num>
  <w:num w:numId="42" w16cid:durableId="713505887">
    <w:abstractNumId w:val="10"/>
  </w:num>
  <w:num w:numId="43" w16cid:durableId="218789563">
    <w:abstractNumId w:val="10"/>
  </w:num>
  <w:num w:numId="44" w16cid:durableId="18856720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4/2025"/>
    <w:docVar w:name="dvlangue" w:val="BG"/>
    <w:docVar w:name="dvnumam" w:val="0"/>
    <w:docVar w:name="dvpe" w:val="764.993"/>
    <w:docVar w:name="dvrapporteur" w:val="Докладчик: "/>
    <w:docVar w:name="dvtitre" w:val="Решение на Европейския парламент от ... 2025 г. относно освобождаването от отговорност във връзка с изпълнението на общия бюджет на Европейския съюз за финансовата 2023 година, раздел VI ‒ Европейски икономически и социален комитет(2024/2025(DEC))"/>
  </w:docVars>
  <w:rsids>
    <w:rsidRoot w:val="009F2C17"/>
    <w:rsid w:val="00002272"/>
    <w:rsid w:val="00042F8B"/>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A3DDF"/>
    <w:rsid w:val="004C0004"/>
    <w:rsid w:val="004C5D52"/>
    <w:rsid w:val="0050519A"/>
    <w:rsid w:val="005072A1"/>
    <w:rsid w:val="00514517"/>
    <w:rsid w:val="00545827"/>
    <w:rsid w:val="00560270"/>
    <w:rsid w:val="005619EB"/>
    <w:rsid w:val="005C2568"/>
    <w:rsid w:val="005D3290"/>
    <w:rsid w:val="005F1B17"/>
    <w:rsid w:val="006037C0"/>
    <w:rsid w:val="006631B6"/>
    <w:rsid w:val="00680577"/>
    <w:rsid w:val="006F74FA"/>
    <w:rsid w:val="00716E5F"/>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522E"/>
    <w:rsid w:val="008C2AC6"/>
    <w:rsid w:val="0092771C"/>
    <w:rsid w:val="00930C23"/>
    <w:rsid w:val="0093193B"/>
    <w:rsid w:val="009509D8"/>
    <w:rsid w:val="00950B64"/>
    <w:rsid w:val="00981893"/>
    <w:rsid w:val="009D52F3"/>
    <w:rsid w:val="009F2C17"/>
    <w:rsid w:val="00A1687D"/>
    <w:rsid w:val="00A43E52"/>
    <w:rsid w:val="00A4678D"/>
    <w:rsid w:val="00A778C7"/>
    <w:rsid w:val="00AB20B6"/>
    <w:rsid w:val="00AB441E"/>
    <w:rsid w:val="00AB6293"/>
    <w:rsid w:val="00AE0928"/>
    <w:rsid w:val="00AF3B82"/>
    <w:rsid w:val="00B12E95"/>
    <w:rsid w:val="00B22876"/>
    <w:rsid w:val="00B558F0"/>
    <w:rsid w:val="00BA12D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634B"/>
    <w:rsid w:val="00E365E1"/>
    <w:rsid w:val="00E51739"/>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2DDA62"/>
  <w15:chartTrackingRefBased/>
  <w15:docId w15:val="{31679AD4-C668-4490-9451-A05527E46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9522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522E"/>
    <w:pPr>
      <w:spacing w:before="480" w:after="240"/>
    </w:pPr>
  </w:style>
  <w:style w:type="paragraph" w:customStyle="1" w:styleId="PageHeading">
    <w:name w:val="PageHeading"/>
    <w:basedOn w:val="Normal"/>
    <w:rsid w:val="0089522E"/>
    <w:pPr>
      <w:keepNext/>
      <w:spacing w:after="480"/>
      <w:jc w:val="center"/>
    </w:pPr>
    <w:rPr>
      <w:rFonts w:ascii="Arial" w:hAnsi="Arial" w:cs="Arial"/>
      <w:b/>
    </w:rPr>
  </w:style>
  <w:style w:type="paragraph" w:customStyle="1" w:styleId="NormalBold">
    <w:name w:val="NormalBold"/>
    <w:basedOn w:val="Normal"/>
    <w:rsid w:val="0089522E"/>
    <w:rPr>
      <w:b/>
    </w:rPr>
  </w:style>
  <w:style w:type="paragraph" w:customStyle="1" w:styleId="NormalHanging12a">
    <w:name w:val="NormalHanging12a"/>
    <w:basedOn w:val="Normal"/>
    <w:link w:val="NormalHanging12aChar"/>
    <w:qFormat/>
    <w:rsid w:val="0089522E"/>
    <w:pPr>
      <w:spacing w:after="240"/>
      <w:ind w:left="567" w:hanging="567"/>
    </w:pPr>
  </w:style>
  <w:style w:type="paragraph" w:styleId="Header">
    <w:name w:val="header"/>
    <w:basedOn w:val="Normal"/>
    <w:link w:val="HeaderChar"/>
    <w:rsid w:val="0089522E"/>
    <w:pPr>
      <w:tabs>
        <w:tab w:val="center" w:pos="4513"/>
        <w:tab w:val="right" w:pos="9026"/>
      </w:tabs>
    </w:pPr>
  </w:style>
  <w:style w:type="character" w:customStyle="1" w:styleId="HeaderChar">
    <w:name w:val="Header Char"/>
    <w:basedOn w:val="DefaultParagraphFont"/>
    <w:link w:val="Header"/>
    <w:rsid w:val="0089522E"/>
    <w:rPr>
      <w:sz w:val="24"/>
      <w:lang w:val="bg-BG"/>
    </w:rPr>
  </w:style>
  <w:style w:type="paragraph" w:customStyle="1" w:styleId="EPFooter">
    <w:name w:val="EPFooter"/>
    <w:basedOn w:val="Normal"/>
    <w:rsid w:val="0089522E"/>
    <w:pPr>
      <w:tabs>
        <w:tab w:val="center" w:pos="4535"/>
        <w:tab w:val="right" w:pos="9071"/>
      </w:tabs>
      <w:spacing w:before="240" w:after="240"/>
    </w:pPr>
    <w:rPr>
      <w:color w:val="010000"/>
      <w:sz w:val="22"/>
    </w:rPr>
  </w:style>
  <w:style w:type="character" w:styleId="Hyperlink">
    <w:name w:val="Hyperlink"/>
    <w:basedOn w:val="DefaultParagraphFont"/>
    <w:rsid w:val="0089522E"/>
    <w:rPr>
      <w:color w:val="0563C1" w:themeColor="hyperlink"/>
      <w:u w:val="single"/>
    </w:rPr>
  </w:style>
  <w:style w:type="character" w:customStyle="1" w:styleId="NormalHanging12aChar">
    <w:name w:val="NormalHanging12a Char"/>
    <w:basedOn w:val="DefaultParagraphFont"/>
    <w:link w:val="NormalHanging12a"/>
    <w:locked/>
    <w:rsid w:val="0089522E"/>
    <w:rPr>
      <w:sz w:val="24"/>
      <w:lang w:val="bg-BG"/>
    </w:rPr>
  </w:style>
  <w:style w:type="paragraph" w:customStyle="1" w:styleId="Normal6a">
    <w:name w:val="Normal6a"/>
    <w:basedOn w:val="Normal"/>
    <w:rsid w:val="0089522E"/>
    <w:pPr>
      <w:spacing w:after="120"/>
    </w:pPr>
  </w:style>
  <w:style w:type="paragraph" w:styleId="Footer">
    <w:name w:val="footer"/>
    <w:basedOn w:val="Normal"/>
    <w:link w:val="FooterChar"/>
    <w:rsid w:val="00042F8B"/>
    <w:pPr>
      <w:tabs>
        <w:tab w:val="center" w:pos="4513"/>
        <w:tab w:val="right" w:pos="9026"/>
      </w:tabs>
    </w:pPr>
  </w:style>
  <w:style w:type="character" w:customStyle="1" w:styleId="FooterChar">
    <w:name w:val="Footer Char"/>
    <w:basedOn w:val="DefaultParagraphFont"/>
    <w:link w:val="Footer"/>
    <w:rsid w:val="00042F8B"/>
    <w:rPr>
      <w:sz w:val="24"/>
      <w:lang w:val="bg-BG"/>
    </w:rPr>
  </w:style>
  <w:style w:type="paragraph" w:styleId="BalloonText">
    <w:name w:val="Balloon Text"/>
    <w:basedOn w:val="Normal"/>
    <w:link w:val="BalloonTextChar"/>
    <w:rsid w:val="00DE634B"/>
    <w:rPr>
      <w:rFonts w:ascii="Segoe UI" w:hAnsi="Segoe UI" w:cs="Segoe UI"/>
      <w:sz w:val="18"/>
      <w:szCs w:val="18"/>
    </w:rPr>
  </w:style>
  <w:style w:type="character" w:customStyle="1" w:styleId="BalloonTextChar">
    <w:name w:val="Balloon Text Char"/>
    <w:basedOn w:val="DefaultParagraphFont"/>
    <w:link w:val="BalloonText"/>
    <w:rsid w:val="00DE634B"/>
    <w:rPr>
      <w:rFonts w:ascii="Segoe UI" w:hAnsi="Segoe UI" w:cs="Segoe UI"/>
      <w:sz w:val="18"/>
      <w:szCs w:val="18"/>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4/5882/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6FD27-8E44-4A12-8C44-F02DE2809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8140</Words>
  <Characters>47356</Characters>
  <Application>Microsoft Office Word</Application>
  <DocSecurity>0</DocSecurity>
  <Lines>394</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MINKOVA Maria</cp:lastModifiedBy>
  <cp:revision>2</cp:revision>
  <cp:lastPrinted>2004-11-19T15:42:00Z</cp:lastPrinted>
  <dcterms:created xsi:type="dcterms:W3CDTF">2025-11-26T12:16:00Z</dcterms:created>
  <dcterms:modified xsi:type="dcterms:W3CDTF">2025-11-26T12:16:00Z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P10_TA(2025)0082_</vt:lpwstr>
  </property>
  <property fmtid="{D5CDD505-2E9C-101B-9397-08002B2CF9AE}" pid="4" name="&lt;Type&gt;">
    <vt:lpwstr>RR</vt:lpwstr>
  </property>
</Properties>
</file>