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34EC" w14:paraId="1E1A0A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DE81AD" w14:textId="77777777" w:rsidR="00751A4A" w:rsidRPr="00B734EC" w:rsidRDefault="00261870" w:rsidP="0010095E">
            <w:pPr>
              <w:pStyle w:val="EPName"/>
            </w:pPr>
            <w:r w:rsidRPr="00B734EC">
              <w:t>Evropský parlament</w:t>
            </w:r>
          </w:p>
          <w:p w14:paraId="0C21C5EF" w14:textId="77777777" w:rsidR="00751A4A" w:rsidRPr="00AA3B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3BB5">
              <w:t>2024</w:t>
            </w:r>
            <w:r w:rsidR="00817416" w:rsidRPr="00B734EC">
              <w:t>-202</w:t>
            </w:r>
            <w:r w:rsidRPr="00B734EC">
              <w:t>9</w:t>
            </w:r>
          </w:p>
        </w:tc>
        <w:tc>
          <w:tcPr>
            <w:tcW w:w="2268" w:type="dxa"/>
            <w:shd w:val="clear" w:color="auto" w:fill="auto"/>
          </w:tcPr>
          <w:p w14:paraId="06B30D83" w14:textId="77777777" w:rsidR="00751A4A" w:rsidRPr="00B734EC" w:rsidRDefault="00187494" w:rsidP="0010095E">
            <w:pPr>
              <w:pStyle w:val="EPLogo"/>
            </w:pPr>
            <w:r w:rsidRPr="00B734EC">
              <w:rPr>
                <w:noProof/>
                <w:lang w:val="en-GB"/>
              </w:rPr>
              <w:drawing>
                <wp:inline distT="0" distB="0" distL="0" distR="0" wp14:anchorId="00D09BC1" wp14:editId="5DF3EB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021AB3" w14:textId="77777777" w:rsidR="00D058B8" w:rsidRPr="00B734EC" w:rsidRDefault="00D058B8" w:rsidP="004C5D52">
      <w:pPr>
        <w:pStyle w:val="LineTop"/>
      </w:pPr>
    </w:p>
    <w:p w14:paraId="33C73904" w14:textId="77777777" w:rsidR="00680577" w:rsidRPr="00B734EC" w:rsidRDefault="00261870" w:rsidP="00680577">
      <w:pPr>
        <w:pStyle w:val="EPBodyTA1"/>
      </w:pPr>
      <w:r w:rsidRPr="00B734EC">
        <w:t>PŘIJATÉ TEXTY</w:t>
      </w:r>
    </w:p>
    <w:p w14:paraId="7CE32F2F" w14:textId="77777777" w:rsidR="00D058B8" w:rsidRPr="00B734EC" w:rsidRDefault="00D058B8" w:rsidP="00D058B8">
      <w:pPr>
        <w:pStyle w:val="LineBottom"/>
      </w:pPr>
    </w:p>
    <w:p w14:paraId="32960B05" w14:textId="77777777" w:rsidR="00261870" w:rsidRPr="00AA3BB5" w:rsidRDefault="00261870" w:rsidP="00261870">
      <w:pPr>
        <w:pStyle w:val="ATHeading1"/>
      </w:pPr>
      <w:bookmarkStart w:id="0" w:name="TANumber"/>
      <w:r w:rsidRPr="00AA3BB5">
        <w:t>P10_TA(2025)00</w:t>
      </w:r>
      <w:r w:rsidR="005B17C7">
        <w:t>82</w:t>
      </w:r>
      <w:bookmarkEnd w:id="0"/>
    </w:p>
    <w:p w14:paraId="41319CDA" w14:textId="77777777" w:rsidR="00261870" w:rsidRPr="00AA3BB5" w:rsidRDefault="00261870" w:rsidP="00261870">
      <w:pPr>
        <w:pStyle w:val="ATHeading2"/>
      </w:pPr>
      <w:bookmarkStart w:id="1" w:name="title"/>
      <w:r w:rsidRPr="00AA3BB5">
        <w:t>Udělení absolutoria za rok 2023: souhrnný rozpočet EU - Evropský hospodářský a sociální výbor</w:t>
      </w:r>
      <w:bookmarkEnd w:id="1"/>
    </w:p>
    <w:p w14:paraId="275B2F76" w14:textId="77777777" w:rsidR="00261870" w:rsidRPr="00B734EC" w:rsidRDefault="00261870" w:rsidP="00261870">
      <w:pPr>
        <w:rPr>
          <w:i/>
          <w:vanish/>
        </w:rPr>
      </w:pPr>
      <w:r w:rsidRPr="00B734EC">
        <w:rPr>
          <w:i/>
        </w:rPr>
        <w:fldChar w:fldCharType="begin"/>
      </w:r>
      <w:r w:rsidRPr="00B734EC">
        <w:rPr>
          <w:i/>
        </w:rPr>
        <w:instrText xml:space="preserve"> TC"(</w:instrText>
      </w:r>
      <w:bookmarkStart w:id="2" w:name="DocNumber"/>
      <w:r w:rsidRPr="00B734EC">
        <w:rPr>
          <w:i/>
        </w:rPr>
        <w:instrText>A10-0054/2025</w:instrText>
      </w:r>
      <w:bookmarkEnd w:id="2"/>
      <w:r w:rsidRPr="00B734EC">
        <w:rPr>
          <w:i/>
        </w:rPr>
        <w:instrText xml:space="preserve"> - Zpravodaj: Joachim Stanisław </w:instrText>
      </w:r>
      <w:proofErr w:type="spellStart"/>
      <w:r w:rsidRPr="00B734EC">
        <w:rPr>
          <w:i/>
        </w:rPr>
        <w:instrText>Brudziński</w:instrText>
      </w:r>
      <w:proofErr w:type="spellEnd"/>
      <w:r w:rsidRPr="00B734EC">
        <w:rPr>
          <w:i/>
        </w:rPr>
        <w:instrText xml:space="preserve">)"\l3 \n&gt; \* MERGEFORMAT </w:instrText>
      </w:r>
      <w:r w:rsidRPr="00B734EC">
        <w:rPr>
          <w:i/>
        </w:rPr>
        <w:fldChar w:fldCharType="end"/>
      </w:r>
    </w:p>
    <w:p w14:paraId="70389AA8" w14:textId="77777777" w:rsidR="00261870" w:rsidRPr="00B734EC" w:rsidRDefault="00261870" w:rsidP="00261870">
      <w:pPr>
        <w:rPr>
          <w:vanish/>
        </w:rPr>
      </w:pPr>
      <w:bookmarkStart w:id="3" w:name="Commission"/>
      <w:r w:rsidRPr="00B734EC">
        <w:rPr>
          <w:vanish/>
        </w:rPr>
        <w:t>Výbor pro rozpočtovou kontrolu</w:t>
      </w:r>
      <w:bookmarkEnd w:id="3"/>
    </w:p>
    <w:p w14:paraId="4692023C" w14:textId="77777777" w:rsidR="00261870" w:rsidRPr="00B734EC" w:rsidRDefault="00261870" w:rsidP="00261870">
      <w:pPr>
        <w:rPr>
          <w:vanish/>
        </w:rPr>
      </w:pPr>
      <w:bookmarkStart w:id="4" w:name="PE"/>
      <w:r w:rsidRPr="00B734EC">
        <w:rPr>
          <w:vanish/>
        </w:rPr>
        <w:t>PE764.993</w:t>
      </w:r>
      <w:bookmarkEnd w:id="4"/>
    </w:p>
    <w:p w14:paraId="5D8C3CD3" w14:textId="1834ECDF" w:rsidR="00316459" w:rsidRPr="00330565" w:rsidRDefault="00316459" w:rsidP="00316459">
      <w:pPr>
        <w:pStyle w:val="ATHeading3"/>
      </w:pPr>
      <w:r w:rsidRPr="00330565">
        <w:t>1. Rozhodnutí Evropského parlamentu ze dne 7. května 2025 o udělení absolutoria za plnění souhrnného rozpočtu Evropské unie na rozpočtový rok 2023, oddíl VI – Evropský hospodářský a sociální výbor (2024/2025(DEC))</w:t>
      </w:r>
    </w:p>
    <w:p w14:paraId="68066588" w14:textId="77777777" w:rsidR="00316459" w:rsidRPr="00330565" w:rsidRDefault="00316459" w:rsidP="00316459">
      <w:pPr>
        <w:spacing w:before="480" w:after="240"/>
      </w:pPr>
      <w:r w:rsidRPr="00330565">
        <w:rPr>
          <w:i/>
        </w:rPr>
        <w:t>Evropský parlament</w:t>
      </w:r>
      <w:r w:rsidRPr="00330565">
        <w:t>,</w:t>
      </w:r>
    </w:p>
    <w:p w14:paraId="58720E69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souhrnný rozpočet Evropské unie na rozpočtový rok 2023</w:t>
      </w:r>
      <w:r w:rsidRPr="00330565">
        <w:rPr>
          <w:vertAlign w:val="superscript"/>
        </w:rPr>
        <w:footnoteReference w:id="1"/>
      </w:r>
      <w:r w:rsidRPr="00330565">
        <w:t>,</w:t>
      </w:r>
    </w:p>
    <w:p w14:paraId="2A9FC396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konsolidovanou roční účetní závěrku Evropské unie za rozpočtový rok 2023 (</w:t>
      </w:r>
      <w:proofErr w:type="gramStart"/>
      <w:r w:rsidRPr="00330565">
        <w:t>COM(</w:t>
      </w:r>
      <w:proofErr w:type="gramEnd"/>
      <w:r w:rsidRPr="00330565">
        <w:t>2024)0272 – C10</w:t>
      </w:r>
      <w:r w:rsidRPr="00330565">
        <w:noBreakHyphen/>
        <w:t>0073/2024)</w:t>
      </w:r>
      <w:r w:rsidRPr="00330565">
        <w:rPr>
          <w:vertAlign w:val="superscript"/>
        </w:rPr>
        <w:footnoteReference w:id="2"/>
      </w:r>
      <w:r w:rsidRPr="00330565">
        <w:t>,</w:t>
      </w:r>
    </w:p>
    <w:p w14:paraId="4E1F2B7B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výroční zprávu Evropského hospodářského a sociálního výboru o činnosti za rok 2023,</w:t>
      </w:r>
    </w:p>
    <w:p w14:paraId="1CD3ED4B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výroční zprávu Účetního dvora o plnění rozpočtu na rozpočtový rok 2023 spolu s odpověďmi orgánů</w:t>
      </w:r>
      <w:r w:rsidRPr="00330565">
        <w:rPr>
          <w:vertAlign w:val="superscript"/>
        </w:rPr>
        <w:footnoteReference w:id="3"/>
      </w:r>
      <w:r w:rsidRPr="00330565">
        <w:t>,</w:t>
      </w:r>
    </w:p>
    <w:p w14:paraId="09432766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prohlášení o věrohodnosti</w:t>
      </w:r>
      <w:r w:rsidRPr="00330565">
        <w:rPr>
          <w:vertAlign w:val="superscript"/>
        </w:rPr>
        <w:footnoteReference w:id="4"/>
      </w:r>
      <w:r w:rsidRPr="00330565">
        <w:t xml:space="preserve"> účetnictví a o legalitě a správnosti uskutečněných operací, které předložil Účetní dvůr za rozpočtový rok 2023 podle článku 287 Smlouvy o fungování Evropské unie,</w:t>
      </w:r>
    </w:p>
    <w:p w14:paraId="704B1CAA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čl. 314 odst. 10 a články 317, 318 a 319 Smlouvy o fungování Evropské unie,</w:t>
      </w:r>
    </w:p>
    <w:p w14:paraId="0C9790D5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 rozhodnutí č. 541/2014/EU a zrušuje nařízení (EU, Euratom) č. 966/2012</w:t>
      </w:r>
      <w:r w:rsidRPr="00330565">
        <w:rPr>
          <w:vertAlign w:val="superscript"/>
        </w:rPr>
        <w:footnoteReference w:id="5"/>
      </w:r>
      <w:r w:rsidRPr="00330565">
        <w:t>, a zejména na články 59, 118, 260, 261 a 262 tohoto nařízení,</w:t>
      </w:r>
    </w:p>
    <w:p w14:paraId="2D9C0496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nařízení Evropského parlamentu a Rady (EU, Euratom) 2024/2509 ze dne 23. září 2024, kterým se stanoví finanční pravidla pro souhrnný rozpočet Unie</w:t>
      </w:r>
      <w:r w:rsidRPr="00330565">
        <w:rPr>
          <w:bCs/>
          <w:shd w:val="clear" w:color="auto" w:fill="FFFFFF"/>
          <w:vertAlign w:val="superscript"/>
        </w:rPr>
        <w:footnoteReference w:id="6"/>
      </w:r>
      <w:r w:rsidRPr="00330565">
        <w:t>, a zejména na články 59, 118, 266, 267 a 268 tohoto nařízení,</w:t>
      </w:r>
    </w:p>
    <w:p w14:paraId="5568B3BA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článek 102 a přílohu V jednacího řádu,</w:t>
      </w:r>
    </w:p>
    <w:p w14:paraId="2CC3BA1E" w14:textId="77777777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 ohledem na zprávu Výboru pro rozpočtovou kontrolu (A10</w:t>
      </w:r>
      <w:r w:rsidRPr="00330565">
        <w:noBreakHyphen/>
        <w:t>0054/2025),</w:t>
      </w:r>
    </w:p>
    <w:p w14:paraId="6BC7D8AD" w14:textId="77777777" w:rsidR="00316459" w:rsidRPr="00330565" w:rsidRDefault="00316459" w:rsidP="00316459">
      <w:pPr>
        <w:spacing w:after="240"/>
        <w:ind w:left="567" w:hanging="567"/>
      </w:pPr>
      <w:r w:rsidRPr="00330565">
        <w:t>1.</w:t>
      </w:r>
      <w:r w:rsidRPr="00330565">
        <w:tab/>
        <w:t>uděluje absolutorium generální tajemnici Evropského hospodářského a sociálního výboru za plnění rozpočtu Evropského hospodářského a sociálního výboru na rozpočtový rok 2023;</w:t>
      </w:r>
    </w:p>
    <w:p w14:paraId="6CD0657F" w14:textId="77777777" w:rsidR="00316459" w:rsidRPr="00330565" w:rsidRDefault="00316459" w:rsidP="00316459">
      <w:pPr>
        <w:spacing w:after="240"/>
        <w:ind w:left="567" w:hanging="567"/>
      </w:pPr>
      <w:r w:rsidRPr="00330565">
        <w:t>2.</w:t>
      </w:r>
      <w:r w:rsidRPr="00330565">
        <w:tab/>
        <w:t>předkládá své připomínky v níže uvedeném usnesení;</w:t>
      </w:r>
    </w:p>
    <w:p w14:paraId="11D2B4B2" w14:textId="77777777" w:rsidR="00316459" w:rsidRPr="00330565" w:rsidRDefault="00316459" w:rsidP="00316459">
      <w:pPr>
        <w:spacing w:after="240"/>
        <w:ind w:left="567" w:hanging="567"/>
      </w:pPr>
      <w:r w:rsidRPr="00330565">
        <w:t>3.</w:t>
      </w:r>
      <w:r w:rsidRPr="00330565">
        <w:tab/>
        <w:t>pověřuje svou předsedkyni, aby předala toto rozhodnutí a usnesení, které je jejich nedílnou součástí, Radě, Komisi a Účetnímu dvoru a aby zajistila jejich zveřejnění v </w:t>
      </w:r>
      <w:r w:rsidRPr="00330565">
        <w:rPr>
          <w:i/>
        </w:rPr>
        <w:t>Úředním věstníku Evropské unie</w:t>
      </w:r>
      <w:r w:rsidRPr="00330565">
        <w:t xml:space="preserve"> (řada L).</w:t>
      </w:r>
    </w:p>
    <w:p w14:paraId="5B6AD85E" w14:textId="77777777" w:rsidR="00316459" w:rsidRPr="00493E01" w:rsidRDefault="00316459" w:rsidP="00316459">
      <w:pPr>
        <w:sectPr w:rsidR="00316459" w:rsidRPr="00493E01" w:rsidSect="00316459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CFB87D5" w14:textId="77777777" w:rsidR="00316459" w:rsidRPr="00330565" w:rsidRDefault="00316459" w:rsidP="00316459">
      <w:pPr>
        <w:pStyle w:val="ATHeading3"/>
      </w:pPr>
      <w:r w:rsidRPr="00330565">
        <w:t>2. Usnesení Evropského parlamentu ze dne 7. května 2025 obsahující připomínky, které jsou nedílnou součástí rozhodnutí o udělení absolutoria za plnění souhrnného rozpočtu Evropské unie na rozpočtový rok 2023, oddíl VI – Evropský hospodářský a sociální výbor (2024/2025(DEC))</w:t>
      </w:r>
    </w:p>
    <w:p w14:paraId="4896CF9E" w14:textId="77777777" w:rsidR="00316459" w:rsidRPr="00330565" w:rsidRDefault="00316459" w:rsidP="00316459">
      <w:pPr>
        <w:spacing w:before="480" w:after="240"/>
      </w:pPr>
      <w:r w:rsidRPr="00330565">
        <w:rPr>
          <w:i/>
        </w:rPr>
        <w:t>Evropský parlament</w:t>
      </w:r>
      <w:r w:rsidRPr="00330565">
        <w:t>,</w:t>
      </w:r>
    </w:p>
    <w:p w14:paraId="5CA7C70C" w14:textId="50D2DB05" w:rsidR="00316459" w:rsidRPr="00330565" w:rsidRDefault="00316459" w:rsidP="00316459">
      <w:pPr>
        <w:spacing w:after="240"/>
        <w:ind w:left="567" w:hanging="567"/>
        <w:rPr>
          <w:lang w:eastAsia="fr-FR"/>
        </w:rPr>
      </w:pPr>
      <w:r w:rsidRPr="00330565">
        <w:t>–</w:t>
      </w:r>
      <w:r w:rsidRPr="00330565">
        <w:rPr>
          <w:lang w:eastAsia="fr-FR"/>
        </w:rPr>
        <w:tab/>
      </w:r>
      <w:r w:rsidRPr="00330565">
        <w:t>s</w:t>
      </w:r>
      <w:r w:rsidRPr="00330565">
        <w:rPr>
          <w:lang w:eastAsia="fr-FR"/>
        </w:rPr>
        <w:t> </w:t>
      </w:r>
      <w:r w:rsidRPr="00330565">
        <w:t>ohledem na své rozhodnutí o udělení absolutoria za plnění souhrnného rozpočtu Evropské unie na rozpočtový rok 2023, oddíl VI – Evropský hospodářský a sociální výbor,</w:t>
      </w:r>
    </w:p>
    <w:p w14:paraId="2B8C11B8" w14:textId="7BE6B13B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 ohledem na článek 102 a přílohu V jednacího řádu,</w:t>
      </w:r>
    </w:p>
    <w:p w14:paraId="37908B13" w14:textId="58B2489D" w:rsidR="00316459" w:rsidRPr="00330565" w:rsidRDefault="00316459" w:rsidP="00316459">
      <w:pPr>
        <w:spacing w:after="240"/>
        <w:ind w:left="567" w:hanging="567"/>
      </w:pPr>
      <w:r w:rsidRPr="00330565">
        <w:t>–</w:t>
      </w:r>
      <w:r w:rsidRPr="00330565">
        <w:tab/>
        <w:t>s ohledem na zprávu Výboru pro rozpočtovou kontrolu (A10-0054/2025),</w:t>
      </w:r>
    </w:p>
    <w:p w14:paraId="3F341977" w14:textId="77777777" w:rsidR="00316459" w:rsidRPr="00330565" w:rsidRDefault="00316459" w:rsidP="00316459">
      <w:pPr>
        <w:spacing w:after="240"/>
        <w:ind w:left="567" w:hanging="567"/>
      </w:pPr>
      <w:r w:rsidRPr="00330565">
        <w:t>A.</w:t>
      </w:r>
      <w:r w:rsidRPr="00330565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14:paraId="4CC1C199" w14:textId="77777777" w:rsidR="00316459" w:rsidRPr="00330565" w:rsidRDefault="00316459" w:rsidP="00316459">
      <w:pPr>
        <w:spacing w:after="240"/>
        <w:ind w:left="567" w:hanging="567"/>
      </w:pPr>
      <w:r w:rsidRPr="00330565">
        <w:t>B.</w:t>
      </w:r>
      <w:r w:rsidRPr="00330565">
        <w:tab/>
        <w:t>vzhledem k tomu, že Evropský hospodářský a sociální výbor (dále jen „Výbor“) je poradním orgánem Unie, který poskytuje fórum pro konzultace, dialog a konsensus mezi zástupci různých hospodářských, sociálních a občanských složek organizované občanské společnosti členských států;</w:t>
      </w:r>
    </w:p>
    <w:p w14:paraId="402CDC7B" w14:textId="77777777" w:rsidR="00316459" w:rsidRPr="00330565" w:rsidRDefault="00316459" w:rsidP="00316459">
      <w:pPr>
        <w:spacing w:after="240"/>
        <w:ind w:left="567" w:hanging="567"/>
      </w:pPr>
      <w:r w:rsidRPr="00330565">
        <w:t>C.</w:t>
      </w:r>
      <w:r w:rsidRPr="00330565">
        <w:tab/>
        <w:t>vzhledem k tomu, že Výbor přispívá k rozhodovacímu procesu Unie a tím, že zajišťuje propojení politik Unie s hospodářskými, sociálními a občanskými okolnostmi, současně plní své poslání zlepšovat právní úpravu a prosazovat participativní demokracii zdola a evropské hodnoty;</w:t>
      </w:r>
    </w:p>
    <w:p w14:paraId="1413229E" w14:textId="77777777" w:rsidR="00316459" w:rsidRPr="00330565" w:rsidRDefault="00316459" w:rsidP="00316459">
      <w:pPr>
        <w:spacing w:after="240"/>
        <w:ind w:left="567" w:hanging="567"/>
      </w:pPr>
      <w:r w:rsidRPr="00330565">
        <w:t>D.</w:t>
      </w:r>
      <w:r w:rsidRPr="00330565">
        <w:tab/>
        <w:t>vzhledem k tomu, že konzultace s Výborem ze strany Komise nebo Rady je v určitých případech povinná a Výbor může přijímat stanoviska i z vlastního podnětu, přičemž oblast, vymezená v Jednotném evropském aktu, Maastrichtské smlouvě a Amsterodamské smlouvě, v níž je Výbor žádán o vypracování stanoviska, je široká a umožňuje konzultace s Výborem ze strany Parlamentu;</w:t>
      </w:r>
    </w:p>
    <w:p w14:paraId="3D23C943" w14:textId="77777777" w:rsidR="00316459" w:rsidRPr="00330565" w:rsidRDefault="00316459" w:rsidP="00316459">
      <w:pPr>
        <w:spacing w:after="240"/>
        <w:ind w:left="567" w:hanging="567"/>
      </w:pPr>
      <w:r w:rsidRPr="00330565">
        <w:t>E.</w:t>
      </w:r>
      <w:r w:rsidRPr="00330565">
        <w:tab/>
        <w:t>vzhledem k tomu, že kontrolním orgánem Výboru pro všechny rozpočtové postupy, zejména pro stanovení odhadů rozpočtu, plnění rozpočtu, výroční zprávu o činnosti, absolutorium a následná opatření navazující na výroční zprávu Účetního dvora, je Komise pro finanční a rozpočtové záležitosti (CAF) Výboru;</w:t>
      </w:r>
    </w:p>
    <w:p w14:paraId="20ECDC38" w14:textId="77777777" w:rsidR="00316459" w:rsidRPr="00330565" w:rsidRDefault="00316459" w:rsidP="00316459">
      <w:pPr>
        <w:spacing w:after="240"/>
        <w:ind w:left="567" w:hanging="567"/>
      </w:pPr>
      <w:r w:rsidRPr="00330565">
        <w:t>F.</w:t>
      </w:r>
      <w:r w:rsidRPr="00330565">
        <w:tab/>
        <w:t>vzhledem k tomu, že Výbor v posledních letech přijal iniciativy, které mají v rámci omezeného rozpočtu přilákat a udržet kvalifikované zaměstnance, optimalizovat organizační strukturu a pracovní metody a podporovat respektující pracovní prostředí;</w:t>
      </w:r>
    </w:p>
    <w:p w14:paraId="39C911C2" w14:textId="77777777" w:rsidR="00316459" w:rsidRPr="00330565" w:rsidRDefault="00316459" w:rsidP="00316459">
      <w:pPr>
        <w:spacing w:after="240"/>
        <w:ind w:left="567" w:hanging="567"/>
      </w:pPr>
      <w:r w:rsidRPr="00330565">
        <w:t>1.</w:t>
      </w:r>
      <w:r w:rsidRPr="00330565">
        <w:tab/>
        <w:t>konstatuje, že rozpočet Výboru spadá do okruhu 7 VFR „Evropská veřejná správa“, který v roce 2023 činil celkem 12,3 miliardy EUR, tj. 6,4 % výdajů rozpočtu Unie; konstatuje, že v roce 2023 představoval rozpočet Výboru 1,29 % prostředků v okruhu 7 VFR;</w:t>
      </w:r>
    </w:p>
    <w:p w14:paraId="71BB08E7" w14:textId="77777777" w:rsidR="00316459" w:rsidRPr="00330565" w:rsidRDefault="00316459" w:rsidP="00316459">
      <w:pPr>
        <w:spacing w:after="240"/>
        <w:ind w:left="567" w:hanging="567"/>
      </w:pPr>
      <w:r w:rsidRPr="00330565">
        <w:t>2.</w:t>
      </w:r>
      <w:r w:rsidRPr="00330565">
        <w:tab/>
        <w:t>bere na vědomí, že Účetní dvůr ve své výroční zprávě za rozpočtový rok 2023 (dále jen „zpráva Účetního dvora“) prověřil vzorek 70 operací v okruhu 7, z nichž 21 (30 %) obsahovalo chyby; dále bere na vědomí, že u pěti z těchto chyb vyčíslených Účetním dvorem se míra chyb pohybovala podle odhadu Účetního dvora pod prahem významnosti;</w:t>
      </w:r>
    </w:p>
    <w:p w14:paraId="2F51866C" w14:textId="77777777" w:rsidR="00316459" w:rsidRPr="00330565" w:rsidRDefault="00316459" w:rsidP="00316459">
      <w:pPr>
        <w:spacing w:after="240"/>
        <w:ind w:left="567" w:hanging="567"/>
      </w:pPr>
      <w:r w:rsidRPr="00330565">
        <w:t>3.</w:t>
      </w:r>
      <w:r w:rsidRPr="00330565">
        <w:tab/>
        <w:t>na základě zprávy Účetního dvora konstatuje, že správní výdaje zahrnují výdaje na lidské zdroje, včetně důchodů, které v roce 2023 představovaly přibližně 70 % celkových správních výdajů, a výdaje na budovy, vybavení, energetiku, komunikaci a informační technologie; vítá skutečnost, že Účetní dvůr dospěl stejně jako v předchozích letech k závěru, že správní výdaje jsou celkově málo rizikové; konstatuje, že Účetní dvůr v roce 2023 nezjistil u Výboru žádný specifický problém;</w:t>
      </w:r>
    </w:p>
    <w:p w14:paraId="659EA47D" w14:textId="77777777" w:rsidR="00316459" w:rsidRPr="00330565" w:rsidRDefault="00316459" w:rsidP="00316459">
      <w:pPr>
        <w:spacing w:after="240"/>
        <w:ind w:left="567" w:hanging="567"/>
        <w:rPr>
          <w:b/>
          <w:i/>
        </w:rPr>
      </w:pPr>
      <w:r w:rsidRPr="00330565">
        <w:rPr>
          <w:b/>
          <w:i/>
        </w:rPr>
        <w:t>Rozpočtové a finanční řízení</w:t>
      </w:r>
    </w:p>
    <w:p w14:paraId="121945A6" w14:textId="77777777" w:rsidR="00316459" w:rsidRPr="00330565" w:rsidRDefault="00316459" w:rsidP="00316459">
      <w:pPr>
        <w:spacing w:after="240"/>
        <w:ind w:left="567" w:hanging="567"/>
      </w:pPr>
      <w:r w:rsidRPr="00330565">
        <w:t>4.</w:t>
      </w:r>
      <w:r w:rsidRPr="00330565">
        <w:tab/>
        <w:t>bere na vědomí, že konečný přijatý rozpočet Výboru v roce 2023 činil 158 767 970 EUR, což představuje ve srovnání s rokem 2022 celkové zvýšení o 4,1 %; na základě odpovědí Výboru na dotazník, který v souvislosti s udělováním absolutoria za plnění rozpočtu na rok 2023 předložil Výbor pro rozpočtovou kontrolu (dále jen „dotazník“), a výroční zprávy Výboru o činnosti za rok 2023 (dále jen „výroční zpráva“) konstatuje, že rozpočtová položka na odměny a příspěvky (výdaje na zaměstnance a členy Výboru) se v letech 2022 až 2023 zvýšila v důsledku inflace o 8,4 %; na základě dotazníku konstatuje, že rozpočet na externí pomoc při provozu, vývoji a údržbě softwarových systémů se mezi roky 2022 a 2023 zvýšil o 33,70 %, neboť Výbor učinil v roce 2023 z provádění své digitální strategie na období 2024–2026 prioritu; bere na vědomí, že kromě toho zůstalo rozdělení prostředků mezi jiné rozpočtové položky rozpočtu Výboru na rok 2023 srovnatelné s rozdělením v předchozích letech;</w:t>
      </w:r>
    </w:p>
    <w:p w14:paraId="6E91BCE8" w14:textId="77777777" w:rsidR="00316459" w:rsidRPr="00330565" w:rsidRDefault="00316459" w:rsidP="00316459">
      <w:pPr>
        <w:spacing w:after="240"/>
        <w:ind w:left="567" w:hanging="567"/>
      </w:pPr>
      <w:r w:rsidRPr="00330565">
        <w:t>5.</w:t>
      </w:r>
      <w:r w:rsidRPr="00330565">
        <w:tab/>
        <w:t>s uspokojením konstatuje, že míra plnění rozpočtu Výboru u prostředků na závazky na běžný rok se z 96,12 % v roce 2022 dále zvýšila na 98,70 % v roce 2023 a nižší míra plnění rozpočtu v předchozích letech v důsledku pandemie COVID-19 a souvisejících cestovních omezení se tak stala minulostí; dále konstatuje, že míra čerpání prostředků na platby na běžný rok se zvýšila z 88,12 % v roce 2022 na 90,67 % v roce 2023; bere na vědomí, že průměrná doba splatnosti v roce 2023 činila 20,14 dne, což je více než v roce 2022 (18,34 dne);</w:t>
      </w:r>
    </w:p>
    <w:p w14:paraId="6808F4AF" w14:textId="77777777" w:rsidR="00316459" w:rsidRPr="00330565" w:rsidRDefault="00316459" w:rsidP="00316459">
      <w:pPr>
        <w:spacing w:after="240"/>
        <w:ind w:left="567" w:hanging="567"/>
      </w:pPr>
      <w:r w:rsidRPr="00330565">
        <w:t>6.</w:t>
      </w:r>
      <w:r w:rsidRPr="00330565">
        <w:tab/>
        <w:t>konstatuje, že přenos prostředků z roku 2023 do roku 2024 činil 13 827 713 EUR (tj. přibližně 8,70 % rozpočtu Výboru na rok 2023), což představuje snížení oproti 20 162 518 EUR v předchozím roce (přibližně 13 % rozpočtu Výboru na rok 2022); dále s uspokojením konstatuje, že míra čerpání prostředků přenesených z roku 2022 do roku 2023 činila v roce 2023 86,76 %, oproti 76,91 % v roce 2022; vybízí Výbor, aby i nadále účinně využíval poskytnuté prostředky;</w:t>
      </w:r>
    </w:p>
    <w:p w14:paraId="3A9FC6B3" w14:textId="77777777" w:rsidR="00316459" w:rsidRPr="00330565" w:rsidRDefault="00316459" w:rsidP="00316459">
      <w:pPr>
        <w:spacing w:after="240"/>
        <w:ind w:left="567" w:hanging="567"/>
      </w:pPr>
      <w:r w:rsidRPr="00330565">
        <w:t>7.</w:t>
      </w:r>
      <w:r w:rsidRPr="00330565">
        <w:tab/>
        <w:t>bere na vědomí, že útvary Výboru v roce 2022 zahájily 12 jednacích řízení pod 60 000 EUR, zejména na případové studie, studie a logistickou podporu; konstatuje, že Výbor rovněž zahájil šest zadávacích řízení se společnými útvary, které sdílí s Evropským výborem regionů (dále jen „VR“), převážně v oblasti logistiky a údržby;</w:t>
      </w:r>
    </w:p>
    <w:p w14:paraId="1E9694CD" w14:textId="77777777" w:rsidR="00316459" w:rsidRPr="00330565" w:rsidRDefault="00316459" w:rsidP="00316459">
      <w:pPr>
        <w:spacing w:after="240"/>
        <w:ind w:left="567" w:hanging="567"/>
      </w:pPr>
      <w:r w:rsidRPr="00330565">
        <w:t>8.</w:t>
      </w:r>
      <w:r w:rsidRPr="00330565">
        <w:tab/>
        <w:t xml:space="preserve">bere na vědomí, že v roce 2023 Výbor pokračoval ve zlepšování nákladové efektivnosti svých činností, mimo jiné prostřednictvím hybridní práce, zvýšené práce na dálku, plné </w:t>
      </w:r>
      <w:proofErr w:type="spellStart"/>
      <w:r w:rsidRPr="00330565">
        <w:t>dematerializace</w:t>
      </w:r>
      <w:proofErr w:type="spellEnd"/>
      <w:r w:rsidRPr="00330565">
        <w:t xml:space="preserve"> finančních okruhů a snížení spotřeby energie; na základě dotazníku konstatuje, že Výbor dosáhl v důsledku snížení spotřeby energie v roce 2023 finančních úspor ve výši 65 000 EUR; oceňuje, že Výbor podepsal novou rámcovou smlouvu o lékařských kontrolách, která stanoví nižší ceny, větší flexibilitu a celkově lepší služby než předchozí smlouva; bere na vědomí významné rozpočtové a administrativní úspory, jichž Výbor dosáhl prostřednictvím interinstitucionální spolupráce, zejména prostřednictvím společných útvarů s VR, outsourcingu (dohody o úrovni služeb) konkrétních služeb – pokud jde o nakládání s lidskými zdroji a využívání nástrojů IT pro finanční řízení a řízení lidských zdrojů – na Komisi a účasti na interinstitucionálních zadávacích řízeních vedených jinými institucemi; na základě dotazníku konstatuje, že celkové náklady, které Výboru v souvislosti s outsourcingem konkrétních služeb na Komisi vznikly, se zvýšily ze 743 600 EUR v roce 2022 na 793 000 EUR v roce 2023;</w:t>
      </w:r>
    </w:p>
    <w:p w14:paraId="11D732CC" w14:textId="77777777" w:rsidR="00316459" w:rsidRPr="00330565" w:rsidRDefault="00316459" w:rsidP="00316459">
      <w:pPr>
        <w:spacing w:after="240"/>
        <w:ind w:left="567" w:hanging="567"/>
      </w:pPr>
      <w:r w:rsidRPr="00330565">
        <w:t>9.</w:t>
      </w:r>
      <w:r w:rsidRPr="00330565">
        <w:tab/>
        <w:t>připomíná, že rozhodnutí Rady ze dne 25. května 2023 stanovilo příspěvek na distanční účast členů Výboru na nestatutárních schůzích ve výši 145 EUR na každý den distanční schůze, což představuje 50 % denního příspěvku na fyzickou účast v roce 2023; domnívá se, že navzdory tomu, že distanční účast je důležitým nástrojem moderních institucí, protože mimo jiné snižuje náklady na schůze a umožňuje širší účast, je poskytování příspěvku na distanční účast na schůzích pro veřejnost obtížně pochopitelné, i když je tento příspěvek snížen a určen pouze pro některé typy akcí, tím spíše vzhledem k rozdílným příspěvkům, které jsou za distanční účast vypláceny členům Výboru a členům Výboru regionů; na základě zprávy Výboru o opatřeních přijatých v návaznosti na usnesení Parlamentu o plnění rozpočtu Výboru na rok 2022 (dále jen „zpráva o následných opatřeních“) bere s uspokojením na vědomí, že uplatňování tohoto rozhodnutí již přineslo rozpočtové úspory ve výši 1 677 000 EUR v důsledku nižších cestovních nákladů a vyplácených příspěvků a environmentální úspory ve výši přibližně 553,66 tun CO</w:t>
      </w:r>
      <w:r w:rsidRPr="00330565">
        <w:rPr>
          <w:vertAlign w:val="subscript"/>
        </w:rPr>
        <w:t>2</w:t>
      </w:r>
      <w:r w:rsidRPr="00330565">
        <w:t xml:space="preserve"> v důsledku nižšího počtu cest v roce 2023; na základě výroční zprávy konstatuje, že počet hrazených dnů schůzí s distanční účastí činil 2 006 (6 259 v roce 2022), přičemž průměrná doba trvání schůze byla 3 hodiny, což vedlo k celkovým nákladům v roce 2023 ve výši 294 930 EUR (922 925 EUR v roce 2022); vítá skutečnost, že Výbor provedl před vyplacením příspěvku vícero kontrol s cílem prokázat distanční účast členů;</w:t>
      </w:r>
    </w:p>
    <w:p w14:paraId="07C48A0A" w14:textId="77777777" w:rsidR="00316459" w:rsidRPr="00330565" w:rsidRDefault="00316459" w:rsidP="00316459">
      <w:pPr>
        <w:spacing w:after="240"/>
        <w:ind w:left="567" w:hanging="567"/>
      </w:pPr>
      <w:r w:rsidRPr="00330565">
        <w:t>10.</w:t>
      </w:r>
      <w:r w:rsidRPr="00330565">
        <w:tab/>
        <w:t>bere na vědomí, že v roce 2023 byl rozpočet Výboru i nadále pod tlakem v důsledku dopadů válečné agrese Ruska proti Ukrajině, a to v podobě rostoucí inflace a úprav platů, problémů spojených se stavebními projekty v důsledku zpoždění a vyšších cen surovin, indexace nájemních smluv (+ 10,3 % v roce 2023 ve srovnání s rokem 2022) a indexace smluv o údržbě a bezpečnostních službách (+ 13,50 % v roce 2023 ve srovnání s rokem 2021); konstatuje zejména, že náklady na energie se mezi lety 2021 a 2022 zvýšily ze 726 000 EUR na 3 125 000 EUR a v roce 2023 klesly na 1 923 391 EUR; bere na vědomí 2 % strop pro výdaje nesouvisející s platy; chválí v této souvislosti Výbor za iniciativu při řešení problémů na rozpočtové úrovni, např. prováděním strategií energetických úspor prostřednictvím krátkodobých, střednědobých i dlouhodobých opatření, díky čemuž nebyl v roce 2023 zapotřebí opravný rozpočet;</w:t>
      </w:r>
    </w:p>
    <w:p w14:paraId="19F05184" w14:textId="77777777" w:rsidR="00316459" w:rsidRPr="00330565" w:rsidRDefault="00316459" w:rsidP="00316459">
      <w:pPr>
        <w:spacing w:after="240"/>
        <w:ind w:left="567" w:hanging="567"/>
      </w:pPr>
      <w:r w:rsidRPr="00330565">
        <w:t>11.</w:t>
      </w:r>
      <w:r w:rsidRPr="00330565">
        <w:tab/>
        <w:t>bere na vědomí snížení prostředků na běžný rok v rozpočtové položce 1 0 0 4 (výdaje na cesty členů, včetně příspěvků na pobyt a účast na schůzi) z 19,790 milionu EUR v roce 2022 (z toho 15,895 milionu EUR bylo vyplaceno) na 19,761 milionu EUR v roce 2023 (z toho 18,344 milionu EUR bylo vyplaceno); s uspokojením bere na vědomí zlepšení míry čerpání těchto prostředků z 80,31 % v roce 2022 na 92,83 % v roce 2023; konstatuje, že předseda Výboru se v roce 2023 zúčastnil 35 pracovních cest odpovídajících celkové výši 71 926 EUR, přičemž v roce 2022 to bylo 26 pracovních cest v celkové výši 38 042 EUR;</w:t>
      </w:r>
    </w:p>
    <w:p w14:paraId="3373EB0D" w14:textId="77777777" w:rsidR="00316459" w:rsidRPr="00330565" w:rsidRDefault="00316459" w:rsidP="00316459">
      <w:pPr>
        <w:spacing w:after="240"/>
        <w:ind w:left="567" w:hanging="567"/>
      </w:pPr>
      <w:r w:rsidRPr="00330565">
        <w:t>12.</w:t>
      </w:r>
      <w:r w:rsidRPr="00330565">
        <w:tab/>
        <w:t xml:space="preserve">na základě dotazníku bere na vědomí, že společné ředitelství pro inovace a informační technologie Výboru a VR vyčleňuje přibližně 3 % svého rozpočtu na IT na kybernetickou bezpečnost, což se ani zdaleka </w:t>
      </w:r>
      <w:proofErr w:type="gramStart"/>
      <w:r w:rsidRPr="00330565">
        <w:t>neblíží</w:t>
      </w:r>
      <w:proofErr w:type="gramEnd"/>
      <w:r w:rsidRPr="00330565">
        <w:t xml:space="preserve"> 10 % cíli stanovenému v příslušných právních předpisech; vyzývá </w:t>
      </w:r>
      <w:proofErr w:type="spellStart"/>
      <w:r w:rsidRPr="00330565">
        <w:t>spolunormotvůrce</w:t>
      </w:r>
      <w:proofErr w:type="spellEnd"/>
      <w:r w:rsidRPr="00330565">
        <w:t xml:space="preserve"> a Komisi, aby tuto skutečnost zohlednili v rámci ročního rozpočtového procesu;</w:t>
      </w:r>
    </w:p>
    <w:p w14:paraId="010D311C" w14:textId="77777777" w:rsidR="00316459" w:rsidRPr="00330565" w:rsidRDefault="00316459" w:rsidP="00316459">
      <w:pPr>
        <w:spacing w:after="240"/>
        <w:ind w:left="567" w:hanging="567"/>
      </w:pPr>
      <w:r w:rsidRPr="00330565">
        <w:rPr>
          <w:b/>
          <w:i/>
        </w:rPr>
        <w:t>Vnitřní řízení, výkonnost a vnitřní kontrola</w:t>
      </w:r>
    </w:p>
    <w:p w14:paraId="7221BB69" w14:textId="77777777" w:rsidR="00316459" w:rsidRPr="00330565" w:rsidRDefault="00316459" w:rsidP="00316459">
      <w:pPr>
        <w:spacing w:after="240"/>
        <w:ind w:left="567" w:hanging="567"/>
      </w:pPr>
      <w:r w:rsidRPr="00330565">
        <w:t>13.</w:t>
      </w:r>
      <w:r w:rsidRPr="00330565">
        <w:tab/>
        <w:t>na základě výroční zprávy konstatuje, že Výbor měl v rámci svého ročního pracovního programu na rok 2023 pro všechny subjekty své správy navrženo celkem 31 cílů a že v rámci strategie generálního sekretariátu na období 2021–2025 má Výbor pět základních hodnot a pět klíčových strategických cílů; na základě dotazníku bere na vědomí, že klíčovými ukazateli pro měření výkonnosti Výboru je počet vypracovaných stanovisek a účast na schůzích na vysoké úrovni; na základě dotazníku bere na vědomí, že Výbor má ukazatele výkonnosti i v dalších oblastech, jako jsou IT, lidské zdroje, překlady a komunikace; žádá Výbor, aby do svých budoucích zpráv zahrnul seznam všech klíčových ukazatelů výkonnosti a cílů pro každou činnost a dále úroveň (v %) požadovanou pro jejich plnění a úroveň (v %), jíž bylo dosaženo;</w:t>
      </w:r>
    </w:p>
    <w:p w14:paraId="131FACDA" w14:textId="77777777" w:rsidR="00316459" w:rsidRPr="00330565" w:rsidRDefault="00316459" w:rsidP="00316459">
      <w:pPr>
        <w:spacing w:after="240"/>
        <w:ind w:left="567" w:hanging="567"/>
      </w:pPr>
      <w:r w:rsidRPr="00330565">
        <w:t>14.</w:t>
      </w:r>
      <w:r w:rsidRPr="00330565">
        <w:tab/>
        <w:t>konstatuje, že Výbor plní své poslání prostřednictvím stanovisek, která se týkají legislativních návrhů předložených Komisí (žádosti o vypracování stanoviska), stanovisek vypracovaných z vlastního podnětu, ve kterých vyzývá orgány Unie k přijetí opatření, a průzkumných stanovisek, která přispívají k práci Komise na jejích plánovaných iniciativách, a že postoje Výboru mohou být zdůrazněny v usneseních nebo zahrnuty do hodnotících či informačních zpráv; oceňuje výsledky výboru, pokud jde o pomoc Parlamentu, Radě a Komisi v legislativním cyklu v roce 2023; v této souvislosti konstatuje, že v roce 2023 přijal Výbor 213 stanovisek a zpráv, což představuje nárůst z 202 v roce 2022, a uspořádal 146 slyšení a 23 konferencí, oproti 116 slyšením a 29 konferencím v roce 2022; konstatuje, že se členové Výboru v roce 2023 zúčastnili 429 schůzí, summitů a konferencí na vysoké úrovni, oproti 345 v roce 2022;</w:t>
      </w:r>
    </w:p>
    <w:p w14:paraId="4136D008" w14:textId="77777777" w:rsidR="00316459" w:rsidRPr="00330565" w:rsidRDefault="00316459" w:rsidP="00316459">
      <w:pPr>
        <w:spacing w:after="240"/>
        <w:ind w:left="567" w:hanging="567"/>
      </w:pPr>
      <w:r w:rsidRPr="00330565">
        <w:t>15.</w:t>
      </w:r>
      <w:r w:rsidRPr="00330565">
        <w:tab/>
        <w:t>oceňuje, že Výbor přijal v roce 2023 opatření ke zlepšení viditelnosti a dopadu své práce, pokud jde o formát stanovisek, metodiku pro následná stanoviska, spolupráci s Parlamentem a Komisí, další projekty průřezové povahy a inovativní iniciativy, jako je např. ověřování dopadu předpisů EU na mladé lidi, iniciativa členů z kandidátských zemí a Evropská platforma zainteresovaných stran pro oběhové hospodářství;</w:t>
      </w:r>
    </w:p>
    <w:p w14:paraId="6ED79C85" w14:textId="77777777" w:rsidR="00316459" w:rsidRPr="00330565" w:rsidRDefault="00316459" w:rsidP="00316459">
      <w:pPr>
        <w:spacing w:after="240"/>
        <w:ind w:left="567" w:hanging="567"/>
      </w:pPr>
      <w:r w:rsidRPr="00330565">
        <w:t>16.</w:t>
      </w:r>
      <w:r w:rsidRPr="00330565">
        <w:rPr>
          <w:b/>
          <w:i/>
        </w:rPr>
        <w:tab/>
      </w:r>
      <w:r w:rsidRPr="00330565">
        <w:t>oceňuje iniciativy Výboru zaměřené na podporu aktivního zapojení mládeže do procesu tvorby politik;</w:t>
      </w:r>
    </w:p>
    <w:p w14:paraId="609C7D72" w14:textId="77777777" w:rsidR="00316459" w:rsidRPr="00330565" w:rsidRDefault="00316459" w:rsidP="00316459">
      <w:pPr>
        <w:spacing w:after="240"/>
        <w:ind w:left="567" w:hanging="567"/>
      </w:pPr>
      <w:r w:rsidRPr="00330565">
        <w:t>17.</w:t>
      </w:r>
      <w:r w:rsidRPr="00330565">
        <w:tab/>
        <w:t>vítá pilotní projekt realizovaný v období od září 2022 do dubna 2023 s cílem posílit opatření v návaznosti na vybraná stanoviska ve vztahu ke všem orgánům a institucím, přičemž k posílenému sledování bylo v rámci tohoto projektu vybráno 19 stanovisek; na základě dotazníku bere na vědomí celkově pozitivní výsledky tohoto pilotního projektu, k nimž patřilo zlepšení schopnosti Výboru přijímat následná opatření, lépe stanovovat priority činnosti Výboru a větší dosah a dopad vybraných stanovisek;</w:t>
      </w:r>
    </w:p>
    <w:p w14:paraId="6E85643D" w14:textId="77777777" w:rsidR="00316459" w:rsidRPr="00330565" w:rsidRDefault="00316459" w:rsidP="00316459">
      <w:pPr>
        <w:spacing w:after="240"/>
        <w:ind w:left="567" w:hanging="567"/>
      </w:pPr>
      <w:r w:rsidRPr="00330565">
        <w:t>18.</w:t>
      </w:r>
      <w:r w:rsidRPr="00330565">
        <w:tab/>
        <w:t>zdůrazňuje, že v důsledku personálních omezení, která dále prohloubily zvýšené činnosti spojené s pokračováním stabilní personální politiky, zůstalo klíčovou výzvou v průběhu roku 2023 účinné řízení omezených zdrojů; bere na vědomí plán Výboru zavést nový přístup ke strategickému plánování pracovních sil a přidělování zaměstnanců, který posílí shromažďování údajů o dovednostech zaměstnanců, aktivní naslouchání v celé organizaci a uvažování politických orgánů Výboru o strategických prioritách; vyzývá Výbor, aby Parlament o výsledku tohoto nového plánu průběžně informoval, neboť by se jím mohly inspirovat i další instituce, které čelí v oblasti zdrojů podobným, opakujícím se výzvám;</w:t>
      </w:r>
    </w:p>
    <w:p w14:paraId="0E637299" w14:textId="77777777" w:rsidR="00316459" w:rsidRPr="00330565" w:rsidRDefault="00316459" w:rsidP="00316459">
      <w:pPr>
        <w:spacing w:after="240"/>
        <w:ind w:left="567" w:hanging="567"/>
      </w:pPr>
      <w:r w:rsidRPr="00330565">
        <w:t>19.</w:t>
      </w:r>
      <w:r w:rsidRPr="00330565">
        <w:tab/>
        <w:t>pokud jde o standardy vnitřní kontroly, konstatuje, že kontrola dodržování předpisů v roce 2023 vykázala ve srovnání s rokem 2022 zlepšení; v této souvislosti bere na vědomí, že dodržování předpisů, konkrétně rozsah, v jakém jsou uplatňovány požadavky 16 standardů vnitřní kontroly, se zvýšilo z 80,30 % v roce 2022 na 87,40 % v roce 2023, přičemž účinnost, konkrétně míra, do jaké uplatňování těchto požadavků probíhá tak, jak bylo zamýšleno, se zvýšila ze 74 % v roce 2022 na 78,10 % v roce 2023; dále konstatuje, že roční posouzení rizik v roce 2023 ukázalo, že uplatňování vnitřních kontrol snížilo inherentní rizika (v kategorii „kritická“ a „velmi důležitá“) o 53 %, tj. ze 40 na 19 v roce 2023;</w:t>
      </w:r>
    </w:p>
    <w:p w14:paraId="18300391" w14:textId="77777777" w:rsidR="00316459" w:rsidRPr="00330565" w:rsidRDefault="00316459" w:rsidP="00316459">
      <w:pPr>
        <w:spacing w:after="240"/>
        <w:ind w:left="567" w:hanging="567"/>
      </w:pPr>
      <w:r w:rsidRPr="00330565">
        <w:t>20.</w:t>
      </w:r>
      <w:r w:rsidRPr="00330565">
        <w:rPr>
          <w:b/>
          <w:i/>
        </w:rPr>
        <w:tab/>
      </w:r>
      <w:r w:rsidRPr="00330565">
        <w:t>konstatuje, že v roce 2023 proběhla restrukturalizace Útvaru interního auditu (IAS), která posílila jeho soulad s mezinárodními auditorskými standardy a zefektivnila a zdokumentovala všechny jeho postupy;</w:t>
      </w:r>
    </w:p>
    <w:p w14:paraId="05059D0F" w14:textId="77777777" w:rsidR="00316459" w:rsidRPr="00330565" w:rsidRDefault="00316459" w:rsidP="00316459">
      <w:pPr>
        <w:spacing w:after="240"/>
        <w:ind w:left="567" w:hanging="567"/>
      </w:pPr>
      <w:r w:rsidRPr="00330565">
        <w:t>21.</w:t>
      </w:r>
      <w:r w:rsidRPr="00330565">
        <w:tab/>
        <w:t>konstatuje, že v oblasti finančních transakcí přijal Útvar interního auditu (IAS) Výboru na začátku roku 2023 nové rozhodnutí o posuzování rizik pro účely provádění zjednodušeného postupu; dále bere na vědomí, že předsednictvo Výboru přijalo v roce 2023 novou chartu interního auditu a chartu výboru pro audit, včetně procesních pravidel;</w:t>
      </w:r>
    </w:p>
    <w:p w14:paraId="4366F196" w14:textId="77777777" w:rsidR="00316459" w:rsidRPr="00330565" w:rsidRDefault="00316459" w:rsidP="00316459">
      <w:pPr>
        <w:spacing w:after="240"/>
        <w:ind w:left="567" w:hanging="567"/>
      </w:pPr>
      <w:r w:rsidRPr="00330565">
        <w:t>22.</w:t>
      </w:r>
      <w:r w:rsidRPr="00330565">
        <w:tab/>
        <w:t>na základě výroční zprávy a dotazníku konstatuje, že útvar interního auditu zahájil v roce 2023 čtyři audity, které se zaměřily na povolování schůzí, výběr poradní komise pro průmyslové změny, strategický cyklus a příspěvky pro členy Výboru na délku cesty a na vzdálenost; vyzývá Výbor, aby orgán příslušný k udělení absolutoria průběžně informoval o výsledcích těchto auditů a aby provedl všechna dosud neuzavřená doporučení vyplývající z předchozích auditů (zaměřených na institucionální lhůty, tlumočení, ověřování, etiku a integritu, zákonná práva a platební lhůty);</w:t>
      </w:r>
    </w:p>
    <w:p w14:paraId="5F4ED69D" w14:textId="77777777" w:rsidR="00316459" w:rsidRPr="00330565" w:rsidRDefault="00316459" w:rsidP="00316459">
      <w:pPr>
        <w:spacing w:after="240"/>
        <w:ind w:left="567" w:hanging="567"/>
        <w:rPr>
          <w:b/>
          <w:i/>
        </w:rPr>
      </w:pPr>
      <w:r w:rsidRPr="00330565">
        <w:rPr>
          <w:b/>
          <w:i/>
        </w:rPr>
        <w:t>Lidské zdroje, rovnost a dobré pracovní podmínky zaměstnanců</w:t>
      </w:r>
    </w:p>
    <w:p w14:paraId="6E8C3E0B" w14:textId="77777777" w:rsidR="00316459" w:rsidRPr="00330565" w:rsidRDefault="00316459" w:rsidP="00316459">
      <w:pPr>
        <w:spacing w:after="240"/>
        <w:ind w:left="567" w:hanging="567"/>
      </w:pPr>
      <w:r w:rsidRPr="00330565">
        <w:t>23.</w:t>
      </w:r>
      <w:r w:rsidRPr="00330565">
        <w:tab/>
        <w:t>bere na vědomí, že na konci roku 2023 zaměstnával Výbor 707 zaměstnanců, oproti 706 v roce 2022; dále konstatuje, že v roce 2023 bylo zaměstnáno 49 smluvních zaměstnanců a 130 dočasných zaměstnanců (52 z nich bylo přijato v roce 2023), ve srovnání s 50 smluvními zaměstnanci a 128 dočasnými zaměstnanci v roce 2022; dále konstatuje, že Výbor zaměstnával 12 zaměstnanců agentury práce a 10 externích pracovníků, kteří pracovali na místě, nepočítaje v to externí poskytovatele služeb v oblasti logistiky a IT; bere na vědomí, že míra obsazenosti pracovních míst v roce 2023 činila 95,50 %, oproti 95,10 % v roce 2022, a míra fluktuace zaměstnanců v roce 2023 byla 7 %;</w:t>
      </w:r>
    </w:p>
    <w:p w14:paraId="15351340" w14:textId="77777777" w:rsidR="00316459" w:rsidRPr="00330565" w:rsidRDefault="00316459" w:rsidP="00316459">
      <w:pPr>
        <w:spacing w:after="240"/>
        <w:ind w:left="567" w:hanging="567"/>
      </w:pPr>
      <w:r w:rsidRPr="00330565">
        <w:t>24.</w:t>
      </w:r>
      <w:r w:rsidRPr="00330565">
        <w:tab/>
        <w:t>vítá probíhající úsilí Výboru o zlepšení rámce pro lidské zdroje, aby se stal atraktivním zaměstnavatelem a pracovištěm, kde je každý jednotlivec ceněn a může plně rozvinout svůj potenciál; bere na vědomí, že v rámci provádění strategie v oblasti lidských zdrojů na období 2023–2025 dosáhl Výbor v roce 2023 několika klíčových milníků a přijal nová rozhodnutí mimo jiné o pracovních podmínkách (hybridní práce, přesčasy, zvláštní dovolená), strategii rozmanitosti a začleňování a akčním plánu na období 2023–2027, mobilitě zaměstnanců, metodice týkající se citlivých pracovních míst a o systému hodnocení a povyšování zaměstnanců; s uspokojením bere na vědomí pozitivní výsledky průzkumu spokojenosti zaměstnanců zveřejněného v květnu 2023, kdy zaměstnanci i vedoucí pracovníci vyjádřili vysokou míru spokojenosti s různými záležitostmi souvisejícími s lidskými zdroji, zejména pak s uspořádáním pracovní doby, což je téma, u něhož Výbor zjevně nalezl dokonalou rovnováhu;</w:t>
      </w:r>
    </w:p>
    <w:p w14:paraId="30303D6A" w14:textId="77777777" w:rsidR="00316459" w:rsidRPr="00330565" w:rsidRDefault="00316459" w:rsidP="00316459">
      <w:pPr>
        <w:spacing w:after="240"/>
        <w:ind w:left="567" w:hanging="567"/>
      </w:pPr>
      <w:r w:rsidRPr="00330565">
        <w:t>25.</w:t>
      </w:r>
      <w:r w:rsidRPr="00330565">
        <w:tab/>
        <w:t>konstatuje, že v důsledku provádění cíleného plánu pro přilákání a udržení zaměstnanců se Výbor stal již druhý rok po sobě čistým importérem talentů (z jiných institucí); uznává nicméně, že přetrvávají problémy plynoucí z toho, že se v důsledku nedostatečných rezervních seznamů EPSO (Evropského úřadu pro výběr personálu) spoléhá na dočasné zaměstnance, což představuje riziko pro udržení odborných znalostí; zdůrazňuje význam stálých zaměstnanců pro zachování dovedností, kontinuity a produktivního pracovního prostředí; doporučuje, aby Výbor zavedl iniciativy v reakci na tyto výzvy, například prostřednictvím pořádání interních výběrových řízení;</w:t>
      </w:r>
    </w:p>
    <w:p w14:paraId="45B0EA11" w14:textId="77777777" w:rsidR="00316459" w:rsidRPr="00330565" w:rsidRDefault="00316459" w:rsidP="00316459">
      <w:pPr>
        <w:spacing w:after="240"/>
        <w:ind w:left="567" w:hanging="567"/>
      </w:pPr>
      <w:r w:rsidRPr="00330565">
        <w:t>26.</w:t>
      </w:r>
      <w:r w:rsidRPr="00330565">
        <w:tab/>
        <w:t>konstatuje, že v zájmu lepšího rozdělení omezených zdrojů zadal Výbor externí audit mapování lidských zdrojů, který byl v roce 2023 dokončen; se znepokojením bere na vědomí, že výsledky tohoto auditu potvrdily vysokou pracovní zátěž v mnoha různých útvarech Výboru, což ohrožuje plnění poslání a povinností Výboru; vyzývá Výbor, aby provedl doporučení tohoto auditu, mimo jiné aby do roku 2025 zrevidoval systém hodnocení a výkonnosti, přijal nové rozhodnutí o pracovních podmínkách a pravidelně monitoroval vytíženost zaměstnanců; zdůrazňuje, že strategické plánování personálních otázek je důležité pro optimální přidělování zdrojů, zajištění souladu s nejvyššími prioritami stanovenými politickými orgány a pokračování v úsilí o nákladovou efektivnost;</w:t>
      </w:r>
    </w:p>
    <w:p w14:paraId="2F1070DC" w14:textId="77777777" w:rsidR="00316459" w:rsidRPr="00330565" w:rsidRDefault="00316459" w:rsidP="00316459">
      <w:pPr>
        <w:spacing w:after="240"/>
        <w:ind w:left="567" w:hanging="567"/>
      </w:pPr>
      <w:r w:rsidRPr="00330565">
        <w:t>27.</w:t>
      </w:r>
      <w:r w:rsidRPr="00330565">
        <w:tab/>
        <w:t>konstatuje, že v roce 2023 pokračovaly pozitivní trendy zahájené v roce 2022 v souvislosti s náborem zaměstnanců; oceňuje opatření přijatá v této oblasti, k nimž patří sladění zveřejňování volných pracovních míst se zveřejněním nových rezervních seznamů EPSO nebo se zveřejňováním pracovních příležitostí na internetových stránkách Výboru a na platformě LinkedIn; žádá Výbor, aby Parlament průběžně informoval o výsledcích svého pilotního projektu týkajícího se budování značky zaměstnavatele; zdůrazňuje, že zaškolování nových zaměstnanců představuje důležitý faktor strategického sladění, neboť zajišťuje, aby byli zaměstnanci informováni o pravidlech a strategiích, jež daná instituce zavedla; chválí Výbor za to, že v roce 2023 zlepšil nástup a adaptaci nových zaměstnanců prostřednictvím aktualizované uvítací brožury a nástupního dopisu, ekologicky šetrného dárkového balíčku na uvítanou, systému zpětné vazby o zkušenostech s adaptací po nástupu, zlepšeného načasování uvítání, přepracovaného uvítacího místa pro nově příchozí a tipů pro vedoucí pracovníky ohledně nástupu a adaptace nových zaměstnanců;</w:t>
      </w:r>
    </w:p>
    <w:p w14:paraId="24C663DE" w14:textId="77777777" w:rsidR="00316459" w:rsidRPr="00330565" w:rsidRDefault="00316459" w:rsidP="00316459">
      <w:pPr>
        <w:spacing w:after="240"/>
        <w:ind w:left="567" w:hanging="567"/>
      </w:pPr>
      <w:r w:rsidRPr="00330565">
        <w:t>28.</w:t>
      </w:r>
      <w:r w:rsidRPr="00330565">
        <w:tab/>
        <w:t>připomíná, že Výbor rozhodnutím 282/23 A s účinností od 1. ledna 2024 zavedl flexibilní hybridní pracovní politiku založenou na důvěře, která poskytuje zaměstnancům lepší rovnováhu mezi pracovním a soukromým životem a zvyšuje přizpůsobivost a efektivitu; žádá Výbor, aby o dalším vývoji včas informoval orgán příslušný k udělení absolutoria;</w:t>
      </w:r>
    </w:p>
    <w:p w14:paraId="69F1FB1C" w14:textId="77777777" w:rsidR="00316459" w:rsidRPr="00330565" w:rsidRDefault="00316459" w:rsidP="00316459">
      <w:pPr>
        <w:spacing w:after="240"/>
        <w:ind w:left="567" w:hanging="567"/>
      </w:pPr>
      <w:r w:rsidRPr="00330565">
        <w:t>29.</w:t>
      </w:r>
      <w:r w:rsidRPr="00330565">
        <w:tab/>
        <w:t>s potěšením bere na vědomí jmenování generální tajemnice v lednu 2024 jako pozitivní krok k dosažení vyváženého zastoupení žen a mužů; vyjadřuje však politování nad tím, že podíl žen ve vrcholném vedení zůstal v roce 2023 nízký vzhledem k tomu, že ženy v současné době zastávají pouze dvě ze sedmi pozic ve vrcholném vedení; oceňuje nicméně, že Výbor považuje vyvážené zastoupení žen a mužů v řadách svých zaměstnanců a zejména ve vrcholném vedení za důležitý faktor, a vyzývá Výbor, aby rychle zlepšil situaci na nejvyšších úrovních svého vedení tím, že zajistí vyvážené zastoupení v souladu se svými závazky v oblasti rozmanitosti a inkluze;</w:t>
      </w:r>
    </w:p>
    <w:p w14:paraId="033B5B9C" w14:textId="77777777" w:rsidR="00316459" w:rsidRPr="00330565" w:rsidRDefault="00316459" w:rsidP="00316459">
      <w:pPr>
        <w:spacing w:after="240"/>
        <w:ind w:left="567" w:hanging="567"/>
      </w:pPr>
      <w:r w:rsidRPr="00330565">
        <w:t>30.</w:t>
      </w:r>
      <w:r w:rsidRPr="00330565">
        <w:tab/>
        <w:t>vyjadřuje politování nad tím, že Výbor nebyl v roce 2023 schopen poskytnout údaje o případech vyhoření, a odmítá postoj Výboru vyjádřený v jeho následné zprávě, že vyhoření jako takové není uznávanou lékařskou diagnózou a důvody pro vyhoření mohou být různé; připomíná význam statistických údajů o vyhoření s cílem pomoci při přijímání rozhodnutí o dobrých pracovních podmínkách zaměstnanců, která by měla být rovněž založena na zkušenostech získaných z dřívějších velmi politováníhodných zkušeností a na externích hodnoceních stávajícího rámce; chápe omezení v důsledku ochrany údajů, zdůrazňuje však hodnotu anonymizovaných statistických údajů pro podporu informovaných manažerských rozhodnutí; se znepokojením bere na vědomí zjištění, která poukazují na vysokou pracovní zátěž v několika útvarech v důsledku omezených lidských zdrojů; vítá přijetí nových pracovních ujednání jako pozitivní krok, vybízí však Výbor, aby podnikl další kroky ke zveřejňování anonymizovaných údajů o případech vyhoření;</w:t>
      </w:r>
    </w:p>
    <w:p w14:paraId="17361B82" w14:textId="77777777" w:rsidR="00316459" w:rsidRPr="00330565" w:rsidRDefault="00316459" w:rsidP="00316459">
      <w:pPr>
        <w:spacing w:after="240"/>
        <w:ind w:left="567" w:hanging="567"/>
      </w:pPr>
      <w:r w:rsidRPr="00330565">
        <w:t>31.</w:t>
      </w:r>
      <w:r w:rsidRPr="00330565">
        <w:tab/>
        <w:t>konstatuje, že v roce 2023 zaměstnával Výbor pracovníky ze všech členských států, některé z nich však byly zastoupeny nadměrně (např. Belgie, Itálie); bere na vědomí, že v roce 2023 pocházelo 24 % vedoucích pracovníků Výboru z 13 členských států, které přistoupily k Unii po roce 2004, což představuje mírný nárůst oproti 21 % v roce 2022 a 19 % v roce 2021; znovu vybízí Výbor, aby i nadále podnikal kroky, jež povedou k dosažení skutečné zeměpisné vyváženosti u jeho zaměstnanců, a zvláště při tom kladl důraz na vedoucí pozice;</w:t>
      </w:r>
    </w:p>
    <w:p w14:paraId="11CA07AC" w14:textId="77777777" w:rsidR="00316459" w:rsidRPr="00330565" w:rsidRDefault="00316459" w:rsidP="00316459">
      <w:pPr>
        <w:spacing w:after="240"/>
        <w:ind w:left="567" w:hanging="567"/>
      </w:pPr>
      <w:r w:rsidRPr="00330565">
        <w:t>32.</w:t>
      </w:r>
      <w:r w:rsidRPr="00330565">
        <w:tab/>
        <w:t>vítá úsilí Výboru o vytvoření zdravého pracovního prostředí pro své zaměstnance; oceňuje zejména, že Výbor klade důraz na duševní a fyzické zdraví zaměstnanců a že vynakládá úsilí na zvyšování povědomí o otázkách souvisejících se zdravím; bere na vědomí opatření, která Výbor přijal v oblasti správy nemocenské dovolené, jako je zkrácený úvazek ze zdravotních důvodů a rozšířená možnost práce na dálku, a která mají zajistit, aby se pracovníci, kteří byli dlouhodobě v pracovní neschopnosti z důvodu nemoci, mohli brzy vrátit do zaměstnání, a dále si všímá toho, že se podíl zaměstnanců bez absence v práci zvýšil z 27 % v roce 2022 na 30 % v roce 2023; s uspokojením konstatuje, že Výbor uspořádal v roce 2023 bezplatný screening rakoviny kůže, který proběhl v prostorách Výboru a během něhož externí dermatologové vyšetřili za čtyři dny 104 zaměstnanců;</w:t>
      </w:r>
    </w:p>
    <w:p w14:paraId="0E9519DE" w14:textId="77777777" w:rsidR="00316459" w:rsidRPr="00330565" w:rsidRDefault="00316459" w:rsidP="00316459">
      <w:pPr>
        <w:spacing w:after="240"/>
        <w:ind w:left="567" w:hanging="567"/>
        <w:rPr>
          <w:b/>
          <w:i/>
        </w:rPr>
      </w:pPr>
      <w:r w:rsidRPr="00330565">
        <w:rPr>
          <w:b/>
          <w:i/>
        </w:rPr>
        <w:t>Etický rámec a transparentnost</w:t>
      </w:r>
    </w:p>
    <w:p w14:paraId="090E1EF6" w14:textId="77777777" w:rsidR="00316459" w:rsidRPr="00330565" w:rsidRDefault="00316459" w:rsidP="00316459">
      <w:pPr>
        <w:spacing w:after="240"/>
        <w:ind w:left="567" w:hanging="567"/>
      </w:pPr>
      <w:r w:rsidRPr="00330565">
        <w:t>33.</w:t>
      </w:r>
      <w:r w:rsidRPr="00330565">
        <w:tab/>
        <w:t>oceňuje přijetí nové strategie pro rozmanitost a začleňování, která bude v platnosti do roku 2027; oceňuje konkrétní opatření ke zvýšení povědomí o zdravotním postižení, která byla přijata na začátku roku 2024; s uspokojením konstatuje, že školení o rozmanitosti a začleňování zůstává pro vedoucí pracovníky povinné a že pro zaměstnance je doporučené; bere na vědomí pevné odhodlání Výboru podporovat plně inkluzivní pracoviště; vybízí Výbor, aby podnikl další kroky ke sledování zastoupení zaměstnanců se zdravotním postižením a aby v tomto ohledu zajistil zveřejňování anonymizovaných údajů;</w:t>
      </w:r>
    </w:p>
    <w:p w14:paraId="7DC67784" w14:textId="77777777" w:rsidR="00316459" w:rsidRPr="00330565" w:rsidRDefault="00316459" w:rsidP="00316459">
      <w:pPr>
        <w:spacing w:after="240"/>
        <w:ind w:left="567" w:hanging="567"/>
      </w:pPr>
      <w:r w:rsidRPr="00330565">
        <w:t>34.</w:t>
      </w:r>
      <w:r w:rsidRPr="00330565">
        <w:tab/>
        <w:t>konstatuje, že Výbor v roce 2023 pokračoval v procesu vnitřní reformy tím, že přijal rozhodnutí o obecných prováděcích ustanoveních týkajících se správního šetření a prováděcích pravidel pro disciplinární řízení; oceňuje, že Výbor učinil tento poslední krok nezbytný k plnému provedení opatření, jež mají posílit etický rámec Výboru; na základě zprávy o následných opatřeních konstatuje, že se Výbor a interní auditor dohodli na akčním plánu týkajícím se auditu etiky a integrity Výboru, přičemž osm doporučení bylo provedeno a uzavřeno a dvě doporučení by měla být provedena do března 2025; vyzývá Výbor, aby orgán příslušný k udělení absolutoria průběžně informoval o pokroku v této záležitosti;</w:t>
      </w:r>
    </w:p>
    <w:p w14:paraId="41E3ECFA" w14:textId="77777777" w:rsidR="00316459" w:rsidRPr="00330565" w:rsidRDefault="00316459" w:rsidP="00316459">
      <w:pPr>
        <w:spacing w:after="240"/>
        <w:ind w:left="567" w:hanging="567"/>
      </w:pPr>
      <w:r w:rsidRPr="00330565">
        <w:t>35.</w:t>
      </w:r>
      <w:r w:rsidRPr="00330565">
        <w:tab/>
        <w:t>konstatuje, že výbor v roce 2023 pokračoval ve vzdělávání zaměstnanců a i nadále zvyšoval jejich povědomí o otázkách souvisejících s </w:t>
      </w:r>
      <w:proofErr w:type="spellStart"/>
      <w:r w:rsidRPr="00330565">
        <w:t>whistleblowingem</w:t>
      </w:r>
      <w:proofErr w:type="spellEnd"/>
      <w:r w:rsidRPr="00330565">
        <w:t>, se střety zájmů a dalšími etickými otázkami: v této souvislosti bere s uspokojením na vědomí výsledky průzkumu zapojení zaměstnanců z roku 2023, jež svědčí o vysoké míře informovanosti zaměstnanců o etickém rámci Výboru, zejména o síti důvěrných poradců (93 %) a etických poradců (83 %); poznamenává, že Výbor v roce 2023 uspořádal 12 školení věnovaných těmto tématům, jichž se zúčastnilo celkem 79 zaměstnanců; oceňuje, že Výbor organizuje povinná školení o respektu a důstojnosti na pracovišti pro všechny zaměstnance, včetně vedoucích pracovníků;</w:t>
      </w:r>
    </w:p>
    <w:p w14:paraId="60070D8F" w14:textId="77777777" w:rsidR="00316459" w:rsidRPr="00330565" w:rsidRDefault="00316459" w:rsidP="00316459">
      <w:pPr>
        <w:spacing w:after="240"/>
        <w:ind w:left="567" w:hanging="567"/>
      </w:pPr>
      <w:r w:rsidRPr="00330565">
        <w:t>36.</w:t>
      </w:r>
      <w:r w:rsidRPr="00330565">
        <w:tab/>
        <w:t>konstatuje, že v roce 2023 byla nahlášena jedna stížnost na obtěžování, která byla po vyšetření a mediaci ze strany Výboru v témže roce uzavřena, aniž by byly uloženy sankce; připomíná, že Výbor je občanskoprávní stranou v probíhajícím soudním řízení zahájeném belgickými vnitrostátními orgány proti bývalému členovi obviněnému z pochybení, které se v současné době projednává před belgickými soudy; žádá Výbor, aby Parlament informoval o vývoji v této věci; domnívá se, že podpora kultury vzájemné úcty a důstojnosti a politiky nulové tolerance vůči obtěžování má zásadní význam pro předcházení budoucím obviněním a pro zajištění bezpečného a inkluzivního pracovního prostředí ve Výboru;</w:t>
      </w:r>
    </w:p>
    <w:p w14:paraId="099FFF85" w14:textId="77777777" w:rsidR="00316459" w:rsidRPr="00330565" w:rsidRDefault="00316459" w:rsidP="00316459">
      <w:pPr>
        <w:spacing w:after="240"/>
        <w:ind w:left="567" w:hanging="567"/>
      </w:pPr>
      <w:r w:rsidRPr="00330565">
        <w:t>37.</w:t>
      </w:r>
      <w:r w:rsidRPr="00330565">
        <w:tab/>
        <w:t>opakuje, že politika nulové tolerance vůči obtěžování je nezbytná k ochraně dobrých pracovních podmínek zaměstnanců a je povinností každého zaměstnavatele; připomíná, že při řešení stížností na obtěžování by měl být zaveden přístup založený na ponaučení z dřívějších případů, aby se zabránilo potenciálním přečinům; domnívá se však, že externí a nezávislé vyšetření případu, který je v současné době předmětem soudního řízení, by bylo přínosné pro zlepšení reakce Výboru na podobné případy;</w:t>
      </w:r>
    </w:p>
    <w:p w14:paraId="5A1A3940" w14:textId="77777777" w:rsidR="00316459" w:rsidRPr="00330565" w:rsidRDefault="00316459" w:rsidP="00316459">
      <w:pPr>
        <w:spacing w:after="240"/>
        <w:ind w:left="567" w:hanging="567"/>
      </w:pPr>
      <w:r w:rsidRPr="00330565">
        <w:t>38.</w:t>
      </w:r>
      <w:r w:rsidRPr="00330565">
        <w:tab/>
        <w:t>oceňuje připravenost Výboru spolupracovat s vyšetřovacími orgány Unie, konkrétně s Evropským úřadem pro boj proti podvodům (OLAF), Úřadem evropského veřejného žalobce (EPPO) a veřejnou ochránkyní práv; konstatuje, že úřad OLAF začal v roce 2023 projednávat dva případy, přičemž oba byly v témže roce zamítnuty: jeden pro nedostatek důkazů a druhý byl postoupen Výboru za účelem přijetí následných opatření; žádá Výbor, aby orgán příslušný k udělení absolutoria průběžně informoval o pokroku dosaženém ve druhém případě; dále konstatuje, že veřejná ochránkyně práv zahájila v roce 2023 šetření týkající se řešení případu zahrnujícího obvinění z obtěžování; vyzývá Výbor, aby orgán příslušný k udělení absolutoria informoval o výsledku tohoto šetření;</w:t>
      </w:r>
    </w:p>
    <w:p w14:paraId="3B134556" w14:textId="77777777" w:rsidR="00316459" w:rsidRPr="00330565" w:rsidRDefault="00316459" w:rsidP="00316459">
      <w:pPr>
        <w:spacing w:after="240"/>
        <w:ind w:left="567" w:hanging="567"/>
      </w:pPr>
      <w:r w:rsidRPr="00330565">
        <w:t>39.</w:t>
      </w:r>
      <w:r w:rsidRPr="00330565">
        <w:tab/>
        <w:t>s uspokojením bere na vědomí, že Výbor v roce 2023 vyvinul úsilí o dosažení větší transparentnosti své činnosti; v této souvislosti bere na vědomí přijetí rozhodnutí, kterým se rozšiřuje škála dokumentů dostupných online prostřednictvím rejstříku transparentnosti, jako jsou zápisy ze schůzí a prezenční listiny Výboru, a rovněž rozhodnutí, na jehož základě jsou členové Výboru povinni se setkávat pouze se zaregistrovanými zúčastněnými stranami, zveřejňovat seznam schůzí a připojit ke svým stanoviskům svou „legislativní stopu“; oceňuje, že Výbor zveřejňuje online informace o svém ročním rozpočtu, ukazatelích výkonnosti, výdajích nebo veřejných zakázkách; vyzývá ke zveřejňování všech setkání členů Výboru se třetími stranami;</w:t>
      </w:r>
    </w:p>
    <w:p w14:paraId="6D57BC19" w14:textId="77777777" w:rsidR="00316459" w:rsidRPr="00330565" w:rsidRDefault="00316459" w:rsidP="00316459">
      <w:pPr>
        <w:spacing w:after="240"/>
        <w:ind w:left="567" w:hanging="567"/>
      </w:pPr>
      <w:r w:rsidRPr="00330565">
        <w:t>40.</w:t>
      </w:r>
      <w:r w:rsidRPr="00330565">
        <w:tab/>
        <w:t>s uspokojením konstatuje, že Výbor zavedl spolehlivá pravidla a postupy s cílem předcházet střetům zájmů a zabránit efektu otáčivých dveří, pokud jde o zaměstnance, kteří vykonávají mimopracovní činnosti, nebo o členy, kteří po odchodu z Výboru nastoupí do zaměstnání; v této souvislosti konstatuje, že Výbor v roce 2023 zavedl nový „Formulář prohlášení o finančních zájmech“; poznamenává, že formulář musí předkládat členové, delegáti, náhradníci a poradci, a to v případě placených i neplacených funkcí nebo činností zastávaných nebo vykonávaných mimo Výbor; dále oceňuje, že se Výbor v roce 2023 zapojil do politických jednání o vytvoření interinstitucionálního orgánu pro etiku, který bude pověřen stanovením etických norem za účelem posílení transparentnosti a integrity;</w:t>
      </w:r>
    </w:p>
    <w:p w14:paraId="59D7EC56" w14:textId="77777777" w:rsidR="00316459" w:rsidRPr="00330565" w:rsidRDefault="00316459" w:rsidP="00316459">
      <w:pPr>
        <w:spacing w:after="240"/>
        <w:ind w:left="567" w:hanging="567"/>
      </w:pPr>
      <w:r w:rsidRPr="00330565">
        <w:t>41.</w:t>
      </w:r>
      <w:r w:rsidRPr="00330565">
        <w:tab/>
        <w:t>bere na vědomí, že předsednictvo Výboru dne 21. března 2023 přijalo několik opatření v oblasti transparentnosti podle zásad stanovených v souvislosti s rejstříkem transparentnosti EU, např. doporučení, aby se členové, kteří zastávají nějakou funkci, setkávali pouze s registrovanými zúčastněnými stranami a byli povinni zveřejňovat seznamy svých schůzek a zpravodajové dobrovolnou „legislativní stopu“; bere na vědomí, že bylo přijato několik opatření k provedení rozhodnutí předsednictva, včetně vydání sdělení útvarů, které stanoví praktické postupy pro provádění tohoto rozhodnutí, osvětové kampaně a poskytnutí vzorových zpráv, které mají být zahrnuty do korespondence mezi členy Výboru a externími zúčastněnými stranami a vyzývají k tomu, aby se (případně) připojily k rejstříku transparentnosti EU;</w:t>
      </w:r>
    </w:p>
    <w:p w14:paraId="4B9296C1" w14:textId="77777777" w:rsidR="00316459" w:rsidRPr="00330565" w:rsidRDefault="00316459" w:rsidP="00316459">
      <w:pPr>
        <w:spacing w:after="240"/>
        <w:ind w:left="567" w:hanging="567"/>
      </w:pPr>
      <w:r w:rsidRPr="00330565">
        <w:t>42.</w:t>
      </w:r>
      <w:r w:rsidRPr="00330565">
        <w:tab/>
        <w:t>naléhavě Výbor vyzývá, aby zavedl sledování oznámených střetů zájmů v reálném čase a požadoval, aby všichni členové a vedoucí pracovníci každoročně zveřejňovali finanční zájmy, aktiva a externí vazby, aby se zabránilo nepatřičnému ovlivňování rozhodování;</w:t>
      </w:r>
    </w:p>
    <w:p w14:paraId="51AE3916" w14:textId="77777777" w:rsidR="00316459" w:rsidRPr="00330565" w:rsidRDefault="00316459" w:rsidP="00316459">
      <w:pPr>
        <w:spacing w:after="240"/>
        <w:ind w:left="567" w:hanging="567"/>
      </w:pPr>
      <w:r w:rsidRPr="00330565">
        <w:t>43.</w:t>
      </w:r>
      <w:r w:rsidRPr="00330565">
        <w:tab/>
        <w:t xml:space="preserve">konstatuje, že v roce 2023 se neobjevily žádné případy podvodů, střetů zájmů ani </w:t>
      </w:r>
      <w:proofErr w:type="spellStart"/>
      <w:r w:rsidRPr="00330565">
        <w:t>whistleblowingu</w:t>
      </w:r>
      <w:proofErr w:type="spellEnd"/>
      <w:r w:rsidRPr="00330565">
        <w:t>; poznamenává, že byla přezkoumána účinnost opatření Výboru pro boj proti podvodům s cílem vypracovat strategii boje proti podvodům, která stále chybí, přestože Parlament v několika usneseních o udělení absolutoria požadoval přijetí opatření, která by zlepšila obecný systém boje proti podvodům; připomíná význam komplexní strategie boje proti podvodům a vyzývá Výbor, aby orgán příslušný k udělení absolutoria průběžně informoval o výsledku tohoto postupu, který měl vyvrcholit v roce 2024 přijetím strategie pro boj proti podvodům;</w:t>
      </w:r>
    </w:p>
    <w:p w14:paraId="23D0EC11" w14:textId="77777777" w:rsidR="00316459" w:rsidRPr="00330565" w:rsidRDefault="00316459" w:rsidP="00316459">
      <w:pPr>
        <w:spacing w:after="240"/>
        <w:ind w:left="567" w:hanging="567"/>
        <w:rPr>
          <w:b/>
          <w:i/>
        </w:rPr>
      </w:pPr>
      <w:r w:rsidRPr="00330565">
        <w:rPr>
          <w:b/>
          <w:i/>
        </w:rPr>
        <w:t>Digitalizace, kybernetická bezpečnost a ochrana údajů</w:t>
      </w:r>
    </w:p>
    <w:p w14:paraId="20FD114F" w14:textId="77777777" w:rsidR="00316459" w:rsidRPr="00330565" w:rsidRDefault="00316459" w:rsidP="00316459">
      <w:pPr>
        <w:spacing w:after="240"/>
        <w:ind w:left="567" w:hanging="567"/>
      </w:pPr>
      <w:r w:rsidRPr="00330565">
        <w:t>44.</w:t>
      </w:r>
      <w:r w:rsidRPr="00330565">
        <w:tab/>
        <w:t>konstatuje, že kombinovaný rozpočet Výboru a VR na IT v roce 2023 činil 12 700 000 EUR ve srovnání s 11 712 000 EUR v roce 2022, což představuje nárůst o 8,4 %, přičemž 350 000 EUR z tohoto rozpočtu (tedy 3 %) bylo v roce 2023 vynaloženo na kybernetickou bezpečnost; dále konstatuje, že 6,24 % z celkového rozpočtu Výboru na rok 2023 tvořily výdaje na opatření k provádění nové digitální strategie na období 2024–2026 (DS2026), kterou v roce 2023 vypracovalo společné ředitelství pro inovace a informační technologie (DIIT);</w:t>
      </w:r>
    </w:p>
    <w:p w14:paraId="278DC1F7" w14:textId="77777777" w:rsidR="00316459" w:rsidRPr="00330565" w:rsidRDefault="00316459" w:rsidP="00316459">
      <w:pPr>
        <w:spacing w:after="240"/>
        <w:ind w:left="567" w:hanging="567"/>
      </w:pPr>
      <w:r w:rsidRPr="00330565">
        <w:t>45.</w:t>
      </w:r>
      <w:r w:rsidRPr="00330565">
        <w:tab/>
        <w:t>konstatuje, že strategie DS2026 nastiňuje vizi budoucnosti, v níž bude technologie začleněna do hlavního poslání Výboru, přičemž klade důraz na účinnost, rychlost a nepřetržitý digitální vývoj, do středu digitální transformace staví administrativu i členy Výboru a snaží se o lepší poskytování služeb, posílení postavení a přizpůsobivost; poznamenává, že strategie DS2026 je strukturována na základě osmi cílů, osmi základních principů a čtyř hlavních projektů, jako je přijetí nástrojů Ares a </w:t>
      </w:r>
      <w:proofErr w:type="spellStart"/>
      <w:r w:rsidRPr="00330565">
        <w:t>EdiT</w:t>
      </w:r>
      <w:proofErr w:type="spellEnd"/>
      <w:r w:rsidRPr="00330565">
        <w:t>, které by měly být podle očekávání uvedeny do provozu v roce 2026, resp. 2025; na základě dotazníku s uspokojením konstatuje, že DIIT zaznamenalo v roce 2023 pokrok při provádění strategie DS2026, kdy byla přijata opatření, jako jsou mimo jiné pokyny pro zaměstnance v oblasti umělé inteligence, propojení zpracování pozměňovacích návrhů s překladatelskými nástroji a zřízení kanceláře pro řízení projektů;</w:t>
      </w:r>
    </w:p>
    <w:p w14:paraId="0456F867" w14:textId="77777777" w:rsidR="00316459" w:rsidRPr="00330565" w:rsidRDefault="00316459" w:rsidP="00316459">
      <w:pPr>
        <w:spacing w:after="240"/>
        <w:ind w:left="567" w:hanging="567"/>
      </w:pPr>
      <w:r w:rsidRPr="00330565">
        <w:t>46.</w:t>
      </w:r>
      <w:r w:rsidRPr="00330565">
        <w:tab/>
        <w:t>bere na vědomí činnost Výboru v oblasti ochrany osobních údajů a jejich zpracování, jak je popsána ve výroční zprávě; konstatuje, že Výbor v roce 2023 zřídil novou online verzi svého rejstříku záznamů a nový rejstřík záznamů společný s VR, přičemž první uvedený na konci roku 2023 obsahoval 121 záznamů a druhý 25 záznamů; dále poznamenává, že Výbor v roce 2023 přijal nový postup pro řešení případů porušení ochrany údajů, zveřejnil příručku o ochraně údajů a pro své zaměstnance a členy zavedl několik iniciativ na zvýšení informovanosti; rovněž konstatuje, že evropský inspektor ochrany údajů zahájil v roce 2023 jedno šetření týkající se řízení externího auditu a pokračoval ve starším šetření týkajícím se využívání cloudových služeb v rámci smluv Cloud II ze strany orgánů Unie, přičemž v případě obou šetření se stále čeká na závěry; žádá Výbor, aby orgán příslušný k udělení absolutoria průběžně informoval o následných opatřeních v těchto záležitostech;</w:t>
      </w:r>
    </w:p>
    <w:p w14:paraId="17842877" w14:textId="77777777" w:rsidR="00316459" w:rsidRPr="00330565" w:rsidRDefault="00316459" w:rsidP="00316459">
      <w:pPr>
        <w:spacing w:after="240"/>
        <w:ind w:left="567" w:hanging="567"/>
      </w:pPr>
      <w:r w:rsidRPr="00330565">
        <w:t>47.</w:t>
      </w:r>
      <w:r w:rsidRPr="00330565">
        <w:tab/>
        <w:t>konstatuje, že Výbor v roce 2023 dokončil svůj projekt spočívající ve vybavení všech svých zasedacích místností a že dalších 14 zasedacích místností bylo opatřeno technologiemi, díky nimž jsou plně funkční v hybridním režimu; oceňuje, že Výbor v roce 2023 realizoval veškerá zadávací řízení v případě zakázek s vysokou hodnotou plně digitalizovaným způsobem, u všech typů smluvních ujednání používal kvalifikovaný elektronický podpis a zajistil zaměstnancům školení o přechodu na systém založený na nástroji pro řízení veřejných zakázek a na portál pro financování a nabídková řízení;</w:t>
      </w:r>
    </w:p>
    <w:p w14:paraId="441114AD" w14:textId="77777777" w:rsidR="00316459" w:rsidRPr="00330565" w:rsidRDefault="00316459" w:rsidP="00316459">
      <w:pPr>
        <w:spacing w:after="240"/>
        <w:ind w:left="567" w:hanging="567"/>
      </w:pPr>
      <w:r w:rsidRPr="00330565">
        <w:t>48.</w:t>
      </w:r>
      <w:r w:rsidRPr="00330565">
        <w:tab/>
        <w:t xml:space="preserve">oceňuje konkrétní opatření, která Výbor v roce 2023 přijal k zajištění toho, aby si jeho zaměstnanci osvojili digitální dovednosti nezbytné ve stále </w:t>
      </w:r>
      <w:proofErr w:type="spellStart"/>
      <w:r w:rsidRPr="00330565">
        <w:t>digitalizovanějším</w:t>
      </w:r>
      <w:proofErr w:type="spellEnd"/>
      <w:r w:rsidRPr="00330565">
        <w:t xml:space="preserve"> pracovním prostředí; v této souvislosti bere na vědomí činnosti, jako jsou „mini-</w:t>
      </w:r>
      <w:proofErr w:type="spellStart"/>
      <w:r w:rsidRPr="00330565">
        <w:t>hackathony</w:t>
      </w:r>
      <w:proofErr w:type="spellEnd"/>
      <w:r w:rsidRPr="00330565">
        <w:t>“, které se konají v rámci sítě peer-to-peer zřízené společně s VR s cílem podpořit lepší využívání a pochopení digitálních nástrojů spolupráce i vzájemné koučování a výměnu zkušeností; konstatuje, že výsledek těchto činností byl začleněn do školení nabízených Výborem;</w:t>
      </w:r>
    </w:p>
    <w:p w14:paraId="5E531A92" w14:textId="77777777" w:rsidR="00316459" w:rsidRPr="00330565" w:rsidRDefault="00316459" w:rsidP="00316459">
      <w:pPr>
        <w:spacing w:after="240"/>
        <w:ind w:left="567" w:hanging="567"/>
      </w:pPr>
      <w:r w:rsidRPr="00330565">
        <w:t>49.</w:t>
      </w:r>
      <w:r w:rsidRPr="00330565">
        <w:tab/>
        <w:t>konstatuje, že v říjnu 2023 byly přijaty pokyny pro zaměstnance týkající se využívání umělé inteligence, že pro všechny zaměstnance byla zorganizována informační schůzka, na níž byly zdůrazněny příležitosti a výzvy AI, a že další informace byly zaměstnancům poskytnuty v článcích založených na znalostech, které byly v zájmu zvyšování povědomí zveřejněny na intranetu Výboru;</w:t>
      </w:r>
    </w:p>
    <w:p w14:paraId="352F3831" w14:textId="77777777" w:rsidR="00316459" w:rsidRPr="00330565" w:rsidRDefault="00316459" w:rsidP="00316459">
      <w:pPr>
        <w:spacing w:after="240"/>
        <w:ind w:left="567" w:hanging="567"/>
      </w:pPr>
      <w:r w:rsidRPr="00330565">
        <w:t>50.</w:t>
      </w:r>
      <w:r w:rsidRPr="00330565">
        <w:tab/>
        <w:t>konstatuje, že Výbor i VR pokračovaly v roce 2023 v práci na přijímání a uplatňování rámce pro kybernetickou bezpečnost NIST, přičemž opatření přijatá v tomto roce byla zaměřena na některé zásady tohoto rámce, tj. na zásady ochrany a odhalování; poznamenává, že strategie zmírňování se provádějí za použití rámce kybernetické bezpečnosti „</w:t>
      </w:r>
      <w:proofErr w:type="spellStart"/>
      <w:r w:rsidRPr="00330565">
        <w:t>Essential</w:t>
      </w:r>
      <w:proofErr w:type="spellEnd"/>
      <w:r w:rsidRPr="00330565">
        <w:t xml:space="preserve"> </w:t>
      </w:r>
      <w:proofErr w:type="spellStart"/>
      <w:r w:rsidRPr="00330565">
        <w:t>Eight</w:t>
      </w:r>
      <w:proofErr w:type="spellEnd"/>
      <w:r w:rsidRPr="00330565">
        <w:t xml:space="preserve">“; dále konstatuje, že Výbor v roce 2023 nezaznamenal žádné kybernetické útoky, ale koncem roku 2022 a začátkem roku 2024 se potýkal s krátkodobými útoky odmítnutím služby (útoky </w:t>
      </w:r>
      <w:proofErr w:type="spellStart"/>
      <w:r w:rsidRPr="00330565">
        <w:t>DoS</w:t>
      </w:r>
      <w:proofErr w:type="spellEnd"/>
      <w:r w:rsidRPr="00330565">
        <w:t>) na své externě hostované internetové stránky;</w:t>
      </w:r>
    </w:p>
    <w:p w14:paraId="6F8B91E1" w14:textId="77777777" w:rsidR="00316459" w:rsidRPr="00330565" w:rsidRDefault="00316459" w:rsidP="00316459">
      <w:pPr>
        <w:spacing w:after="240"/>
        <w:ind w:left="567" w:hanging="567"/>
      </w:pPr>
      <w:r w:rsidRPr="00330565">
        <w:t>51.</w:t>
      </w:r>
      <w:r w:rsidRPr="00330565">
        <w:tab/>
        <w:t>naléhavě Výbor vyzývá, aby zvýšil svůj rozpočet na kybernetickou bezpečnost alespoň na 10 % svých celkových výdajů na IT v souladu se směrnicemi EU o kybernetické bezpečnosti a zajistil zvýšenou ochranu před kybernetickými hrozbami, zejména pokud jde o citlivé údaje týkající se politických a rozpočtových záležitostí;</w:t>
      </w:r>
    </w:p>
    <w:p w14:paraId="58685C06" w14:textId="77777777" w:rsidR="00316459" w:rsidRPr="00330565" w:rsidRDefault="00316459" w:rsidP="00316459">
      <w:pPr>
        <w:spacing w:after="240"/>
        <w:ind w:left="567" w:hanging="567"/>
        <w:rPr>
          <w:b/>
          <w:i/>
        </w:rPr>
      </w:pPr>
      <w:r w:rsidRPr="00330565">
        <w:rPr>
          <w:b/>
          <w:i/>
        </w:rPr>
        <w:t>Budovy</w:t>
      </w:r>
    </w:p>
    <w:p w14:paraId="369F329D" w14:textId="77777777" w:rsidR="00316459" w:rsidRPr="00330565" w:rsidRDefault="00316459" w:rsidP="00316459">
      <w:pPr>
        <w:spacing w:after="240"/>
        <w:ind w:left="567" w:hanging="567"/>
      </w:pPr>
      <w:r w:rsidRPr="00330565">
        <w:t>52.</w:t>
      </w:r>
      <w:r w:rsidRPr="00330565">
        <w:tab/>
        <w:t>bere na vědomí přijetí zprávy ze dne 3. června 2024, kterou Výbor v souladu s čl. 266 odst. 1 finančního nařízení Unie informuje orgán příslušný k udělení absolutoria o politice Výboru v oblasti nemovitostí; na základě této zprávy s uspokojením konstatuje, že Výbor spolu s VR splnil jednu z hlavních priorit své strategie v oblasti budov z roku 2017, tj. „geografickou koncentraci budov“; dále konstatuje, že realizace této priority již přinesla úspory, neboť náklady na pronájem celé budovy VMA jsou nižší než v případě tří budov, které si Výbor pronajímal dříve; bere na vědomí, že tyto úspory činí přibližně 1,8 milionu EUR, což podle výše uvedené zprávy odpovídá nájemnému za budovu B100; konstatuje, že Výbor v současné době pracuje na aktualizaci své dlouhodobé strategie v oblasti budov z roku 2017 a že tato práce by měla být uzavřena do konce roku 2025; vyzývá Výbor, aby orgán příslušný k udělení absolutoria průběžně informoval o výsledku tohoto postupu;</w:t>
      </w:r>
    </w:p>
    <w:p w14:paraId="1465821C" w14:textId="77777777" w:rsidR="00316459" w:rsidRPr="00330565" w:rsidRDefault="00316459" w:rsidP="00316459">
      <w:pPr>
        <w:spacing w:after="240"/>
        <w:ind w:left="567" w:hanging="567"/>
      </w:pPr>
      <w:r w:rsidRPr="00330565">
        <w:t>53.</w:t>
      </w:r>
      <w:r w:rsidRPr="00330565">
        <w:tab/>
        <w:t>vítá dokončení renovace (tj. vnitřních úprav) nově získané budovy VMA, jejíž součástí byla instalace inteligentních technologií pro úsporu energie; podporuje plán Výboru provést technický a environmentální audit všech svých budov, neboť na základě výsledků těchto auditů by mělo být možné učit všechna technická zařízení a stavební prvky, které je třeba zcela nebo částečně renovovat nebo zachovat ve stávajícím stavu, aby byl zajištěn soulad s cíli Zelené dohody pro Evropu; vyzývá Výbor, aby orgán příslušný k udělení absolutoria informoval o výsledcích těchto auditů a následných opatřeních;</w:t>
      </w:r>
    </w:p>
    <w:p w14:paraId="153D342E" w14:textId="77777777" w:rsidR="00316459" w:rsidRPr="00330565" w:rsidRDefault="00316459" w:rsidP="00316459">
      <w:pPr>
        <w:spacing w:after="240"/>
        <w:ind w:left="567" w:hanging="567"/>
      </w:pPr>
      <w:r w:rsidRPr="00330565">
        <w:t>54.</w:t>
      </w:r>
      <w:r w:rsidRPr="00330565">
        <w:tab/>
        <w:t>konstatuje, že pracovní skupina pro „nové způsoby práce“ zřízená v roce 2022 vydala v roce 2023 první výhledovou zprávu, v níž se zaměřila na dostupné kancelářské prostory a případné možnosti optimalizace; bere na vědomí, že Výbor hodlá v této činnosti pokračovat prostřednictvím participativního procesu se zapojením zaměstnanců, kteří se budou podílet na navrhování budoucích pracovních prostor; vyzývá Výbor, aby orgán příslušný k udělení absolutoria průběžně informoval o pokroku v této záležitosti;</w:t>
      </w:r>
    </w:p>
    <w:p w14:paraId="6807918A" w14:textId="77777777" w:rsidR="00316459" w:rsidRPr="00330565" w:rsidRDefault="00316459" w:rsidP="00316459">
      <w:pPr>
        <w:spacing w:after="240"/>
        <w:ind w:left="567" w:hanging="567"/>
      </w:pPr>
      <w:r w:rsidRPr="00330565">
        <w:t>55.</w:t>
      </w:r>
      <w:r w:rsidRPr="00330565">
        <w:tab/>
        <w:t>vítá závazek Výboru a VR systematicky uplatňovat zásadu „design pro všechny“ ve své infrastruktuře a zajistit přístupnost svých budov již od návrhu; konstatuje, že oba výbory přijaly v roce 2023 řadu různých opatření, aby zajistily přístupnost svých budov pro osoby s různými druhy zdravotního postižení, včetně modernizace výtahů v budově JDE;</w:t>
      </w:r>
    </w:p>
    <w:p w14:paraId="05674A41" w14:textId="77777777" w:rsidR="00316459" w:rsidRPr="00330565" w:rsidRDefault="00316459" w:rsidP="00316459">
      <w:pPr>
        <w:spacing w:after="240"/>
        <w:ind w:left="567" w:hanging="567"/>
        <w:rPr>
          <w:b/>
          <w:i/>
        </w:rPr>
      </w:pPr>
      <w:r w:rsidRPr="00330565">
        <w:rPr>
          <w:b/>
          <w:i/>
        </w:rPr>
        <w:t>Životní prostředí a udržitelnost</w:t>
      </w:r>
    </w:p>
    <w:p w14:paraId="66986166" w14:textId="77777777" w:rsidR="00316459" w:rsidRPr="00330565" w:rsidRDefault="00316459" w:rsidP="00316459">
      <w:pPr>
        <w:spacing w:after="240"/>
        <w:ind w:left="567" w:hanging="567"/>
      </w:pPr>
      <w:r w:rsidRPr="00330565">
        <w:t>56.</w:t>
      </w:r>
      <w:r w:rsidRPr="00330565">
        <w:tab/>
        <w:t xml:space="preserve">vítá ekologické chování Výboru a oceňuje, že v souvislosti s činnostmi Výboru se spotřeba plynu, elektřiny a vody i emise uhlíku v roce 2023 oproti roku 2019 dále snížily a míra recyklace se zvýšila; bere na vědomí mírné zhoršení, pokud jde o objem odpadu, ve srovnání s úrovní v roce 2019, a to </w:t>
      </w:r>
      <w:proofErr w:type="gramStart"/>
      <w:r w:rsidRPr="00330565">
        <w:t>z – 66</w:t>
      </w:r>
      <w:proofErr w:type="gramEnd"/>
      <w:r w:rsidRPr="00330565">
        <w:t> % v roce 2022 na – 56 % v roce 2023 v důsledku zvýšení přítomnosti v kancelářích;</w:t>
      </w:r>
    </w:p>
    <w:p w14:paraId="7EDD7253" w14:textId="77777777" w:rsidR="00316459" w:rsidRPr="00330565" w:rsidRDefault="00316459" w:rsidP="00316459">
      <w:pPr>
        <w:spacing w:after="240"/>
        <w:ind w:left="567" w:hanging="567"/>
      </w:pPr>
      <w:r w:rsidRPr="00330565">
        <w:t>57.</w:t>
      </w:r>
      <w:r w:rsidRPr="00330565">
        <w:tab/>
        <w:t>konstatuje, že energetické účinnosti a snížení emisí bylo dosaženo prostřednictvím investic do inovativních energeticky účinných instalací v budovách, včetně inteligentních energeticky úsporných technologií v budově VMA, nákupu 100 % zelené elektřiny, zavedení (přizpůsobených) environmentálních kritérií ve všech nabídkových řízeních v hodnotě nejméně 60 000 EUR, používání bezpapírových pracovních toků a dalších opatření, jako je zkrácení doby, po kterou se svítí, snížení zimní referenční teploty ve všech budovách na 19 stupňů nebo uzavření budov v období nízké přítomnosti zaměstnanců a řady dalších opatření; konstatuje, že Výbor snížil spotřebu energie o 3,4 %, což odpovídá finančnímu zisku ve výši 65 395 EUR;</w:t>
      </w:r>
    </w:p>
    <w:p w14:paraId="1077C60D" w14:textId="77777777" w:rsidR="00316459" w:rsidRPr="00330565" w:rsidRDefault="00316459" w:rsidP="00316459">
      <w:pPr>
        <w:spacing w:after="240"/>
        <w:ind w:left="567" w:hanging="567"/>
      </w:pPr>
      <w:r w:rsidRPr="00330565">
        <w:t>58.</w:t>
      </w:r>
      <w:r w:rsidRPr="00330565">
        <w:tab/>
        <w:t>na základě zprávy o následných opatřeních konstatuje, že inteligentní energeticky úsporné technologie, které byly nainstalovány v nedávno renovované budově VMA, přispěly v roce 2023 ke snížení spotřeby energie Výboru (plynu a elektřiny) o 20 až 30 %; znovu však žádá Výbor, aby poskytl Parlamentu aktuální informace o návratnosti investic do těchto technologických zařízení;</w:t>
      </w:r>
    </w:p>
    <w:p w14:paraId="5DF5A9C7" w14:textId="77777777" w:rsidR="00316459" w:rsidRPr="00330565" w:rsidRDefault="00316459" w:rsidP="00316459">
      <w:pPr>
        <w:spacing w:after="240"/>
        <w:ind w:left="567" w:hanging="567"/>
      </w:pPr>
      <w:r w:rsidRPr="00330565">
        <w:t>59.</w:t>
      </w:r>
      <w:r w:rsidRPr="00330565">
        <w:tab/>
        <w:t>s potěšením konstatuje, že Výbor přijal strategii energetických úspor zahrnující krátkodobá, střednědobá i dlouhodobá opatření; v této souvislosti konstatuje, že Výbor zahájil environmentální audit všech svých budov, mimo jiné aby zjistil úroveň energetické náročnosti stávajících konstrukcí a zařízení a odhadl environmentální návratnost nezbytných investic v porovnání s celkovými náklady (údržba, spotřeba atd.) za období 30 let; dále konstatuje, že v letech 2024 a 2025 by měly být vypracovány studie o opatřeních v oblasti energetické účinnosti; vyzývá Výbor, aby orgán příslušný k udělení absolutoria průběžně informoval o pokroku dosaženém v těchto věcech;</w:t>
      </w:r>
    </w:p>
    <w:p w14:paraId="347F14F4" w14:textId="77777777" w:rsidR="00316459" w:rsidRPr="00330565" w:rsidRDefault="00316459" w:rsidP="00316459">
      <w:pPr>
        <w:spacing w:after="240"/>
        <w:ind w:left="567" w:hanging="567"/>
      </w:pPr>
      <w:r w:rsidRPr="00330565">
        <w:t>60.</w:t>
      </w:r>
      <w:r w:rsidRPr="00330565">
        <w:tab/>
        <w:t xml:space="preserve">připomíná, že solární panely Výboru vyrobily v roce 2022 15,5 </w:t>
      </w:r>
      <w:proofErr w:type="spellStart"/>
      <w:r w:rsidRPr="00330565">
        <w:t>MWh</w:t>
      </w:r>
      <w:proofErr w:type="spellEnd"/>
      <w:r w:rsidRPr="00330565">
        <w:t xml:space="preserve">, tj. 0,25 % jeho roční spotřeby, zatímco v roce 2023 produkce poklesla na 5,75 </w:t>
      </w:r>
      <w:proofErr w:type="spellStart"/>
      <w:r w:rsidRPr="00330565">
        <w:t>MWh</w:t>
      </w:r>
      <w:proofErr w:type="spellEnd"/>
      <w:r w:rsidRPr="00330565">
        <w:t>; na základě dotazníku s uspokojením konstatuje, že Výbor jde příkladem, pokud se jedná o opatření a kroky přijaté ve prospěch udržitelné mobility;</w:t>
      </w:r>
    </w:p>
    <w:p w14:paraId="0A53B06E" w14:textId="77777777" w:rsidR="00316459" w:rsidRPr="00330565" w:rsidRDefault="00316459" w:rsidP="00316459">
      <w:pPr>
        <w:spacing w:after="240"/>
        <w:ind w:left="567" w:hanging="567"/>
        <w:rPr>
          <w:b/>
          <w:i/>
        </w:rPr>
      </w:pPr>
      <w:r w:rsidRPr="00330565">
        <w:rPr>
          <w:b/>
          <w:i/>
        </w:rPr>
        <w:t>Interinstitucionální spolupráce</w:t>
      </w:r>
    </w:p>
    <w:p w14:paraId="47A432FE" w14:textId="77777777" w:rsidR="00316459" w:rsidRPr="00330565" w:rsidRDefault="00316459" w:rsidP="00316459">
      <w:pPr>
        <w:spacing w:after="240"/>
        <w:ind w:left="567" w:hanging="567"/>
      </w:pPr>
      <w:r w:rsidRPr="00330565">
        <w:t>61.</w:t>
      </w:r>
      <w:r w:rsidRPr="00330565">
        <w:tab/>
        <w:t>oceňuje úzkou spolupráci, kterou Výbor navázal na administrativní úrovni s VR prostřednictvím nové dohody o spolupráci podepsané v roce 2022, podle níž oba výbory sdílejí prostory a společné služby v oblasti překladů, infrastruktury, logistiky, bezpečnosti, zadávání veřejných zakázek, finančního řízení a IT, přičemž si zachovávají plnou institucionální autonomii; vítá pozitivní vývoj v roce 2023, kdy se oba výbory dále dohodly na rozvoji a financování společného komunikačního prostoru se sdílenou audiovizuální infrastrukturou v budově JDE; žádá Výbor, aby zjistil, jakých rozpočtových úspor bylo v audiovizuální oblasti dosaženo během prvního roku provádění uvedené dohody, a informoval o nich Parlament; připomíná svou výzvu, aby Výbor v této spolupráci pokračoval a rozšířil ji do dalších oblastí s cílem zabránit zdvojování a dále racionalizovat provozní náklady na služby poskytované v prostorách, které sdílí s VR; vyzývá Výbor a VR, aby prozkoumaly možnost jednotné správy pro své společné útvary a ponechaly si samostatná ředitelství nebo oddělení, která se zabývají záležitostmi souvisejícími s jejich konkrétními a nezávislými mandáty; vybízí Výbor a VR, aby dále usilovaly o rozvoj další spolupráce a součinnosti;</w:t>
      </w:r>
    </w:p>
    <w:p w14:paraId="01451B9C" w14:textId="77777777" w:rsidR="00316459" w:rsidRPr="00330565" w:rsidRDefault="00316459" w:rsidP="00316459">
      <w:pPr>
        <w:spacing w:after="240"/>
        <w:ind w:left="567" w:hanging="567"/>
      </w:pPr>
      <w:r w:rsidRPr="00330565">
        <w:t>62.</w:t>
      </w:r>
      <w:r w:rsidRPr="00330565">
        <w:tab/>
        <w:t>všímá si, že i v roce 2023 byly realizovány rozpočtové úspory a došlo ke zvýšení efektivity prostřednictvím aktivní spolupráce mezi Výborem a dalšími orgány Unie, mj. tím, že se plenární zasedání Výboru konala v budovách Komise a Parlamentu, kde jsou prostory a související služby poskytovány zdarma nebo za ceny nižší než na vnějším trhu;</w:t>
      </w:r>
    </w:p>
    <w:p w14:paraId="5340E146" w14:textId="77777777" w:rsidR="00316459" w:rsidRPr="00330565" w:rsidRDefault="00316459" w:rsidP="00316459">
      <w:pPr>
        <w:spacing w:after="240"/>
        <w:ind w:left="567" w:hanging="567"/>
      </w:pPr>
      <w:r w:rsidRPr="00330565">
        <w:t>63.</w:t>
      </w:r>
      <w:r w:rsidRPr="00330565">
        <w:tab/>
        <w:t>s uspokojením konstatuje, že Výbor a Parlament v roce 2023 znovu jednaly o své interinstitucionální dohodě a v roce 2024 ji podepsaly s cílem zajistit relevantnější a včasnější příspěvky v průběhu celého legislativního cyklu a posílit dvoustrannou spolupráci; vítá skutečnost, že nový protokol o spolupráci Výboru s Komisí podepsaný v roce 2022 již přinesl zlepšení, pokud jde o vliv Výboru, například v </w:t>
      </w:r>
      <w:proofErr w:type="spellStart"/>
      <w:r w:rsidRPr="00330565">
        <w:t>předlegislativní</w:t>
      </w:r>
      <w:proofErr w:type="spellEnd"/>
      <w:r w:rsidRPr="00330565">
        <w:t xml:space="preserve"> fázi prostřednictvím průzkumných stanovisek; vybízí k dalšímu posílení politické, legislativní a komunikační součinnosti mezi Výborem a Parlamentem, zejména v kontextu evropské občanské iniciativy a evropského semestru;</w:t>
      </w:r>
    </w:p>
    <w:p w14:paraId="7B0F1DB5" w14:textId="77777777" w:rsidR="00316459" w:rsidRPr="00330565" w:rsidRDefault="00316459" w:rsidP="00316459">
      <w:pPr>
        <w:spacing w:after="240"/>
        <w:ind w:left="567" w:hanging="567"/>
      </w:pPr>
      <w:r w:rsidRPr="00330565">
        <w:t>64.</w:t>
      </w:r>
      <w:r w:rsidRPr="00330565">
        <w:tab/>
        <w:t>opakuje, že oceňuje externí zadávání (dohody o úrovni služeb) zvláštních služeb Komisi v oblasti vyřizování záležitostí lidských zdrojů a využívání nástrojů IT pro finanční řízení a řízení lidských zdrojů, jakož i účast Výboru na interinstitucionálních zadávacích řízeních vedených jinými orgány, přičemž Výbor v roce 2023 nadále těžil ze synergií v oblasti IT, služebních cest, pojištění, dopravy, překladů a audiovizuálního vybavení;</w:t>
      </w:r>
    </w:p>
    <w:p w14:paraId="0DF3A7E9" w14:textId="77777777" w:rsidR="00316459" w:rsidRPr="00330565" w:rsidRDefault="00316459" w:rsidP="00316459">
      <w:pPr>
        <w:spacing w:after="240"/>
        <w:ind w:left="567" w:hanging="567"/>
      </w:pPr>
      <w:r w:rsidRPr="00330565">
        <w:t>65.</w:t>
      </w:r>
      <w:r w:rsidRPr="00330565">
        <w:tab/>
        <w:t>bere na vědomí roli Výboru při posilování vazeb s národními hospodářskými a sociálními radami členských států a mezi nimi; na základě dotazníku bere na vědomí opatření, která Výbor přijal k posílení sítě národních hospodářských a sociálních rad a jejich online komunity, jako je mimo jiné zřízení společných pracovních skupin a výměnných programů, práce na platformě IT pro spolupráci a účast na společných akcích; vyzývá k pokračující spolupráci na tématech společného zájmu a k výměně osvědčených postupů, přičemž zdůrazňuje zásadní úlohu občanské společnosti při řešení současných výzev Unie;</w:t>
      </w:r>
    </w:p>
    <w:p w14:paraId="577D528F" w14:textId="77777777" w:rsidR="00316459" w:rsidRPr="00330565" w:rsidRDefault="00316459" w:rsidP="00316459">
      <w:pPr>
        <w:spacing w:after="240"/>
        <w:ind w:left="567" w:hanging="567"/>
        <w:rPr>
          <w:b/>
          <w:i/>
        </w:rPr>
      </w:pPr>
      <w:r w:rsidRPr="00330565">
        <w:rPr>
          <w:b/>
          <w:i/>
        </w:rPr>
        <w:t>Komunikace</w:t>
      </w:r>
    </w:p>
    <w:p w14:paraId="7DD52BA3" w14:textId="77777777" w:rsidR="00316459" w:rsidRPr="00330565" w:rsidRDefault="00316459" w:rsidP="00316459">
      <w:pPr>
        <w:spacing w:after="240"/>
        <w:ind w:left="567" w:hanging="567"/>
      </w:pPr>
      <w:r w:rsidRPr="00330565">
        <w:t>66.</w:t>
      </w:r>
      <w:r w:rsidRPr="00330565">
        <w:tab/>
        <w:t>konstatuje, že celkový rozpočet Výboru na komunikaci v roce 2023 činil 2,15 milionu EUR, což představuje nárůst oproti 1,5 milionu EUR v roce 2022; poznamenává, že tento rozpočet byl v první řadě vyčleněn na čtyři stěžejní akce, které se konaly v roce 2023 (evropská občanská iniciativa, Vaše Evropa, váš názor, ceny za biopotraviny a 14. ročník ceny pro občanskou společnost), na zlepšení nebo přepracování sociálních médií, externích internetových stránek a audiovizuální produkce Výboru a na mediální a tiskové publikace; oceňuje činnosti Výboru v oblasti komunikace, pomocí nichž realizoval komunikační priority na rok 2023, jako jsou mj. iniciativa „modrá dohoda“, COP28, usnesení o demokracii a 65. výročí Výboru;</w:t>
      </w:r>
    </w:p>
    <w:p w14:paraId="75F7F76F" w14:textId="77777777" w:rsidR="00316459" w:rsidRPr="00330565" w:rsidRDefault="00316459" w:rsidP="00316459">
      <w:pPr>
        <w:spacing w:after="240"/>
        <w:ind w:left="567" w:hanging="567"/>
      </w:pPr>
      <w:r w:rsidRPr="00330565">
        <w:t>67.</w:t>
      </w:r>
      <w:r w:rsidRPr="00330565">
        <w:tab/>
        <w:t>oceňuje úsilí Výboru v souvislosti s jeho strategickou komunikací v roce 2023; konstatuje, že Výbor přijal novou komunikační strategii zaměřenou na zlepšení své pověsti a dosahu; poznamenává, že v rámci této strategie Výbor přenášel na internetu své hlavní akce, a to většinou ve všech jazycích Unie, zavedl nové komunikační nástroje, jako je série videí pod názvem „Zprávy z plenárního zasedání“, zaměřil své komunikační zdroje na stěžejní akce Výboru v roce 2023 a vyvinul zvláštní úsilí o zvýšení dosahu svého působení na sociálních sítích;</w:t>
      </w:r>
    </w:p>
    <w:p w14:paraId="44DC5AD4" w14:textId="77777777" w:rsidR="00316459" w:rsidRPr="00330565" w:rsidRDefault="00316459" w:rsidP="00316459">
      <w:pPr>
        <w:spacing w:after="240"/>
        <w:ind w:left="567" w:hanging="567"/>
      </w:pPr>
      <w:r w:rsidRPr="00330565">
        <w:t>68.</w:t>
      </w:r>
      <w:r w:rsidRPr="00330565">
        <w:tab/>
        <w:t>vyzývá Výbor, aby v rámci programů financovaných EU posílil monitorování a podávání zpráv o pracovních právech, sociálním začleňování a porušování lidských práv a zajistil tak větší odpovědnost, pokud jde o jeho poradní funkce a politická doporučení;</w:t>
      </w:r>
    </w:p>
    <w:p w14:paraId="54955A72" w14:textId="77777777" w:rsidR="00316459" w:rsidRPr="00330565" w:rsidRDefault="00316459" w:rsidP="00316459">
      <w:pPr>
        <w:spacing w:after="240"/>
        <w:ind w:left="567" w:hanging="567"/>
      </w:pPr>
      <w:r w:rsidRPr="00330565">
        <w:t>69.</w:t>
      </w:r>
      <w:r w:rsidRPr="00330565">
        <w:tab/>
        <w:t>konstatuje, že se počet sledujících sociálních sítí na platformách Výboru v roce 2023 výrazně zvýšil, a to o 25 000; konstatuje, že Výbor do konce roku 2023 dosáhl na síti X 61 416 sledujících, tedy o 5 % více než v roce 2022, na síti LinkedIn 61 761 sledujících, tedy o 30 % více než v roce 2022, na Facebooku 46 868 sledujících, tedy o 5,3 % více než v roce 2022, a na Instagramu 17 428 sledujících, tedy o 45 % více než v roce 2022;</w:t>
      </w:r>
    </w:p>
    <w:p w14:paraId="2603F4BC" w14:textId="60C19A89" w:rsidR="00E365E1" w:rsidRPr="00316459" w:rsidRDefault="00316459" w:rsidP="00316459">
      <w:pPr>
        <w:spacing w:after="240"/>
        <w:ind w:left="567" w:hanging="567"/>
      </w:pPr>
      <w:r w:rsidRPr="00330565">
        <w:t>70.</w:t>
      </w:r>
      <w:r w:rsidRPr="00330565">
        <w:tab/>
        <w:t xml:space="preserve">vítá pozitivní přístup Výboru k využívání řešení s otevřeným zdrojovým kódem pro online komunikaci; poznamenává, že Výbor v červenci 2023 otevřel svůj první účet na platformě EU </w:t>
      </w:r>
      <w:proofErr w:type="spellStart"/>
      <w:r w:rsidRPr="00330565">
        <w:t>Voice</w:t>
      </w:r>
      <w:proofErr w:type="spellEnd"/>
      <w:r w:rsidRPr="00330565">
        <w:t xml:space="preserve"> </w:t>
      </w:r>
      <w:proofErr w:type="spellStart"/>
      <w:r w:rsidRPr="00330565">
        <w:t>Mastodon</w:t>
      </w:r>
      <w:proofErr w:type="spellEnd"/>
      <w:r w:rsidRPr="00330565">
        <w:t xml:space="preserve">, decentralizované a bezplatné síti sociálních médií s otevřeným zdrojovým kódem, která propojuje uživatele v prostředí zaměřeném na soukromí a bez reklam; všímá si, že Výbor v druhém pololetí roku 2023 prostřednictvím účtu na platformě </w:t>
      </w:r>
      <w:proofErr w:type="spellStart"/>
      <w:r w:rsidRPr="00330565">
        <w:t>Mastodon</w:t>
      </w:r>
      <w:proofErr w:type="spellEnd"/>
      <w:r w:rsidRPr="00330565">
        <w:t xml:space="preserve"> aktivně komunikoval a každý pracovní den zveřejňoval příspěvky o své činnosti a prioritách, čímž zvyšoval povědomí o Unii; bere na vědomí rozhodnutí Výboru ukončit od roku 2024 svou přítomnost na této platformě.</w:t>
      </w:r>
    </w:p>
    <w:sectPr w:rsidR="00E365E1" w:rsidRPr="00316459" w:rsidSect="005D66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A45C7" w14:textId="77777777" w:rsidR="00261870" w:rsidRPr="005D663F" w:rsidRDefault="00261870">
      <w:r w:rsidRPr="005D663F">
        <w:separator/>
      </w:r>
    </w:p>
  </w:endnote>
  <w:endnote w:type="continuationSeparator" w:id="0">
    <w:p w14:paraId="0F0158EB" w14:textId="77777777" w:rsidR="00261870" w:rsidRPr="005D663F" w:rsidRDefault="00261870">
      <w:r w:rsidRPr="005D66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5CD5" w14:textId="77777777" w:rsidR="00064002" w:rsidRPr="005D66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8EB1B" w14:textId="77777777" w:rsidR="00064002" w:rsidRPr="005D66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A0DB" w14:textId="77777777" w:rsidR="00064002" w:rsidRPr="005D66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8CAD1" w14:textId="77777777" w:rsidR="00261870" w:rsidRPr="005D663F" w:rsidRDefault="00261870">
      <w:r w:rsidRPr="005D663F">
        <w:separator/>
      </w:r>
    </w:p>
  </w:footnote>
  <w:footnote w:type="continuationSeparator" w:id="0">
    <w:p w14:paraId="7DAB2682" w14:textId="77777777" w:rsidR="00261870" w:rsidRPr="005D663F" w:rsidRDefault="00261870">
      <w:r w:rsidRPr="005D663F">
        <w:continuationSeparator/>
      </w:r>
    </w:p>
  </w:footnote>
  <w:footnote w:id="1">
    <w:p w14:paraId="230F2930" w14:textId="77777777" w:rsidR="00316459" w:rsidRPr="004B00BF" w:rsidRDefault="00316459" w:rsidP="00316459">
      <w:pPr>
        <w:pStyle w:val="FootnoteText"/>
        <w:ind w:left="567" w:hanging="567"/>
        <w:rPr>
          <w:sz w:val="24"/>
          <w:szCs w:val="24"/>
          <w:lang w:val="cs-CZ"/>
        </w:rPr>
      </w:pPr>
      <w:r w:rsidRPr="004B00BF">
        <w:rPr>
          <w:rStyle w:val="FootnoteReference"/>
          <w:sz w:val="24"/>
        </w:rPr>
        <w:footnoteRef/>
      </w:r>
      <w:r w:rsidRPr="004B00BF">
        <w:rPr>
          <w:sz w:val="24"/>
          <w:szCs w:val="24"/>
          <w:lang w:val="cs-CZ"/>
        </w:rPr>
        <w:t xml:space="preserve"> </w:t>
      </w:r>
      <w:r w:rsidRPr="00330565">
        <w:rPr>
          <w:sz w:val="24"/>
          <w:szCs w:val="24"/>
          <w:lang w:val="cs-CZ"/>
        </w:rPr>
        <w:tab/>
      </w:r>
      <w:proofErr w:type="spellStart"/>
      <w:r w:rsidRPr="00330565">
        <w:rPr>
          <w:sz w:val="24"/>
          <w:szCs w:val="24"/>
          <w:lang w:val="cs-CZ"/>
        </w:rPr>
        <w:t>Úř</w:t>
      </w:r>
      <w:proofErr w:type="spellEnd"/>
      <w:r w:rsidRPr="00330565">
        <w:rPr>
          <w:sz w:val="24"/>
          <w:szCs w:val="24"/>
          <w:lang w:val="cs-CZ"/>
        </w:rPr>
        <w:t xml:space="preserve">. </w:t>
      </w:r>
      <w:proofErr w:type="spellStart"/>
      <w:r w:rsidRPr="00330565">
        <w:rPr>
          <w:sz w:val="24"/>
          <w:szCs w:val="24"/>
          <w:lang w:val="cs-CZ"/>
        </w:rPr>
        <w:t>věst</w:t>
      </w:r>
      <w:proofErr w:type="spellEnd"/>
      <w:r w:rsidRPr="00330565">
        <w:rPr>
          <w:sz w:val="24"/>
          <w:szCs w:val="24"/>
          <w:lang w:val="cs-CZ"/>
        </w:rPr>
        <w:t xml:space="preserve">. L, 58, 23.2.2023, ELI: </w:t>
      </w:r>
      <w:hyperlink r:id="rId1" w:tooltip="Umožňuje přístup k tomuto dokumentu prostřednictvím identifikátoru ELI URI." w:history="1">
        <w:r w:rsidRPr="00330565">
          <w:rPr>
            <w:rStyle w:val="Hyperlink1"/>
            <w:sz w:val="24"/>
            <w:szCs w:val="24"/>
            <w:shd w:val="clear" w:color="auto" w:fill="FFFFFF"/>
            <w:lang w:val="cs-CZ"/>
          </w:rPr>
          <w:t>http://data.europa.eu/eli/budget/2023/1/oj</w:t>
        </w:r>
      </w:hyperlink>
      <w:r w:rsidRPr="00330565">
        <w:rPr>
          <w:sz w:val="24"/>
          <w:szCs w:val="24"/>
          <w:lang w:val="cs-CZ"/>
        </w:rPr>
        <w:t>.</w:t>
      </w:r>
    </w:p>
  </w:footnote>
  <w:footnote w:id="2">
    <w:p w14:paraId="17ABE3FE" w14:textId="77777777" w:rsidR="00316459" w:rsidRPr="004B00BF" w:rsidRDefault="00316459" w:rsidP="00316459">
      <w:pPr>
        <w:pStyle w:val="FootnoteText"/>
        <w:ind w:left="567" w:hanging="567"/>
        <w:rPr>
          <w:sz w:val="24"/>
          <w:szCs w:val="24"/>
          <w:lang w:val="cs-CZ"/>
        </w:rPr>
      </w:pPr>
      <w:r w:rsidRPr="004B00BF">
        <w:rPr>
          <w:rStyle w:val="FootnoteReference"/>
          <w:sz w:val="24"/>
        </w:rPr>
        <w:footnoteRef/>
      </w:r>
      <w:r w:rsidRPr="004B00BF">
        <w:rPr>
          <w:sz w:val="24"/>
          <w:szCs w:val="24"/>
          <w:lang w:val="cs-CZ"/>
        </w:rPr>
        <w:t xml:space="preserve"> </w:t>
      </w:r>
      <w:r w:rsidRPr="00330565">
        <w:rPr>
          <w:sz w:val="24"/>
          <w:szCs w:val="24"/>
          <w:lang w:val="cs-CZ"/>
        </w:rPr>
        <w:tab/>
      </w:r>
      <w:proofErr w:type="spellStart"/>
      <w:r w:rsidRPr="00330565">
        <w:rPr>
          <w:sz w:val="24"/>
          <w:szCs w:val="24"/>
          <w:lang w:val="cs-CZ"/>
        </w:rPr>
        <w:t>Úř</w:t>
      </w:r>
      <w:proofErr w:type="spellEnd"/>
      <w:r w:rsidRPr="00330565">
        <w:rPr>
          <w:sz w:val="24"/>
          <w:szCs w:val="24"/>
          <w:lang w:val="cs-CZ"/>
        </w:rPr>
        <w:t xml:space="preserve">. </w:t>
      </w:r>
      <w:proofErr w:type="spellStart"/>
      <w:r w:rsidRPr="00330565">
        <w:rPr>
          <w:sz w:val="24"/>
          <w:szCs w:val="24"/>
          <w:lang w:val="cs-CZ"/>
        </w:rPr>
        <w:t>věst</w:t>
      </w:r>
      <w:proofErr w:type="spellEnd"/>
      <w:r w:rsidRPr="00330565">
        <w:rPr>
          <w:sz w:val="24"/>
          <w:szCs w:val="24"/>
          <w:lang w:val="cs-CZ"/>
        </w:rPr>
        <w:t xml:space="preserve">. C C/2024/5462, 10.10.2024, ELI: </w:t>
      </w:r>
      <w:hyperlink r:id="rId2" w:history="1">
        <w:r w:rsidRPr="00330565">
          <w:rPr>
            <w:rStyle w:val="Hyperlink1"/>
            <w:sz w:val="24"/>
            <w:szCs w:val="24"/>
            <w:lang w:val="cs-CZ"/>
          </w:rPr>
          <w:t>http://data.europa.eu/eli/C/2024/5462/oj</w:t>
        </w:r>
      </w:hyperlink>
      <w:r w:rsidRPr="00330565">
        <w:rPr>
          <w:sz w:val="24"/>
          <w:szCs w:val="24"/>
          <w:lang w:val="cs-CZ"/>
        </w:rPr>
        <w:t>.</w:t>
      </w:r>
    </w:p>
  </w:footnote>
  <w:footnote w:id="3">
    <w:p w14:paraId="38563AAD" w14:textId="77777777" w:rsidR="00316459" w:rsidRPr="004B00BF" w:rsidRDefault="00316459" w:rsidP="00316459">
      <w:pPr>
        <w:pStyle w:val="FootnoteText"/>
        <w:ind w:left="567" w:hanging="567"/>
        <w:rPr>
          <w:sz w:val="24"/>
          <w:szCs w:val="24"/>
          <w:lang w:val="cs-CZ"/>
        </w:rPr>
      </w:pPr>
      <w:r w:rsidRPr="004B00BF">
        <w:rPr>
          <w:rStyle w:val="FootnoteReference"/>
          <w:sz w:val="24"/>
        </w:rPr>
        <w:footnoteRef/>
      </w:r>
      <w:r w:rsidRPr="004B00BF">
        <w:rPr>
          <w:sz w:val="24"/>
          <w:szCs w:val="24"/>
          <w:lang w:val="cs-CZ"/>
        </w:rPr>
        <w:t xml:space="preserve"> </w:t>
      </w:r>
      <w:r w:rsidRPr="00330565">
        <w:rPr>
          <w:sz w:val="24"/>
          <w:szCs w:val="24"/>
          <w:lang w:val="cs-CZ"/>
        </w:rPr>
        <w:tab/>
      </w:r>
      <w:proofErr w:type="spellStart"/>
      <w:r w:rsidRPr="00330565">
        <w:rPr>
          <w:sz w:val="24"/>
          <w:szCs w:val="24"/>
          <w:lang w:val="cs-CZ"/>
        </w:rPr>
        <w:t>Úř</w:t>
      </w:r>
      <w:proofErr w:type="spellEnd"/>
      <w:r w:rsidRPr="00330565">
        <w:rPr>
          <w:sz w:val="24"/>
          <w:szCs w:val="24"/>
          <w:lang w:val="cs-CZ"/>
        </w:rPr>
        <w:t xml:space="preserve">. </w:t>
      </w:r>
      <w:proofErr w:type="spellStart"/>
      <w:r w:rsidRPr="00330565">
        <w:rPr>
          <w:sz w:val="24"/>
          <w:szCs w:val="24"/>
          <w:lang w:val="cs-CZ"/>
        </w:rPr>
        <w:t>věst</w:t>
      </w:r>
      <w:proofErr w:type="spellEnd"/>
      <w:r w:rsidRPr="00330565">
        <w:rPr>
          <w:sz w:val="24"/>
          <w:szCs w:val="24"/>
          <w:lang w:val="cs-CZ"/>
        </w:rPr>
        <w:t xml:space="preserve">. C, C/2024/5882, 9.10.2024, ELI: </w:t>
      </w:r>
      <w:hyperlink r:id="rId3" w:history="1">
        <w:r w:rsidRPr="00330565">
          <w:rPr>
            <w:rStyle w:val="Hyperlink1"/>
            <w:sz w:val="24"/>
            <w:szCs w:val="24"/>
            <w:lang w:val="cs-CZ"/>
          </w:rPr>
          <w:t>http://data.europa.eu/eli/C/2024/5882/oj</w:t>
        </w:r>
      </w:hyperlink>
      <w:r w:rsidRPr="00330565">
        <w:rPr>
          <w:sz w:val="24"/>
          <w:szCs w:val="24"/>
          <w:lang w:val="cs-CZ"/>
        </w:rPr>
        <w:t>.</w:t>
      </w:r>
    </w:p>
  </w:footnote>
  <w:footnote w:id="4">
    <w:p w14:paraId="5F15C98D" w14:textId="77777777" w:rsidR="00316459" w:rsidRPr="004B00BF" w:rsidRDefault="00316459" w:rsidP="00316459">
      <w:pPr>
        <w:pStyle w:val="FootnoteText"/>
        <w:ind w:left="567" w:hanging="567"/>
        <w:rPr>
          <w:sz w:val="24"/>
          <w:szCs w:val="24"/>
          <w:lang w:val="cs-CZ"/>
        </w:rPr>
      </w:pPr>
      <w:r w:rsidRPr="004B00BF">
        <w:rPr>
          <w:rStyle w:val="FootnoteReference"/>
          <w:sz w:val="24"/>
        </w:rPr>
        <w:footnoteRef/>
      </w:r>
      <w:r w:rsidRPr="004B00BF">
        <w:rPr>
          <w:sz w:val="24"/>
          <w:szCs w:val="24"/>
          <w:lang w:val="cs-CZ"/>
        </w:rPr>
        <w:t xml:space="preserve"> </w:t>
      </w:r>
      <w:r w:rsidRPr="00330565">
        <w:rPr>
          <w:sz w:val="24"/>
          <w:szCs w:val="24"/>
          <w:lang w:val="cs-CZ"/>
        </w:rPr>
        <w:tab/>
      </w:r>
      <w:proofErr w:type="spellStart"/>
      <w:r w:rsidRPr="00330565">
        <w:rPr>
          <w:sz w:val="24"/>
          <w:szCs w:val="24"/>
          <w:lang w:val="cs-CZ"/>
        </w:rPr>
        <w:t>Úř</w:t>
      </w:r>
      <w:proofErr w:type="spellEnd"/>
      <w:r w:rsidRPr="00330565">
        <w:rPr>
          <w:sz w:val="24"/>
          <w:szCs w:val="24"/>
          <w:lang w:val="cs-CZ"/>
        </w:rPr>
        <w:t xml:space="preserve">. </w:t>
      </w:r>
      <w:proofErr w:type="spellStart"/>
      <w:r w:rsidRPr="00330565">
        <w:rPr>
          <w:sz w:val="24"/>
          <w:szCs w:val="24"/>
          <w:lang w:val="cs-CZ"/>
        </w:rPr>
        <w:t>věst</w:t>
      </w:r>
      <w:proofErr w:type="spellEnd"/>
      <w:r w:rsidRPr="00330565">
        <w:rPr>
          <w:sz w:val="24"/>
          <w:szCs w:val="24"/>
          <w:lang w:val="cs-CZ"/>
        </w:rPr>
        <w:t xml:space="preserve">. C, C/2024/6041, 10.10.2024, ELI: </w:t>
      </w:r>
      <w:hyperlink r:id="rId4" w:history="1">
        <w:r w:rsidRPr="00330565">
          <w:rPr>
            <w:rStyle w:val="Hyperlink1"/>
            <w:sz w:val="24"/>
            <w:szCs w:val="24"/>
            <w:lang w:val="cs-CZ"/>
          </w:rPr>
          <w:t>http://data.europa.eu/eli/C/2024/6041/oj</w:t>
        </w:r>
      </w:hyperlink>
      <w:r w:rsidRPr="00330565">
        <w:rPr>
          <w:sz w:val="24"/>
          <w:szCs w:val="24"/>
          <w:lang w:val="cs-CZ"/>
        </w:rPr>
        <w:t>.</w:t>
      </w:r>
    </w:p>
  </w:footnote>
  <w:footnote w:id="5">
    <w:p w14:paraId="61E203BB" w14:textId="77777777" w:rsidR="00316459" w:rsidRPr="004B00BF" w:rsidRDefault="00316459" w:rsidP="00316459">
      <w:pPr>
        <w:pStyle w:val="FootnoteText"/>
        <w:ind w:left="567" w:hanging="567"/>
        <w:rPr>
          <w:sz w:val="24"/>
          <w:szCs w:val="24"/>
          <w:lang w:val="cs-CZ"/>
        </w:rPr>
      </w:pPr>
      <w:r w:rsidRPr="004B00BF">
        <w:rPr>
          <w:rStyle w:val="FootnoteReference"/>
          <w:sz w:val="24"/>
        </w:rPr>
        <w:footnoteRef/>
      </w:r>
      <w:r w:rsidRPr="004B00BF">
        <w:rPr>
          <w:sz w:val="24"/>
          <w:szCs w:val="24"/>
          <w:lang w:val="cs-CZ"/>
        </w:rPr>
        <w:t xml:space="preserve"> </w:t>
      </w:r>
      <w:r w:rsidRPr="00330565">
        <w:rPr>
          <w:sz w:val="24"/>
          <w:szCs w:val="24"/>
          <w:lang w:val="cs-CZ"/>
        </w:rPr>
        <w:tab/>
      </w:r>
      <w:proofErr w:type="spellStart"/>
      <w:r w:rsidRPr="00330565">
        <w:rPr>
          <w:sz w:val="24"/>
          <w:szCs w:val="24"/>
          <w:lang w:val="cs-CZ"/>
        </w:rPr>
        <w:t>Úř</w:t>
      </w:r>
      <w:proofErr w:type="spellEnd"/>
      <w:r w:rsidRPr="00330565">
        <w:rPr>
          <w:sz w:val="24"/>
          <w:szCs w:val="24"/>
          <w:lang w:val="cs-CZ"/>
        </w:rPr>
        <w:t xml:space="preserve">. </w:t>
      </w:r>
      <w:proofErr w:type="spellStart"/>
      <w:r w:rsidRPr="00330565">
        <w:rPr>
          <w:sz w:val="24"/>
          <w:szCs w:val="24"/>
          <w:lang w:val="cs-CZ"/>
        </w:rPr>
        <w:t>věst</w:t>
      </w:r>
      <w:proofErr w:type="spellEnd"/>
      <w:r w:rsidRPr="00330565">
        <w:rPr>
          <w:sz w:val="24"/>
          <w:szCs w:val="24"/>
          <w:lang w:val="cs-CZ"/>
        </w:rPr>
        <w:t xml:space="preserve">. L 193, 30.7.2018, s. 1, ELI: </w:t>
      </w:r>
      <w:hyperlink r:id="rId5" w:history="1">
        <w:r w:rsidRPr="00330565">
          <w:rPr>
            <w:rStyle w:val="Hyperlink1"/>
            <w:sz w:val="24"/>
            <w:szCs w:val="24"/>
            <w:lang w:val="cs-CZ"/>
          </w:rPr>
          <w:t>http://data.europa.eu/eli/reg/2018/1046/oj</w:t>
        </w:r>
      </w:hyperlink>
      <w:r w:rsidRPr="00330565">
        <w:rPr>
          <w:sz w:val="24"/>
          <w:szCs w:val="24"/>
          <w:lang w:val="cs-CZ"/>
        </w:rPr>
        <w:t>.</w:t>
      </w:r>
    </w:p>
  </w:footnote>
  <w:footnote w:id="6">
    <w:p w14:paraId="36B61126" w14:textId="77777777" w:rsidR="00316459" w:rsidRPr="004B00BF" w:rsidRDefault="00316459" w:rsidP="00316459">
      <w:pPr>
        <w:pStyle w:val="FootnoteText"/>
        <w:ind w:left="567" w:hanging="567"/>
        <w:rPr>
          <w:sz w:val="24"/>
          <w:szCs w:val="24"/>
          <w:lang w:val="cs-CZ"/>
        </w:rPr>
      </w:pPr>
      <w:r w:rsidRPr="004B00BF">
        <w:rPr>
          <w:rStyle w:val="FootnoteReference"/>
          <w:sz w:val="24"/>
        </w:rPr>
        <w:footnoteRef/>
      </w:r>
      <w:r w:rsidRPr="004B00BF">
        <w:rPr>
          <w:sz w:val="24"/>
          <w:szCs w:val="24"/>
          <w:lang w:val="cs-CZ"/>
        </w:rPr>
        <w:t xml:space="preserve"> </w:t>
      </w:r>
      <w:r w:rsidRPr="00330565">
        <w:rPr>
          <w:sz w:val="24"/>
          <w:szCs w:val="24"/>
          <w:lang w:val="cs-CZ"/>
        </w:rPr>
        <w:tab/>
      </w:r>
      <w:proofErr w:type="spellStart"/>
      <w:r w:rsidRPr="00330565">
        <w:rPr>
          <w:sz w:val="24"/>
          <w:szCs w:val="24"/>
          <w:lang w:val="cs-CZ"/>
        </w:rPr>
        <w:t>Úř</w:t>
      </w:r>
      <w:proofErr w:type="spellEnd"/>
      <w:r w:rsidRPr="00330565">
        <w:rPr>
          <w:sz w:val="24"/>
          <w:szCs w:val="24"/>
          <w:lang w:val="cs-CZ"/>
        </w:rPr>
        <w:t xml:space="preserve">. </w:t>
      </w:r>
      <w:proofErr w:type="spellStart"/>
      <w:r w:rsidRPr="00330565">
        <w:rPr>
          <w:sz w:val="24"/>
          <w:szCs w:val="24"/>
          <w:lang w:val="cs-CZ"/>
        </w:rPr>
        <w:t>věst</w:t>
      </w:r>
      <w:proofErr w:type="spellEnd"/>
      <w:r w:rsidRPr="00330565">
        <w:rPr>
          <w:sz w:val="24"/>
          <w:szCs w:val="24"/>
          <w:lang w:val="cs-CZ"/>
        </w:rPr>
        <w:t xml:space="preserve">. L, 2024/2509, 26.9.2024, ELI: </w:t>
      </w:r>
      <w:hyperlink r:id="rId6" w:history="1">
        <w:r w:rsidRPr="00330565">
          <w:rPr>
            <w:rStyle w:val="Hyperlink"/>
            <w:sz w:val="24"/>
            <w:szCs w:val="24"/>
            <w:lang w:val="cs-CZ"/>
          </w:rPr>
          <w:t>http://data.europa.eu/eli/reg/2024/2509/oj</w:t>
        </w:r>
      </w:hyperlink>
      <w:r w:rsidRPr="00330565">
        <w:rPr>
          <w:sz w:val="24"/>
          <w:szCs w:val="24"/>
          <w:shd w:val="clear" w:color="auto" w:fill="FFFFFF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F2730" w14:textId="77777777" w:rsidR="00064002" w:rsidRPr="005D66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F8037" w14:textId="77777777" w:rsidR="00064002" w:rsidRPr="005D66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FD2D7" w14:textId="77777777" w:rsidR="00064002" w:rsidRPr="005D66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9D5C48F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C49F6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82684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1C33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D7A2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B86177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66A7D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B8EE4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A3282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3410A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64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265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1C0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A2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6E8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8E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2C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6E6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2596819">
    <w:abstractNumId w:val="9"/>
  </w:num>
  <w:num w:numId="2" w16cid:durableId="1270315225">
    <w:abstractNumId w:val="9"/>
  </w:num>
  <w:num w:numId="3" w16cid:durableId="2033603444">
    <w:abstractNumId w:val="7"/>
  </w:num>
  <w:num w:numId="4" w16cid:durableId="539510533">
    <w:abstractNumId w:val="7"/>
  </w:num>
  <w:num w:numId="5" w16cid:durableId="2018530769">
    <w:abstractNumId w:val="6"/>
  </w:num>
  <w:num w:numId="6" w16cid:durableId="858616204">
    <w:abstractNumId w:val="6"/>
  </w:num>
  <w:num w:numId="7" w16cid:durableId="2060324149">
    <w:abstractNumId w:val="5"/>
  </w:num>
  <w:num w:numId="8" w16cid:durableId="1399014092">
    <w:abstractNumId w:val="5"/>
  </w:num>
  <w:num w:numId="9" w16cid:durableId="964390112">
    <w:abstractNumId w:val="4"/>
  </w:num>
  <w:num w:numId="10" w16cid:durableId="1411463651">
    <w:abstractNumId w:val="4"/>
  </w:num>
  <w:num w:numId="11" w16cid:durableId="1808818672">
    <w:abstractNumId w:val="8"/>
  </w:num>
  <w:num w:numId="12" w16cid:durableId="895506190">
    <w:abstractNumId w:val="8"/>
  </w:num>
  <w:num w:numId="13" w16cid:durableId="1651401995">
    <w:abstractNumId w:val="3"/>
  </w:num>
  <w:num w:numId="14" w16cid:durableId="184908707">
    <w:abstractNumId w:val="3"/>
  </w:num>
  <w:num w:numId="15" w16cid:durableId="1080062757">
    <w:abstractNumId w:val="2"/>
  </w:num>
  <w:num w:numId="16" w16cid:durableId="831987920">
    <w:abstractNumId w:val="2"/>
  </w:num>
  <w:num w:numId="17" w16cid:durableId="673145612">
    <w:abstractNumId w:val="1"/>
  </w:num>
  <w:num w:numId="18" w16cid:durableId="2132936800">
    <w:abstractNumId w:val="1"/>
  </w:num>
  <w:num w:numId="19" w16cid:durableId="1525249573">
    <w:abstractNumId w:val="0"/>
  </w:num>
  <w:num w:numId="20" w16cid:durableId="193080331">
    <w:abstractNumId w:val="0"/>
  </w:num>
  <w:num w:numId="21" w16cid:durableId="1869174529">
    <w:abstractNumId w:val="9"/>
  </w:num>
  <w:num w:numId="22" w16cid:durableId="945575235">
    <w:abstractNumId w:val="7"/>
  </w:num>
  <w:num w:numId="23" w16cid:durableId="43532031">
    <w:abstractNumId w:val="6"/>
  </w:num>
  <w:num w:numId="24" w16cid:durableId="1917976583">
    <w:abstractNumId w:val="5"/>
  </w:num>
  <w:num w:numId="25" w16cid:durableId="2109962949">
    <w:abstractNumId w:val="4"/>
  </w:num>
  <w:num w:numId="26" w16cid:durableId="1771469402">
    <w:abstractNumId w:val="8"/>
  </w:num>
  <w:num w:numId="27" w16cid:durableId="1867212954">
    <w:abstractNumId w:val="3"/>
  </w:num>
  <w:num w:numId="28" w16cid:durableId="1272978592">
    <w:abstractNumId w:val="2"/>
  </w:num>
  <w:num w:numId="29" w16cid:durableId="1357729119">
    <w:abstractNumId w:val="1"/>
  </w:num>
  <w:num w:numId="30" w16cid:durableId="335308540">
    <w:abstractNumId w:val="0"/>
  </w:num>
  <w:num w:numId="31" w16cid:durableId="1145856994">
    <w:abstractNumId w:val="9"/>
  </w:num>
  <w:num w:numId="32" w16cid:durableId="569076233">
    <w:abstractNumId w:val="7"/>
  </w:num>
  <w:num w:numId="33" w16cid:durableId="1379084220">
    <w:abstractNumId w:val="6"/>
  </w:num>
  <w:num w:numId="34" w16cid:durableId="246155826">
    <w:abstractNumId w:val="5"/>
  </w:num>
  <w:num w:numId="35" w16cid:durableId="1165315244">
    <w:abstractNumId w:val="4"/>
  </w:num>
  <w:num w:numId="36" w16cid:durableId="1195970984">
    <w:abstractNumId w:val="8"/>
  </w:num>
  <w:num w:numId="37" w16cid:durableId="234172443">
    <w:abstractNumId w:val="3"/>
  </w:num>
  <w:num w:numId="38" w16cid:durableId="1057511585">
    <w:abstractNumId w:val="2"/>
  </w:num>
  <w:num w:numId="39" w16cid:durableId="1087843984">
    <w:abstractNumId w:val="1"/>
  </w:num>
  <w:num w:numId="40" w16cid:durableId="1575706060">
    <w:abstractNumId w:val="0"/>
  </w:num>
  <w:num w:numId="41" w16cid:durableId="623539266">
    <w:abstractNumId w:val="10"/>
  </w:num>
  <w:num w:numId="42" w16cid:durableId="1002708541">
    <w:abstractNumId w:val="10"/>
  </w:num>
  <w:num w:numId="43" w16cid:durableId="31852123">
    <w:abstractNumId w:val="10"/>
  </w:num>
  <w:num w:numId="44" w16cid:durableId="492337458">
    <w:abstractNumId w:val="12"/>
  </w:num>
  <w:num w:numId="45" w16cid:durableId="1491751916">
    <w:abstractNumId w:val="13"/>
  </w:num>
  <w:num w:numId="46" w16cid:durableId="1238636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4/2025"/>
    <w:docVar w:name="dvlangue" w:val="CS"/>
    <w:docVar w:name="dvnumam" w:val="0"/>
    <w:docVar w:name="dvpe" w:val="764.993"/>
    <w:docVar w:name="dvrapporteur" w:val="Zpravodaj: "/>
    <w:docVar w:name="dvtitre" w:val="Rozhodnutí Evropského parlamentu ze dne 7. května 2025 o udělení absolutoria za plnění souhrnného rozpočtu Evropské unie na rozpočtový rok 2023, oddíl VI – Evropský hospodářský a sociální výbor(2024/2025(DEC))"/>
  </w:docVars>
  <w:rsids>
    <w:rsidRoot w:val="00261870"/>
    <w:rsid w:val="00002272"/>
    <w:rsid w:val="00064002"/>
    <w:rsid w:val="000677B9"/>
    <w:rsid w:val="000831BA"/>
    <w:rsid w:val="00090F5D"/>
    <w:rsid w:val="000A42CC"/>
    <w:rsid w:val="000E7DD9"/>
    <w:rsid w:val="0010095E"/>
    <w:rsid w:val="00125B37"/>
    <w:rsid w:val="00182B23"/>
    <w:rsid w:val="00187494"/>
    <w:rsid w:val="001F32AE"/>
    <w:rsid w:val="00237DD1"/>
    <w:rsid w:val="00261870"/>
    <w:rsid w:val="002767FF"/>
    <w:rsid w:val="002B18FE"/>
    <w:rsid w:val="002B5493"/>
    <w:rsid w:val="0031645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2CF"/>
    <w:rsid w:val="0050519A"/>
    <w:rsid w:val="005072A1"/>
    <w:rsid w:val="00514517"/>
    <w:rsid w:val="00545827"/>
    <w:rsid w:val="00560270"/>
    <w:rsid w:val="005B17C7"/>
    <w:rsid w:val="005C2568"/>
    <w:rsid w:val="005D663F"/>
    <w:rsid w:val="005F1B17"/>
    <w:rsid w:val="005F4BA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E8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BB5"/>
    <w:rsid w:val="00AB441E"/>
    <w:rsid w:val="00AB6293"/>
    <w:rsid w:val="00AE0928"/>
    <w:rsid w:val="00AF3B82"/>
    <w:rsid w:val="00B12E95"/>
    <w:rsid w:val="00B22876"/>
    <w:rsid w:val="00B558F0"/>
    <w:rsid w:val="00B734EC"/>
    <w:rsid w:val="00BD48FE"/>
    <w:rsid w:val="00BD7BD8"/>
    <w:rsid w:val="00BE6ADC"/>
    <w:rsid w:val="00BE7DD3"/>
    <w:rsid w:val="00C05BFE"/>
    <w:rsid w:val="00C23CD4"/>
    <w:rsid w:val="00C61C0C"/>
    <w:rsid w:val="00C941CB"/>
    <w:rsid w:val="00CC2357"/>
    <w:rsid w:val="00CF071A"/>
    <w:rsid w:val="00D058B8"/>
    <w:rsid w:val="00D425E1"/>
    <w:rsid w:val="00D56C11"/>
    <w:rsid w:val="00D834A0"/>
    <w:rsid w:val="00D83C28"/>
    <w:rsid w:val="00D872DF"/>
    <w:rsid w:val="00D91E21"/>
    <w:rsid w:val="00DA7FCD"/>
    <w:rsid w:val="00DC2F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378D6A"/>
  <w15:chartTrackingRefBased/>
  <w15:docId w15:val="{D62DB27A-7DA2-4104-B260-E853FCDCF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D3E8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D3E8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D3E8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D3E8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D3E8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D3E8C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7D3E8C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7D3E8C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7D3E8C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7D3E8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D3E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D3E8C"/>
    <w:pPr>
      <w:spacing w:before="480" w:after="240"/>
    </w:pPr>
  </w:style>
  <w:style w:type="paragraph" w:customStyle="1" w:styleId="TOCPage">
    <w:name w:val="TOC Page"/>
    <w:basedOn w:val="Normal"/>
    <w:next w:val="TOC1"/>
    <w:rsid w:val="007D3E8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D3E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D3E8C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7D3E8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D3E8C"/>
    <w:pPr>
      <w:spacing w:after="480"/>
      <w:ind w:left="1417"/>
    </w:pPr>
  </w:style>
  <w:style w:type="paragraph" w:customStyle="1" w:styleId="CoverNormal">
    <w:name w:val="CoverNormal"/>
    <w:basedOn w:val="Normal"/>
    <w:rsid w:val="007D3E8C"/>
    <w:pPr>
      <w:ind w:left="1418"/>
    </w:pPr>
  </w:style>
  <w:style w:type="paragraph" w:customStyle="1" w:styleId="CoverReference">
    <w:name w:val="CoverReference"/>
    <w:basedOn w:val="Normal"/>
    <w:rsid w:val="007D3E8C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7D3E8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D3E8C"/>
    <w:pPr>
      <w:spacing w:before="240" w:after="1200"/>
    </w:pPr>
  </w:style>
  <w:style w:type="paragraph" w:styleId="Header">
    <w:name w:val="header"/>
    <w:basedOn w:val="Normal"/>
    <w:link w:val="HeaderChar"/>
    <w:rsid w:val="007D3E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3E8C"/>
    <w:rPr>
      <w:sz w:val="24"/>
      <w:lang w:val="cs-CZ"/>
    </w:rPr>
  </w:style>
  <w:style w:type="paragraph" w:customStyle="1" w:styleId="EPBody">
    <w:name w:val="EPBody"/>
    <w:basedOn w:val="Normal"/>
    <w:rsid w:val="007D3E8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D3E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7D3E8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D3E8C"/>
    <w:rPr>
      <w:sz w:val="24"/>
      <w:lang w:val="cs-CZ"/>
    </w:rPr>
  </w:style>
  <w:style w:type="paragraph" w:styleId="Footer">
    <w:name w:val="footer"/>
    <w:basedOn w:val="Normal"/>
    <w:link w:val="FooterChar"/>
    <w:rsid w:val="007D3E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D3E8C"/>
    <w:rPr>
      <w:sz w:val="24"/>
      <w:lang w:val="cs-CZ"/>
    </w:rPr>
  </w:style>
  <w:style w:type="paragraph" w:customStyle="1" w:styleId="Normal6a">
    <w:name w:val="Normal6a"/>
    <w:basedOn w:val="Normal"/>
    <w:rsid w:val="007D3E8C"/>
    <w:pPr>
      <w:spacing w:after="120"/>
    </w:pPr>
  </w:style>
  <w:style w:type="paragraph" w:customStyle="1" w:styleId="Normal24a">
    <w:name w:val="Normal24a"/>
    <w:basedOn w:val="Normal"/>
    <w:rsid w:val="007D3E8C"/>
    <w:pPr>
      <w:spacing w:after="480"/>
    </w:pPr>
  </w:style>
  <w:style w:type="paragraph" w:customStyle="1" w:styleId="NormalBoldCenter">
    <w:name w:val="NormalBoldCenter"/>
    <w:basedOn w:val="Normal"/>
    <w:rsid w:val="007D3E8C"/>
    <w:pPr>
      <w:jc w:val="center"/>
    </w:pPr>
    <w:rPr>
      <w:b/>
    </w:rPr>
  </w:style>
  <w:style w:type="paragraph" w:customStyle="1" w:styleId="Footprint12b">
    <w:name w:val="Footprint12b"/>
    <w:basedOn w:val="Normal"/>
    <w:rsid w:val="007D3E8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D3E8C"/>
    <w:rPr>
      <w:szCs w:val="24"/>
    </w:rPr>
  </w:style>
  <w:style w:type="paragraph" w:customStyle="1" w:styleId="Normal12a">
    <w:name w:val="Normal12a"/>
    <w:basedOn w:val="Normal"/>
    <w:rsid w:val="007D3E8C"/>
    <w:pPr>
      <w:spacing w:after="240"/>
    </w:pPr>
  </w:style>
  <w:style w:type="paragraph" w:customStyle="1" w:styleId="RollCallVotes">
    <w:name w:val="RollCallVotes"/>
    <w:basedOn w:val="Normal"/>
    <w:rsid w:val="007D3E8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D3E8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D3E8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D3E8C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5F4B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4BA3"/>
    <w:rPr>
      <w:rFonts w:ascii="Segoe UI" w:hAnsi="Segoe UI" w:cs="Segoe UI"/>
      <w:sz w:val="18"/>
      <w:szCs w:val="18"/>
      <w:lang w:val="cs-CZ"/>
    </w:rPr>
  </w:style>
  <w:style w:type="character" w:customStyle="1" w:styleId="Hyperlink1">
    <w:name w:val="Hyperlink1"/>
    <w:basedOn w:val="DefaultParagraphFont"/>
    <w:rsid w:val="00316459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3164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6459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6459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C938-A7EE-426A-B73D-D64042421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7258</Words>
  <Characters>41494</Characters>
  <Application>Microsoft Office Word</Application>
  <DocSecurity>0</DocSecurity>
  <Lines>345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KONOPKOVA Jindra</cp:lastModifiedBy>
  <cp:revision>2</cp:revision>
  <cp:lastPrinted>2004-11-19T15:42:00Z</cp:lastPrinted>
  <dcterms:created xsi:type="dcterms:W3CDTF">2025-11-25T13:12:00Z</dcterms:created>
  <dcterms:modified xsi:type="dcterms:W3CDTF">2025-11-25T13:12:00Z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P10_TA(2025)0082_</vt:lpwstr>
  </property>
  <property fmtid="{D5CDD505-2E9C-101B-9397-08002B2CF9AE}" pid="4" name="&lt;Type&gt;">
    <vt:lpwstr>RR</vt:lpwstr>
  </property>
</Properties>
</file>