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61C" w14:paraId="525FD62F" w14:textId="77777777" w:rsidTr="0010095E">
        <w:trPr>
          <w:trHeight w:hRule="exact" w:val="1418"/>
        </w:trPr>
        <w:tc>
          <w:tcPr>
            <w:tcW w:w="6804" w:type="dxa"/>
            <w:shd w:val="clear" w:color="auto" w:fill="auto"/>
            <w:vAlign w:val="center"/>
          </w:tcPr>
          <w:p w14:paraId="658A5EC2" w14:textId="77777777" w:rsidR="00751A4A" w:rsidRPr="0083561C" w:rsidRDefault="00BC158E" w:rsidP="005404A6">
            <w:pPr>
              <w:pStyle w:val="EPName"/>
              <w:widowControl/>
            </w:pPr>
            <w:r w:rsidRPr="0083561C">
              <w:t>Euroopan parlamentti</w:t>
            </w:r>
          </w:p>
          <w:p w14:paraId="08622247" w14:textId="77777777" w:rsidR="00751A4A" w:rsidRPr="0083561C" w:rsidRDefault="005F1B17" w:rsidP="005404A6">
            <w:pPr>
              <w:pStyle w:val="EPTerm"/>
              <w:widowControl/>
              <w:rPr>
                <w:rStyle w:val="HideTWBExt"/>
                <w:noProof w:val="0"/>
                <w:vanish w:val="0"/>
                <w:color w:val="auto"/>
              </w:rPr>
            </w:pPr>
            <w:r w:rsidRPr="0083561C">
              <w:t>2024</w:t>
            </w:r>
            <w:r w:rsidR="00817416" w:rsidRPr="0083561C">
              <w:t>-202</w:t>
            </w:r>
            <w:r w:rsidRPr="0083561C">
              <w:t>9</w:t>
            </w:r>
          </w:p>
        </w:tc>
        <w:tc>
          <w:tcPr>
            <w:tcW w:w="2268" w:type="dxa"/>
            <w:shd w:val="clear" w:color="auto" w:fill="auto"/>
          </w:tcPr>
          <w:p w14:paraId="37C9C38D" w14:textId="77777777" w:rsidR="00751A4A" w:rsidRPr="0083561C" w:rsidRDefault="00187494" w:rsidP="005404A6">
            <w:pPr>
              <w:pStyle w:val="EPLogo"/>
              <w:widowControl/>
            </w:pPr>
            <w:r w:rsidRPr="0083561C">
              <w:rPr>
                <w:noProof/>
                <w:lang w:val="en-GB"/>
              </w:rPr>
              <w:drawing>
                <wp:inline distT="0" distB="0" distL="0" distR="0" wp14:anchorId="41DE05CD" wp14:editId="7D915A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A89A5F" w14:textId="77777777" w:rsidR="00D058B8" w:rsidRPr="0083561C" w:rsidRDefault="00D058B8" w:rsidP="005404A6">
      <w:pPr>
        <w:pStyle w:val="LineTop"/>
        <w:widowControl/>
      </w:pPr>
    </w:p>
    <w:p w14:paraId="7C370B6B" w14:textId="77777777" w:rsidR="00680577" w:rsidRPr="0083561C" w:rsidRDefault="00BC158E" w:rsidP="005404A6">
      <w:pPr>
        <w:pStyle w:val="EPBodyTA1"/>
        <w:widowControl/>
      </w:pPr>
      <w:r w:rsidRPr="0083561C">
        <w:t>HYVÄKSYTYT TEKSTIT</w:t>
      </w:r>
    </w:p>
    <w:p w14:paraId="66BE1110" w14:textId="77777777" w:rsidR="00D058B8" w:rsidRPr="0083561C" w:rsidRDefault="00D058B8" w:rsidP="005404A6">
      <w:pPr>
        <w:pStyle w:val="LineBottom"/>
        <w:widowControl/>
      </w:pPr>
    </w:p>
    <w:p w14:paraId="24A18322" w14:textId="77777777" w:rsidR="00BC158E" w:rsidRPr="0083561C" w:rsidRDefault="00BC158E" w:rsidP="005404A6">
      <w:pPr>
        <w:pStyle w:val="ATHeading1"/>
      </w:pPr>
      <w:bookmarkStart w:id="0" w:name="TANumber"/>
      <w:r w:rsidRPr="0083561C">
        <w:t>P10_</w:t>
      </w:r>
      <w:proofErr w:type="gramStart"/>
      <w:r w:rsidRPr="0083561C">
        <w:t>TA(</w:t>
      </w:r>
      <w:proofErr w:type="gramEnd"/>
      <w:r w:rsidRPr="0083561C">
        <w:t>2025)00</w:t>
      </w:r>
      <w:bookmarkEnd w:id="0"/>
      <w:r w:rsidR="00276F20">
        <w:t>82</w:t>
      </w:r>
    </w:p>
    <w:p w14:paraId="63306D8A" w14:textId="77777777" w:rsidR="00BC158E" w:rsidRPr="0083561C" w:rsidRDefault="00C164F6" w:rsidP="005404A6">
      <w:pPr>
        <w:pStyle w:val="ATHeading2"/>
      </w:pPr>
      <w:bookmarkStart w:id="1" w:name="title"/>
      <w:r w:rsidRPr="00C164F6">
        <w:t>Vastuuvapaus 2023: EU:n yleinen talousarvio – Euroopan talous- ja sosiaalikomitea</w:t>
      </w:r>
      <w:bookmarkEnd w:id="1"/>
    </w:p>
    <w:p w14:paraId="53E73E31" w14:textId="77777777" w:rsidR="00BC158E" w:rsidRPr="0083561C" w:rsidRDefault="00BC158E" w:rsidP="005404A6">
      <w:pPr>
        <w:widowControl/>
        <w:rPr>
          <w:i/>
          <w:vanish/>
        </w:rPr>
      </w:pPr>
      <w:r w:rsidRPr="0083561C">
        <w:rPr>
          <w:i/>
        </w:rPr>
        <w:fldChar w:fldCharType="begin"/>
      </w:r>
      <w:r w:rsidRPr="0083561C">
        <w:rPr>
          <w:i/>
        </w:rPr>
        <w:instrText xml:space="preserve"> TC"(</w:instrText>
      </w:r>
      <w:bookmarkStart w:id="2" w:name="DocNumber"/>
      <w:r w:rsidRPr="0083561C">
        <w:rPr>
          <w:i/>
        </w:rPr>
        <w:instrText>A10-0054/2025</w:instrText>
      </w:r>
      <w:bookmarkEnd w:id="2"/>
      <w:r w:rsidRPr="0083561C">
        <w:rPr>
          <w:i/>
        </w:rPr>
        <w:instrText xml:space="preserve"> - Esittelijä: Joachim </w:instrText>
      </w:r>
      <w:proofErr w:type="spellStart"/>
      <w:r w:rsidRPr="0083561C">
        <w:rPr>
          <w:i/>
        </w:rPr>
        <w:instrText>Stanisław</w:instrText>
      </w:r>
      <w:proofErr w:type="spellEnd"/>
      <w:r w:rsidRPr="0083561C">
        <w:rPr>
          <w:i/>
        </w:rPr>
        <w:instrText xml:space="preserve"> </w:instrText>
      </w:r>
      <w:proofErr w:type="spellStart"/>
      <w:r w:rsidRPr="0083561C">
        <w:rPr>
          <w:i/>
        </w:rPr>
        <w:instrText>Brudziński</w:instrText>
      </w:r>
      <w:proofErr w:type="spellEnd"/>
      <w:r w:rsidRPr="0083561C">
        <w:rPr>
          <w:i/>
        </w:rPr>
        <w:instrText xml:space="preserve">)"\l3 \n&gt; \* MERGEFORMAT </w:instrText>
      </w:r>
      <w:r w:rsidRPr="0083561C">
        <w:rPr>
          <w:i/>
        </w:rPr>
        <w:fldChar w:fldCharType="end"/>
      </w:r>
    </w:p>
    <w:p w14:paraId="6949CFB1" w14:textId="77777777" w:rsidR="00BC158E" w:rsidRPr="0083561C" w:rsidRDefault="00BC158E" w:rsidP="005404A6">
      <w:pPr>
        <w:widowControl/>
        <w:rPr>
          <w:vanish/>
        </w:rPr>
      </w:pPr>
      <w:bookmarkStart w:id="3" w:name="Commission"/>
      <w:r w:rsidRPr="0083561C">
        <w:rPr>
          <w:vanish/>
        </w:rPr>
        <w:t>Talousarvion valvontavaliokunta</w:t>
      </w:r>
      <w:bookmarkEnd w:id="3"/>
    </w:p>
    <w:p w14:paraId="4FB196BC" w14:textId="77777777" w:rsidR="00BC158E" w:rsidRPr="0083561C" w:rsidRDefault="00BC158E" w:rsidP="005404A6">
      <w:pPr>
        <w:widowControl/>
        <w:rPr>
          <w:vanish/>
        </w:rPr>
      </w:pPr>
      <w:bookmarkStart w:id="4" w:name="PE"/>
      <w:r w:rsidRPr="0083561C">
        <w:rPr>
          <w:vanish/>
        </w:rPr>
        <w:t>PE764.993</w:t>
      </w:r>
      <w:bookmarkEnd w:id="4"/>
    </w:p>
    <w:p w14:paraId="6AF0978A" w14:textId="77777777" w:rsidR="00BC158E" w:rsidRPr="0083561C" w:rsidRDefault="00BC158E" w:rsidP="005404A6">
      <w:pPr>
        <w:pStyle w:val="ATHeading3"/>
      </w:pPr>
      <w:bookmarkStart w:id="5" w:name="Sujet"/>
      <w:r w:rsidRPr="0083561C">
        <w:t xml:space="preserve">1. Euroopan parlamentin päätös </w:t>
      </w:r>
      <w:r w:rsidR="00C164F6">
        <w:t>7</w:t>
      </w:r>
      <w:r w:rsidRPr="0083561C">
        <w:t>. toukokuuta 2025 vastuuvapauden myöntämisestä Euroopan unionin yleisen talousarvion toteuttamisesta varainhoitovuonna 2023, pääluokka VI – Talous- ja sosiaalikomitea</w:t>
      </w:r>
      <w:bookmarkEnd w:id="5"/>
      <w:r w:rsidRPr="0083561C">
        <w:t xml:space="preserve"> </w:t>
      </w:r>
      <w:bookmarkStart w:id="6" w:name="References"/>
      <w:r w:rsidRPr="0083561C">
        <w:t>(2024/2025(DEC))</w:t>
      </w:r>
      <w:bookmarkEnd w:id="6"/>
    </w:p>
    <w:p w14:paraId="2AF282E5" w14:textId="77777777" w:rsidR="00DA2209" w:rsidRPr="0083561C" w:rsidRDefault="00DA2209" w:rsidP="005404A6">
      <w:pPr>
        <w:pStyle w:val="EPComma"/>
        <w:widowControl/>
      </w:pPr>
      <w:bookmarkStart w:id="7" w:name="TextBodyBegin"/>
      <w:bookmarkEnd w:id="7"/>
      <w:r w:rsidRPr="0083561C">
        <w:rPr>
          <w:i/>
        </w:rPr>
        <w:t>Euroopan parlamentti</w:t>
      </w:r>
      <w:r w:rsidRPr="0083561C">
        <w:t>, joka</w:t>
      </w:r>
    </w:p>
    <w:p w14:paraId="3494451D" w14:textId="77777777" w:rsidR="00DA2209" w:rsidRPr="0083561C" w:rsidRDefault="00DA2209" w:rsidP="005404A6">
      <w:pPr>
        <w:pStyle w:val="NormalHanging12a"/>
        <w:widowControl/>
      </w:pPr>
      <w:r w:rsidRPr="0083561C">
        <w:t>–</w:t>
      </w:r>
      <w:r w:rsidRPr="0083561C">
        <w:tab/>
        <w:t>ottaa huomioon Euroopan unionin yleisen talousarvion varainhoitovuodeksi 2023</w:t>
      </w:r>
      <w:r w:rsidRPr="0083561C">
        <w:rPr>
          <w:rStyle w:val="FootnoteReference"/>
        </w:rPr>
        <w:footnoteReference w:id="1"/>
      </w:r>
      <w:r w:rsidRPr="0083561C">
        <w:t>,</w:t>
      </w:r>
    </w:p>
    <w:p w14:paraId="372C2CAC" w14:textId="77777777" w:rsidR="00DA2209" w:rsidRPr="0083561C" w:rsidRDefault="00DA2209" w:rsidP="005404A6">
      <w:pPr>
        <w:pStyle w:val="NormalHanging12a"/>
        <w:widowControl/>
      </w:pPr>
      <w:r w:rsidRPr="0083561C">
        <w:t>–</w:t>
      </w:r>
      <w:r w:rsidRPr="0083561C">
        <w:tab/>
        <w:t>ottaa huomioon Euroopan unionin konsolidoidun tilinpäätöksen varainhoitovuodelta 2023 (COM(2024)0272 – C10</w:t>
      </w:r>
      <w:r w:rsidRPr="0083561C">
        <w:noBreakHyphen/>
        <w:t>0073/2024)</w:t>
      </w:r>
      <w:r w:rsidRPr="0083561C">
        <w:rPr>
          <w:rStyle w:val="FootnoteReference"/>
        </w:rPr>
        <w:footnoteReference w:id="2"/>
      </w:r>
      <w:r w:rsidRPr="0083561C">
        <w:t>,</w:t>
      </w:r>
    </w:p>
    <w:p w14:paraId="34BA92BC" w14:textId="77777777" w:rsidR="00DA2209" w:rsidRPr="0083561C" w:rsidRDefault="00DA2209" w:rsidP="005404A6">
      <w:pPr>
        <w:pStyle w:val="NormalHanging12a"/>
        <w:widowControl/>
        <w:rPr>
          <w:szCs w:val="24"/>
        </w:rPr>
      </w:pPr>
      <w:r w:rsidRPr="0083561C">
        <w:t>–</w:t>
      </w:r>
      <w:r w:rsidRPr="0083561C">
        <w:tab/>
        <w:t>ottaa huomioon Euroopan talous- ja sosiaalikomitean vuotuisen toimintakertomuksen 2023,</w:t>
      </w:r>
    </w:p>
    <w:p w14:paraId="749BFE60" w14:textId="77777777" w:rsidR="00DA2209" w:rsidRPr="0083561C" w:rsidRDefault="00DA2209" w:rsidP="005404A6">
      <w:pPr>
        <w:pStyle w:val="NormalHanging12a"/>
        <w:widowControl/>
      </w:pPr>
      <w:r w:rsidRPr="0083561C">
        <w:t>–</w:t>
      </w:r>
      <w:r w:rsidRPr="0083561C">
        <w:tab/>
        <w:t>ottaa huomioon tilintarkastustuomioistuimen vuosikertomuksen talousarvion toteuttamisesta varainhoitovuonna 2023 sekä toimielinten vastaukset</w:t>
      </w:r>
      <w:r w:rsidRPr="0083561C">
        <w:rPr>
          <w:rStyle w:val="FootnoteReference"/>
        </w:rPr>
        <w:footnoteReference w:id="3"/>
      </w:r>
      <w:r w:rsidRPr="0083561C">
        <w:t>,</w:t>
      </w:r>
    </w:p>
    <w:p w14:paraId="1F7A9F0A" w14:textId="77777777" w:rsidR="00DA2209" w:rsidRPr="0083561C" w:rsidRDefault="00DA2209" w:rsidP="005404A6">
      <w:pPr>
        <w:pStyle w:val="NormalHanging12a"/>
        <w:widowControl/>
      </w:pPr>
      <w:r w:rsidRPr="0083561C">
        <w:t>–</w:t>
      </w:r>
      <w:r w:rsidRPr="0083561C">
        <w:tab/>
        <w:t>ottaa huomioon tilintarkastustuomioistuimen Euroopan unionin toiminnasta tehdyn sopimuksen 287 artiklan mukaisesti antaman varainhoitovuotta 2023 koskevan lausuman tilien luotettavuudesta sekä tilien perustana olevien toimien laillisuudesta ja asianmukaisuudesta (sääntöjenmukaisuudesta)</w:t>
      </w:r>
      <w:r w:rsidRPr="0083561C">
        <w:rPr>
          <w:rStyle w:val="FootnoteReference"/>
        </w:rPr>
        <w:footnoteReference w:id="4"/>
      </w:r>
      <w:r w:rsidRPr="0083561C">
        <w:t>,</w:t>
      </w:r>
    </w:p>
    <w:p w14:paraId="3E340758" w14:textId="77777777" w:rsidR="00DA2209" w:rsidRPr="0083561C" w:rsidRDefault="00DA2209" w:rsidP="005404A6">
      <w:pPr>
        <w:pStyle w:val="NormalHanging12a"/>
        <w:widowControl/>
      </w:pPr>
      <w:r w:rsidRPr="0083561C">
        <w:t>–</w:t>
      </w:r>
      <w:r w:rsidRPr="0083561C">
        <w:tab/>
        <w:t>ottaa huomioon Euroopan unionin toiminnasta tehdyn sopimuksen 314 artiklan 10 kohdan sekä 317, 318 ja 319 artiklan,</w:t>
      </w:r>
    </w:p>
    <w:p w14:paraId="6D0A8419" w14:textId="77777777" w:rsidR="00DA2209" w:rsidRPr="0083561C" w:rsidRDefault="00DA2209" w:rsidP="005404A6">
      <w:pPr>
        <w:pStyle w:val="NormalHanging12a"/>
        <w:widowControl/>
      </w:pPr>
      <w:r w:rsidRPr="0083561C">
        <w:t>–</w:t>
      </w:r>
      <w:r w:rsidRPr="0083561C">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w:t>
      </w:r>
      <w:r w:rsidRPr="0083561C">
        <w:lastRenderedPageBreak/>
        <w:t>N:o 966/2012 kumoamisesta 18. heinäkuuta 2018 annetun Euroopan parlamentin ja neuvoston asetuksen (EU, Euratom) 2018/1046</w:t>
      </w:r>
      <w:r w:rsidRPr="0083561C">
        <w:rPr>
          <w:rStyle w:val="FootnoteReference"/>
        </w:rPr>
        <w:footnoteReference w:id="5"/>
      </w:r>
      <w:r w:rsidRPr="0083561C">
        <w:t xml:space="preserve"> ja erityisesti sen 59, 118, 260, 261 ja 262 artiklan,</w:t>
      </w:r>
    </w:p>
    <w:p w14:paraId="477A97B6" w14:textId="77777777" w:rsidR="00DA2209" w:rsidRPr="0083561C" w:rsidRDefault="00DA2209" w:rsidP="005404A6">
      <w:pPr>
        <w:pStyle w:val="NormalHanging12a"/>
        <w:widowControl/>
      </w:pPr>
      <w:r w:rsidRPr="0083561C">
        <w:t>–</w:t>
      </w:r>
      <w:r w:rsidRPr="0083561C">
        <w:tab/>
        <w:t>ottaa huomioon unionin yleiseen talousarvioon sovellettavista varainhoitosäännöistä 23. syyskuuta 2024 annetun Euroopan parlamentin ja neuvoston asetuksen (EU, Euratom) 2024/2509</w:t>
      </w:r>
      <w:r w:rsidRPr="0083561C">
        <w:rPr>
          <w:rStyle w:val="FootnoteReference"/>
          <w:bCs/>
          <w:color w:val="333333"/>
          <w:szCs w:val="24"/>
          <w:shd w:val="clear" w:color="auto" w:fill="FFFFFF"/>
        </w:rPr>
        <w:footnoteReference w:id="6"/>
      </w:r>
      <w:r w:rsidRPr="0083561C">
        <w:t xml:space="preserve"> ja erityisesti sen 59, 118, 266, 267 ja 268 artiklan,</w:t>
      </w:r>
    </w:p>
    <w:p w14:paraId="451AF8DC" w14:textId="77777777" w:rsidR="00DA2209" w:rsidRPr="0083561C" w:rsidRDefault="00DA2209" w:rsidP="005404A6">
      <w:pPr>
        <w:pStyle w:val="NormalHanging12a"/>
        <w:widowControl/>
      </w:pPr>
      <w:r w:rsidRPr="0083561C">
        <w:t>–</w:t>
      </w:r>
      <w:r w:rsidRPr="0083561C">
        <w:tab/>
        <w:t>ottaa huomioon työjärjestyksen 102 artiklan ja liitteen V,</w:t>
      </w:r>
    </w:p>
    <w:p w14:paraId="36C9DE4C" w14:textId="77777777" w:rsidR="00DA2209" w:rsidRPr="0083561C" w:rsidRDefault="00DA2209" w:rsidP="005404A6">
      <w:pPr>
        <w:pStyle w:val="NormalHanging12a"/>
        <w:widowControl/>
      </w:pPr>
      <w:r w:rsidRPr="0083561C">
        <w:t>–</w:t>
      </w:r>
      <w:r w:rsidRPr="0083561C">
        <w:tab/>
        <w:t>ottaa huomioon talousarvion valvontavaliokunnan mietinnön (A10-0054/2025),</w:t>
      </w:r>
    </w:p>
    <w:p w14:paraId="7961E34C" w14:textId="77777777" w:rsidR="00DA2209" w:rsidRPr="0083561C" w:rsidRDefault="00DA2209" w:rsidP="005404A6">
      <w:pPr>
        <w:pStyle w:val="NormalHanging12a"/>
        <w:widowControl/>
      </w:pPr>
      <w:r w:rsidRPr="0083561C">
        <w:t>1.</w:t>
      </w:r>
      <w:r w:rsidRPr="0083561C">
        <w:tab/>
        <w:t>myöntää talous- ja sosiaalikomitean pääsihteerille vastuuvapauden talous- ja sosiaalikomitean talousarvion toteuttamisesta varainhoitovuonna 2023;</w:t>
      </w:r>
    </w:p>
    <w:p w14:paraId="3B59C4B5" w14:textId="77777777" w:rsidR="00DA2209" w:rsidRPr="0083561C" w:rsidRDefault="00DA2209" w:rsidP="005404A6">
      <w:pPr>
        <w:pStyle w:val="NormalHanging12a"/>
        <w:widowControl/>
      </w:pPr>
      <w:r w:rsidRPr="0083561C">
        <w:t>2.</w:t>
      </w:r>
      <w:r w:rsidRPr="0083561C">
        <w:tab/>
        <w:t>esittää huomautuksensa oheisessa päätöslauselmassa;</w:t>
      </w:r>
    </w:p>
    <w:p w14:paraId="7DDC3562" w14:textId="77777777" w:rsidR="00DA2209" w:rsidRPr="0083561C" w:rsidRDefault="00DA2209" w:rsidP="005404A6">
      <w:pPr>
        <w:pStyle w:val="NormalHanging12a"/>
        <w:widowControl/>
      </w:pPr>
      <w:r w:rsidRPr="0083561C">
        <w:t>3.</w:t>
      </w:r>
      <w:r w:rsidRPr="0083561C">
        <w:tab/>
        <w:t xml:space="preserve">kehottaa puhemiestä välittämään tämän päätöksen ja siihen erottamattomasti kuuluvan päätöslauselman Euroopan talous- ja sosiaalikomitealle, neuvostolle, komissiolle ja tilintarkastustuomioistuimelle sekä huolehtimaan niiden julkaisemisesta </w:t>
      </w:r>
      <w:r w:rsidRPr="0083561C">
        <w:rPr>
          <w:i/>
        </w:rPr>
        <w:t>Euroopan unionin virallisessa lehdessä</w:t>
      </w:r>
      <w:r w:rsidRPr="0083561C">
        <w:t xml:space="preserve"> (L-sarja).</w:t>
      </w:r>
    </w:p>
    <w:p w14:paraId="03F8E472" w14:textId="77777777" w:rsidR="00DA2209" w:rsidRPr="003F573B" w:rsidRDefault="00DA2209" w:rsidP="005404A6">
      <w:pPr>
        <w:pStyle w:val="PageHeading"/>
        <w:widowControl/>
        <w:rPr>
          <w:rFonts w:ascii="Times New Roman" w:hAnsi="Times New Roman" w:cs="Times New Roman"/>
          <w:b w:val="0"/>
          <w:bCs/>
        </w:rPr>
      </w:pPr>
    </w:p>
    <w:p w14:paraId="7E6095FE" w14:textId="77777777" w:rsidR="00DA2209" w:rsidRPr="0083561C" w:rsidRDefault="00DA2209" w:rsidP="005404A6">
      <w:pPr>
        <w:pStyle w:val="PageHeading"/>
        <w:widowControl/>
        <w:sectPr w:rsidR="00DA2209" w:rsidRPr="0083561C" w:rsidSect="0083561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673466" w14:textId="77777777" w:rsidR="00DA2209" w:rsidRPr="0083561C" w:rsidRDefault="00663F88" w:rsidP="005404A6">
      <w:pPr>
        <w:pStyle w:val="ATHeading3"/>
      </w:pPr>
      <w:r w:rsidRPr="00663F88">
        <w:lastRenderedPageBreak/>
        <w:t xml:space="preserve">2. </w:t>
      </w:r>
      <w:r>
        <w:t>E</w:t>
      </w:r>
      <w:r w:rsidRPr="00663F88">
        <w:t>uroopan parlamentin päätöslauselma</w:t>
      </w:r>
      <w:r w:rsidR="00C164F6">
        <w:t xml:space="preserve"> 7. toukokuuta 2025,</w:t>
      </w:r>
      <w:r w:rsidRPr="00663F88">
        <w:t xml:space="preserve"> </w:t>
      </w:r>
      <w:r>
        <w:t>jo</w:t>
      </w:r>
      <w:r w:rsidR="00DA2209" w:rsidRPr="0083561C">
        <w:t>ka sisältää huomautukset, jotka ovat erottamaton osa päätöstä vastuuvapauden myöntämisestä Euroopan unionin yleisen talousarvion toteuttamisesta varainhoitovuonna 2023, pääluokka VI – Talous- ja sosiaalikomitea</w:t>
      </w:r>
      <w:r>
        <w:t xml:space="preserve"> </w:t>
      </w:r>
      <w:r w:rsidR="00DA2209" w:rsidRPr="0083561C">
        <w:t>(2024/2025(DEC))</w:t>
      </w:r>
    </w:p>
    <w:p w14:paraId="44520219" w14:textId="77777777" w:rsidR="00DA2209" w:rsidRPr="0083561C" w:rsidRDefault="00DA2209" w:rsidP="005404A6">
      <w:pPr>
        <w:pStyle w:val="EPComma"/>
        <w:widowControl/>
      </w:pPr>
      <w:r w:rsidRPr="0083561C">
        <w:rPr>
          <w:i/>
        </w:rPr>
        <w:t>Euroopan parlamentti</w:t>
      </w:r>
      <w:r w:rsidRPr="0083561C">
        <w:t>, joka</w:t>
      </w:r>
    </w:p>
    <w:p w14:paraId="2513E9CB" w14:textId="77777777" w:rsidR="003F573B" w:rsidRPr="003F573B" w:rsidRDefault="003F573B" w:rsidP="005404A6">
      <w:pPr>
        <w:pStyle w:val="NormalHanging12a"/>
        <w:widowControl/>
      </w:pPr>
      <w:r w:rsidRPr="003F573B">
        <w:t>–</w:t>
      </w:r>
      <w:r w:rsidRPr="003F573B">
        <w:tab/>
        <w:t>ottaa huomioon päätöksensä vastuuvapauden myöntämisestä Euroopan unionin yleisen talousarvion toteuttamisesta varainhoitovuonna 2023, pääluokka VI – Talous- ja sosiaalikomitea,</w:t>
      </w:r>
    </w:p>
    <w:p w14:paraId="07FCCAAB" w14:textId="77777777" w:rsidR="003F573B" w:rsidRPr="003F573B" w:rsidRDefault="003F573B" w:rsidP="005404A6">
      <w:pPr>
        <w:pStyle w:val="NormalHanging12a"/>
        <w:widowControl/>
      </w:pPr>
      <w:r w:rsidRPr="003F573B">
        <w:t>–</w:t>
      </w:r>
      <w:r w:rsidRPr="003F573B">
        <w:tab/>
        <w:t>ottaa huomioon työjärjestyksen 102 artiklan ja liitteen V,</w:t>
      </w:r>
    </w:p>
    <w:p w14:paraId="07F7C543" w14:textId="77777777" w:rsidR="003F573B" w:rsidRPr="003F573B" w:rsidRDefault="003F573B" w:rsidP="005404A6">
      <w:pPr>
        <w:pStyle w:val="NormalHanging12a"/>
        <w:widowControl/>
      </w:pPr>
      <w:r w:rsidRPr="003F573B">
        <w:t>–</w:t>
      </w:r>
      <w:r w:rsidRPr="003F573B">
        <w:tab/>
        <w:t>ottaa huomioon talousarvion valvontavaliokunnan mietinnön (A10-0054/2025),</w:t>
      </w:r>
    </w:p>
    <w:p w14:paraId="4757453A" w14:textId="77777777" w:rsidR="003F573B" w:rsidRPr="003F573B" w:rsidRDefault="003F573B" w:rsidP="005404A6">
      <w:pPr>
        <w:pStyle w:val="NormalHanging12a"/>
        <w:widowControl/>
      </w:pPr>
      <w:r w:rsidRPr="003F573B">
        <w:t>A.</w:t>
      </w:r>
      <w:r w:rsidRPr="003F573B">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7A078A26" w14:textId="77777777" w:rsidR="003F573B" w:rsidRPr="003F573B" w:rsidRDefault="003F573B" w:rsidP="005404A6">
      <w:pPr>
        <w:pStyle w:val="NormalHanging12a"/>
        <w:widowControl/>
      </w:pPr>
      <w:r w:rsidRPr="003F573B">
        <w:t>B.</w:t>
      </w:r>
      <w:r w:rsidRPr="003F573B">
        <w:tab/>
        <w:t>ottaa huomioon, että Euroopan talous- ja sosiaalikomitea, jäljempänä ’komitea’, on unionin neuvoa-antava elin, joka tarjoaa foorumin jäsenvaltioiden järjestäytyneen kansalaisyhteiskunnan erilaisten talouselämän, sosiaalialan ja yhteiskuntaelämän toimijoiden kuulemiselle ja niiden väliselle vuoropuhelulle ja yhteisymmärrykselle;</w:t>
      </w:r>
    </w:p>
    <w:p w14:paraId="0E4BC9F8" w14:textId="77777777" w:rsidR="003F573B" w:rsidRPr="003F573B" w:rsidRDefault="003F573B" w:rsidP="005404A6">
      <w:pPr>
        <w:pStyle w:val="NormalHanging12a"/>
        <w:widowControl/>
      </w:pPr>
      <w:r w:rsidRPr="003F573B">
        <w:t>C.</w:t>
      </w:r>
      <w:r w:rsidRPr="003F573B">
        <w:tab/>
        <w:t>ottaa huomioon, että komitea osallistuu unionin päätöksentekoprosessiin ja varmistamalla yhteydet unionin politiikkojen sekä taloudellisten ja sosiaalisten olojen ja kansalaisten todellisuuden välillä se pyrkii tavoitteisiinsa, joita ovat parempi lainsäädäntö, alhaalta ylöspäin suuntautuva osallistava demokratia ja eurooppalaisten arvojen edistäminen;</w:t>
      </w:r>
    </w:p>
    <w:p w14:paraId="0C8FF3CE" w14:textId="77777777" w:rsidR="003F573B" w:rsidRPr="003F573B" w:rsidRDefault="003F573B" w:rsidP="005404A6">
      <w:pPr>
        <w:pStyle w:val="NormalHanging12a"/>
        <w:widowControl/>
      </w:pPr>
      <w:r w:rsidRPr="003F573B">
        <w:t>D.</w:t>
      </w:r>
      <w:r w:rsidRPr="003F573B">
        <w:tab/>
        <w:t>ottaa huomioon, että tietyissä tapauksissa komission tai neuvoston on kuultava komiteaa, että komitea voi myös antaa lausuntoja omasta aloitteestaan ja että Euroopan yhtenäisasiakirjassa, Maastrichtin sopimuksessa ja Amsterdamin sopimuksessa on määritelty laaja lausuntopyyntöjen ala, jolla parlamentti voi kuulla komiteaa;</w:t>
      </w:r>
    </w:p>
    <w:p w14:paraId="0988EEF8" w14:textId="77777777" w:rsidR="003F573B" w:rsidRPr="003F573B" w:rsidRDefault="003F573B" w:rsidP="005404A6">
      <w:pPr>
        <w:pStyle w:val="NormalHanging12a"/>
        <w:widowControl/>
      </w:pPr>
      <w:r w:rsidRPr="003F573B">
        <w:t>E.</w:t>
      </w:r>
      <w:r w:rsidRPr="003F573B">
        <w:tab/>
        <w:t xml:space="preserve">ottaa huomioon, että komitean talous- ja budjettiasiain toimikunta on sen valvontaelin, joka valvoo kaikkia talousarviomenettelyjä ja etenkin ennakkoarvioiden laatimista, talousarvion toteuttamista, vuotuista toimintakertomusta, vastuuvapausmenettelyä ja tilintarkastustuomioistuimen vuosikertomuksen </w:t>
      </w:r>
      <w:proofErr w:type="gramStart"/>
      <w:r w:rsidRPr="003F573B">
        <w:t>johdosta</w:t>
      </w:r>
      <w:proofErr w:type="gramEnd"/>
      <w:r w:rsidRPr="003F573B">
        <w:t xml:space="preserve"> toteutettavia jatkotoimia;</w:t>
      </w:r>
    </w:p>
    <w:p w14:paraId="65445E5B" w14:textId="77777777" w:rsidR="003F573B" w:rsidRPr="003F573B" w:rsidRDefault="003F573B" w:rsidP="005404A6">
      <w:pPr>
        <w:pStyle w:val="NormalHanging12a"/>
        <w:widowControl/>
      </w:pPr>
      <w:r w:rsidRPr="003F573B">
        <w:t>F.</w:t>
      </w:r>
      <w:r w:rsidRPr="003F573B">
        <w:tab/>
        <w:t>ottaa huomioon, että komitea on rajallisen talousarvionsa puitteissa tehnyt viime vuosina aloitteita ammattitaitoisen henkilöstön houkuttelemiseksi ja pitämiseksi palveluksessa, organisaatiorakenteensa ja työmenetelmiensä optimoimiseksi sekä kunnioittavan työympäristön edistämiseksi;</w:t>
      </w:r>
    </w:p>
    <w:p w14:paraId="0AE4C717" w14:textId="77777777" w:rsidR="003F573B" w:rsidRPr="003F573B" w:rsidRDefault="003F573B" w:rsidP="005404A6">
      <w:pPr>
        <w:pStyle w:val="NormalHanging12a"/>
        <w:widowControl/>
      </w:pPr>
      <w:r w:rsidRPr="003F573B">
        <w:t>1.</w:t>
      </w:r>
      <w:r w:rsidRPr="003F573B">
        <w:tab/>
        <w:t xml:space="preserve">panee merkille, että komitean talousarvio kuuluu monivuotisen rahoituskehyksen otsakkeeseen 7 ”EU:n yleinen hallinto”, jonka kokonaismäärä vuonna 2023 oli 12,3 miljardia euroa eli 6,4 prosenttia unionin menoista; toteaa, että vuonna 2023 komitean </w:t>
      </w:r>
      <w:r w:rsidRPr="003F573B">
        <w:lastRenderedPageBreak/>
        <w:t>talousarvio oli 1,29 prosenttia monivuotisen rahoituskehyksen otsakkeen 7 määrärahoista;</w:t>
      </w:r>
    </w:p>
    <w:p w14:paraId="05B684C4" w14:textId="77777777" w:rsidR="003F573B" w:rsidRPr="003F573B" w:rsidRDefault="003F573B" w:rsidP="005404A6">
      <w:pPr>
        <w:pStyle w:val="NormalHanging12a"/>
        <w:widowControl/>
      </w:pPr>
      <w:r w:rsidRPr="003F573B">
        <w:t>2.</w:t>
      </w:r>
      <w:r w:rsidRPr="003F573B">
        <w:tab/>
        <w:t>toteaa, että varainhoitovuotta 2023 koskevassa vuosikertomuksessaan (jäljempänä ’tilintarkastustuomioistuimen vuosikertomus’) tilintarkastustuomioistuin tarkasti otsakkeen 7 alaan kuuluvan 70 tapahtuman otoksen, josta 21 tapahtumaa (30 prosenttia) sisälsi virheitä; toteaa lisäksi, että tilintarkastustuomioistuin kvantifioi nämä virheet ja arvioi, että niistä viiden virhetaso oli alle olennaisuusrajan;</w:t>
      </w:r>
    </w:p>
    <w:p w14:paraId="46100AA6" w14:textId="77777777" w:rsidR="003F573B" w:rsidRPr="003F573B" w:rsidRDefault="003F573B" w:rsidP="005404A6">
      <w:pPr>
        <w:pStyle w:val="NormalHanging12a"/>
        <w:widowControl/>
      </w:pPr>
      <w:r w:rsidRPr="003F573B">
        <w:t>3.</w:t>
      </w:r>
      <w:r w:rsidRPr="003F573B">
        <w:tab/>
        <w:t>panee tilintarkastustuomioistuimen kertomuksesta merkille, että hallintomenoja ovat muun muassa henkilöstömenot ja eläkemenot ja niiden osuus hallintomenojen kokonaismäärästä oli vuonna 2023 noin 70 prosenttia ja että lisäksi hallintomenoja ovat kiinteistöihin, laitteisiin, energiaan, viestintään ja tietotekniikkaan liittyvät menot; on tyytyväinen siihen, että tilintarkastustuomioistuin totesi aiempien vuosien tapaan, että hallintomenoissa riski on yleisesti ottaen alhainen; panee merkille, ettei tilintarkastustuomioistuin havainnut komiteaa koskevia erityisiä ongelmia vuonna 2023;</w:t>
      </w:r>
    </w:p>
    <w:p w14:paraId="70756C07" w14:textId="77777777" w:rsidR="003F573B" w:rsidRPr="003F573B" w:rsidRDefault="003F573B" w:rsidP="005404A6">
      <w:pPr>
        <w:pStyle w:val="NormalHanging12a"/>
        <w:widowControl/>
        <w:rPr>
          <w:b/>
          <w:iCs/>
        </w:rPr>
      </w:pPr>
      <w:r w:rsidRPr="003F573B">
        <w:rPr>
          <w:b/>
          <w:iCs/>
        </w:rPr>
        <w:t>Talousarvio- ja varainhallinto</w:t>
      </w:r>
    </w:p>
    <w:p w14:paraId="63BE2DB2" w14:textId="77777777" w:rsidR="003F573B" w:rsidRPr="003F573B" w:rsidRDefault="003F573B" w:rsidP="005404A6">
      <w:pPr>
        <w:pStyle w:val="NormalHanging12a"/>
        <w:widowControl/>
      </w:pPr>
      <w:r w:rsidRPr="003F573B">
        <w:t>4.</w:t>
      </w:r>
      <w:r w:rsidRPr="003F573B">
        <w:tab/>
        <w:t>toteaa, että komitean lopullinen hyväksytty talousarvio vuodeksi 2023 oli 158 767 970 euroa, mikä merkitsee 4,1 prosentin lisäystä vuoteen 2022 verrattuna; panee merkille komitean vastauksista vuoden 2023 talousarvion vastuuvapautta koskevaan talousarvion valvontavaliokunnan kyselyyn (jäljempänä ’kysely’) ja komitean vuotta 2023 koskevasta vuotuisesta toimintakertomuksesta (jäljempänä ’vuosikertomus’), että palkkoja ja palkanlisiä koskeva budjettikohta (komitean henkilöstön ja jäsenten kulut) kasvoi inflaation seurauksena 8,4 prosenttia vuosien 2022 ja 2023 välillä; panee kyselyn perusteella merkille, että ohjelmistojärjestelmien käyttöön, kehittämiseen ja ylläpitoon tarkoitetun ulkoisen avun määrärahat lisääntyivät 33,7 prosenttia vuosien 2022 ja 2023 välillä, koska komitea asetti vuosien 2024–2026 digitaalistrategiansa täytäntöönpanon vuoden 2023 painopisteeksi; panee merkille, että muilta osin määrärahojen jakautuminen budjettikohdittain komitean vuoden 2023 talousarviossa pysyi aiempia vuosia vastaavana;</w:t>
      </w:r>
    </w:p>
    <w:p w14:paraId="11EBE7E6" w14:textId="77777777" w:rsidR="003F573B" w:rsidRPr="003F573B" w:rsidRDefault="003F573B" w:rsidP="005404A6">
      <w:pPr>
        <w:pStyle w:val="NormalHanging12a"/>
        <w:widowControl/>
      </w:pPr>
      <w:r w:rsidRPr="003F573B">
        <w:t>5.</w:t>
      </w:r>
      <w:r w:rsidRPr="003F573B">
        <w:tab/>
        <w:t>panee tyytyväisenä merkille, että komitean talousarvion maksusitoumusmäärärahojen käyttöaste kasvoi vuosien 2022 ja 2023 välillä 96,12 prosentista 98,7 prosenttiin ja covid-19-pandemiasta ja siihen liittyvistä matkustusrajoituksista johtunut talousarvion alhaisempi toteutusaste aiempina vuosina jäi näin taakse; panee lisäksi merkille, että kuluvan vuoden maksumäärärahojen käyttöaste nousi 88,12 prosentista 90,67 prosenttiin vuosien 2022 ja 2023 välillä; panee merkille, että keskimääräinen maksuaika vuonna 2023 oli 20,14 päivää eli pidempi kuin vuonna 2022 (18,34 päivää);</w:t>
      </w:r>
    </w:p>
    <w:p w14:paraId="222C1B0E" w14:textId="77777777" w:rsidR="003F573B" w:rsidRPr="003F573B" w:rsidRDefault="003F573B" w:rsidP="005404A6">
      <w:pPr>
        <w:pStyle w:val="NormalHanging12a"/>
        <w:widowControl/>
      </w:pPr>
      <w:r w:rsidRPr="003F573B">
        <w:t>6.</w:t>
      </w:r>
      <w:r w:rsidRPr="003F573B">
        <w:tab/>
        <w:t>panee merkille, että vuodelta 2023 vuodelle 2024 siirrettyjä määrärahoja oli 13 827 713 euroa (eli noin 8,7 prosenttia komitean vuoden 2023 talousarviosta), mikä merkitsee vähennystä edellisen vuoden tasosta, jolloin siirrettiin 20 162 518 euroa (eli noin 13 prosenttia komitean vuoden 2022 talousarviosta); panee lisäksi tyytyväisenä merkille, että vuodelta 2022 vuodelle 2023 siirrettyjen määrärahojen käyttöaste oli 86,76 prosenttia vuonna 2023, kun se vuonna 2022 oli 76,91 prosenttia; kannustaa komiteaa jatkamaan myönnettyjen varojen tehokasta käyttöä;</w:t>
      </w:r>
    </w:p>
    <w:p w14:paraId="111699EB" w14:textId="77777777" w:rsidR="003F573B" w:rsidRPr="003F573B" w:rsidRDefault="003F573B" w:rsidP="005404A6">
      <w:pPr>
        <w:pStyle w:val="NormalHanging12a"/>
        <w:widowControl/>
      </w:pPr>
      <w:r w:rsidRPr="003F573B">
        <w:t>7.</w:t>
      </w:r>
      <w:r w:rsidRPr="003F573B">
        <w:tab/>
        <w:t xml:space="preserve">panee merkille, että vuonna 2022 komitean omat yksiköt käynnistivät 12 neuvottelumenettelyä, joiden arvo oli alle 60 000 euroa ja jotka koskivat lähinnä </w:t>
      </w:r>
      <w:r w:rsidRPr="003F573B">
        <w:lastRenderedPageBreak/>
        <w:t>tapaustutkimuksia, tutkimuksia ja logistista tukea; panee merkille, että komitean ja Euroopan alueiden komitean (AK) yhteispalvelut käynnistivät lisäksi kuusi hankintamenettelyä pääasiassa logistiikan ja kunnossapidon alalla;</w:t>
      </w:r>
    </w:p>
    <w:p w14:paraId="2B1B77D5" w14:textId="77777777" w:rsidR="003F573B" w:rsidRPr="003F573B" w:rsidRDefault="003F573B" w:rsidP="005404A6">
      <w:pPr>
        <w:pStyle w:val="NormalHanging12a"/>
        <w:widowControl/>
      </w:pPr>
      <w:r w:rsidRPr="003F573B">
        <w:t>8.</w:t>
      </w:r>
      <w:r w:rsidRPr="003F573B">
        <w:tab/>
        <w:t>panee merkille, että vuonna 2023 komitea paransi edelleen toimintojensa kustannustehokkuutta muun muassa hybridityön, etätyön lisääntymisen, käsittelyketjujen täydellisen arvo-osuuksiksi muuttamisen ja pienentyneen energiankulutuksen ansiosta; panee kyselyn perusteella merkille, että komitea saavutti energiankulutuksen vähentämisellä 65 000 euron taloudelliset säästöt vuonna 2023; panee tyytyväisenä merkille, että komitea on allekirjoittanut uuden lääkärintarkastuksia koskevan puitesopimuksen, jolla mahdollistetaan alhaisemmat hinnat, suurempi joustavuus ja yleisesti parempi palvelu kuin edellisessä sopimuksessa; panee merkille huomattavat talousarvio- ja hallinnolliset säästöt, jotka komitea saavutti toimielinten välisen yhteistyön avulla ja erityisesti alueiden komitean kanssa yhteispalvelujen ansiosta, ulkoistamalla (yksikön tason sopimuksilla) tietyt henkilöstöasioiden käsittelyyn liittyvät palvelut komissiolle, käyttämällä erilaisia tietoteknisiä välineitä talous- ja henkilöstöhallinnossa sekä osallistumalla muiden toimielinten järjestämiin toimielinten välisiin hankintamenettelyihin; panee kyselyn perusteella merkille, että komitealle aiheutuneet kokonaiskustannukset tiettyjen palvelujen ulkoistamisesta komissiolle olivat 743 600 euroa vuonna 2022 ja kasvoivat 793 000 euroon vuonna 2023;</w:t>
      </w:r>
    </w:p>
    <w:p w14:paraId="57D0E757" w14:textId="77777777" w:rsidR="003F573B" w:rsidRPr="003F573B" w:rsidRDefault="003F573B" w:rsidP="005404A6">
      <w:pPr>
        <w:pStyle w:val="NormalHanging12a"/>
        <w:widowControl/>
      </w:pPr>
      <w:r w:rsidRPr="003F573B">
        <w:t>9.</w:t>
      </w:r>
      <w:r w:rsidRPr="003F573B">
        <w:tab/>
        <w:t>muistuttaa, että 25. toukokuuta 2023 tehdyssä neuvoston päätöksessä vahvistettiin komitean jäsenten etäkokouspäivärahaksi muissa kuin sääntömääräisissä kokouksissa 145 euroa päivää kohden, mikä on 50 prosenttia vuonna 2023 maksetusta lähikokouspäivärahasta; katsoo, että vaikka etäosallistuminen on tärkeä väline nykyaikaisille toimielimille, koska se muun muassa vähentää kokouskustannuksia ja mahdollistaa laajemman osallistumisen, etäkokouspäivärahan myöntämistä on kansalaisten kannalta vaikea ymmärtää, vaikka sitä olisi vähennetty ja se olisi tarkoitettu vain tietyntyyppisiin tapahtumiin, varsinkin kun otetaan huomioon ero komitean jäsenille ja alueiden komitean jäsenille etäosallistumisesta maksettavassa korvauksessa; panee tyytyväisenä merkille komitean seurantakertomuksesta (jäljempänä ’seurantakertomus’), joka on laadittu vastauksena parlamentin päätöslauselmaan talousarvion toteuttamisesta vuonna 2022, että kyseisen päätöksen soveltaminen on jo tuottanut 1 677 000 euron säästöt talousarviossa, koska matkakustannukset ja maksetut korvaukset ovat alentuneet, sekä noin 553,66 hiilidioksiditonnin ympäristösäästöt, mikä on tulosta matkustamisen vähenemisestä vuonna 2023; panee vuosikertomuksesta merkille, että vuonna 2023 korvattavien etäkokouspäivien määrä oli 2 006 (6 259 vuonna 2022) ja että etäkokousten keskimääräinen kesto oli kolme tuntia ja niiden kokonaiskustannukset olivat 294 930 euroa (922 925 euroa vuonna 2022); pitää myönteisenä, että komitea suorittaa useita tarkistuksia varmistaakseen jäsenten etäosallistumisen ennen korvauksen maksamista;</w:t>
      </w:r>
    </w:p>
    <w:p w14:paraId="0447E0F5" w14:textId="77777777" w:rsidR="003F573B" w:rsidRPr="003F573B" w:rsidRDefault="003F573B" w:rsidP="005404A6">
      <w:pPr>
        <w:pStyle w:val="NormalHanging12a"/>
        <w:widowControl/>
      </w:pPr>
      <w:r w:rsidRPr="003F573B">
        <w:t>10.</w:t>
      </w:r>
      <w:r w:rsidRPr="003F573B">
        <w:tab/>
        <w:t xml:space="preserve">panee merkille, että Venäjän Ukrainaa vastaan käymän hyökkäyssodan vaikutus aiheutti edelleen paineita komitean talousarvioon vuonna 2023, mikä ilmeni inflaation kasvuna ja palkkojen mukautuksina, haasteina rakennushankkeissa viivästysten ja raaka-aineiden hintojen nousun seurauksena, vuokrasopimusten indeksointina (10,3 prosentin lisäys vuonna 2023 vuoteen 2022 verrattuna) sekä kunnossapito- ja turvallisuuspalvelusopimusten indeksointina (13,5 prosentin lisäys vuonna 2023 vuoteen 2021 verrattuna); panee erityisesti merkille, että energiakustannukset nousivat 726 000 eurosta 3 125 000 euroon vuosien 2021 ja 2022 välillä ja laskivat sitten </w:t>
      </w:r>
      <w:r w:rsidRPr="003F573B">
        <w:lastRenderedPageBreak/>
        <w:t>1 923 391 euroon vuonna 2023; ottaa huomioon muille kuin palkkoihin liittyville menoille asetetun 2 prosentin ylärajan; kiittää tässä yhteydessä komiteaa sen aloitteellisuudesta talousarviohaasteisiin vastaamisessa, kun se on esimerkiksi pannut täytäntöön energiansäästöstrategioita lyhyen aikavälin sekä keskipitkän ja pitkän aikavälin toimenpiteiden avulla, minkä ansiosta vuonna 2023 ei tarvittu lisätalousarviota;</w:t>
      </w:r>
    </w:p>
    <w:p w14:paraId="548DBD24" w14:textId="77777777" w:rsidR="003F573B" w:rsidRPr="003F573B" w:rsidRDefault="003F573B" w:rsidP="005404A6">
      <w:pPr>
        <w:pStyle w:val="NormalHanging12a"/>
        <w:widowControl/>
      </w:pPr>
      <w:r w:rsidRPr="003F573B">
        <w:t>11.</w:t>
      </w:r>
      <w:r w:rsidRPr="003F573B">
        <w:tab/>
        <w:t>panee merkille, että budjettikohdan 1 0 0 4 (jäsenten matkakulut, mukaan lukien oleskelu- ja kokouspäivärahat) kuluvan vuoden määrärahat olivat 19 790 000 euroa (josta 15 895 000 euroa maksettiin) vuonna 2022 ja vähenivät 19 761 000 euroon (josta 18 344 000 euroa maksettiin) vuonna 2023; panee tyytyväisenä merkille, että C8-määrärahojen käyttöaste parani vuodesta 2022, jolloin se oli 80,31 prosenttia, 92,83 prosenttiin vuonna 2023; panee merkille, että komitean puheenjohtaja teki 35 virkamatkaa, joiden kulut vuonna 2023 olivat yhteensä 71 926 euroa, kun vuonna 2022 virkamatkoja oli 26 ja niiden kulut olivat 38 042 euroa;</w:t>
      </w:r>
    </w:p>
    <w:p w14:paraId="5C9DF960" w14:textId="77777777" w:rsidR="003F573B" w:rsidRPr="003F573B" w:rsidRDefault="003F573B" w:rsidP="005404A6">
      <w:pPr>
        <w:pStyle w:val="NormalHanging12a"/>
        <w:widowControl/>
      </w:pPr>
      <w:r w:rsidRPr="003F573B">
        <w:t>12.</w:t>
      </w:r>
      <w:r w:rsidRPr="003F573B">
        <w:tab/>
        <w:t xml:space="preserve">panee kyselyn perusteella merkille, että komitean ja </w:t>
      </w:r>
      <w:proofErr w:type="spellStart"/>
      <w:r w:rsidRPr="003F573B">
        <w:t>AK:n</w:t>
      </w:r>
      <w:proofErr w:type="spellEnd"/>
      <w:r w:rsidRPr="003F573B">
        <w:t xml:space="preserve"> yhteinen innovoinnin ja tietotekniikan osasto osoittaa noin kolme prosenttia tietotekniikkabudjetistaan kyberturvallisuuteen, mikä on kaukana asiaa koskevassa lainsäädännössä säädetystä 10 prosentin tavoitteesta; kehottaa lainsäätäjiä ja komissiota ottamaan tämän huomioon vuotuisessa talousarviomenettelyssä;</w:t>
      </w:r>
    </w:p>
    <w:p w14:paraId="3374B5E9" w14:textId="77777777" w:rsidR="003F573B" w:rsidRPr="003F573B" w:rsidRDefault="003F573B" w:rsidP="005404A6">
      <w:pPr>
        <w:pStyle w:val="NormalHanging12a"/>
        <w:widowControl/>
        <w:rPr>
          <w:iCs/>
        </w:rPr>
      </w:pPr>
      <w:r w:rsidRPr="003F573B">
        <w:rPr>
          <w:b/>
          <w:iCs/>
        </w:rPr>
        <w:t>Sisäinen hallinto, toiminnan tuloksellisuus ja sisäinen valvonta</w:t>
      </w:r>
    </w:p>
    <w:p w14:paraId="1F7383EA" w14:textId="77777777" w:rsidR="003F573B" w:rsidRPr="003F573B" w:rsidRDefault="003F573B" w:rsidP="005404A6">
      <w:pPr>
        <w:pStyle w:val="NormalHanging12a"/>
        <w:widowControl/>
      </w:pPr>
      <w:r w:rsidRPr="003F573B">
        <w:t>13.</w:t>
      </w:r>
      <w:r w:rsidRPr="003F573B">
        <w:tab/>
        <w:t>panee vuosikertomuksesta merkille, että komitea oli määrittänyt vuoden 2023 vuotuisessa työohjelmassaan yhteensä 31 tavoitetta, jotka koskivat kaikkia sen hallintoyksiköitä, ja että komitea on osana pääsihteeristön strategiaa vuosiksi 2021–2025 määrittänyt viisi perusarvoa ja viisi keskeistä strategista tavoitetta; panee kyselyn perusteella merkille, että laadittujen lausuntojen määrä ja osallistuminen korkean tason kokouksiin ovat keskeisiä indikaattoreita komitean suoriutumisen mittaamiseksi; panee kyselyn perusteella merkille, että komitealla on käytössä tulosindikaattoreita eri aloilla, kuten tietotekniikka, henkilöstöhallinto, kääntäminen ja viestintä; pyytää komiteaa sisällyttämään tulevaan raportointiinsa luettelon kaikista keskeisistä tulosindikaattoreista ja tavoitteista toimintokohtaisesti sekä niiden saavuttamiseksi asetetusta tavoitteesta (prosentteina) ja tasosta, jolla tavoitteisiin on päästy (prosentteina);</w:t>
      </w:r>
    </w:p>
    <w:p w14:paraId="2D985A70" w14:textId="77777777" w:rsidR="003F573B" w:rsidRPr="003F573B" w:rsidRDefault="003F573B" w:rsidP="005404A6">
      <w:pPr>
        <w:pStyle w:val="NormalHanging12a"/>
        <w:widowControl/>
      </w:pPr>
      <w:r w:rsidRPr="003F573B">
        <w:t>14.</w:t>
      </w:r>
      <w:r w:rsidRPr="003F573B">
        <w:tab/>
        <w:t>panee merkille, että komitea hoitaa tehtäväänsä antamalla lausuntoja, jotka koskevat komission tekemiä lainsäädäntöehdotuksia (lausuntopyynnöt), ja oma-aloitteisia lausuntoja, joissa kehotetaan unionin toimielimiä toimimaan, sekä valmistelevia lausuntoja, joita komissio hyödyntää työstäessään suunniteltuja aloitteita, ja että komitean kantoja voidaan tuoda esiin päätöslauselmissa tai sisällyttää arviointikertomuksiin ja tiedonantoihin; antaa komitealle tunnustusta sen tekemästä työstä parlamentin, neuvoston ja komission avustamiseksi lainsäädäntötoiminnassa vuonna 2023; panee tässä yhteydessä merkille, että vuonna 2023 komitea antoi 213 lausuntoa ja selvitystä, eli enemmän kuin vuonna 2022 annetut 202, ja järjesti 146 kuulemistilaisuutta (116 vuonna 2022) ja 23 konferenssia (29 vuonna 2022); panee merkille, että vuonna 2023 komitean jäsenet osallistuivat 429:ään korkean tason kokoukseen, huippukokoukseen ja konferenssiin, kun vuonna 2022 määrä oli 345;</w:t>
      </w:r>
    </w:p>
    <w:p w14:paraId="48D23787" w14:textId="77777777" w:rsidR="003F573B" w:rsidRPr="003F573B" w:rsidRDefault="003F573B" w:rsidP="005404A6">
      <w:pPr>
        <w:pStyle w:val="NormalHanging12a"/>
        <w:widowControl/>
      </w:pPr>
      <w:r w:rsidRPr="003F573B">
        <w:lastRenderedPageBreak/>
        <w:t>15.</w:t>
      </w:r>
      <w:r w:rsidRPr="003F573B">
        <w:tab/>
        <w:t>antaa tunnustusta sille, että komitea on vuonna 2023 toteuttanut toimia parantaakseen työnsä näkyvyyttä ja vaikutusta muun muassa parantamalla lausuntojensa muotoa ja seurantalausuntojensa metodologiaa, tekemällä yhteistyötä parlamentin ja komission kanssa, osallistumalla muihin luonteeltaan monialaisiin hankkeisiin ja kehittämällä innovatiivisia aloitteita, joita ovat muun muassa EU:n nuorisotesti, jäsenehdokasmaita edustavia jäseniä koskeva aloite ja Euroopan kiertotalouden sidosryhmäfoorumi;</w:t>
      </w:r>
    </w:p>
    <w:p w14:paraId="43A922C4" w14:textId="77777777" w:rsidR="003F573B" w:rsidRPr="003F573B" w:rsidRDefault="003F573B" w:rsidP="005404A6">
      <w:pPr>
        <w:pStyle w:val="NormalHanging12a"/>
        <w:widowControl/>
      </w:pPr>
      <w:r w:rsidRPr="003F573B">
        <w:t>16.</w:t>
      </w:r>
      <w:r w:rsidRPr="003F573B">
        <w:rPr>
          <w:b/>
          <w:i/>
        </w:rPr>
        <w:tab/>
      </w:r>
      <w:r w:rsidRPr="003F573B">
        <w:t>kiittää komiteaa toteutetuista aloitteista, joilla pyritään edistämään nuorten aktiivista osallistumista päätöksentekoprosessiin;</w:t>
      </w:r>
    </w:p>
    <w:p w14:paraId="4AA7822F" w14:textId="77777777" w:rsidR="003F573B" w:rsidRPr="003F573B" w:rsidRDefault="003F573B" w:rsidP="005404A6">
      <w:pPr>
        <w:pStyle w:val="NormalHanging12a"/>
        <w:widowControl/>
      </w:pPr>
      <w:r w:rsidRPr="003F573B">
        <w:t>17.</w:t>
      </w:r>
      <w:r w:rsidRPr="003F573B">
        <w:tab/>
        <w:t>suhtautuu myönteisesti syyskuun 2022 ja huhtikuun 2023 välisenä aikana toteutettuun pilottihankkeeseen, jonka tavoitteena on vahvistaa valittujen lausuntojen jatkotoimia kaikkien toimielinten osalta ja jonka puitteissa 19 lausuntoa valittiin tehostettujen jatkotoimien kohteeksi; panee kyselyn perusteella merkille pilottihankkeen yleisesti ottaen myönteiset tulokset, kuten komitean valmiuksien parantamisen seurantatoimien toteuttamiseksi, komitean työn priorisoinnin parantamisen ja valittujen lausuntojen paremman tavoittavuuden ja vaikuttavuuden;</w:t>
      </w:r>
    </w:p>
    <w:p w14:paraId="173A1BC5" w14:textId="77777777" w:rsidR="003F573B" w:rsidRPr="003F573B" w:rsidRDefault="003F573B" w:rsidP="005404A6">
      <w:pPr>
        <w:pStyle w:val="NormalHanging12a"/>
        <w:widowControl/>
      </w:pPr>
      <w:r w:rsidRPr="003F573B">
        <w:t>18.</w:t>
      </w:r>
      <w:r w:rsidRPr="003F573B">
        <w:tab/>
        <w:t>korostaa, että rajallisten resurssien tehokas hallinnointi oli edelleen keskeinen haaste koko vuoden 2023 ajan henkilöstörajoitteiden ja toiminnan lisääntymisen vuoksi samalla, kun vakaan henkilöstöpolitiikan noudattaminen jatkui; panee merkille komitean suunnitelman ottaa käyttöön uusi lähestymistapa strategiseen työvoimasuunnitteluun ja henkilöstön sijoittamiseen, hyödyntää henkilöstön osaamisalueista kerättyä tietoa, kuunnella aktiivisesti koko organisaatiota ja pohtia strategisia painopisteitä komitean poliittisissa elimissä; kehottaa komiteaa tiedottamaan parlamentille tämän uuden suunnitelman tuloksista, koska se voisi antaa innoitusta muille toimielimille, joilla on samanlaisia toistuvia resurssihaasteita;</w:t>
      </w:r>
    </w:p>
    <w:p w14:paraId="2B480E1D" w14:textId="77777777" w:rsidR="003F573B" w:rsidRPr="003F573B" w:rsidRDefault="003F573B" w:rsidP="005404A6">
      <w:pPr>
        <w:pStyle w:val="NormalHanging12a"/>
        <w:widowControl/>
      </w:pPr>
      <w:r w:rsidRPr="003F573B">
        <w:t>19.</w:t>
      </w:r>
      <w:r w:rsidRPr="003F573B">
        <w:tab/>
        <w:t>panee sisäisen valvonnan standardien osalta merkille, että vuoden 2023 vaatimustenmukaisuuden arviointi osoitti parannuksia tapahtuneen vuoteen 2022 verrattuna; panee tässä yhteydessä merkille, että vaatimusten noudattaminen (eli se, missä määrin 16 sisäisen valvonnan standardin vaatimukset on pantu täytäntöön) kasvoi 80,3 prosentista 87,4 prosenttiin vuosien 2022 ja 2023 välillä ja tehokkuus (eli se, missä määrin kyseisten vaatimusten täytäntöönpano on toteutunut tarkoitetulla tavalla) kasvoi 74 prosentista 78,1 prosenttiin vuosien 2022 ja 2023 välillä; panee lisäksi merkille, että vuoden 2023 vuotuinen riskinarviointi osoitti, että sisäisen valvonnan soveltaminen vähensi luontaisia riskejä (luokissa ”kriittiset” ja ”erittäin merkittävät”) 53 prosenttia eli 40:stä 19:ään vuonna 2023;</w:t>
      </w:r>
    </w:p>
    <w:p w14:paraId="06523532" w14:textId="77777777" w:rsidR="003F573B" w:rsidRPr="003F573B" w:rsidRDefault="003F573B" w:rsidP="005404A6">
      <w:pPr>
        <w:pStyle w:val="NormalHanging12a"/>
        <w:widowControl/>
      </w:pPr>
      <w:r w:rsidRPr="003F573B">
        <w:t>20.</w:t>
      </w:r>
      <w:r w:rsidRPr="003F573B">
        <w:rPr>
          <w:b/>
          <w:i/>
        </w:rPr>
        <w:tab/>
      </w:r>
      <w:r w:rsidRPr="003F573B">
        <w:t>panee merkille, että vuonna 2023 toteutettiin sisäisen tarkastuksen toimialan uudelleenjärjestely, jonka yhteydessä vahvistettiin vaatimustenmukaisuutta kansainvälisten tilintarkastusstandardien kannalta sekä virtaviivaistettiin ja dokumentoitiin kaikki sen prosessit;</w:t>
      </w:r>
    </w:p>
    <w:p w14:paraId="1ACF7DA8" w14:textId="77777777" w:rsidR="003F573B" w:rsidRPr="003F573B" w:rsidRDefault="003F573B" w:rsidP="005404A6">
      <w:pPr>
        <w:pStyle w:val="NormalHanging12a"/>
        <w:widowControl/>
      </w:pPr>
      <w:r w:rsidRPr="003F573B">
        <w:t>21.</w:t>
      </w:r>
      <w:r w:rsidRPr="003F573B">
        <w:tab/>
        <w:t>panee merkille, että rahoitustoimien alalla komitean sisäinen tarkastus antoi vuoden 2023 alussa uuden päätöksen riskien arvioinnista yksinkertaistetun menettelyn täytäntöönpanoa varten; panee lisäksi merkille, että komitean työvaliokunta hyväksyi vuonna 2023 uudet sisäisen tarkastuksen toimintaohjeet ja tarkastusvaliokunnan johtosäännön, joihin sisältyy menettelysääntöjä;</w:t>
      </w:r>
    </w:p>
    <w:p w14:paraId="25145C3E" w14:textId="77777777" w:rsidR="003F573B" w:rsidRPr="003F573B" w:rsidRDefault="003F573B" w:rsidP="005404A6">
      <w:pPr>
        <w:pStyle w:val="NormalHanging12a"/>
        <w:widowControl/>
      </w:pPr>
      <w:r w:rsidRPr="003F573B">
        <w:lastRenderedPageBreak/>
        <w:t>22.</w:t>
      </w:r>
      <w:r w:rsidRPr="003F573B">
        <w:tab/>
        <w:t>panee vuosikertomuksesta ja kyselyn vastauksista merkille, että sisäinen tarkastus käynnisti vuonna 2023 neljä tarkastusta, jotka koskivat kokousvaltuutuksia, jäsenten valintaa neuvoa-antavaan valiokuntaan ”teollisuuden muutokset”, strategista sykliä sekä komitean jäsenille maksettavia matkan kestosta ja välimatkasta johtuvia korvauksia; kehottaa komiteaa tiedottamaan vastuuvapauden myöntävälle viranomaiselle näiden tarkastusten tuloksista ja panemaan täytäntöön kaikki aiempien tarkastusten perusteella annetut avoimet suositukset (jotka koskevat toimielinten asettamia määräaikoja, tulkkausta, tarkastuksia, etiikkaa ja nuhteettomuutta, lakisääteisiä oikeuksia ja maksuaikoja);</w:t>
      </w:r>
    </w:p>
    <w:p w14:paraId="19237192" w14:textId="77777777" w:rsidR="003F573B" w:rsidRPr="003F573B" w:rsidRDefault="003F573B" w:rsidP="005404A6">
      <w:pPr>
        <w:pStyle w:val="NormalHanging12a"/>
        <w:widowControl/>
        <w:rPr>
          <w:b/>
          <w:iCs/>
        </w:rPr>
      </w:pPr>
      <w:r w:rsidRPr="003F573B">
        <w:rPr>
          <w:b/>
          <w:iCs/>
        </w:rPr>
        <w:t>Henkilöresurssit, tasa-arvo ja henkilöstön hyvinvointi</w:t>
      </w:r>
    </w:p>
    <w:p w14:paraId="7FC8A69B" w14:textId="77777777" w:rsidR="003F573B" w:rsidRPr="003F573B" w:rsidRDefault="003F573B" w:rsidP="005404A6">
      <w:pPr>
        <w:pStyle w:val="NormalHanging12a"/>
        <w:widowControl/>
      </w:pPr>
      <w:r w:rsidRPr="003F573B">
        <w:t>23.</w:t>
      </w:r>
      <w:r w:rsidRPr="003F573B">
        <w:tab/>
        <w:t>panee merkille, että vuoden 2023 lopussa komitean palveluksessa oli yhteensä 707 työntekijää, kun vuonna 2022 heitä oli 706; panee lisäksi merkille, että vuonna 2023 palveluksessa oli 49 sopimussuhteista toimihenkilöä ja 130 väliaikaista toimihenkilöä (joista 52 otettiin palvelukseen vuonna 2023), kun vuonna 2022 sopimussuhteisia toimihenkilöitä oli 50 ja väliaikaisia toimihenkilöitä 128; panee lisäksi merkille, että komitean palveluksessa oli 12 paikan päällä työskennellyttä tilapäistä toimihenkilöä ja 10 ulkopuolista henkilöstön jäsentä, mihin ei luettu mukaan ulkopuolisia palveluntarjoajia logistiikan ja tietotekniikan alalla; panee merkille, että vuonna 2023 henkilöstötaulukon toimien täyttöaste oli 95,5 prosenttia, kun se vuonna 2022 oli 95,1 prosenttia, ja henkilöstön vaihtuvuus vuonna 2023 oli 7 prosenttia;</w:t>
      </w:r>
    </w:p>
    <w:p w14:paraId="4FAC8DD5" w14:textId="77777777" w:rsidR="003F573B" w:rsidRPr="003F573B" w:rsidRDefault="003F573B" w:rsidP="005404A6">
      <w:pPr>
        <w:pStyle w:val="NormalHanging12a"/>
        <w:widowControl/>
      </w:pPr>
      <w:r w:rsidRPr="003F573B">
        <w:t>24.</w:t>
      </w:r>
      <w:r w:rsidRPr="003F573B">
        <w:tab/>
        <w:t>pitää myönteisenä komitean jatkuvia pyrkimyksiä parantaa henkilöstöhallinnon kehystään, jotta siitä tulisi houkutteleva työnantaja ja työympäristö, jossa jokaista yksilöä arvostetaan ja jokainen voi kehittää potentiaaliaan kaikilta osin; panee merkille, että osana vuosien 2023–2025 henkilöstöstrategiansa täytäntöönpanoa komitea saavutti vuonna 2023 useita keskeisiä välitavoitteita ja hyväksyi uusia päätöksiä muun muassa työoloista (hybridityö, ylityö, erityisloma), moninaisuutta ja osallisuutta koskevasta strategiasta ja toimintasuunnitelmasta vuosiksi 2023–2027, henkilöstön liikkuvuudesta ja erityistä luotettavuutta edellyttäviä tehtäviä koskevasta metodologiasta sekä henkilöstön arviointi- ja ylennysjärjestelmästä; panee tyytyväisenä merkille toukokuussa 2023 julkaistun henkilöstön tyytyväisyyskyselyn myönteiset tulokset, joissa sekä henkilöstö että johtajat ilmaisivat olevansa erittäin tyytyväisiä henkilöstöhallinnon alaan kuuluviin eri alueisiin, erityisesti työjärjestelyihin, ja toteaa, että komitea on saanut tältä osin asiat täydelliseen tasapainoon;</w:t>
      </w:r>
    </w:p>
    <w:p w14:paraId="29C9F23B" w14:textId="77777777" w:rsidR="003F573B" w:rsidRPr="003F573B" w:rsidRDefault="003F573B" w:rsidP="005404A6">
      <w:pPr>
        <w:pStyle w:val="NormalHanging12a"/>
        <w:widowControl/>
      </w:pPr>
      <w:r w:rsidRPr="003F573B">
        <w:t>25.</w:t>
      </w:r>
      <w:r w:rsidRPr="003F573B">
        <w:tab/>
        <w:t xml:space="preserve">panee merkille, että komitea rekrytoi jo toisena vuonna peräkkäin merkittävässä määrin osaajia (muista toimielimistä), mikä on tulosta houkuttelevuuden lisäämiseen ja osaajien säilyttämiseen keskittyvän suunnitelman täytäntöönpanosta; panee kuitenkin merkille jatkuvat haasteet, jotka johtuvat tukeutumisesta väliaikaisiin toimihenkilöihin siksi, että </w:t>
      </w:r>
      <w:proofErr w:type="spellStart"/>
      <w:r w:rsidRPr="003F573B">
        <w:t>EPSOn</w:t>
      </w:r>
      <w:proofErr w:type="spellEnd"/>
      <w:r w:rsidRPr="003F573B">
        <w:t xml:space="preserve"> (Euroopan unionin henkilöstövalintatoimisto) varallaololuetteloja ei ole saatavilla, sillä tämä vaarantaa asiantuntemuksen säilyttämisen; korostaa vakinaisen henkilöstön merkitystä osaamisen, jatkuvuuden ja tuottavan työympäristön ylläpitämisessä; suosittelee, että komitea toteuttaa aloitteita näihin haasteisiin vastaamiseksi esimerkiksi järjestämällä sisäisiä kilpailuja;</w:t>
      </w:r>
    </w:p>
    <w:p w14:paraId="435E90B5" w14:textId="77777777" w:rsidR="003F573B" w:rsidRPr="003F573B" w:rsidRDefault="003F573B" w:rsidP="005404A6">
      <w:pPr>
        <w:pStyle w:val="NormalHanging12a"/>
        <w:widowControl/>
      </w:pPr>
      <w:r w:rsidRPr="003F573B">
        <w:t>26.</w:t>
      </w:r>
      <w:r w:rsidRPr="003F573B">
        <w:tab/>
        <w:t xml:space="preserve">panee merkille, että komitean niukkojen resurssien paremman jakamisen tueksi tilattu ulkoinen henkilöstökartoitustarkastus saatiin päätökseen vuonna 2023; panee huolestuneena merkille, että tarkastuksen tulokset vahvistivat, että monissa komitean eri yksiköissä työmäärä on erittäin suuri, mikä vaarantaa komitean tehtävän ja velvoitteiden </w:t>
      </w:r>
      <w:r w:rsidRPr="003F573B">
        <w:lastRenderedPageBreak/>
        <w:t>täyttämisen; kehottaa komiteaa panemaan kyseisen tarkastuksen tuloksena annetut suositukset täytäntöön, mukaan lukien suorituksenarviointijärjestelmän tarkistaminen vuoteen 2025 mennessä, uuden työoloja koskevan päätöksen hyväksyminen ja henkilöstön osallistumisen säännöllinen seuranta; korostaa strategisen työvoimasuunnittelun merkitystä, jotta voidaan optimoida resurssien kohdentaminen, varmistaa yhdenmukaisuus poliittisten elinten määrittämien korkean tason painopisteiden kanssa ja jatkaa kustannustehokkuustoimien toteuttamista;</w:t>
      </w:r>
    </w:p>
    <w:p w14:paraId="1DE25057" w14:textId="77777777" w:rsidR="003F573B" w:rsidRPr="003F573B" w:rsidRDefault="003F573B" w:rsidP="005404A6">
      <w:pPr>
        <w:pStyle w:val="NormalHanging12a"/>
        <w:widowControl/>
      </w:pPr>
      <w:r w:rsidRPr="003F573B">
        <w:t>27.</w:t>
      </w:r>
      <w:r w:rsidRPr="003F573B">
        <w:tab/>
        <w:t xml:space="preserve">panee merkille, että vuonna 2022 käynnistyneet myönteiset suuntaukset henkilöstön rekrytoinnissa jatkuivat vuonna 2023; antaa komitealle tunnustusta tällä alalla toteutetuista toimista, kuten avointen tehtävien julkaisemisen sovittamisesta yhteen </w:t>
      </w:r>
      <w:proofErr w:type="spellStart"/>
      <w:r w:rsidRPr="003F573B">
        <w:t>EPSOn</w:t>
      </w:r>
      <w:proofErr w:type="spellEnd"/>
      <w:r w:rsidRPr="003F573B">
        <w:t xml:space="preserve"> uusien varallaololuetteloiden julkaisemisen kanssa sekä työmahdollisuuksista ilmoittamisesta komitean verkkosivustolla ja LinkedInissä; pyytää komiteaa tiedottamaan parlamentille työnantajabrändäystä koskevan pilottihankkeensa tuloksista; korostaa, että tulokkaiden perehdyttäminen on keskeinen tekijä strategisessa yhteensovittamisessa, jolla varmistetaan, että henkilöstö on tietoinen toimielimessä käytössä olevista säännöistä ja strategioista; antaa komitealle kiitosta siitä, että se on vuonna 2023 vahvistanut uusien henkilöstön jäsenten perehdyttämistä jakamalla uusille työntekijöille päivitetyn tervetuliaiskirjasen, perehdyttämiskirjeen ja tervetuliaispaketin, jossa on pieniä ympäristöystävällisiä lahjoja, sekä ottamalla käyttöön perehdyttämiskokemusta koskevan palautemekanismin, ajoittamalla tervetuliaistilaisuudet paremmin, uudistamalla uusien tulokkaiden infopisteen ja antamalla johtajille perehdyttämisvinkkejä;</w:t>
      </w:r>
    </w:p>
    <w:p w14:paraId="0E30D241" w14:textId="77777777" w:rsidR="003F573B" w:rsidRPr="003F573B" w:rsidRDefault="003F573B" w:rsidP="005404A6">
      <w:pPr>
        <w:pStyle w:val="NormalHanging12a"/>
        <w:widowControl/>
      </w:pPr>
      <w:r w:rsidRPr="003F573B">
        <w:t>28.</w:t>
      </w:r>
      <w:r w:rsidRPr="003F573B">
        <w:tab/>
        <w:t>muistuttaa, että komitea hyväksyi 1. tammikuuta 2024 voimaan tulleen päätöksen 282/23A, jolla luotiin joustava, luottamukseen perustuva hybridityöpolitiikka, jolla mahdollistetaan henkilöstölle parempi työ- ja yksityiselämän tasapaino ja parannetaan mukautuvuutta ja tehokkuutta; pyytää komiteaa pitämään vastuuvapauden myöntävän viranomaisen ajan tasalla tässä asiassa tapahtuvasta kehityksestä;</w:t>
      </w:r>
    </w:p>
    <w:p w14:paraId="01FEC762" w14:textId="77777777" w:rsidR="003F573B" w:rsidRPr="003F573B" w:rsidRDefault="003F573B" w:rsidP="005404A6">
      <w:pPr>
        <w:pStyle w:val="NormalHanging12a"/>
        <w:widowControl/>
      </w:pPr>
      <w:r w:rsidRPr="003F573B">
        <w:t>29.</w:t>
      </w:r>
      <w:r w:rsidRPr="003F573B">
        <w:tab/>
        <w:t>on tyytyväinen naispuolisen pääsihteerin nimittämiseen tammikuussa 2024, sillä se on myönteinen askel kohti sukupuolten tasapuolisen edustuksen saavuttamista; pitää kuitenkin valitettavana, että naisten osuus ylemmässä johdossa oli edelleen alhainen vuonna 2023 ja että vain kaksi seitsemästä ylemmän johdon edustajasta oli naisia; suhtautuu kuitenkin myönteisesti siihen, että komitea pitää tärkeänä sukupuolten tasapuolista edustusta henkilöstönsä ja erityisesti ylemmän johdon keskuudessa, ja kehottaa komiteaa pikaisesti parantamaan tilannetta komitean johdon ylimmillä tasoilla ja varmistamaan komitean moninaisuutta ja osallisuutta koskevien sitoumusten mukaisesti, että sukupuolet ovat edustettuina tasapuolisesti;</w:t>
      </w:r>
    </w:p>
    <w:p w14:paraId="26339DD2" w14:textId="77777777" w:rsidR="003F573B" w:rsidRPr="003F573B" w:rsidRDefault="003F573B" w:rsidP="005404A6">
      <w:pPr>
        <w:pStyle w:val="NormalHanging12a"/>
        <w:widowControl/>
      </w:pPr>
      <w:r w:rsidRPr="003F573B">
        <w:t>30.</w:t>
      </w:r>
      <w:r w:rsidRPr="003F573B">
        <w:tab/>
        <w:t xml:space="preserve">pitää valitettavana, että komitea ei pystynyt toimittamaan tietoja työuupumustapauksista vuonna 2023, ja on eri mieltä komitean seurantakertomuksessaan esittämästä kannasta, jonka mukaan työuupumus ei sinänsä ole tunnustettu lääketieteellinen diagnoosi ja työuupumuksen syyt voivat olla moninaiset; muistuttaa työuupumusta koskevien tilastotietojen tärkeydestä, sillä ne auttavat tekemään henkilöstön hyvinvointia koskevia päätöksiä, joissa olisi otettava huomioon myös aiemmat erittäin valitettavat kokemukset sekä nykyisen kehyksen ulkoiset arvioinnit; ymmärtää tietosuojasta johtuvat rajoitteet, mutta korostaa </w:t>
      </w:r>
      <w:proofErr w:type="spellStart"/>
      <w:r w:rsidRPr="003F573B">
        <w:t>anonymisoitujen</w:t>
      </w:r>
      <w:proofErr w:type="spellEnd"/>
      <w:r w:rsidRPr="003F573B">
        <w:t xml:space="preserve"> tilastotietojen merkitystä tietoon perustuvien johtotason päätösten tukena; panee huolestuneena merkille havainnot useiden yksiköiden raskaasta työtaakasta rajallisten henkilöresurssien vuoksi; on tyytyväinen uusien työjärjestelyjen käyttöönottoon ja pitää niitä myönteisenä askeleena, mutta kannustaa komiteaa </w:t>
      </w:r>
      <w:r w:rsidRPr="003F573B">
        <w:lastRenderedPageBreak/>
        <w:t xml:space="preserve">toteuttamaan lisätoimia varmistaakseen työuupumustapauksia koskevien </w:t>
      </w:r>
      <w:proofErr w:type="spellStart"/>
      <w:r w:rsidRPr="003F573B">
        <w:t>anonymisoitujen</w:t>
      </w:r>
      <w:proofErr w:type="spellEnd"/>
      <w:r w:rsidRPr="003F573B">
        <w:t xml:space="preserve"> tietojen julkistamisen;</w:t>
      </w:r>
    </w:p>
    <w:p w14:paraId="253A4301" w14:textId="77777777" w:rsidR="003F573B" w:rsidRPr="003F573B" w:rsidRDefault="003F573B" w:rsidP="005404A6">
      <w:pPr>
        <w:pStyle w:val="NormalHanging12a"/>
        <w:widowControl/>
      </w:pPr>
      <w:r w:rsidRPr="003F573B">
        <w:t>31.</w:t>
      </w:r>
      <w:r w:rsidRPr="003F573B">
        <w:tab/>
        <w:t>panee merkille, että vuonna 2023 komitean henkilöstöön lukeutui kaikkia EU:n kansallisuuksia ja että osa kansallisuuksista oli yliedustettuna (esim. Belgia ja Italia); panee merkille, että vuonna 2023 komitean johtajista 24 prosenttia tuli 13 jäsenvaltiosta, jotka liittyivät unioniin vuoden 2004 jälkeen, mikä on hienoinen lisäys vuosiin 2021 ja 2022 verrattuna, jolloin osuudet olivat 19 ja 21 prosenttia; kannustaa jälleen komiteaa jatkamaan toimia, joilla se voisi saavuttaa henkilöstönsä keskuudessa asianmukaisen maantieteellisen jakauman keskittyen tässä erityisesti johdon tasoon;</w:t>
      </w:r>
    </w:p>
    <w:p w14:paraId="4729534E" w14:textId="77777777" w:rsidR="003F573B" w:rsidRPr="003F573B" w:rsidRDefault="003F573B" w:rsidP="005404A6">
      <w:pPr>
        <w:pStyle w:val="NormalHanging12a"/>
        <w:widowControl/>
      </w:pPr>
      <w:r w:rsidRPr="003F573B">
        <w:t>32.</w:t>
      </w:r>
      <w:r w:rsidRPr="003F573B">
        <w:tab/>
        <w:t>suhtautuu myönteisesti komitean pyrkimyksiin luoda työntekijöilleen terveellinen työympäristö; on erityisen tyytyväinen siihen, että komitea painottaa henkilöstön mielenterveyden ja fyysisen terveyden tukemista ja että se on pyrkinyt lisäämään tietoisuutta terveyteen liittyvistä kysymyksistä; panee merkille komitean sairauslomien hallintaa koskevat toimenpiteet, kuten lääketieteellisin perustein tehtävän osa-aikatyön ja laajennetun etätyön, joilla pyritään varmistamaan, että työntekijät palaavat mahdollisimman pian töihin sairaudesta johtuvan pitkäaikaisten poissaolojen jälkeen; panee lisäksi merkille, että niiden henkilöstön jäsenten määrä, joilla ei ollut lainkaan poissaoloja, kasvoi vuodesta 2022, jolloin se oli 27 prosenttia, 30 prosenttiin vuonna 2023; panee tyytyväisenä merkille, että komitea järjesti komitean tiloissa vuonna 2023 maksuttoman ihosyöpäseulontakampanjan, jossa ulkopuoliset ihotautilääkärit tutkivat 104 henkilöstön jäsentä neljän päivän aikana;</w:t>
      </w:r>
    </w:p>
    <w:p w14:paraId="176DBE4A" w14:textId="77777777" w:rsidR="003F573B" w:rsidRPr="003F573B" w:rsidRDefault="003F573B" w:rsidP="005404A6">
      <w:pPr>
        <w:pStyle w:val="NormalHanging12a"/>
        <w:widowControl/>
        <w:rPr>
          <w:b/>
          <w:iCs/>
        </w:rPr>
      </w:pPr>
      <w:r w:rsidRPr="003F573B">
        <w:rPr>
          <w:b/>
          <w:iCs/>
        </w:rPr>
        <w:t>Eettiset toimintapuitteet ja avoimuus</w:t>
      </w:r>
    </w:p>
    <w:p w14:paraId="6829E663" w14:textId="77777777" w:rsidR="003F573B" w:rsidRPr="003F573B" w:rsidRDefault="003F573B" w:rsidP="005404A6">
      <w:pPr>
        <w:pStyle w:val="NormalHanging12a"/>
        <w:widowControl/>
      </w:pPr>
      <w:r w:rsidRPr="003F573B">
        <w:t>33.</w:t>
      </w:r>
      <w:r w:rsidRPr="003F573B">
        <w:tab/>
        <w:t xml:space="preserve">suhtautuu myönteisesti vuoteen 2027 ulottuvan uuden moninaisuutta ja osallisuutta koskevan strategian hyväksymiseen; on tyytyväinen vuoden 2024 alussa toteutettuihin vammaisuutta koskeviin erityisiin tiedotustoimiin; panee tyytyväisenä merkille, että moninaisuutta ja osallisuutta koskeva koulutus on edelleen pakollista johtajille ja suositeltua henkilöstölle; panee merkille komitean vahvan sitoutumisen täysin osallistavan työympäristön edistämiseen; kannustaa komiteaa toteuttamaan lisätoimia sen seuraamiseksi, miten vammaiset henkilöt ovat edustettuina henkilöstössä, ja varmistamaan tätä asiaa koskevien </w:t>
      </w:r>
      <w:proofErr w:type="spellStart"/>
      <w:r w:rsidRPr="003F573B">
        <w:t>anonymisoitujen</w:t>
      </w:r>
      <w:proofErr w:type="spellEnd"/>
      <w:r w:rsidRPr="003F573B">
        <w:t xml:space="preserve"> tietojen julkistamisen;</w:t>
      </w:r>
    </w:p>
    <w:p w14:paraId="2A784513" w14:textId="77777777" w:rsidR="003F573B" w:rsidRPr="003F573B" w:rsidRDefault="003F573B" w:rsidP="005404A6">
      <w:pPr>
        <w:pStyle w:val="NormalHanging12a"/>
        <w:widowControl/>
      </w:pPr>
      <w:r w:rsidRPr="003F573B">
        <w:t>34.</w:t>
      </w:r>
      <w:r w:rsidRPr="003F573B">
        <w:tab/>
        <w:t>panee merkille, että komitea jatkoi sisäistä uudistusprosessiaan antamalla vuonna 2023 päätöksen hallinnollisia tutkimuksia koskevista yleisistä täytäntöönpanosäännöksistä ja kurinpitomenettelyjä koskevista täytäntöönpanosäännöistä; antaa komitealle kiitosta tämän viimeisen askeleen ottamisesta, jotta komitean eettisten toimintapuitteiden vahvistamista koskevat toimenpiteet pannaan kokonaisuudessaan täytäntöön; panee seurantakertomuksesta merkille, että komitea ja sisäinen tarkastaja ovat sopineet komitean etiikkaa ja nuhteettomuutta koskevaan tarkastukseen liittyvästä toimintasuunnitelmasta, johon kuuluvista suosituksista kahdeksan on pantu täytäntöön ja saatettu päätökseen ja joista kaksi oli määrä panna täytäntöön maaliskuuhun 2025 mennessä; kehottaa komiteaa tiedottamaan vastuuvapauden myöntävälle viranomaiselle asiassa saavutetusta edistyksestä;</w:t>
      </w:r>
    </w:p>
    <w:p w14:paraId="62FEACF6" w14:textId="77777777" w:rsidR="003F573B" w:rsidRPr="003F573B" w:rsidRDefault="003F573B" w:rsidP="005404A6">
      <w:pPr>
        <w:pStyle w:val="NormalHanging12a"/>
        <w:widowControl/>
      </w:pPr>
      <w:r w:rsidRPr="003F573B">
        <w:t>35.</w:t>
      </w:r>
      <w:r w:rsidRPr="003F573B">
        <w:tab/>
        <w:t xml:space="preserve">panee merkille, että komitea jatkoi vuonna 2023 henkilöstön kouluttamista ja tietoisuuden lisäämistä väärinkäytösten paljastamiseen, eturistiriitoihin ja muihin eettisiin kysymyksiin liittyvistä aiheista; panee tässä yhteydessä tyytyväisenä merkille vuonna 2023 toteutetun henkilöstön sitoutumista koskevan kyselyn tulokset, joiden </w:t>
      </w:r>
      <w:r w:rsidRPr="003F573B">
        <w:lastRenderedPageBreak/>
        <w:t>mukaan henkilöstö oli erittäin tietoinen komitean eettisistä toimintapuitteista, erityisesti häirintäyhdyshenkilöiden (93 prosenttia) ja eettisten neuvonantajien (83 prosenttia) verkostoista; panee merkille, että vuonna 2023 komitea järjesti näistä aiheista 12 koulutustilaisuutta, joihin osallistui yhteensä 79 henkilöstön jäsentä; kiittää komiteaa siitä, että se on järjestänyt pakollista koulutusta kunnioituksesta ja ihmisarvoisesta kohtelusta työpaikalla koko henkilöstölle, myös johtajille;</w:t>
      </w:r>
    </w:p>
    <w:p w14:paraId="5F3E4902" w14:textId="77777777" w:rsidR="003F573B" w:rsidRPr="003F573B" w:rsidRDefault="003F573B" w:rsidP="005404A6">
      <w:pPr>
        <w:pStyle w:val="NormalHanging12a"/>
        <w:widowControl/>
      </w:pPr>
      <w:r w:rsidRPr="003F573B">
        <w:t>36.</w:t>
      </w:r>
      <w:r w:rsidRPr="003F573B">
        <w:tab/>
        <w:t>panee merkille, että vuonna 2023 raportoitiin yhdestä häirintää koskevasta kantelusta, jonka komitea tutki samana vuonna ja jonka käsittely päätettiin sovittelun tuloksena ilman seuraamuksia; palauttaa mieliin, että komitea on asianomistaja vireillä olevassa oikeudenkäynnissä, jonka Belgian kansalliset viranomaiset ovat käynnistäneet väärinkäytöksistä syytettyä entistä jäsentä vastaan, ja että belgialaiset tuomioistuimet käsittelevät asiaa parhaillaan; pyytää komiteaa tiedottamaan parlamentille asian etenemisestä; katsoo, että kunnioituksen ja ihmisarvoisen kohtelun kulttuurin edistäminen, jonka tukena on häirinnän nollatoleranssipolitiikka, on ratkaisevan tärkeää, jotta voidaan ehkäistä tulevia syytöksiä ja varmistaa turvallinen ja osallistava työympäristö komiteassa;</w:t>
      </w:r>
    </w:p>
    <w:p w14:paraId="7383C44A" w14:textId="77777777" w:rsidR="003F573B" w:rsidRPr="003F573B" w:rsidRDefault="003F573B" w:rsidP="005404A6">
      <w:pPr>
        <w:pStyle w:val="NormalHanging12a"/>
        <w:widowControl/>
      </w:pPr>
      <w:r w:rsidRPr="003F573B">
        <w:t>37.</w:t>
      </w:r>
      <w:r w:rsidRPr="003F573B">
        <w:tab/>
        <w:t>muistuttaa, että henkilöstön hyvinvoinnin suojelemiseksi on varmistettava nollatoleranssi häirinnälle ja että se on kaikkien työnantajien velvollisuus; muistuttaa, että häirintäsyytösten käsittelyssä olisi omaksuttava toimintamalli, jossa tapahtuneesta otetaan opiksi, jotta vältetään mahdolliset toimintavirheet jatkossa; katsoo edelleen, että oikeudellisen menettelyn kohteena olevan tapauksen ulkoinen ja riippumaton tutkinta olisi hyödyllinen, koska sen avulla voidaan parantaa komitean reagointia samankaltaisiin tapauksiin;</w:t>
      </w:r>
    </w:p>
    <w:p w14:paraId="210E40AC" w14:textId="77777777" w:rsidR="003F573B" w:rsidRPr="003F573B" w:rsidRDefault="003F573B" w:rsidP="005404A6">
      <w:pPr>
        <w:pStyle w:val="NormalHanging12a"/>
        <w:widowControl/>
      </w:pPr>
      <w:r w:rsidRPr="003F573B">
        <w:t>38.</w:t>
      </w:r>
      <w:r w:rsidRPr="003F573B">
        <w:tab/>
        <w:t>antaa tunnustusta komitean valmiudelle tehdä yhteistyötä unionin tutkintaelinten eli Euroopan petostentorjuntaviraston (OLAF), Euroopan syyttäjänviraston (EPPO) ja oikeusasiamiehen kanssa; panee merkille, että vuonna 2023 OLAF avasi käsittelyn kahdesta tapauksesta, joista molemmat hylättiin samana vuonna, sillä toisessa tapauksessa näyttöä ei ollut riittävästi ja toinen tapauksista siirrettiin komitean käsiteltäväksi jatkotoimia varten; kehottaa komiteaa tiedottamaan vastuuvapauden myöntävälle viranomaiselle jälkimmäisessä tapauksessa saavutetusta edistyksestä; panee lisäksi merkille, että oikeusasiamies käynnisti vuonna 2023 tutkimuksen siitä, kuinka komitea käsitteli työntekijän väitettyä häirintää; pyytää komiteaa tiedottamaan vastuuvapauden myöntävälle viranomaiselle tutkimuksen tuloksista;</w:t>
      </w:r>
    </w:p>
    <w:p w14:paraId="3AD3CEA4" w14:textId="77777777" w:rsidR="003F573B" w:rsidRPr="003F573B" w:rsidRDefault="003F573B" w:rsidP="005404A6">
      <w:pPr>
        <w:pStyle w:val="NormalHanging12a"/>
        <w:widowControl/>
      </w:pPr>
      <w:r w:rsidRPr="003F573B">
        <w:t>39.</w:t>
      </w:r>
      <w:r w:rsidRPr="003F573B">
        <w:tab/>
        <w:t xml:space="preserve">panee tyytyväisenä merkille komitean vuonna 2023 tekemän työn sen toiminnan avoimuuden lisäämiseksi; panee tässä yhteydessä merkille päätöksen, jolla laajennetaan avoimuusrekisterin kautta verkossa saatavilla olevien asiakirjojen valikoimaa, kuten komitean kokouspöytäkirjat ja läsnäololuettelot, sekä päätöksen, jossa komitean jäseniä pyydetään tapaamaan vain rekisteröityjä sidosryhmiä, julkaisemaan kokousluettelonsa ja sisällyttämään lausuntoihinsa nk. lainsäädännöllisen jalanjälkensä; antaa arvoa sille, että komitea julkaisee verkossa tietoja vuotuisesta talousarviostaan, tulosindikaattoreistaan, menoistaan ja julkisista hankinnoistaan; kehottaa julkistamaan tiedot kaikista kokouksista, jotka </w:t>
      </w:r>
      <w:proofErr w:type="spellStart"/>
      <w:r w:rsidRPr="003F573B">
        <w:t>ETSK:n</w:t>
      </w:r>
      <w:proofErr w:type="spellEnd"/>
      <w:r w:rsidRPr="003F573B">
        <w:t xml:space="preserve"> jäsenet pitävät kolmansien osapuolten kanssa;</w:t>
      </w:r>
    </w:p>
    <w:p w14:paraId="6AAB4058" w14:textId="77777777" w:rsidR="003F573B" w:rsidRPr="003F573B" w:rsidRDefault="003F573B" w:rsidP="005404A6">
      <w:pPr>
        <w:pStyle w:val="NormalHanging12a"/>
        <w:widowControl/>
      </w:pPr>
      <w:r w:rsidRPr="003F573B">
        <w:t>40.</w:t>
      </w:r>
      <w:r w:rsidRPr="003F573B">
        <w:tab/>
        <w:t xml:space="preserve">panee tyytyväisenä merkille, että komitea on ottanut käyttöön vankat säännöt ja menettelyt eturistiriitojen ehkäisemiseksi ja pyöröovi-ilmiön välttämiseksi, kun on kyse henkilöstön jäsenistä, jotka harjoittavat ulkopuolista toimintaa, tai jäsenistä, jotka ottavat vastaan työtä komitean jäsenenä toimimisensa päättymisen jälkeen; panee tässä </w:t>
      </w:r>
      <w:r w:rsidRPr="003F573B">
        <w:lastRenderedPageBreak/>
        <w:t>yhteydessä merkille, että komitea otti vuonna 2023 käyttöön uuden taloudellisia sidonnaisuuksia koskevan ilmoituslomakkeen; panee merkille, että jäsenten, nimettyjen edustajien, sijaisten ja neuvonantajien on ilmoitettava lomakkeella tiedot sekä palkallisista että palkattomista tehtävistään tai komitean ulkopuolisista toimistaan; kiittää komiteaa myös siitä, että se osallistui vuonna 2023 poliittisiin neuvotteluihin toimielinten välisen eettisen elimen perustamisesta; palauttaa mieliin, että elimen tehtävänä on asettaa eettisiä normeja avoimuuden ja nuhteettomuuden vahvistamiseksi;</w:t>
      </w:r>
    </w:p>
    <w:p w14:paraId="46D056D8" w14:textId="77777777" w:rsidR="003F573B" w:rsidRPr="003F573B" w:rsidRDefault="003F573B" w:rsidP="005404A6">
      <w:pPr>
        <w:pStyle w:val="NormalHanging12a"/>
        <w:widowControl/>
      </w:pPr>
      <w:r w:rsidRPr="003F573B">
        <w:t>41.</w:t>
      </w:r>
      <w:r w:rsidRPr="003F573B">
        <w:tab/>
        <w:t>panee merkille, että komitean työvaliokunta hyväksyi 21. maaliskuuta 2023 useita avoimuustoimenpiteitä EU:n avoimuusrekisterin osalta vahvistettujen periaatteiden mukaisesti, kuten suosituksen luottamustehtävissä oleville jäsenille tavata ainoastaan rekisteröityneitä sidosryhmiä, luottamustehtävissä olevien jäsenten velvollisuuden julkaista luettelo kokouksistaan ja vapaaehtoisen lainsäädäntöjalanjäljen esittelijöiden käyttöön; panee merkille, että työvaliokunnan päätöksen täytäntöönpanemiseksi toteutettiin useita toimia, muun muassa annettiin palveluilmoitus, jossa vahvistetaan päätöksen täytäntöönpanoa koskevat yksityiskohtaiset säännöt, järjestettiin kampanja aihetta koskevan tietämyksen lisäämiseksi ja määrättiin viestimalleista, joita käytetään komitean jäsenten ja ulkoisten sidosryhmien välisessä kirjeenvaihdossa, jossa sidosryhmiä kannustetaan liittymään EU:n avoimuusrekisteriin (soveltuvissa tapauksissa);</w:t>
      </w:r>
    </w:p>
    <w:p w14:paraId="41A0855E" w14:textId="77777777" w:rsidR="003F573B" w:rsidRPr="003F573B" w:rsidRDefault="003F573B" w:rsidP="005404A6">
      <w:pPr>
        <w:pStyle w:val="NormalHanging12a"/>
        <w:widowControl/>
      </w:pPr>
      <w:r w:rsidRPr="003F573B">
        <w:t>42.</w:t>
      </w:r>
      <w:r w:rsidRPr="003F573B">
        <w:tab/>
        <w:t xml:space="preserve">kehottaa </w:t>
      </w:r>
      <w:proofErr w:type="spellStart"/>
      <w:r w:rsidRPr="003F573B">
        <w:t>ETSK:ta</w:t>
      </w:r>
      <w:proofErr w:type="spellEnd"/>
      <w:r w:rsidRPr="003F573B">
        <w:t xml:space="preserve"> seuraamaan ilmoitettuja eturistiriitoja reaaliaikaisesti ja vaatimaan kaikkia jäseniä ja ylempiä toimihenkilöitä julkistamaan vuosittain tiedot taloudellisista eduista, varoista ja ulkoisista sidonnaisuuksia, jotta voidaan estää asiaton vaikuttaminen päätöksentekoon;</w:t>
      </w:r>
    </w:p>
    <w:p w14:paraId="46294C60" w14:textId="77777777" w:rsidR="003F573B" w:rsidRPr="003F573B" w:rsidRDefault="003F573B" w:rsidP="005404A6">
      <w:pPr>
        <w:pStyle w:val="NormalHanging12a"/>
        <w:widowControl/>
      </w:pPr>
      <w:r w:rsidRPr="003F573B">
        <w:t>43.</w:t>
      </w:r>
      <w:r w:rsidRPr="003F573B">
        <w:tab/>
        <w:t>panee merkille, että vuonna 2023 ei ilmoitettu petos-, eturistiriita- ja väärinkäytösten paljastamistapauksista; panee merkille, että komitean petostentorjuntatoimenpiteiden vaikuttavuutta tarkasteltiin, jotta voitaisiin kehittää petostentorjuntastrategia, jota ei edelleenkään ole huolimatta useista parlamentin vastuuvapauspäätöslauselmissaan esittämistä pyynnöistä toteuttaa toimia yleisen petostentorjuntajärjestelmän parantamiseksi; muistuttaa kattavan petostentorjuntastrategian tärkeydestä ja kehottaa komiteaa tiedottamaan vastuuvapauden myöntävälle viranomaiselle etenemisestä näissä toimissa, joiden olisi pitänyt huipentua petostentorjuntastrategian hyväksymiseen vuonna 2024;</w:t>
      </w:r>
    </w:p>
    <w:p w14:paraId="3963E7ED" w14:textId="77777777" w:rsidR="003F573B" w:rsidRPr="003F573B" w:rsidRDefault="003F573B" w:rsidP="005404A6">
      <w:pPr>
        <w:pStyle w:val="NormalHanging12a"/>
        <w:widowControl/>
        <w:rPr>
          <w:b/>
          <w:iCs/>
        </w:rPr>
      </w:pPr>
      <w:r w:rsidRPr="003F573B">
        <w:rPr>
          <w:b/>
          <w:iCs/>
        </w:rPr>
        <w:t>Digitalisaatio, kyberturvallisuus ja tietosuoja</w:t>
      </w:r>
    </w:p>
    <w:p w14:paraId="48C53BE6" w14:textId="77777777" w:rsidR="003F573B" w:rsidRPr="003F573B" w:rsidRDefault="003F573B" w:rsidP="005404A6">
      <w:pPr>
        <w:pStyle w:val="NormalHanging12a"/>
        <w:widowControl/>
      </w:pPr>
      <w:r w:rsidRPr="003F573B">
        <w:t>44.</w:t>
      </w:r>
      <w:r w:rsidRPr="003F573B">
        <w:tab/>
        <w:t xml:space="preserve">panee merkille, että komitean ja </w:t>
      </w:r>
      <w:proofErr w:type="spellStart"/>
      <w:r w:rsidRPr="003F573B">
        <w:t>AK:n</w:t>
      </w:r>
      <w:proofErr w:type="spellEnd"/>
      <w:r w:rsidRPr="003F573B">
        <w:t xml:space="preserve"> yhteinen tietotekniikkabudjetti oli yhteensä 12 700 000 euroa vuonna 2023, kun se vuonna 2022 oli 11 712 000 euroa, mikä merkitsee 8,4 prosentin lisäystä, ja että tästä talousarviosta 350 000 euroa (3 prosenttia) osoitettiin kyberturvallisuuteen vuonna 2023; panee lisäksi merkille, että 6,24 prosenttia komitean vuoden 2023 kokonaistalousarviosta oli menoja, jotka liittyivät komiteoiden yhteisen innovoinnin ja tietotekniikan osaston vuonna 2023 valmisteleman uuden vuosien 2024–2026 digitaalistrategian (DS2026) täytäntöönpanotoimiin;</w:t>
      </w:r>
    </w:p>
    <w:p w14:paraId="5197C75C" w14:textId="77777777" w:rsidR="003F573B" w:rsidRPr="003F573B" w:rsidRDefault="003F573B" w:rsidP="005404A6">
      <w:pPr>
        <w:pStyle w:val="NormalHanging12a"/>
        <w:widowControl/>
      </w:pPr>
      <w:r w:rsidRPr="003F573B">
        <w:t>45.</w:t>
      </w:r>
      <w:r w:rsidRPr="003F573B">
        <w:tab/>
        <w:t xml:space="preserve">panee merkille, että DS2026-strategiassa ennakoidaan tulevaisuutta, jossa teknologia on integroitu komitean ydintehtävään ja jossa keskitytään tehokkuuteen, nopeuteen ja jatkuvaan digitaaliseen kehitykseen sekä asetetaan hallinto ja jäsenet digitalisaation keskiöön ja pyritään parantamaan palvelujen tarjoamista ja sopeutumiskykyä sekä lisäämään toimintamahdollisuuksia; panee merkille, että DS2026-strategian pohjana </w:t>
      </w:r>
      <w:r w:rsidRPr="003F573B">
        <w:lastRenderedPageBreak/>
        <w:t xml:space="preserve">ovat kahdeksan tavoitetta, kahdeksan keskeistä periaatetta ja neljä laajaa hanketta, kuten </w:t>
      </w:r>
      <w:proofErr w:type="spellStart"/>
      <w:r w:rsidRPr="003F573B">
        <w:t>Aresin</w:t>
      </w:r>
      <w:proofErr w:type="spellEnd"/>
      <w:r w:rsidRPr="003F573B">
        <w:t xml:space="preserve"> ja </w:t>
      </w:r>
      <w:proofErr w:type="spellStart"/>
      <w:r w:rsidRPr="003F573B">
        <w:t>EdiT:n</w:t>
      </w:r>
      <w:proofErr w:type="spellEnd"/>
      <w:r w:rsidRPr="003F573B">
        <w:t xml:space="preserve"> käyttöönotto, minkä on tarkoitus tapahtua vuosina 2026 ja 2025; panee kyselyn perusteella tyytyväisenä merkille innovoinnin ja tietotekniikan osaston edistymisen DS2026-strategian täytäntöönpanossa vuonna 2023 muun muassa tekoälyn käyttöä koskevien henkilöstöohjeiden antamisen, muutosehdotustyövirtojen käännöstyökaluihin liittämisen ja hankehallintatoimiston perustamisen myötä;</w:t>
      </w:r>
    </w:p>
    <w:p w14:paraId="46C80856" w14:textId="77777777" w:rsidR="003F573B" w:rsidRPr="003F573B" w:rsidRDefault="003F573B" w:rsidP="005404A6">
      <w:pPr>
        <w:pStyle w:val="NormalHanging12a"/>
        <w:widowControl/>
      </w:pPr>
      <w:r w:rsidRPr="003F573B">
        <w:t>46.</w:t>
      </w:r>
      <w:r w:rsidRPr="003F573B">
        <w:tab/>
        <w:t xml:space="preserve">panee vuosikertomuksesta merkille komitean toimet henkilötietojen suojan ja niiden käsittelyn alalla; panee merkille, että vuonna 2023 komitea loi rekisteristään uuden verkkoversion ja alueiden komitean kanssa uuden yhteisen rekisterin, jossa ensin mainitulla oli 121 tietuetta ja jälkimmäisellä 25 tietuetta vuoden 2023 lopussa; panee lisäksi merkille, että komitea hyväksyi vuonna 2023 uuden menettelyn tietoturvaloukkausten käsittelemiseksi, julkaisi tietosuojaoppaan ja toteutti useita henkilöstölle ja jäsenille suunnattuja tiedotusaloitteita; panee lopuksi merkille, että Euroopan tietosuojavaltuutettu käynnisti vuonna 2023 yhden tutkimuksen, joka koski ulkoisen tarkastuksen hallinnointia, ja jatkoi vanhempaa tutkimusta, joka koski pilvipalvelujen käyttöä unionin toimielimissä </w:t>
      </w:r>
      <w:proofErr w:type="spellStart"/>
      <w:r w:rsidRPr="003F573B">
        <w:t>Cloud</w:t>
      </w:r>
      <w:proofErr w:type="spellEnd"/>
      <w:r w:rsidRPr="003F573B">
        <w:t xml:space="preserve"> II -sopimusten nojalla, ja että molempien tutkimusten päätelmiä odotetaan edelleen; kehottaa komiteaa tiedottamaan vastuuvapauden myöntävälle viranomaiselle näiden asioiden etenemisestä;</w:t>
      </w:r>
    </w:p>
    <w:p w14:paraId="02F4A503" w14:textId="77777777" w:rsidR="003F573B" w:rsidRPr="003F573B" w:rsidRDefault="003F573B" w:rsidP="005404A6">
      <w:pPr>
        <w:pStyle w:val="NormalHanging12a"/>
        <w:widowControl/>
      </w:pPr>
      <w:r w:rsidRPr="003F573B">
        <w:t>47.</w:t>
      </w:r>
      <w:r w:rsidRPr="003F573B">
        <w:tab/>
        <w:t>panee merkille, että komitea sai vuonna 2023 päätökseen hankkeensa, jossa ajantasaistettiin sen kaikkien kokoushuoneiden laitteistoa ja jonka myötä 14 kokoushuonetta varustettiin lisäksi teknologialla, jonka ansiosta niissä on täydet valmiudet hybridikokouksia varten; antaa tunnustusta sille, että vuonna 2023 komitea toteutti kaikki arvoltaan suuriin sopimuksiin liittyvät hankintamenettelyt täysin digitalisoidusti, käytti hyväksyttyä sähköistä allekirjoitusta kaikentyyppisten sopimusten allekirjoittamisessa ja tarjosi henkilöstölle koulutusta julkisten hankintojen hallinnointivälineen ja rahoitus- ja tarjouskilpailuportaalin käyttöön siirtymistä varten;</w:t>
      </w:r>
    </w:p>
    <w:p w14:paraId="7E6B086D" w14:textId="77777777" w:rsidR="003F573B" w:rsidRPr="003F573B" w:rsidRDefault="003F573B" w:rsidP="005404A6">
      <w:pPr>
        <w:pStyle w:val="NormalHanging12a"/>
        <w:widowControl/>
      </w:pPr>
      <w:r w:rsidRPr="003F573B">
        <w:t>48.</w:t>
      </w:r>
      <w:r w:rsidRPr="003F573B">
        <w:tab/>
        <w:t xml:space="preserve">antaa komitealle tunnustusta sen konkreettisista toimista vuonna 2023 sen varmistamiseksi, että komitean henkilöstöllä on tarvittavat digitaaliset taidot työympäristön digitalisaation lisääntyessä; panee tässä yhteydessä merkille toimet, kuten pienimuotoiset hackathon-tapahtumat, jotka järjestettiin </w:t>
      </w:r>
      <w:proofErr w:type="spellStart"/>
      <w:r w:rsidRPr="003F573B">
        <w:t>AK:n</w:t>
      </w:r>
      <w:proofErr w:type="spellEnd"/>
      <w:r w:rsidRPr="003F573B">
        <w:t xml:space="preserve"> kanssa perustetun vertaisverkoston puitteissa edistämään yhteistyöhön perustuvien digitaalisten välineiden parempaa käyttöä ja tuntemusta sekä vertaisvalmennusta ja kokemusten vaihtoa; panee merkille, että näiden toimien tulokset on sisällytetty komitean koulutustarjontaan;</w:t>
      </w:r>
    </w:p>
    <w:p w14:paraId="6B2F4179" w14:textId="77777777" w:rsidR="003F573B" w:rsidRPr="003F573B" w:rsidRDefault="003F573B" w:rsidP="005404A6">
      <w:pPr>
        <w:pStyle w:val="NormalHanging12a"/>
        <w:widowControl/>
      </w:pPr>
      <w:r w:rsidRPr="003F573B">
        <w:t>49.</w:t>
      </w:r>
      <w:r w:rsidRPr="003F573B">
        <w:tab/>
        <w:t>panee merkille, että lokakuussa 2023 hyväksyttiin tekoälyn käyttöä koskevat ohjeet henkilöstön jäsenille, että kaikille henkilöstön jäsenille järjestettiin tiedotustilaisuus, jossa korostettiin tekoälyn mahdollisuuksia ja haasteita, ja että henkilöstön jäsenten tietämystä pyrittiin lisäämään komitean intranetissä julkaistujen faktapohjaisten artikkeleiden avulla;</w:t>
      </w:r>
    </w:p>
    <w:p w14:paraId="0EEFA3E4" w14:textId="77777777" w:rsidR="003F573B" w:rsidRPr="003F573B" w:rsidRDefault="003F573B" w:rsidP="005404A6">
      <w:pPr>
        <w:pStyle w:val="NormalHanging12a"/>
        <w:widowControl/>
      </w:pPr>
      <w:r w:rsidRPr="003F573B">
        <w:t>50.</w:t>
      </w:r>
      <w:r w:rsidRPr="003F573B">
        <w:tab/>
        <w:t xml:space="preserve">panee merkille, että sekä komiteassa että </w:t>
      </w:r>
      <w:proofErr w:type="spellStart"/>
      <w:r w:rsidRPr="003F573B">
        <w:t>AK:ssa</w:t>
      </w:r>
      <w:proofErr w:type="spellEnd"/>
      <w:r w:rsidRPr="003F573B">
        <w:t xml:space="preserve"> jatkettiin vuonna 2023 NIST-kyberturvallisuuskehyksen käyttöönottoa ja soveltamista, ja kyseisenä vuonna toteutetuissa toimissa keskityttiin tiettyihin kyseisen kehyksen periaatteisiin eli suojaamiseen ja havaitsemiseen; panee merkille, että häiriöiden lieventämisstrategiat pannaan täytäntöön käyttämällä apuna </w:t>
      </w:r>
      <w:proofErr w:type="spellStart"/>
      <w:r w:rsidRPr="003F573B">
        <w:t>Essential</w:t>
      </w:r>
      <w:proofErr w:type="spellEnd"/>
      <w:r w:rsidRPr="003F573B">
        <w:t xml:space="preserve"> </w:t>
      </w:r>
      <w:proofErr w:type="spellStart"/>
      <w:r w:rsidRPr="003F573B">
        <w:t>Eight</w:t>
      </w:r>
      <w:proofErr w:type="spellEnd"/>
      <w:r w:rsidRPr="003F573B">
        <w:t xml:space="preserve"> ‑kyberturvallisuuskehystä; panee lisäksi merkille, että vuonna 2023 komiteaan ei kohdistunut kyberhyökkäyksiä, mutta joillekin komitean ulkoisesti ylläpidetyille organisaatioverkkosivustoille tehtiin lyhytkestoisia palvelunestohyökkäyksiä vuoden 2022 lopussa ja vuoden 2024 alussa;</w:t>
      </w:r>
    </w:p>
    <w:p w14:paraId="1A6F08B8" w14:textId="77777777" w:rsidR="003F573B" w:rsidRPr="003F573B" w:rsidRDefault="003F573B" w:rsidP="005404A6">
      <w:pPr>
        <w:pStyle w:val="NormalHanging12a"/>
        <w:widowControl/>
      </w:pPr>
      <w:r w:rsidRPr="003F573B">
        <w:lastRenderedPageBreak/>
        <w:t>51.</w:t>
      </w:r>
      <w:r w:rsidRPr="003F573B">
        <w:tab/>
        <w:t xml:space="preserve">kehottaa </w:t>
      </w:r>
      <w:proofErr w:type="spellStart"/>
      <w:r w:rsidRPr="003F573B">
        <w:t>ETSK:ta</w:t>
      </w:r>
      <w:proofErr w:type="spellEnd"/>
      <w:r w:rsidRPr="003F573B">
        <w:t xml:space="preserve"> lisäämään kyberturvallisuusmäärärahojaan vähintään kymmeneen prosenttiin kaikista tietotekniikkamenoistaan EU:n kyberturvallisuusdirektiivien mukaisesti, jotta voidaan varmistaa, että kyberuhkilta suojaudutaan paremmin, erityisesti toimintapolitiikkaan ja talousarvioon liittyvien arkaluonteisten tietojen suojaamiseksi;</w:t>
      </w:r>
    </w:p>
    <w:p w14:paraId="30AE38BC" w14:textId="77777777" w:rsidR="003F573B" w:rsidRPr="003F573B" w:rsidRDefault="003F573B" w:rsidP="005404A6">
      <w:pPr>
        <w:pStyle w:val="NormalHanging12a"/>
        <w:widowControl/>
        <w:rPr>
          <w:b/>
          <w:iCs/>
        </w:rPr>
      </w:pPr>
      <w:r w:rsidRPr="003F573B">
        <w:rPr>
          <w:b/>
          <w:iCs/>
        </w:rPr>
        <w:t>Kiinteistöt</w:t>
      </w:r>
    </w:p>
    <w:p w14:paraId="26C35F7D" w14:textId="77777777" w:rsidR="003F573B" w:rsidRPr="003F573B" w:rsidRDefault="003F573B" w:rsidP="005404A6">
      <w:pPr>
        <w:pStyle w:val="NormalHanging12a"/>
        <w:widowControl/>
      </w:pPr>
      <w:r w:rsidRPr="003F573B">
        <w:t>52.</w:t>
      </w:r>
      <w:r w:rsidRPr="003F573B">
        <w:tab/>
        <w:t xml:space="preserve">ilmoittaa vastaanottaneensa komitean 3. kesäkuuta 2024 päivätyn kertomuksen, jossa vastuuvapauden myöntävälle viranomaiselle ilmoitetaan komitean kiinteistöpolitiikasta unionin varainhoitoasetuksen 266 artiklan 1 kohdan mukaisesti; panee tyytyväisenä merkille, että komitea saavutti yhdessä </w:t>
      </w:r>
      <w:proofErr w:type="spellStart"/>
      <w:r w:rsidRPr="003F573B">
        <w:t>AK:n</w:t>
      </w:r>
      <w:proofErr w:type="spellEnd"/>
      <w:r w:rsidRPr="003F573B">
        <w:t xml:space="preserve"> kanssa yhden vuoden 2017 kiinteistöstrategiansa tärkeimmistä tavoitteista, joka koski rakennusten maantieteellistä keskittämistä; panee lisäksi merkille, että tämä on jo saanut aikaan säästöjä, koska koko VMA-rakennuksen vuokraaminen on ollut edullisempaa kuin aiemmin vuokrattujen kolmen rakennuksen vuokrakustannukset; on siinä käsityksessä, että nämä säästöt ovat noin 1,8 miljoonaa euroa, mikä vastaa kyseisen kertomuksen mukaan B100-rakennuksesta maksettua vuokraa; panee merkille, että komitea valmistelee parhaillaan vuoden 2017 pitkän aikavälin kiinteistöstrategiansa päivittämistä ja että tämä työ on määrä saattaa päätökseen vuoden 2025 loppuun mennessä; kehottaa komiteaa tiedottamaan vastuuvapauden myöntävälle viranomaiselle näiden toimien tuloksista;</w:t>
      </w:r>
    </w:p>
    <w:p w14:paraId="3032F40F" w14:textId="77777777" w:rsidR="003F573B" w:rsidRPr="003F573B" w:rsidRDefault="003F573B" w:rsidP="005404A6">
      <w:pPr>
        <w:pStyle w:val="NormalHanging12a"/>
        <w:widowControl/>
      </w:pPr>
      <w:r w:rsidRPr="003F573B">
        <w:t>53.</w:t>
      </w:r>
      <w:r w:rsidRPr="003F573B">
        <w:tab/>
        <w:t>pitää myönteisenä, että äskettäin hankitun VMA-rakennuksen peruskorjaus (kunnostustyöt) on saatettu päätökseen, ja sen yhteydessä asennettiin älykkäitä energiaa säästäviä teknologiaratkaisuja; kannattaa komitean suunnitelmaa tehdä teknisiä ja ympäristöauditointeja kaikissa rakennuksissaan, ja ottaa huomioon, että näiden tarkastusten myötä olisi voitava tunnistaa kaikki tekniset laitteistot ja rakennusten osat, jotka on kunnostettava kokonaan tai osittain tai jotka voidaan säilyttää sellaisinaan, mikä vastaa Euroopan vihreän kehityksen ohjelman tavoitteita; kehottaa komiteaa tiedottamaan vastuuvapauden myöntävälle viranomaiselle näiden tarkastusten tuloksista ja niiden jatkotoimista;</w:t>
      </w:r>
    </w:p>
    <w:p w14:paraId="2DC9BF63" w14:textId="77777777" w:rsidR="003F573B" w:rsidRPr="003F573B" w:rsidRDefault="003F573B" w:rsidP="005404A6">
      <w:pPr>
        <w:pStyle w:val="NormalHanging12a"/>
        <w:widowControl/>
      </w:pPr>
      <w:r w:rsidRPr="003F573B">
        <w:t>54.</w:t>
      </w:r>
      <w:r w:rsidRPr="003F573B">
        <w:tab/>
        <w:t>panee merkille, että vuonna 2022 perustettu uusia työskentelytapoja käsittelevä työryhmä julkaisi vuonna 2023 ensimmäisen ennusteensa, jossa keskityttiin käytettävissä oleviin toimistotiloihin ja optimointimahdollisuuksiin; panee merkille komitean suunnitelman jatkaa tätä hanketta osallistavalla prosessilla, jossa henkilöstön jäsenet suunnittelevat yhdessä tulevia työtiloja; kehottaa komiteaa tiedottamaan vastuuvapauden myöntävälle viranomaiselle tässä asiassa tapahtuvasta edistyksestä;</w:t>
      </w:r>
    </w:p>
    <w:p w14:paraId="2FC00DEF" w14:textId="77777777" w:rsidR="003F573B" w:rsidRPr="003F573B" w:rsidRDefault="003F573B" w:rsidP="005404A6">
      <w:pPr>
        <w:pStyle w:val="NormalHanging12a"/>
        <w:widowControl/>
      </w:pPr>
      <w:r w:rsidRPr="003F573B">
        <w:t>55.</w:t>
      </w:r>
      <w:r w:rsidRPr="003F573B">
        <w:tab/>
        <w:t xml:space="preserve">suhtautuu myönteisesti komitean ja </w:t>
      </w:r>
      <w:proofErr w:type="spellStart"/>
      <w:r w:rsidRPr="003F573B">
        <w:t>AK:n</w:t>
      </w:r>
      <w:proofErr w:type="spellEnd"/>
      <w:r w:rsidRPr="003F573B">
        <w:t xml:space="preserve"> sitoumukseen soveltaa järjestelmällisesti kaikkien käyttäjien tarpeet huomioon ottavan suunnittelun periaatetta infrastruktuuriinsa, millä varmistetaan rakennusten lähtökohtainen esteettömyys; panee merkille, että komiteat toteuttivat vuonna 2023 erilaisia toimenpiteitä varmistaakseen rakennustensa esteettömyyden henkilöille, joilla on erilaisia rajoitteita, muun muassa uudistamalla JDE-rakennuksen hissit;</w:t>
      </w:r>
    </w:p>
    <w:p w14:paraId="75E362E9" w14:textId="77777777" w:rsidR="003F573B" w:rsidRPr="003F573B" w:rsidRDefault="003F573B" w:rsidP="005404A6">
      <w:pPr>
        <w:pStyle w:val="NormalHanging12a"/>
        <w:widowControl/>
        <w:rPr>
          <w:b/>
          <w:iCs/>
        </w:rPr>
      </w:pPr>
      <w:r w:rsidRPr="003F573B">
        <w:rPr>
          <w:b/>
          <w:iCs/>
        </w:rPr>
        <w:t>Ympäristö ja kestävä kehitys</w:t>
      </w:r>
    </w:p>
    <w:p w14:paraId="2F5683B9" w14:textId="77777777" w:rsidR="003F573B" w:rsidRPr="003F573B" w:rsidRDefault="003F573B" w:rsidP="005404A6">
      <w:pPr>
        <w:pStyle w:val="NormalHanging12a"/>
        <w:widowControl/>
      </w:pPr>
      <w:r w:rsidRPr="003F573B">
        <w:t>56.</w:t>
      </w:r>
      <w:r w:rsidRPr="003F573B">
        <w:tab/>
        <w:t xml:space="preserve">suhtautuu myönteisesti komitean vihreisiin käytäntöihin ja on tyytyväinen kaasun-, sähkön- ja vedenkulutuksen sekä hiilipäästöjen vähentämiseen entisestään ja kierrätysasteen nostamiseen komiteassa vuonna 2023 vuoteen 2019 verrattuna; panee </w:t>
      </w:r>
      <w:r w:rsidRPr="003F573B">
        <w:lastRenderedPageBreak/>
        <w:t>merkille, että jätemäärä lisääntyi hieman vuonna 2023, samalla kun lähityö toimistolla lisääntyi, sillä jätemäärä oli vuonna 2022 66 prosenttia alhaisempi kuin vuonna 2019 mutta vuonna 2023 vain 56 prosenttia alhaisempi;</w:t>
      </w:r>
    </w:p>
    <w:p w14:paraId="25082C72" w14:textId="77777777" w:rsidR="003F573B" w:rsidRPr="003F573B" w:rsidRDefault="003F573B" w:rsidP="005404A6">
      <w:pPr>
        <w:pStyle w:val="NormalHanging12a"/>
        <w:widowControl/>
      </w:pPr>
      <w:r w:rsidRPr="003F573B">
        <w:t>57.</w:t>
      </w:r>
      <w:r w:rsidRPr="003F573B">
        <w:tab/>
        <w:t>panee merkille, että energiansäästö ja päästövähennykset on saavutettu investoimalla innovatiivisiin energiatehokkaisiin rakennusratkaisuihin, mukaan lukien VMA-rakennukseen asennetut älykkäät energiaa säästävät teknologiat, ostamalla 100-prosenttisesti vihreää sähköä, ottamalla käyttöön (mukautetut) ympäristökriteerit kaikissa 60 000 euron arvoisissa tarjouskilpailumenettelyissä sekä käyttämällä paperittomia työnkulkuja ja toteuttamalla muita toimenpiteitä, kuten lyhentämällä valaistuksen käyttöaikoja, alentamalla talviajan viitelämpötilaa 19 asteeseen kaikissa rakennuksissa tai sulkemalla rakennukset kokonaan aikoina, jolloin henkilöstöä on paikalla vain vähän; panee merkille, että komitean energiankulutus on vähentynyt 3,4 prosenttia, mistä saavutettu taloudellinen hyöty on 65 395 euroa;</w:t>
      </w:r>
    </w:p>
    <w:p w14:paraId="459DDBE5" w14:textId="77777777" w:rsidR="003F573B" w:rsidRPr="003F573B" w:rsidRDefault="003F573B" w:rsidP="005404A6">
      <w:pPr>
        <w:pStyle w:val="NormalHanging12a"/>
        <w:widowControl/>
      </w:pPr>
      <w:r w:rsidRPr="003F573B">
        <w:t>58.</w:t>
      </w:r>
      <w:r w:rsidRPr="003F573B">
        <w:tab/>
        <w:t>panee seurantakertomuksesta merkille, että äskettäin kunnostettuun VMA-rakennukseen asennetut älykkäät energiansäästöteknologiat auttoivat vähentämään komitean energiankulutusta (kaasu ja sähkö) 20–30 prosenttia vuonna 2023; kehottaa kuitenkin jälleen komiteaa tiedottamaan vastuuvapauden myöntävälle viranomaiselle VMA-rakennukseen asennettuun teknologiaan investoimisen tuotosta;</w:t>
      </w:r>
    </w:p>
    <w:p w14:paraId="5409A8CC" w14:textId="77777777" w:rsidR="003F573B" w:rsidRPr="003F573B" w:rsidRDefault="003F573B" w:rsidP="005404A6">
      <w:pPr>
        <w:pStyle w:val="NormalHanging12a"/>
        <w:widowControl/>
      </w:pPr>
      <w:r w:rsidRPr="003F573B">
        <w:t>59.</w:t>
      </w:r>
      <w:r w:rsidRPr="003F573B">
        <w:tab/>
        <w:t>pitää myönteisenä, että komitea on hyväksynyt energiansäästöstrategian, johon sisältyy lyhyen, keskipitkän ja pitkän aikavälin toimenpiteitä; panee tässä yhteydessä merkille, että komitea aloitti kaikkien rakennustensa ympäristöauditoinnin määrittääkseen muun muassa nykyisten rakenteiden ja laitteiden energiatehokkuuden tason ja arvioidakseen tarvittavien investointien ekologisen edun verrattuna kokonaiskustannuksiin (kunnossapito, kulutus jne.) 30 vuoden aikana; panee lisäksi merkille, että energiatehokkuustoimenpiteitä koskevia tutkimuksia on suunnitteilla vuosiksi 2024 ja 2025; kehottaa komiteaa tiedottamaan vastuuvapauden myöntävälle viranomaiselle näissä asioissa saavutetusta edistyksestä;</w:t>
      </w:r>
    </w:p>
    <w:p w14:paraId="119D7454" w14:textId="77777777" w:rsidR="003F573B" w:rsidRPr="003F573B" w:rsidRDefault="003F573B" w:rsidP="005404A6">
      <w:pPr>
        <w:pStyle w:val="NormalHanging12a"/>
        <w:widowControl/>
      </w:pPr>
      <w:r w:rsidRPr="003F573B">
        <w:t>60.</w:t>
      </w:r>
      <w:r w:rsidRPr="003F573B">
        <w:tab/>
        <w:t>palauttaa mieliin, että vuonna 2022 komitean aurinkopaneelien sähköntuotto oli 15,5 megawattituntia eli 0,25 prosenttia komitean vuotuisesta kulutuksesta, kun vuonna 2023 tuotto laski 5,75 megawattituntiin; panee kyselyn perusteella tyytyväisenä merkille, että komitea näyttää esimerkkiä kestävää liikkuvuutta edistävissä toimenpiteissä ja toimissa;</w:t>
      </w:r>
    </w:p>
    <w:p w14:paraId="6084624D" w14:textId="77777777" w:rsidR="003F573B" w:rsidRPr="003F573B" w:rsidRDefault="003F573B" w:rsidP="005404A6">
      <w:pPr>
        <w:pStyle w:val="NormalHanging12a"/>
        <w:widowControl/>
        <w:rPr>
          <w:b/>
          <w:iCs/>
        </w:rPr>
      </w:pPr>
      <w:r w:rsidRPr="003F573B">
        <w:rPr>
          <w:b/>
          <w:iCs/>
        </w:rPr>
        <w:t>Toimielinten välinen yhteistyö</w:t>
      </w:r>
    </w:p>
    <w:p w14:paraId="51BC0F1F" w14:textId="77777777" w:rsidR="003F573B" w:rsidRPr="003F573B" w:rsidRDefault="003F573B" w:rsidP="005404A6">
      <w:pPr>
        <w:pStyle w:val="NormalHanging12a"/>
        <w:widowControl/>
      </w:pPr>
      <w:r w:rsidRPr="003F573B">
        <w:t>61.</w:t>
      </w:r>
      <w:r w:rsidRPr="003F573B">
        <w:tab/>
        <w:t xml:space="preserve">on tyytyväinen komitean ja </w:t>
      </w:r>
      <w:proofErr w:type="spellStart"/>
      <w:r w:rsidRPr="003F573B">
        <w:t>AK:n</w:t>
      </w:r>
      <w:proofErr w:type="spellEnd"/>
      <w:r w:rsidRPr="003F573B">
        <w:t xml:space="preserve"> väliseen tiiviiseen hallinnolliseen yhteistyöhön, joka perustuu vuonna 2022 allekirjoitettuun uuteen yhteistyösopimukseen komiteoiden yhteisistä toimitiloista ja palveluista kääntämisen, infrastruktuurin, logistiikan, turvallisuuden, hankintojen, varainhoidon ja tietotekniikan aloilla, samalla kun ne säilyttävät täyden institutionaalisen riippumattomuuden; on tyytyväinen vuoden 2023 myönteiseen kehitykseen, kun komiteat sopivat yhteisen viestintäalueen kehittämisestä ja rahoituksesta sekä yhteisistä </w:t>
      </w:r>
      <w:proofErr w:type="spellStart"/>
      <w:r w:rsidRPr="003F573B">
        <w:t>audiovisuaalitiloista</w:t>
      </w:r>
      <w:proofErr w:type="spellEnd"/>
      <w:r w:rsidRPr="003F573B">
        <w:t xml:space="preserve"> JDE-rakennuksessa; pyytää komiteaa yksilöimään kyseisen sopimuksen ensimmäisen täytäntöönpanovuoden aikana </w:t>
      </w:r>
      <w:proofErr w:type="spellStart"/>
      <w:r w:rsidRPr="003F573B">
        <w:t>audiovisuaalitoimintojen</w:t>
      </w:r>
      <w:proofErr w:type="spellEnd"/>
      <w:r w:rsidRPr="003F573B">
        <w:t xml:space="preserve"> alalla saavutetut talousarviosäästöt ja tiedottamaan niistä parlamentille; kehottaa jälleen komiteaa jatkamaan ja laajentamaan tätä yhteistyötä muilla aloilla päällekkäisyyksien välttämiseksi ja komitean ja alueiden komitean yhteisissä tiloissa tarjottavien palvelujen toimintakustannusten järkeistämiseksi edelleen; kehottaa komiteaa ja alueiden komiteaa tutkimaan mahdollisuutta perustaa </w:t>
      </w:r>
      <w:r w:rsidRPr="003F573B">
        <w:lastRenderedPageBreak/>
        <w:t>yhteispalveluilleen yhteinen hallintorakenne, jossa olisi erilliset osastot tai yksiköt niiden erityisiin ja riippumattomiin toimeksiantoihin liittyville asioille; kannustaa komiteaa ja alueiden komiteaa jatkamaan ponnistelujaan yhteistyön ja synergioiden kehittämiseksi edelleen;</w:t>
      </w:r>
    </w:p>
    <w:p w14:paraId="369CE85C" w14:textId="77777777" w:rsidR="003F573B" w:rsidRPr="003F573B" w:rsidRDefault="003F573B" w:rsidP="005404A6">
      <w:pPr>
        <w:pStyle w:val="NormalHanging12a"/>
        <w:widowControl/>
      </w:pPr>
      <w:r w:rsidRPr="003F573B">
        <w:t>62.</w:t>
      </w:r>
      <w:r w:rsidRPr="003F573B">
        <w:tab/>
        <w:t>panee merkille, että budjettisäästöjä ja tehokkuushyötyjä saavutettiin edelleen vuonna 2023 komitean ja muiden unionin toimielinten välisellä aktiivisella yhteistyöllä muun muassa järjestämällä komitean täysistunnot komission ja parlamentin tiloissa, joissa tiloja ja niihin liittyviä palveluja tarjotaan joko maksutta tai ulkoisia markkinahintoja alhaisemmilla hinnoilla;</w:t>
      </w:r>
    </w:p>
    <w:p w14:paraId="3C8AF1EE" w14:textId="77777777" w:rsidR="003F573B" w:rsidRPr="003F573B" w:rsidRDefault="003F573B" w:rsidP="005404A6">
      <w:pPr>
        <w:pStyle w:val="NormalHanging12a"/>
        <w:widowControl/>
      </w:pPr>
      <w:r w:rsidRPr="003F573B">
        <w:t>63.</w:t>
      </w:r>
      <w:r w:rsidRPr="003F573B">
        <w:tab/>
        <w:t>panee tyytyväisenä merkille, että komitea ja parlamentti neuvottelivat uudelleen vuonna 2023 ja allekirjoittivat vuonna 2024 toimielinten välisen sopimuksensa, jonka tavoitteena on parantaa lausuntojen merkityksellisyyttä ja ajoitusta koko lainsäädäntösyklin ajan ja vahvistaa kahdenvälistä yhteistyötä; pitää myönteisenä, että vuonna 2022 allekirjoitettu komitean ja komission välinen uusi yhteistyöpöytäkirja on jo parantanut komitean mahdollisuutta vaikuttaa esimerkiksi lainsäädännön valmisteluvaiheessa valmistelevien lausuntojen avulla; kannustaa vahvistamaan edelleen komitean ja parlamentin välisiä poliittisia, lainsäädännöllisiä ja viestintään liittyviä synergioita erityisesti eurooppalaisen kansalaisaloitteen ja eurooppalaisen ohjausjakson yhteydessä;</w:t>
      </w:r>
    </w:p>
    <w:p w14:paraId="39700F81" w14:textId="77777777" w:rsidR="003F573B" w:rsidRPr="003F573B" w:rsidRDefault="003F573B" w:rsidP="005404A6">
      <w:pPr>
        <w:pStyle w:val="NormalHanging12a"/>
        <w:widowControl/>
      </w:pPr>
      <w:r w:rsidRPr="003F573B">
        <w:t>64.</w:t>
      </w:r>
      <w:r w:rsidRPr="003F573B">
        <w:tab/>
        <w:t>ilmaisee jälleen tyytyväisyytensä tiettyjen palvelujen ulkoistamiseen komissiolle (yksikön tason sopimuksilla) henkilöstöhallinnon käsittelytehtävien sekä varainhoidon ja henkilöstöhallinnon tietoteknisten välineiden käytön aloilla samoin kuin komitean osallistumiseen muiden toimielinten johtamiin toimielinten välisiin hankintamenettelyihin, joissa komitea hyötyi myös vuonna 2023 synergiavaikutuksista tietotekniikan, työmatkojen, vakuutusten, kuljetuspalvelujen, kääntämisen ja audiovisuaalisten laitteiden aloilla;</w:t>
      </w:r>
    </w:p>
    <w:p w14:paraId="1B0F8BC0" w14:textId="77777777" w:rsidR="003F573B" w:rsidRPr="003F573B" w:rsidRDefault="003F573B" w:rsidP="005404A6">
      <w:pPr>
        <w:pStyle w:val="NormalHanging12a"/>
        <w:widowControl/>
      </w:pPr>
      <w:r w:rsidRPr="003F573B">
        <w:t>65.</w:t>
      </w:r>
      <w:r w:rsidRPr="003F573B">
        <w:tab/>
        <w:t>panee merkille komitean roolin yhteyksien vahvistamisessa jäsenvaltioiden kansallisten talous- ja sosiaalineuvostojen kanssa ja niiden välillä; panee kyselyn perusteella merkille toimenpiteet, joita komitea on toteuttanut vahvistaakseen kansallisten talous- ja sosiaalineuvostojen verkostoa ja sen online-yhteisöä, muun muassa perustamalla yhteisiä työryhmiä ja vaihto-ohjelmia, kehittämällä yhteistyöpohjaisen tietoteknisen alustan ja osallistumalla yhteisiin tapahtumiin; kehottaa jatkamaan yhteistyötä yhteistä etua koskevissa kysymyksissä ja vaihtamaan hyviä käytäntöjä korostaen kansalaisyhteiskunnan keskeistä roolia unionin nykyisiin haasteisiin vastaamisessa;</w:t>
      </w:r>
    </w:p>
    <w:p w14:paraId="3E710DF5" w14:textId="77777777" w:rsidR="003F573B" w:rsidRPr="003F573B" w:rsidRDefault="003F573B" w:rsidP="005404A6">
      <w:pPr>
        <w:pStyle w:val="NormalHanging12a"/>
        <w:widowControl/>
        <w:rPr>
          <w:b/>
          <w:iCs/>
        </w:rPr>
      </w:pPr>
      <w:r w:rsidRPr="003F573B">
        <w:rPr>
          <w:b/>
          <w:iCs/>
        </w:rPr>
        <w:t>Viestintä</w:t>
      </w:r>
    </w:p>
    <w:p w14:paraId="1231353E" w14:textId="77777777" w:rsidR="003F573B" w:rsidRPr="003F573B" w:rsidRDefault="003F573B" w:rsidP="005404A6">
      <w:pPr>
        <w:pStyle w:val="NormalHanging12a"/>
        <w:widowControl/>
      </w:pPr>
      <w:r w:rsidRPr="003F573B">
        <w:t>66.</w:t>
      </w:r>
      <w:r w:rsidRPr="003F573B">
        <w:tab/>
        <w:t>panee merkille, että komitean viestinnän kokonaisbudjetti vuonna 2023 oli 2,15 miljoonaa euroa, mikä on enemmän kuin 1,5 miljoonaa euroa vuonna 2022; panee merkille, että määrärahat osoitettiin pääasiassa vuonna 2023 järjestettyihin neljään lippulaivatapahtumaan (eurooppalainen kansalaisaloite, Sinun Eurooppasi, sinun mielipiteesi, EU:n luomupalkintokilpailu ja 14. kansalaisyhteiskuntapalkinto), komitean sosiaalisen median, ulkoisen verkkosivuston ja audiovisuaalisen tuotannon parantamiseen ja/tai uudistamiseen sekä media- ja lehtijulkaisuihin; antaa komitealle tunnustusta sen viestintätoimista, joilla viestittiin keskeisistä aiheista vuonna 2023, kuten sinisen kehityksen ohjelmaa koskevasta aloitteesta, COP28-kokouksesta, demokratiaa koskevasta päätöslauselmasta ja komitean 65:stä vuosipäivästä;</w:t>
      </w:r>
    </w:p>
    <w:p w14:paraId="04D438B6" w14:textId="77777777" w:rsidR="003F573B" w:rsidRPr="003F573B" w:rsidRDefault="003F573B" w:rsidP="005404A6">
      <w:pPr>
        <w:pStyle w:val="NormalHanging12a"/>
        <w:widowControl/>
      </w:pPr>
      <w:r w:rsidRPr="003F573B">
        <w:lastRenderedPageBreak/>
        <w:t>67.</w:t>
      </w:r>
      <w:r w:rsidRPr="003F573B">
        <w:tab/>
        <w:t>antaa komitealle tunnustusta sen strategiseen viestintään liittyvästä työstä vuonna 2023; panee merkille, että komitea hyväksyi uuden viestintästrategian, jolla pyritään vahvistamaan sen julkisuuskuvaa ja tavoittavuutta; panee merkille, että osana tätä strategiaa komitea lähetti tärkeimmät tapahtumansa suoratoistona verkossa yleensä kaikilla unionin kielillä ja otti käyttöön uusia viestintävälineitä, kuten ”Tiedotus täysistunnosta” -videosarjan, keskitti viestintäresurssinsa komitean vuoden 2023 lippulaivatapahtumiin ja toteutti erityisiä toimia lisätäkseen näkyvyyttään sosiaalisessa mediassa;</w:t>
      </w:r>
    </w:p>
    <w:p w14:paraId="5C903F89" w14:textId="77777777" w:rsidR="003F573B" w:rsidRPr="003F573B" w:rsidRDefault="003F573B" w:rsidP="005404A6">
      <w:pPr>
        <w:pStyle w:val="NormalHanging12a"/>
        <w:widowControl/>
      </w:pPr>
      <w:r w:rsidRPr="003F573B">
        <w:t>68.</w:t>
      </w:r>
      <w:r w:rsidRPr="003F573B">
        <w:tab/>
        <w:t xml:space="preserve">kehottaa </w:t>
      </w:r>
      <w:proofErr w:type="spellStart"/>
      <w:r w:rsidRPr="003F573B">
        <w:t>ETSK:ta</w:t>
      </w:r>
      <w:proofErr w:type="spellEnd"/>
      <w:r w:rsidRPr="003F573B">
        <w:t xml:space="preserve"> tehostamaan työntekijöiden oikeuksia, sosiaalista osallisuutta ja ihmisoikeusloukkauksia koskevaa seurantaa ja raportointia EU:n rahoittamissa ohjelmissa ja varmistamaan vahvemman vastuullisuuden neuvoa-antavissa tehtävissään ja poliittisissa suosituksissaan;</w:t>
      </w:r>
    </w:p>
    <w:p w14:paraId="24E2450F" w14:textId="77777777" w:rsidR="003F573B" w:rsidRPr="003F573B" w:rsidRDefault="003F573B" w:rsidP="005404A6">
      <w:pPr>
        <w:pStyle w:val="NormalHanging12a"/>
        <w:widowControl/>
      </w:pPr>
      <w:r w:rsidRPr="003F573B">
        <w:t>69.</w:t>
      </w:r>
      <w:r w:rsidRPr="003F573B">
        <w:tab/>
        <w:t>panee merkille, että sosiaalisen median seuraajien määrä komitean käyttämillä alustoilla kasvoi vuonna 2023 merkittävästi, nimittäin 25 000 seuraajalla; panee merkille, että vuoden 2023 loppuun mennessä komitealla oli X:ssä 61 416 seuraajaa eli 5 prosenttia enemmän kuin vuonna 2022, 61 761 seuraajaa LinkedInissä eli 30 prosenttia enemmän kuin vuonna 2022, 46 868 seuraajaa Facebookissa eli 5,3 prosenttia enemmän kuin vuonna 2022 ja 17 428 seuraajaa Instagramissa eli 45 prosenttia enemmän kuin vuonna 2022;</w:t>
      </w:r>
    </w:p>
    <w:p w14:paraId="17802592" w14:textId="77777777" w:rsidR="003F573B" w:rsidRPr="003F573B" w:rsidRDefault="003F573B" w:rsidP="005404A6">
      <w:pPr>
        <w:pStyle w:val="NormalHanging12a"/>
        <w:widowControl/>
      </w:pPr>
      <w:r w:rsidRPr="003F573B">
        <w:t>70.</w:t>
      </w:r>
      <w:r w:rsidRPr="003F573B">
        <w:tab/>
        <w:t xml:space="preserve">panee tyytyväisenä merkille komitean myönteisen lähestymistavan avoimen lähdekoodin ratkaisujen käyttöön verkkoviestinnässään; panee merkille, että komitea avasi heinäkuussa 2023 ensimmäisen käyttäjätilinsä </w:t>
      </w:r>
      <w:proofErr w:type="spellStart"/>
      <w:r w:rsidRPr="003F573B">
        <w:t>Mastodon</w:t>
      </w:r>
      <w:proofErr w:type="spellEnd"/>
      <w:r w:rsidRPr="003F573B">
        <w:t xml:space="preserve">-pohjaisella EU Voice ‑alustalla; palauttaa mieliin, että kyseessä on hajautettu, ilmainen ja avoimen lähdekoodin sosiaalisen median verkosto, joka tuo käyttäjät yhteen yksityisyyttä korostavassa ja mainoksista vapaassa ympäristössä; panee merkille, että vuoden 2023 jälkipuoliskolla komitea käytti </w:t>
      </w:r>
      <w:proofErr w:type="spellStart"/>
      <w:r w:rsidRPr="003F573B">
        <w:t>Mastodon</w:t>
      </w:r>
      <w:proofErr w:type="spellEnd"/>
      <w:r w:rsidRPr="003F573B">
        <w:t>-tiliään aktiivisesti ja julkaisi jokaisena komitean työpäivänä viestejä, joissa se kertoi toiminnastaan ja painopisteistään sekä levitti tietoa unionista; panee merkille komitean päätöksen lopettaa toimintansa kyseisellä alustalla vuodesta 2024 alkaen.</w:t>
      </w:r>
    </w:p>
    <w:p w14:paraId="11B0ACB3" w14:textId="480C9098" w:rsidR="00E365E1" w:rsidRPr="0083561C" w:rsidRDefault="00E365E1" w:rsidP="005404A6">
      <w:pPr>
        <w:pStyle w:val="NormalHanging12a"/>
        <w:widowControl/>
      </w:pPr>
    </w:p>
    <w:sectPr w:rsidR="00E365E1" w:rsidRPr="0083561C" w:rsidSect="0083561C">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EC0FA" w14:textId="77777777" w:rsidR="00BC158E" w:rsidRPr="0083561C" w:rsidRDefault="00BC158E">
      <w:r w:rsidRPr="0083561C">
        <w:separator/>
      </w:r>
    </w:p>
  </w:endnote>
  <w:endnote w:type="continuationSeparator" w:id="0">
    <w:p w14:paraId="03290ABE" w14:textId="77777777" w:rsidR="00BC158E" w:rsidRPr="0083561C" w:rsidRDefault="00BC158E">
      <w:r w:rsidRPr="008356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C92C1" w14:textId="77777777" w:rsidR="00DA2209" w:rsidRPr="0083561C" w:rsidRDefault="00DA2209" w:rsidP="00B33B4C">
    <w:pPr>
      <w:pStyle w:val="EPFooter"/>
    </w:pPr>
    <w:r w:rsidRPr="0083561C">
      <w:t>PE</w:t>
    </w:r>
    <w:r w:rsidRPr="0083561C">
      <w:rPr>
        <w:rStyle w:val="HideTWBExt"/>
      </w:rPr>
      <w:t>&lt;</w:t>
    </w:r>
    <w:proofErr w:type="spellStart"/>
    <w:r w:rsidRPr="0083561C">
      <w:rPr>
        <w:rStyle w:val="HideTWBExt"/>
      </w:rPr>
      <w:t>NoPE</w:t>
    </w:r>
    <w:proofErr w:type="spellEnd"/>
    <w:r w:rsidRPr="0083561C">
      <w:rPr>
        <w:rStyle w:val="HideTWBExt"/>
      </w:rPr>
      <w:t>&gt;</w:t>
    </w:r>
    <w:r w:rsidRPr="0083561C">
      <w:t>764.993</w:t>
    </w:r>
    <w:r w:rsidRPr="0083561C">
      <w:rPr>
        <w:rStyle w:val="HideTWBExt"/>
      </w:rPr>
      <w:t>&lt;/</w:t>
    </w:r>
    <w:proofErr w:type="spellStart"/>
    <w:r w:rsidRPr="0083561C">
      <w:rPr>
        <w:rStyle w:val="HideTWBExt"/>
      </w:rPr>
      <w:t>NoPE</w:t>
    </w:r>
    <w:proofErr w:type="spellEnd"/>
    <w:r w:rsidRPr="0083561C">
      <w:rPr>
        <w:rStyle w:val="HideTWBExt"/>
      </w:rPr>
      <w:t>&gt;&lt;Version&gt;</w:t>
    </w:r>
    <w:r w:rsidRPr="0083561C">
      <w:t>v03-00</w:t>
    </w:r>
    <w:r w:rsidRPr="0083561C">
      <w:rPr>
        <w:rStyle w:val="HideTWBExt"/>
      </w:rPr>
      <w:t>&lt;/Version&gt;</w:t>
    </w:r>
    <w:r w:rsidRPr="0083561C">
      <w:tab/>
    </w:r>
    <w:r w:rsidRPr="0083561C">
      <w:fldChar w:fldCharType="begin"/>
    </w:r>
    <w:r w:rsidRPr="0083561C">
      <w:instrText xml:space="preserve"> PAGE  \* MERGEFORMAT </w:instrText>
    </w:r>
    <w:r w:rsidRPr="0083561C">
      <w:fldChar w:fldCharType="separate"/>
    </w:r>
    <w:r w:rsidRPr="0083561C">
      <w:rPr>
        <w:noProof/>
      </w:rPr>
      <w:t>18</w:t>
    </w:r>
    <w:r w:rsidRPr="0083561C">
      <w:fldChar w:fldCharType="end"/>
    </w:r>
    <w:r w:rsidRPr="0083561C">
      <w:t>/</w:t>
    </w:r>
    <w:r w:rsidR="009450B5">
      <w:fldChar w:fldCharType="begin"/>
    </w:r>
    <w:r w:rsidR="009450B5">
      <w:instrText xml:space="preserve"> NUMPAGES  \* MERGEFORMAT </w:instrText>
    </w:r>
    <w:r w:rsidR="009450B5">
      <w:fldChar w:fldCharType="separate"/>
    </w:r>
    <w:r w:rsidRPr="0083561C">
      <w:rPr>
        <w:noProof/>
      </w:rPr>
      <w:t>18</w:t>
    </w:r>
    <w:r w:rsidR="009450B5">
      <w:rPr>
        <w:noProof/>
      </w:rPr>
      <w:fldChar w:fldCharType="end"/>
    </w:r>
    <w:r w:rsidRPr="0083561C">
      <w:tab/>
    </w:r>
    <w:r w:rsidRPr="0083561C">
      <w:rPr>
        <w:rStyle w:val="HideTWBExt"/>
      </w:rPr>
      <w:t>&lt;PathFdR&gt;</w:t>
    </w:r>
    <w:r w:rsidRPr="0083561C">
      <w:t>RR\1318546FI.docx</w:t>
    </w:r>
    <w:r w:rsidRPr="0083561C">
      <w:rPr>
        <w:rStyle w:val="HideTWBExt"/>
      </w:rPr>
      <w:t>&lt;/</w:t>
    </w:r>
    <w:proofErr w:type="spellStart"/>
    <w:r w:rsidRPr="0083561C">
      <w:rPr>
        <w:rStyle w:val="HideTWBExt"/>
      </w:rPr>
      <w:t>PathFdR</w:t>
    </w:r>
    <w:proofErr w:type="spellEnd"/>
    <w:r w:rsidRPr="0083561C">
      <w:rPr>
        <w:rStyle w:val="HideTWBExt"/>
      </w:rPr>
      <w:t>&gt;</w:t>
    </w:r>
  </w:p>
  <w:p w14:paraId="6D56DC8A" w14:textId="77777777" w:rsidR="00DA2209" w:rsidRPr="0083561C" w:rsidRDefault="00DA2209" w:rsidP="00B33B4C">
    <w:pPr>
      <w:pStyle w:val="EPFooter2"/>
    </w:pPr>
    <w:r w:rsidRPr="0083561C">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6753D" w14:textId="77777777" w:rsidR="00DA2209" w:rsidRPr="0083561C" w:rsidRDefault="00DA2209" w:rsidP="00B33B4C">
    <w:pPr>
      <w:pStyle w:val="EPFooter"/>
    </w:pPr>
    <w:r w:rsidRPr="0083561C">
      <w:rPr>
        <w:rStyle w:val="HideTWBExt"/>
      </w:rPr>
      <w:t>&lt;PathFdR&gt;</w:t>
    </w:r>
    <w:r w:rsidRPr="0083561C">
      <w:t>RR\1318546FI.docx</w:t>
    </w:r>
    <w:r w:rsidRPr="0083561C">
      <w:rPr>
        <w:rStyle w:val="HideTWBExt"/>
      </w:rPr>
      <w:t>&lt;/</w:t>
    </w:r>
    <w:proofErr w:type="spellStart"/>
    <w:r w:rsidRPr="0083561C">
      <w:rPr>
        <w:rStyle w:val="HideTWBExt"/>
      </w:rPr>
      <w:t>PathFdR</w:t>
    </w:r>
    <w:proofErr w:type="spellEnd"/>
    <w:r w:rsidRPr="0083561C">
      <w:rPr>
        <w:rStyle w:val="HideTWBExt"/>
      </w:rPr>
      <w:t>&gt;</w:t>
    </w:r>
    <w:r w:rsidRPr="0083561C">
      <w:tab/>
    </w:r>
    <w:r w:rsidRPr="0083561C">
      <w:tab/>
      <w:t>PE</w:t>
    </w:r>
    <w:r w:rsidRPr="0083561C">
      <w:rPr>
        <w:rStyle w:val="HideTWBExt"/>
      </w:rPr>
      <w:t>&lt;</w:t>
    </w:r>
    <w:proofErr w:type="spellStart"/>
    <w:r w:rsidRPr="0083561C">
      <w:rPr>
        <w:rStyle w:val="HideTWBExt"/>
      </w:rPr>
      <w:t>NoPE</w:t>
    </w:r>
    <w:proofErr w:type="spellEnd"/>
    <w:r w:rsidRPr="0083561C">
      <w:rPr>
        <w:rStyle w:val="HideTWBExt"/>
      </w:rPr>
      <w:t>&gt;</w:t>
    </w:r>
    <w:r w:rsidRPr="0083561C">
      <w:t>764.993</w:t>
    </w:r>
    <w:r w:rsidRPr="0083561C">
      <w:rPr>
        <w:rStyle w:val="HideTWBExt"/>
      </w:rPr>
      <w:t>&lt;/</w:t>
    </w:r>
    <w:proofErr w:type="spellStart"/>
    <w:r w:rsidRPr="0083561C">
      <w:rPr>
        <w:rStyle w:val="HideTWBExt"/>
      </w:rPr>
      <w:t>NoPE</w:t>
    </w:r>
    <w:proofErr w:type="spellEnd"/>
    <w:r w:rsidRPr="0083561C">
      <w:rPr>
        <w:rStyle w:val="HideTWBExt"/>
      </w:rPr>
      <w:t>&gt;&lt;Version&gt;</w:t>
    </w:r>
    <w:r w:rsidRPr="0083561C">
      <w:t>v03-00</w:t>
    </w:r>
    <w:r w:rsidRPr="0083561C">
      <w:rPr>
        <w:rStyle w:val="HideTWBExt"/>
      </w:rPr>
      <w:t>&lt;/Version&gt;</w:t>
    </w:r>
  </w:p>
  <w:p w14:paraId="4B8C4D2C" w14:textId="77777777" w:rsidR="00DA2209" w:rsidRPr="0083561C" w:rsidRDefault="00DA2209" w:rsidP="00B33B4C">
    <w:pPr>
      <w:pStyle w:val="EPFooter2"/>
    </w:pPr>
    <w:r w:rsidRPr="0083561C">
      <w:t>FI</w:t>
    </w:r>
    <w:r w:rsidRPr="0083561C">
      <w:tab/>
    </w:r>
    <w:r w:rsidRPr="0083561C">
      <w:rPr>
        <w:b w:val="0"/>
        <w:i/>
        <w:color w:val="C0C0C0"/>
        <w:sz w:val="22"/>
      </w:rPr>
      <w:t>Moninaisuudessaan yhtenäinen</w:t>
    </w:r>
    <w:r w:rsidRPr="0083561C">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4489B" w14:textId="77777777" w:rsidR="00064002" w:rsidRPr="0083561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1E3FE" w14:textId="77777777" w:rsidR="00064002" w:rsidRPr="008356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8D91E" w14:textId="77777777" w:rsidR="00BC158E" w:rsidRPr="0083561C" w:rsidRDefault="00BC158E">
      <w:r w:rsidRPr="0083561C">
        <w:separator/>
      </w:r>
    </w:p>
  </w:footnote>
  <w:footnote w:type="continuationSeparator" w:id="0">
    <w:p w14:paraId="3642EC35" w14:textId="77777777" w:rsidR="00BC158E" w:rsidRPr="0083561C" w:rsidRDefault="00BC158E">
      <w:r w:rsidRPr="0083561C">
        <w:continuationSeparator/>
      </w:r>
    </w:p>
  </w:footnote>
  <w:footnote w:id="1">
    <w:p w14:paraId="73D3747C" w14:textId="77777777" w:rsidR="00DA2209" w:rsidRPr="0083561C" w:rsidRDefault="00DA2209" w:rsidP="0083561C">
      <w:pPr>
        <w:pStyle w:val="FootnoteText"/>
        <w:ind w:left="567" w:hanging="567"/>
        <w:rPr>
          <w:sz w:val="24"/>
          <w:lang w:val="fi-FI"/>
        </w:rPr>
      </w:pPr>
      <w:r w:rsidRPr="0083561C">
        <w:rPr>
          <w:rStyle w:val="FootnoteReference"/>
          <w:sz w:val="24"/>
          <w:lang w:val="fi-FI"/>
        </w:rPr>
        <w:footnoteRef/>
      </w:r>
      <w:r w:rsidR="0083561C" w:rsidRPr="0083561C">
        <w:rPr>
          <w:sz w:val="24"/>
          <w:lang w:val="fi-FI"/>
        </w:rPr>
        <w:t xml:space="preserve"> </w:t>
      </w:r>
      <w:r w:rsidR="0083561C" w:rsidRPr="0083561C">
        <w:rPr>
          <w:sz w:val="24"/>
          <w:lang w:val="fi-FI"/>
        </w:rPr>
        <w:tab/>
      </w:r>
      <w:r w:rsidRPr="0083561C">
        <w:rPr>
          <w:sz w:val="24"/>
          <w:lang w:val="fi-FI"/>
        </w:rPr>
        <w:t xml:space="preserve">EUVL L 58, 23.2.2023, s. 1, ELI: </w:t>
      </w:r>
      <w:hyperlink r:id="rId1" w:tooltip="Linkki asiakirjaan sen ELI-tunnukseen perustuvan URI-osoitteen kautta." w:history="1">
        <w:r w:rsidRPr="0083561C">
          <w:rPr>
            <w:rStyle w:val="Hyperlink"/>
            <w:color w:val="0563C1"/>
            <w:sz w:val="24"/>
            <w:shd w:val="clear" w:color="auto" w:fill="FFFFFF"/>
            <w:lang w:val="fi-FI"/>
          </w:rPr>
          <w:t>http://data.europa.eu/eli/budget/2023/1/oj</w:t>
        </w:r>
      </w:hyperlink>
      <w:r w:rsidRPr="0083561C">
        <w:rPr>
          <w:sz w:val="24"/>
          <w:shd w:val="clear" w:color="auto" w:fill="FFFFFF"/>
          <w:lang w:val="fi-FI"/>
        </w:rPr>
        <w:t>.</w:t>
      </w:r>
    </w:p>
  </w:footnote>
  <w:footnote w:id="2">
    <w:p w14:paraId="1228A3F9" w14:textId="77777777" w:rsidR="00DA2209" w:rsidRPr="0083561C" w:rsidRDefault="00DA2209" w:rsidP="0083561C">
      <w:pPr>
        <w:pStyle w:val="FootnoteText"/>
        <w:ind w:left="567" w:hanging="567"/>
        <w:rPr>
          <w:sz w:val="24"/>
          <w:lang w:val="fi-FI"/>
        </w:rPr>
      </w:pPr>
      <w:r w:rsidRPr="0083561C">
        <w:rPr>
          <w:rStyle w:val="FootnoteReference"/>
          <w:sz w:val="24"/>
          <w:lang w:val="fi-FI"/>
        </w:rPr>
        <w:footnoteRef/>
      </w:r>
      <w:r w:rsidR="0083561C" w:rsidRPr="0083561C">
        <w:rPr>
          <w:sz w:val="24"/>
          <w:lang w:val="fi-FI"/>
        </w:rPr>
        <w:t xml:space="preserve"> </w:t>
      </w:r>
      <w:r w:rsidR="0083561C" w:rsidRPr="0083561C">
        <w:rPr>
          <w:sz w:val="24"/>
          <w:lang w:val="fi-FI"/>
        </w:rPr>
        <w:tab/>
      </w:r>
      <w:r w:rsidRPr="0083561C">
        <w:rPr>
          <w:sz w:val="24"/>
          <w:lang w:val="fi-FI"/>
        </w:rPr>
        <w:t xml:space="preserve">EUVL C, C/2024/5462, 10.10.2024, ELI: </w:t>
      </w:r>
      <w:hyperlink r:id="rId2" w:history="1">
        <w:r w:rsidRPr="0083561C">
          <w:rPr>
            <w:rStyle w:val="Hyperlink"/>
            <w:sz w:val="24"/>
            <w:lang w:val="fi-FI"/>
          </w:rPr>
          <w:t>http://data.europa.eu/eli/C/2024/5462/oj</w:t>
        </w:r>
      </w:hyperlink>
      <w:r w:rsidRPr="0083561C">
        <w:rPr>
          <w:sz w:val="24"/>
          <w:shd w:val="clear" w:color="auto" w:fill="FFFFFF"/>
          <w:lang w:val="fi-FI"/>
        </w:rPr>
        <w:t>.</w:t>
      </w:r>
    </w:p>
  </w:footnote>
  <w:footnote w:id="3">
    <w:p w14:paraId="3C2742BA" w14:textId="77777777" w:rsidR="00DA2209" w:rsidRPr="0083561C" w:rsidRDefault="00DA2209" w:rsidP="0083561C">
      <w:pPr>
        <w:pStyle w:val="FootnoteText"/>
        <w:ind w:left="567" w:hanging="567"/>
        <w:rPr>
          <w:sz w:val="24"/>
          <w:lang w:val="fi-FI"/>
        </w:rPr>
      </w:pPr>
      <w:r w:rsidRPr="0083561C">
        <w:rPr>
          <w:rStyle w:val="FootnoteReference"/>
          <w:sz w:val="24"/>
          <w:lang w:val="fi-FI"/>
        </w:rPr>
        <w:footnoteRef/>
      </w:r>
      <w:r w:rsidR="0083561C" w:rsidRPr="0083561C">
        <w:rPr>
          <w:sz w:val="24"/>
          <w:lang w:val="fi-FI"/>
        </w:rPr>
        <w:t xml:space="preserve"> </w:t>
      </w:r>
      <w:r w:rsidR="0083561C" w:rsidRPr="0083561C">
        <w:rPr>
          <w:sz w:val="24"/>
          <w:lang w:val="fi-FI"/>
        </w:rPr>
        <w:tab/>
      </w:r>
      <w:r w:rsidRPr="0083561C">
        <w:rPr>
          <w:sz w:val="24"/>
          <w:lang w:val="fi-FI"/>
        </w:rPr>
        <w:t xml:space="preserve">EUVL C, C/2024/5882, 9.10.2024, ELI: </w:t>
      </w:r>
      <w:hyperlink r:id="rId3" w:history="1">
        <w:r w:rsidRPr="0083561C">
          <w:rPr>
            <w:rStyle w:val="Hyperlink"/>
            <w:sz w:val="24"/>
            <w:lang w:val="fi-FI"/>
          </w:rPr>
          <w:t>http://data.europa.eu/eli/C/2024/5882/oj</w:t>
        </w:r>
      </w:hyperlink>
      <w:r w:rsidRPr="0083561C">
        <w:rPr>
          <w:sz w:val="24"/>
          <w:shd w:val="clear" w:color="auto" w:fill="FFFFFF"/>
          <w:lang w:val="fi-FI"/>
        </w:rPr>
        <w:t>.</w:t>
      </w:r>
    </w:p>
  </w:footnote>
  <w:footnote w:id="4">
    <w:p w14:paraId="4937A70C" w14:textId="77777777" w:rsidR="00DA2209" w:rsidRPr="0083561C" w:rsidRDefault="00DA2209" w:rsidP="0083561C">
      <w:pPr>
        <w:pStyle w:val="FootnoteText"/>
        <w:ind w:left="567" w:hanging="567"/>
        <w:rPr>
          <w:sz w:val="24"/>
          <w:lang w:val="fi-FI"/>
        </w:rPr>
      </w:pPr>
      <w:r w:rsidRPr="0083561C">
        <w:rPr>
          <w:rStyle w:val="FootnoteReference"/>
          <w:sz w:val="24"/>
          <w:lang w:val="fi-FI"/>
        </w:rPr>
        <w:footnoteRef/>
      </w:r>
      <w:r w:rsidR="0083561C" w:rsidRPr="0083561C">
        <w:rPr>
          <w:sz w:val="24"/>
          <w:lang w:val="fi-FI"/>
        </w:rPr>
        <w:t xml:space="preserve"> </w:t>
      </w:r>
      <w:r w:rsidR="0083561C" w:rsidRPr="0083561C">
        <w:rPr>
          <w:sz w:val="24"/>
          <w:lang w:val="fi-FI"/>
        </w:rPr>
        <w:tab/>
      </w:r>
      <w:r w:rsidRPr="0083561C">
        <w:rPr>
          <w:sz w:val="24"/>
          <w:lang w:val="fi-FI"/>
        </w:rPr>
        <w:t xml:space="preserve">EUVL C, C/2024/6041, 10.10.2024, ELI: </w:t>
      </w:r>
      <w:hyperlink r:id="rId4" w:history="1">
        <w:r w:rsidRPr="0083561C">
          <w:rPr>
            <w:rStyle w:val="Hyperlink"/>
            <w:sz w:val="24"/>
            <w:lang w:val="fi-FI"/>
          </w:rPr>
          <w:t>http://data.europa.eu/eli/C/2024/6041/oj</w:t>
        </w:r>
      </w:hyperlink>
      <w:r w:rsidRPr="0083561C">
        <w:rPr>
          <w:sz w:val="24"/>
          <w:shd w:val="clear" w:color="auto" w:fill="FFFFFF"/>
          <w:lang w:val="fi-FI"/>
        </w:rPr>
        <w:t>.</w:t>
      </w:r>
    </w:p>
  </w:footnote>
  <w:footnote w:id="5">
    <w:p w14:paraId="77104A27" w14:textId="77777777" w:rsidR="00DA2209" w:rsidRPr="0083561C" w:rsidRDefault="00DA2209" w:rsidP="0083561C">
      <w:pPr>
        <w:pStyle w:val="FootnoteText"/>
        <w:ind w:left="567" w:hanging="567"/>
        <w:rPr>
          <w:sz w:val="24"/>
          <w:lang w:val="fi-FI"/>
        </w:rPr>
      </w:pPr>
      <w:r w:rsidRPr="0083561C">
        <w:rPr>
          <w:rStyle w:val="FootnoteReference"/>
          <w:sz w:val="24"/>
          <w:lang w:val="fi-FI"/>
        </w:rPr>
        <w:footnoteRef/>
      </w:r>
      <w:r w:rsidR="0083561C" w:rsidRPr="0083561C">
        <w:rPr>
          <w:sz w:val="24"/>
          <w:lang w:val="fi-FI"/>
        </w:rPr>
        <w:t xml:space="preserve"> </w:t>
      </w:r>
      <w:r w:rsidR="0083561C" w:rsidRPr="0083561C">
        <w:rPr>
          <w:sz w:val="24"/>
          <w:lang w:val="fi-FI"/>
        </w:rPr>
        <w:tab/>
      </w:r>
      <w:r w:rsidRPr="0083561C">
        <w:rPr>
          <w:sz w:val="24"/>
          <w:lang w:val="fi-FI"/>
        </w:rPr>
        <w:t xml:space="preserve">EUVL L 193, 30.7.2018, s. 1, ELI: </w:t>
      </w:r>
      <w:hyperlink r:id="rId5" w:history="1">
        <w:r w:rsidRPr="0083561C">
          <w:rPr>
            <w:rStyle w:val="Hyperlink"/>
            <w:sz w:val="24"/>
            <w:lang w:val="fi-FI"/>
          </w:rPr>
          <w:t>http://data.europa.eu/eli/reg/2018/1046/oj</w:t>
        </w:r>
      </w:hyperlink>
      <w:r w:rsidRPr="0083561C">
        <w:rPr>
          <w:sz w:val="24"/>
          <w:lang w:val="fi-FI"/>
        </w:rPr>
        <w:t>.</w:t>
      </w:r>
    </w:p>
  </w:footnote>
  <w:footnote w:id="6">
    <w:p w14:paraId="46F9AF5B" w14:textId="77777777" w:rsidR="00DA2209" w:rsidRPr="0083561C" w:rsidRDefault="00DA2209" w:rsidP="0083561C">
      <w:pPr>
        <w:pStyle w:val="FootnoteText"/>
        <w:ind w:left="567" w:hanging="567"/>
        <w:rPr>
          <w:sz w:val="24"/>
          <w:lang w:val="fi-FI"/>
        </w:rPr>
      </w:pPr>
      <w:r w:rsidRPr="0083561C">
        <w:rPr>
          <w:rStyle w:val="FootnoteReference"/>
          <w:sz w:val="24"/>
          <w:lang w:val="fi-FI"/>
        </w:rPr>
        <w:footnoteRef/>
      </w:r>
      <w:r w:rsidR="0083561C" w:rsidRPr="0083561C">
        <w:rPr>
          <w:sz w:val="24"/>
          <w:lang w:val="fi-FI"/>
        </w:rPr>
        <w:t xml:space="preserve"> </w:t>
      </w:r>
      <w:r w:rsidR="0083561C" w:rsidRPr="0083561C">
        <w:rPr>
          <w:sz w:val="24"/>
          <w:lang w:val="fi-FI"/>
        </w:rPr>
        <w:tab/>
      </w:r>
      <w:r w:rsidRPr="0083561C">
        <w:rPr>
          <w:sz w:val="24"/>
          <w:lang w:val="fi-FI"/>
        </w:rPr>
        <w:t xml:space="preserve">EUVL L, 2024/2509, 26.9.2024, ELI: </w:t>
      </w:r>
      <w:hyperlink r:id="rId6" w:history="1">
        <w:r w:rsidRPr="0083561C">
          <w:rPr>
            <w:rStyle w:val="Hyperlink"/>
            <w:sz w:val="24"/>
            <w:lang w:val="fi-FI"/>
          </w:rPr>
          <w:t>https://eur-lex.europa.eu/eli/reg/2024/2509/oj</w:t>
        </w:r>
      </w:hyperlink>
      <w:r w:rsidRPr="0083561C">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E3296" w14:textId="77777777" w:rsidR="00064002" w:rsidRPr="008356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8950" w14:textId="77777777" w:rsidR="00064002" w:rsidRPr="008356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1DC2" w14:textId="77777777" w:rsidR="00064002" w:rsidRPr="008356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1524136">
    <w:abstractNumId w:val="9"/>
  </w:num>
  <w:num w:numId="2" w16cid:durableId="553657816">
    <w:abstractNumId w:val="9"/>
  </w:num>
  <w:num w:numId="3" w16cid:durableId="1762139476">
    <w:abstractNumId w:val="7"/>
  </w:num>
  <w:num w:numId="4" w16cid:durableId="2036034784">
    <w:abstractNumId w:val="7"/>
  </w:num>
  <w:num w:numId="5" w16cid:durableId="1237596315">
    <w:abstractNumId w:val="6"/>
  </w:num>
  <w:num w:numId="6" w16cid:durableId="293105064">
    <w:abstractNumId w:val="6"/>
  </w:num>
  <w:num w:numId="7" w16cid:durableId="2041470078">
    <w:abstractNumId w:val="5"/>
  </w:num>
  <w:num w:numId="8" w16cid:durableId="1812164820">
    <w:abstractNumId w:val="5"/>
  </w:num>
  <w:num w:numId="9" w16cid:durableId="609123194">
    <w:abstractNumId w:val="4"/>
  </w:num>
  <w:num w:numId="10" w16cid:durableId="191188649">
    <w:abstractNumId w:val="4"/>
  </w:num>
  <w:num w:numId="11" w16cid:durableId="574824333">
    <w:abstractNumId w:val="8"/>
  </w:num>
  <w:num w:numId="12" w16cid:durableId="1372535995">
    <w:abstractNumId w:val="8"/>
  </w:num>
  <w:num w:numId="13" w16cid:durableId="1347512636">
    <w:abstractNumId w:val="3"/>
  </w:num>
  <w:num w:numId="14" w16cid:durableId="1451975776">
    <w:abstractNumId w:val="3"/>
  </w:num>
  <w:num w:numId="15" w16cid:durableId="261032941">
    <w:abstractNumId w:val="2"/>
  </w:num>
  <w:num w:numId="16" w16cid:durableId="16783076">
    <w:abstractNumId w:val="2"/>
  </w:num>
  <w:num w:numId="17" w16cid:durableId="500127106">
    <w:abstractNumId w:val="1"/>
  </w:num>
  <w:num w:numId="18" w16cid:durableId="1968272958">
    <w:abstractNumId w:val="1"/>
  </w:num>
  <w:num w:numId="19" w16cid:durableId="1482884590">
    <w:abstractNumId w:val="0"/>
  </w:num>
  <w:num w:numId="20" w16cid:durableId="144703969">
    <w:abstractNumId w:val="0"/>
  </w:num>
  <w:num w:numId="21" w16cid:durableId="703360994">
    <w:abstractNumId w:val="9"/>
  </w:num>
  <w:num w:numId="22" w16cid:durableId="656998930">
    <w:abstractNumId w:val="7"/>
  </w:num>
  <w:num w:numId="23" w16cid:durableId="1379817530">
    <w:abstractNumId w:val="6"/>
  </w:num>
  <w:num w:numId="24" w16cid:durableId="1292243663">
    <w:abstractNumId w:val="5"/>
  </w:num>
  <w:num w:numId="25" w16cid:durableId="894203013">
    <w:abstractNumId w:val="4"/>
  </w:num>
  <w:num w:numId="26" w16cid:durableId="225914711">
    <w:abstractNumId w:val="8"/>
  </w:num>
  <w:num w:numId="27" w16cid:durableId="1612780256">
    <w:abstractNumId w:val="3"/>
  </w:num>
  <w:num w:numId="28" w16cid:durableId="793450306">
    <w:abstractNumId w:val="2"/>
  </w:num>
  <w:num w:numId="29" w16cid:durableId="354354213">
    <w:abstractNumId w:val="1"/>
  </w:num>
  <w:num w:numId="30" w16cid:durableId="830174632">
    <w:abstractNumId w:val="0"/>
  </w:num>
  <w:num w:numId="31" w16cid:durableId="1132404278">
    <w:abstractNumId w:val="9"/>
  </w:num>
  <w:num w:numId="32" w16cid:durableId="874656194">
    <w:abstractNumId w:val="7"/>
  </w:num>
  <w:num w:numId="33" w16cid:durableId="191454323">
    <w:abstractNumId w:val="6"/>
  </w:num>
  <w:num w:numId="34" w16cid:durableId="337731615">
    <w:abstractNumId w:val="5"/>
  </w:num>
  <w:num w:numId="35" w16cid:durableId="973752623">
    <w:abstractNumId w:val="4"/>
  </w:num>
  <w:num w:numId="36" w16cid:durableId="339701968">
    <w:abstractNumId w:val="8"/>
  </w:num>
  <w:num w:numId="37" w16cid:durableId="489827090">
    <w:abstractNumId w:val="3"/>
  </w:num>
  <w:num w:numId="38" w16cid:durableId="1590236664">
    <w:abstractNumId w:val="2"/>
  </w:num>
  <w:num w:numId="39" w16cid:durableId="751703047">
    <w:abstractNumId w:val="1"/>
  </w:num>
  <w:num w:numId="40" w16cid:durableId="2012374027">
    <w:abstractNumId w:val="0"/>
  </w:num>
  <w:num w:numId="41" w16cid:durableId="528185477">
    <w:abstractNumId w:val="10"/>
  </w:num>
  <w:num w:numId="42" w16cid:durableId="1030840261">
    <w:abstractNumId w:val="10"/>
  </w:num>
  <w:num w:numId="43" w16cid:durableId="2113620990">
    <w:abstractNumId w:val="10"/>
  </w:num>
  <w:num w:numId="44" w16cid:durableId="44305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FI"/>
    <w:docVar w:name="dvnumam" w:val="0"/>
    <w:docVar w:name="dvpe" w:val="764.993"/>
    <w:docVar w:name="dvrapporteur" w:val="Esittelijä: "/>
    <w:docVar w:name="dvtitre" w:val="1. Euroopan parlamentin päätöslauselma xx. toukokuuta 2025 vastuuvapauden myöntämisestä Euroopan unionin yleisen talousarvion toteuttamisesta varainhoitovuonna 2023, pääluokka VI – Talous- ja sosiaalikomitea(2024/2025(DEC))"/>
  </w:docVars>
  <w:rsids>
    <w:rsidRoot w:val="00BC158E"/>
    <w:rsid w:val="00002272"/>
    <w:rsid w:val="00005143"/>
    <w:rsid w:val="00064002"/>
    <w:rsid w:val="000677B9"/>
    <w:rsid w:val="000831BA"/>
    <w:rsid w:val="000A42CC"/>
    <w:rsid w:val="000E7DD9"/>
    <w:rsid w:val="0010095E"/>
    <w:rsid w:val="00125B37"/>
    <w:rsid w:val="00187494"/>
    <w:rsid w:val="001F32AE"/>
    <w:rsid w:val="002767FF"/>
    <w:rsid w:val="00276F20"/>
    <w:rsid w:val="002B18FE"/>
    <w:rsid w:val="002B5493"/>
    <w:rsid w:val="00343214"/>
    <w:rsid w:val="00361C00"/>
    <w:rsid w:val="00395FA1"/>
    <w:rsid w:val="003E15D4"/>
    <w:rsid w:val="003F573B"/>
    <w:rsid w:val="00411CCE"/>
    <w:rsid w:val="0041666E"/>
    <w:rsid w:val="00421060"/>
    <w:rsid w:val="00471C19"/>
    <w:rsid w:val="004867E3"/>
    <w:rsid w:val="00494A28"/>
    <w:rsid w:val="004C0004"/>
    <w:rsid w:val="004C5D52"/>
    <w:rsid w:val="0050519A"/>
    <w:rsid w:val="005072A1"/>
    <w:rsid w:val="00514517"/>
    <w:rsid w:val="005404A6"/>
    <w:rsid w:val="00545827"/>
    <w:rsid w:val="00560270"/>
    <w:rsid w:val="005C2568"/>
    <w:rsid w:val="005F1B17"/>
    <w:rsid w:val="006037C0"/>
    <w:rsid w:val="006631B6"/>
    <w:rsid w:val="00663F88"/>
    <w:rsid w:val="00680577"/>
    <w:rsid w:val="006F74FA"/>
    <w:rsid w:val="00731ADD"/>
    <w:rsid w:val="00734777"/>
    <w:rsid w:val="00747932"/>
    <w:rsid w:val="00751A4A"/>
    <w:rsid w:val="00756632"/>
    <w:rsid w:val="00762C74"/>
    <w:rsid w:val="00786EC0"/>
    <w:rsid w:val="007D1690"/>
    <w:rsid w:val="007E22AD"/>
    <w:rsid w:val="00817416"/>
    <w:rsid w:val="0083561C"/>
    <w:rsid w:val="00842779"/>
    <w:rsid w:val="00865F67"/>
    <w:rsid w:val="00881A7B"/>
    <w:rsid w:val="008840E5"/>
    <w:rsid w:val="00887B3E"/>
    <w:rsid w:val="008C2AC6"/>
    <w:rsid w:val="00930C23"/>
    <w:rsid w:val="0093193B"/>
    <w:rsid w:val="009450B5"/>
    <w:rsid w:val="009509D8"/>
    <w:rsid w:val="00950B64"/>
    <w:rsid w:val="00981893"/>
    <w:rsid w:val="00A1687D"/>
    <w:rsid w:val="00A43E52"/>
    <w:rsid w:val="00A4678D"/>
    <w:rsid w:val="00A778C7"/>
    <w:rsid w:val="00A90CAF"/>
    <w:rsid w:val="00AB441E"/>
    <w:rsid w:val="00AB6293"/>
    <w:rsid w:val="00AE0928"/>
    <w:rsid w:val="00AF3B82"/>
    <w:rsid w:val="00B12E95"/>
    <w:rsid w:val="00B22876"/>
    <w:rsid w:val="00B558F0"/>
    <w:rsid w:val="00BC158E"/>
    <w:rsid w:val="00BD48FE"/>
    <w:rsid w:val="00BD7BD8"/>
    <w:rsid w:val="00BE6ADC"/>
    <w:rsid w:val="00C05BFE"/>
    <w:rsid w:val="00C164F6"/>
    <w:rsid w:val="00C23CD4"/>
    <w:rsid w:val="00C61C0C"/>
    <w:rsid w:val="00C941CB"/>
    <w:rsid w:val="00CC2357"/>
    <w:rsid w:val="00CF071A"/>
    <w:rsid w:val="00D058B8"/>
    <w:rsid w:val="00D56C11"/>
    <w:rsid w:val="00D834A0"/>
    <w:rsid w:val="00D872DF"/>
    <w:rsid w:val="00D91E21"/>
    <w:rsid w:val="00D93066"/>
    <w:rsid w:val="00DA220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309CC"/>
  <w15:chartTrackingRefBased/>
  <w15:docId w15:val="{FA71F7F8-AC7F-42A6-B9BF-59FF8E110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A220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A2209"/>
    <w:pPr>
      <w:spacing w:before="480" w:after="240"/>
    </w:pPr>
  </w:style>
  <w:style w:type="paragraph" w:customStyle="1" w:styleId="PageHeading">
    <w:name w:val="PageHeading"/>
    <w:basedOn w:val="Normal"/>
    <w:rsid w:val="00DA2209"/>
    <w:pPr>
      <w:keepNext/>
      <w:spacing w:after="480"/>
      <w:jc w:val="center"/>
    </w:pPr>
    <w:rPr>
      <w:rFonts w:ascii="Arial" w:hAnsi="Arial" w:cs="Arial"/>
      <w:b/>
    </w:rPr>
  </w:style>
  <w:style w:type="paragraph" w:customStyle="1" w:styleId="NormalBold">
    <w:name w:val="NormalBold"/>
    <w:basedOn w:val="Normal"/>
    <w:rsid w:val="00DA2209"/>
    <w:rPr>
      <w:b/>
    </w:rPr>
  </w:style>
  <w:style w:type="paragraph" w:customStyle="1" w:styleId="NormalHanging12a">
    <w:name w:val="NormalHanging12a"/>
    <w:basedOn w:val="Normal"/>
    <w:link w:val="NormalHanging12aChar"/>
    <w:qFormat/>
    <w:rsid w:val="00DA2209"/>
    <w:pPr>
      <w:spacing w:after="240"/>
      <w:ind w:left="567" w:hanging="567"/>
    </w:pPr>
  </w:style>
  <w:style w:type="paragraph" w:styleId="Header">
    <w:name w:val="header"/>
    <w:basedOn w:val="Normal"/>
    <w:link w:val="HeaderChar"/>
    <w:rsid w:val="00DA2209"/>
    <w:pPr>
      <w:tabs>
        <w:tab w:val="center" w:pos="4513"/>
        <w:tab w:val="right" w:pos="9026"/>
      </w:tabs>
    </w:pPr>
  </w:style>
  <w:style w:type="character" w:customStyle="1" w:styleId="HeaderChar">
    <w:name w:val="Header Char"/>
    <w:basedOn w:val="DefaultParagraphFont"/>
    <w:link w:val="Header"/>
    <w:rsid w:val="00DA2209"/>
    <w:rPr>
      <w:sz w:val="24"/>
      <w:lang w:val="fi-FI"/>
    </w:rPr>
  </w:style>
  <w:style w:type="paragraph" w:customStyle="1" w:styleId="EPFooter">
    <w:name w:val="EPFooter"/>
    <w:basedOn w:val="Normal"/>
    <w:rsid w:val="00DA2209"/>
    <w:pPr>
      <w:tabs>
        <w:tab w:val="center" w:pos="4535"/>
        <w:tab w:val="right" w:pos="9071"/>
      </w:tabs>
      <w:spacing w:before="240" w:after="240"/>
    </w:pPr>
    <w:rPr>
      <w:color w:val="010000"/>
      <w:sz w:val="22"/>
    </w:rPr>
  </w:style>
  <w:style w:type="character" w:styleId="Hyperlink">
    <w:name w:val="Hyperlink"/>
    <w:basedOn w:val="DefaultParagraphFont"/>
    <w:rsid w:val="00DA2209"/>
    <w:rPr>
      <w:color w:val="0563C1" w:themeColor="hyperlink"/>
      <w:u w:val="single"/>
    </w:rPr>
  </w:style>
  <w:style w:type="character" w:customStyle="1" w:styleId="NormalHanging12aChar">
    <w:name w:val="NormalHanging12a Char"/>
    <w:basedOn w:val="DefaultParagraphFont"/>
    <w:link w:val="NormalHanging12a"/>
    <w:locked/>
    <w:rsid w:val="00DA2209"/>
    <w:rPr>
      <w:sz w:val="24"/>
      <w:lang w:val="fi-FI"/>
    </w:rPr>
  </w:style>
  <w:style w:type="paragraph" w:customStyle="1" w:styleId="Normal6a">
    <w:name w:val="Normal6a"/>
    <w:basedOn w:val="Normal"/>
    <w:rsid w:val="00DA2209"/>
    <w:pPr>
      <w:spacing w:after="120"/>
    </w:pPr>
  </w:style>
  <w:style w:type="paragraph" w:customStyle="1" w:styleId="Normal24a">
    <w:name w:val="Normal24a"/>
    <w:basedOn w:val="Normal"/>
    <w:rsid w:val="00DA2209"/>
    <w:pPr>
      <w:spacing w:after="480"/>
    </w:pPr>
  </w:style>
  <w:style w:type="paragraph" w:customStyle="1" w:styleId="Footprint12b">
    <w:name w:val="Footprint12b"/>
    <w:basedOn w:val="Normal"/>
    <w:rsid w:val="00DA2209"/>
    <w:pPr>
      <w:spacing w:before="240"/>
    </w:pPr>
    <w:rPr>
      <w:szCs w:val="24"/>
    </w:rPr>
  </w:style>
  <w:style w:type="paragraph" w:customStyle="1" w:styleId="Normal12a">
    <w:name w:val="Normal12a"/>
    <w:basedOn w:val="Normal"/>
    <w:rsid w:val="00DA2209"/>
    <w:pPr>
      <w:spacing w:after="240"/>
    </w:pPr>
  </w:style>
  <w:style w:type="paragraph" w:customStyle="1" w:styleId="RollCallVotes">
    <w:name w:val="RollCallVotes"/>
    <w:basedOn w:val="Normal"/>
    <w:rsid w:val="00DA2209"/>
    <w:pPr>
      <w:spacing w:before="120" w:after="120"/>
      <w:jc w:val="center"/>
    </w:pPr>
    <w:rPr>
      <w:b/>
      <w:bCs/>
      <w:snapToGrid w:val="0"/>
      <w:sz w:val="16"/>
      <w:lang w:eastAsia="en-US"/>
    </w:rPr>
  </w:style>
  <w:style w:type="paragraph" w:customStyle="1" w:styleId="RollCallTabs">
    <w:name w:val="RollCallTabs"/>
    <w:basedOn w:val="Normal"/>
    <w:qFormat/>
    <w:rsid w:val="00DA2209"/>
    <w:pPr>
      <w:tabs>
        <w:tab w:val="center" w:pos="284"/>
        <w:tab w:val="left" w:pos="426"/>
      </w:tabs>
    </w:pPr>
    <w:rPr>
      <w:snapToGrid w:val="0"/>
      <w:lang w:eastAsia="en-US"/>
    </w:rPr>
  </w:style>
  <w:style w:type="paragraph" w:customStyle="1" w:styleId="RollCallSymbols14pt">
    <w:name w:val="RollCallSymbols14pt"/>
    <w:basedOn w:val="Normal"/>
    <w:rsid w:val="00DA2209"/>
    <w:pPr>
      <w:spacing w:before="120" w:after="120"/>
      <w:jc w:val="center"/>
    </w:pPr>
    <w:rPr>
      <w:rFonts w:ascii="Arial" w:hAnsi="Arial"/>
      <w:b/>
      <w:bCs/>
      <w:snapToGrid w:val="0"/>
      <w:sz w:val="28"/>
      <w:lang w:eastAsia="en-US"/>
    </w:rPr>
  </w:style>
  <w:style w:type="paragraph" w:customStyle="1" w:styleId="RollCallTable">
    <w:name w:val="RollCallTable"/>
    <w:basedOn w:val="Normal"/>
    <w:rsid w:val="00DA2209"/>
    <w:pPr>
      <w:spacing w:before="120" w:after="120"/>
    </w:pPr>
    <w:rPr>
      <w:snapToGrid w:val="0"/>
      <w:sz w:val="16"/>
      <w:lang w:eastAsia="en-US"/>
    </w:rPr>
  </w:style>
  <w:style w:type="paragraph" w:styleId="Footer">
    <w:name w:val="footer"/>
    <w:basedOn w:val="Normal"/>
    <w:link w:val="FooterChar"/>
    <w:rsid w:val="00663F88"/>
    <w:pPr>
      <w:tabs>
        <w:tab w:val="center" w:pos="4513"/>
        <w:tab w:val="right" w:pos="9026"/>
      </w:tabs>
    </w:pPr>
  </w:style>
  <w:style w:type="character" w:customStyle="1" w:styleId="FooterChar">
    <w:name w:val="Footer Char"/>
    <w:basedOn w:val="DefaultParagraphFont"/>
    <w:link w:val="Footer"/>
    <w:rsid w:val="00663F8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A336A-014C-459A-9BF1-CE253E04C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5784</Words>
  <Characters>48551</Characters>
  <Application>Microsoft Office Word</Application>
  <DocSecurity>0</DocSecurity>
  <Lines>404</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2025-12-03T14:37:00Z</dcterms:created>
  <dcterms:modified xsi:type="dcterms:W3CDTF">2025-12-03T14:37:00Z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P10_TA(2025)0082_</vt:lpwstr>
  </property>
  <property fmtid="{D5CDD505-2E9C-101B-9397-08002B2CF9AE}" pid="4" name="&lt;Type&gt;">
    <vt:lpwstr>RR</vt:lpwstr>
  </property>
</Properties>
</file>