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6492" w14:paraId="315CC2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2AAD0D" w14:textId="77777777" w:rsidR="00751A4A" w:rsidRPr="00CE6492" w:rsidRDefault="00A3101F" w:rsidP="0010095E">
            <w:pPr>
              <w:pStyle w:val="EPName"/>
            </w:pPr>
            <w:r w:rsidRPr="00CE6492">
              <w:t>Europski parlament</w:t>
            </w:r>
          </w:p>
          <w:p w14:paraId="1E3D9142" w14:textId="77777777" w:rsidR="00751A4A" w:rsidRPr="00CE64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6492">
              <w:t>2024</w:t>
            </w:r>
            <w:r w:rsidR="00817416" w:rsidRPr="00CE6492">
              <w:t>-202</w:t>
            </w:r>
            <w:r w:rsidRPr="00CE6492">
              <w:t>9</w:t>
            </w:r>
          </w:p>
        </w:tc>
        <w:tc>
          <w:tcPr>
            <w:tcW w:w="2268" w:type="dxa"/>
            <w:shd w:val="clear" w:color="auto" w:fill="auto"/>
          </w:tcPr>
          <w:p w14:paraId="3AFA5A08" w14:textId="77777777" w:rsidR="00751A4A" w:rsidRPr="00CE6492" w:rsidRDefault="00187494" w:rsidP="0010095E">
            <w:pPr>
              <w:pStyle w:val="EPLogo"/>
            </w:pPr>
            <w:r w:rsidRPr="00CE6492">
              <w:rPr>
                <w:noProof/>
                <w:lang w:val="en-GB"/>
              </w:rPr>
              <w:drawing>
                <wp:inline distT="0" distB="0" distL="0" distR="0" wp14:anchorId="3DE854AE" wp14:editId="15055B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A11076" w14:textId="77777777" w:rsidR="00D058B8" w:rsidRPr="00CE6492" w:rsidRDefault="00D058B8" w:rsidP="004C5D52">
      <w:pPr>
        <w:pStyle w:val="LineTop"/>
      </w:pPr>
    </w:p>
    <w:p w14:paraId="14016C44" w14:textId="77777777" w:rsidR="00680577" w:rsidRPr="00CE6492" w:rsidRDefault="00A3101F" w:rsidP="00680577">
      <w:pPr>
        <w:pStyle w:val="EPBodyTA1"/>
      </w:pPr>
      <w:r w:rsidRPr="00CE6492">
        <w:t>USVOJENI TEKSTOVI</w:t>
      </w:r>
    </w:p>
    <w:p w14:paraId="15A327AD" w14:textId="77777777" w:rsidR="00D058B8" w:rsidRPr="00CE6492" w:rsidRDefault="00D058B8" w:rsidP="00D058B8">
      <w:pPr>
        <w:pStyle w:val="LineBottom"/>
      </w:pPr>
    </w:p>
    <w:p w14:paraId="2F35C974" w14:textId="77777777" w:rsidR="00A3101F" w:rsidRPr="00CE6492" w:rsidRDefault="00A3101F" w:rsidP="00A3101F">
      <w:pPr>
        <w:pStyle w:val="ATHeading1"/>
      </w:pPr>
      <w:bookmarkStart w:id="0" w:name="TANumber"/>
      <w:r w:rsidRPr="00CE6492">
        <w:t>P10_TA(2025)00</w:t>
      </w:r>
      <w:bookmarkEnd w:id="0"/>
      <w:r w:rsidR="00AB107F" w:rsidRPr="00CE6492">
        <w:t>82</w:t>
      </w:r>
    </w:p>
    <w:p w14:paraId="3D7E240F" w14:textId="77777777" w:rsidR="00A3101F" w:rsidRPr="00CE6492" w:rsidRDefault="00A3101F" w:rsidP="00A3101F">
      <w:pPr>
        <w:pStyle w:val="ATHeading2"/>
      </w:pPr>
      <w:bookmarkStart w:id="1" w:name="title"/>
      <w:r w:rsidRPr="00CE6492">
        <w:t>Razrješnica za 2023.: Opći proračun EU-a – Europski gospodarski i socijalni odbor</w:t>
      </w:r>
      <w:bookmarkEnd w:id="1"/>
    </w:p>
    <w:p w14:paraId="2B3A20C7" w14:textId="77777777" w:rsidR="00A3101F" w:rsidRPr="00CE6492" w:rsidRDefault="00A3101F" w:rsidP="00A3101F">
      <w:pPr>
        <w:rPr>
          <w:i/>
          <w:vanish/>
        </w:rPr>
      </w:pPr>
      <w:r w:rsidRPr="00CE6492">
        <w:rPr>
          <w:i/>
        </w:rPr>
        <w:fldChar w:fldCharType="begin"/>
      </w:r>
      <w:r w:rsidRPr="00CE6492">
        <w:rPr>
          <w:i/>
        </w:rPr>
        <w:instrText xml:space="preserve"> TC"(</w:instrText>
      </w:r>
      <w:bookmarkStart w:id="2" w:name="DocNumber"/>
      <w:r w:rsidRPr="00CE6492">
        <w:rPr>
          <w:i/>
        </w:rPr>
        <w:instrText>A10-0054/2025</w:instrText>
      </w:r>
      <w:bookmarkEnd w:id="2"/>
      <w:r w:rsidRPr="00CE6492">
        <w:rPr>
          <w:i/>
        </w:rPr>
        <w:instrText xml:space="preserve"> - Izvjestitelj: Joachim </w:instrText>
      </w:r>
      <w:proofErr w:type="spellStart"/>
      <w:r w:rsidRPr="00CE6492">
        <w:rPr>
          <w:i/>
        </w:rPr>
        <w:instrText>Stanisław</w:instrText>
      </w:r>
      <w:proofErr w:type="spellEnd"/>
      <w:r w:rsidRPr="00CE6492">
        <w:rPr>
          <w:i/>
        </w:rPr>
        <w:instrText xml:space="preserve"> </w:instrText>
      </w:r>
      <w:proofErr w:type="spellStart"/>
      <w:r w:rsidRPr="00CE6492">
        <w:rPr>
          <w:i/>
        </w:rPr>
        <w:instrText>Brudziński</w:instrText>
      </w:r>
      <w:proofErr w:type="spellEnd"/>
      <w:r w:rsidRPr="00CE6492">
        <w:rPr>
          <w:i/>
        </w:rPr>
        <w:instrText xml:space="preserve">)"\l3 \n&gt; \* MERGEFORMAT </w:instrText>
      </w:r>
      <w:r w:rsidRPr="00CE6492">
        <w:rPr>
          <w:i/>
        </w:rPr>
        <w:fldChar w:fldCharType="end"/>
      </w:r>
    </w:p>
    <w:p w14:paraId="70083726" w14:textId="77777777" w:rsidR="00A3101F" w:rsidRPr="00CE6492" w:rsidRDefault="00A3101F" w:rsidP="00A3101F">
      <w:pPr>
        <w:rPr>
          <w:vanish/>
        </w:rPr>
      </w:pPr>
      <w:bookmarkStart w:id="3" w:name="Commission"/>
      <w:r w:rsidRPr="00CE6492">
        <w:rPr>
          <w:vanish/>
        </w:rPr>
        <w:t>Odbor za proračunski nadzor</w:t>
      </w:r>
      <w:bookmarkEnd w:id="3"/>
    </w:p>
    <w:p w14:paraId="0638AA3D" w14:textId="77777777" w:rsidR="00A3101F" w:rsidRPr="00CE6492" w:rsidRDefault="00A3101F" w:rsidP="00A3101F">
      <w:pPr>
        <w:rPr>
          <w:vanish/>
        </w:rPr>
      </w:pPr>
      <w:bookmarkStart w:id="4" w:name="PE"/>
      <w:r w:rsidRPr="00CE6492">
        <w:rPr>
          <w:vanish/>
        </w:rPr>
        <w:t>PE764.993</w:t>
      </w:r>
      <w:bookmarkEnd w:id="4"/>
    </w:p>
    <w:p w14:paraId="46E79C55" w14:textId="77777777" w:rsidR="00A3101F" w:rsidRPr="00CE6492" w:rsidRDefault="006051CE" w:rsidP="00A3101F">
      <w:pPr>
        <w:pStyle w:val="ATHeading3"/>
      </w:pPr>
      <w:bookmarkStart w:id="5" w:name="Sujet"/>
      <w:r w:rsidRPr="00CE6492">
        <w:t xml:space="preserve">1. </w:t>
      </w:r>
      <w:r w:rsidR="00A3101F" w:rsidRPr="00CE6492">
        <w:t>Odl</w:t>
      </w:r>
      <w:r w:rsidRPr="00CE6492">
        <w:t>uka Europskog parlamenta od 7. svibnja</w:t>
      </w:r>
      <w:r w:rsidR="00A3101F" w:rsidRPr="00CE6492">
        <w:t xml:space="preserve"> 2025. o razrješnici za izvršenje općeg proračuna Europske unije za financijsku godinu 2023., dio VI. – Europski gospodarski i socijalni odbor</w:t>
      </w:r>
      <w:bookmarkEnd w:id="5"/>
      <w:r w:rsidR="00A3101F" w:rsidRPr="00CE6492">
        <w:t xml:space="preserve"> </w:t>
      </w:r>
      <w:bookmarkStart w:id="6" w:name="References"/>
      <w:r w:rsidR="00A3101F" w:rsidRPr="00CE6492">
        <w:t>(2024/2025(DEC))</w:t>
      </w:r>
      <w:bookmarkEnd w:id="6"/>
    </w:p>
    <w:p w14:paraId="3E654F3B" w14:textId="77777777" w:rsidR="00296C68" w:rsidRPr="00CE6492" w:rsidRDefault="00296C68" w:rsidP="00296C68">
      <w:pPr>
        <w:pStyle w:val="EPComma"/>
      </w:pPr>
      <w:bookmarkStart w:id="7" w:name="TextBodyBegin"/>
      <w:bookmarkEnd w:id="7"/>
      <w:r w:rsidRPr="00CE6492">
        <w:rPr>
          <w:i/>
        </w:rPr>
        <w:t>Europski parlament</w:t>
      </w:r>
      <w:r w:rsidRPr="00CE6492">
        <w:t>,</w:t>
      </w:r>
    </w:p>
    <w:p w14:paraId="4980E2E8" w14:textId="77777777" w:rsidR="00B028C0" w:rsidRPr="00B028C0" w:rsidRDefault="00296C68" w:rsidP="00B028C0">
      <w:pPr>
        <w:spacing w:after="240"/>
        <w:ind w:left="567" w:hanging="567"/>
        <w:rPr>
          <w:kern w:val="2"/>
          <w14:ligatures w14:val="standardContextual"/>
        </w:rPr>
      </w:pPr>
      <w:r w:rsidRPr="00CE6492">
        <w:t>–</w:t>
      </w:r>
      <w:r w:rsidRPr="00CE6492">
        <w:tab/>
      </w:r>
      <w:r w:rsidR="00B028C0" w:rsidRPr="00B028C0">
        <w:rPr>
          <w:kern w:val="2"/>
          <w14:ligatures w14:val="standardContextual"/>
        </w:rPr>
        <w:t>uzimajući u obzir opći proračun Europske unije za financijsku godinu 2023.</w:t>
      </w:r>
      <w:r w:rsidR="00B028C0" w:rsidRPr="00B028C0">
        <w:rPr>
          <w:kern w:val="2"/>
          <w:vertAlign w:val="superscript"/>
          <w14:ligatures w14:val="standardContextual"/>
        </w:rPr>
        <w:footnoteReference w:id="1"/>
      </w:r>
      <w:r w:rsidR="00B028C0" w:rsidRPr="00B028C0">
        <w:rPr>
          <w:kern w:val="2"/>
          <w14:ligatures w14:val="standardContextual"/>
        </w:rPr>
        <w:t>,</w:t>
      </w:r>
    </w:p>
    <w:p w14:paraId="708DAEC0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–</w:t>
      </w:r>
      <w:r w:rsidRPr="00B028C0">
        <w:rPr>
          <w:kern w:val="2"/>
          <w14:ligatures w14:val="standardContextual"/>
        </w:rPr>
        <w:tab/>
        <w:t>uzimajući u obzir konsolidiranu godišnju računovodstvenu dokumentaciju Europske unije za financijsku godinu 2023. (COM(2024)0272 – C10</w:t>
      </w:r>
      <w:r w:rsidRPr="00B028C0">
        <w:rPr>
          <w:kern w:val="2"/>
          <w14:ligatures w14:val="standardContextual"/>
        </w:rPr>
        <w:noBreakHyphen/>
        <w:t>0073/2024)</w:t>
      </w:r>
      <w:r w:rsidRPr="00B028C0">
        <w:rPr>
          <w:kern w:val="2"/>
          <w:vertAlign w:val="superscript"/>
          <w14:ligatures w14:val="standardContextual"/>
        </w:rPr>
        <w:footnoteReference w:id="2"/>
      </w:r>
      <w:r w:rsidRPr="00B028C0">
        <w:rPr>
          <w:kern w:val="2"/>
          <w14:ligatures w14:val="standardContextual"/>
        </w:rPr>
        <w:t>,</w:t>
      </w:r>
    </w:p>
    <w:p w14:paraId="0675FF1A" w14:textId="44566037" w:rsidR="00B028C0" w:rsidRPr="00B028C0" w:rsidRDefault="00B028C0" w:rsidP="00B028C0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B028C0">
        <w:rPr>
          <w:kern w:val="2"/>
          <w14:ligatures w14:val="standardContextual"/>
        </w:rPr>
        <w:t>–</w:t>
      </w:r>
      <w:r w:rsidRPr="00B028C0">
        <w:rPr>
          <w:kern w:val="2"/>
          <w14:ligatures w14:val="standardContextual"/>
        </w:rPr>
        <w:tab/>
        <w:t>uzimajući u obzir godišnje izvješće o radu Europskog</w:t>
      </w:r>
      <w:r>
        <w:rPr>
          <w:kern w:val="2"/>
          <w14:ligatures w14:val="standardContextual"/>
        </w:rPr>
        <w:t>a</w:t>
      </w:r>
      <w:r w:rsidRPr="00B028C0">
        <w:rPr>
          <w:kern w:val="2"/>
          <w14:ligatures w14:val="standardContextual"/>
        </w:rPr>
        <w:t xml:space="preserve"> gospodarskog i socijalnog odbora za 2023.,</w:t>
      </w:r>
    </w:p>
    <w:p w14:paraId="77C84BF4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–</w:t>
      </w:r>
      <w:r w:rsidRPr="00B028C0">
        <w:rPr>
          <w:kern w:val="2"/>
          <w14:ligatures w14:val="standardContextual"/>
        </w:rPr>
        <w:tab/>
        <w:t>uzimajući u obzir godišnje izvješće Revizorskog suda o izvršenju proračuna za financijsku godinu 2023., s odgovorima institucija</w:t>
      </w:r>
      <w:r w:rsidRPr="00B028C0">
        <w:rPr>
          <w:kern w:val="2"/>
          <w:vertAlign w:val="superscript"/>
          <w14:ligatures w14:val="standardContextual"/>
        </w:rPr>
        <w:footnoteReference w:id="3"/>
      </w:r>
      <w:r w:rsidRPr="00B028C0">
        <w:rPr>
          <w:kern w:val="2"/>
          <w14:ligatures w14:val="standardContextual"/>
        </w:rPr>
        <w:t>,</w:t>
      </w:r>
    </w:p>
    <w:p w14:paraId="5A16C2BB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–</w:t>
      </w:r>
      <w:r w:rsidRPr="00B028C0">
        <w:rPr>
          <w:kern w:val="2"/>
          <w14:ligatures w14:val="standardContextual"/>
        </w:rPr>
        <w:tab/>
        <w:t>uzimajući u obzir izjavu o jamstvu</w:t>
      </w:r>
      <w:r w:rsidRPr="00B028C0">
        <w:rPr>
          <w:kern w:val="2"/>
          <w:vertAlign w:val="superscript"/>
          <w14:ligatures w14:val="standardContextual"/>
        </w:rPr>
        <w:footnoteReference w:id="4"/>
      </w:r>
      <w:r w:rsidRPr="00B028C0">
        <w:rPr>
          <w:kern w:val="2"/>
          <w14:ligatures w14:val="standardContextual"/>
        </w:rPr>
        <w:t xml:space="preserve"> u pogledu pouzdanosti računovodstvene dokumentacije te zakonitosti i pravilnosti temeljnih transakcija, koju je u skladu s člankom 287. Ugovora o funkcioniranju Europske unije Revizorski sud podnio za financijsku godinu 2023.,</w:t>
      </w:r>
    </w:p>
    <w:p w14:paraId="363959C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–</w:t>
      </w:r>
      <w:r w:rsidRPr="00B028C0">
        <w:rPr>
          <w:kern w:val="2"/>
          <w14:ligatures w14:val="standardContextual"/>
        </w:rPr>
        <w:tab/>
        <w:t>uzimajući u obzir članak 314. stavak 10. te članke 317., 318. i 319. Ugovora o funkcioniranju Europske unije,</w:t>
      </w:r>
    </w:p>
    <w:p w14:paraId="5135D29A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–</w:t>
      </w:r>
      <w:r w:rsidRPr="00B028C0">
        <w:rPr>
          <w:kern w:val="2"/>
          <w14:ligatures w14:val="standardContextual"/>
        </w:rPr>
        <w:tab/>
        <w:t xml:space="preserve">uzimajući u obzir Uredbu (EU, Euratom) 2018/1046 Europskog parlamenta i Vijeća od 18. srpnja 2018. o financijskim pravilima koja se primjenjuju na opći proračun Unije, o </w:t>
      </w:r>
      <w:r w:rsidRPr="00B028C0">
        <w:rPr>
          <w:kern w:val="2"/>
          <w14:ligatures w14:val="standardContextual"/>
        </w:rPr>
        <w:lastRenderedPageBreak/>
        <w:t>izmjeni uredaba (EU) br. 1296/2013, (EU) br. 1301/2013, (EU) br. 1303/2013, (EU) br. 1304/2013, (EU) br. 1309/2013, (EU) br. 1316/2013, (EU) br. 223/2014, (EU) br. 283/2014 i Odluke br. 541/2014/EU te o stavljanju izvan snage Uredbe (EU, Euratom) br. 966/2012</w:t>
      </w:r>
      <w:r w:rsidRPr="00B028C0">
        <w:rPr>
          <w:kern w:val="2"/>
          <w:vertAlign w:val="superscript"/>
          <w14:ligatures w14:val="standardContextual"/>
        </w:rPr>
        <w:footnoteReference w:id="5"/>
      </w:r>
      <w:r w:rsidRPr="00B028C0">
        <w:rPr>
          <w:kern w:val="2"/>
          <w14:ligatures w14:val="standardContextual"/>
        </w:rPr>
        <w:t>, a posebno njezine članke 59., 118., 260., 261. i 262.,</w:t>
      </w:r>
    </w:p>
    <w:p w14:paraId="18DD375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–</w:t>
      </w:r>
      <w:r w:rsidRPr="00B028C0">
        <w:rPr>
          <w:kern w:val="2"/>
          <w14:ligatures w14:val="standardContextual"/>
        </w:rPr>
        <w:tab/>
        <w:t xml:space="preserve">uzimajući u obzir </w:t>
      </w:r>
      <w:r w:rsidRPr="00B028C0">
        <w:rPr>
          <w:color w:val="333333"/>
          <w:kern w:val="2"/>
          <w:shd w:val="clear" w:color="auto" w:fill="FFFFFF"/>
          <w14:ligatures w14:val="standardContextual"/>
        </w:rPr>
        <w:t>Uredbu (EU, Euratom) 2024/2509 Europskog parlamenta i Vijeća od 23. rujna 2024. o financijskim pravilima koja se primjenjuju na opći proračun Unije</w:t>
      </w:r>
      <w:r w:rsidRPr="00B028C0">
        <w:rPr>
          <w:bCs/>
          <w:color w:val="333333"/>
          <w:kern w:val="2"/>
          <w:szCs w:val="24"/>
          <w:shd w:val="clear" w:color="auto" w:fill="FFFFFF"/>
          <w:vertAlign w:val="superscript"/>
          <w14:ligatures w14:val="standardContextual"/>
        </w:rPr>
        <w:footnoteReference w:id="6"/>
      </w:r>
      <w:r w:rsidRPr="00B028C0">
        <w:rPr>
          <w:color w:val="333333"/>
          <w:kern w:val="2"/>
          <w:shd w:val="clear" w:color="auto" w:fill="FFFFFF"/>
          <w14:ligatures w14:val="standardContextual"/>
        </w:rPr>
        <w:t>, a posebno njezine članke 59., 118., 266., 267. i 268.</w:t>
      </w:r>
      <w:r w:rsidRPr="00B028C0">
        <w:rPr>
          <w:kern w:val="2"/>
          <w14:ligatures w14:val="standardContextual"/>
        </w:rPr>
        <w:t>,</w:t>
      </w:r>
    </w:p>
    <w:p w14:paraId="79A0AC77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–</w:t>
      </w:r>
      <w:r w:rsidRPr="00B028C0">
        <w:rPr>
          <w:kern w:val="2"/>
          <w14:ligatures w14:val="standardContextual"/>
        </w:rPr>
        <w:tab/>
        <w:t>uzimajući u obzir članak 102. Poslovnika i Prilog V. Poslovniku,</w:t>
      </w:r>
    </w:p>
    <w:p w14:paraId="24054359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–</w:t>
      </w:r>
      <w:r w:rsidRPr="00B028C0">
        <w:rPr>
          <w:kern w:val="2"/>
          <w14:ligatures w14:val="standardContextual"/>
        </w:rPr>
        <w:tab/>
        <w:t>uzimajući u obzir izvješće Odbora za proračunski nadzor (A10</w:t>
      </w:r>
      <w:r w:rsidRPr="00B028C0">
        <w:rPr>
          <w:kern w:val="2"/>
          <w14:ligatures w14:val="standardContextual"/>
        </w:rPr>
        <w:noBreakHyphen/>
        <w:t>0054/2025),</w:t>
      </w:r>
    </w:p>
    <w:p w14:paraId="78F57962" w14:textId="40B6071B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1.</w:t>
      </w:r>
      <w:r w:rsidRPr="00B028C0">
        <w:rPr>
          <w:kern w:val="2"/>
          <w14:ligatures w14:val="standardContextual"/>
        </w:rPr>
        <w:tab/>
        <w:t>daje razrješnicu glavnoj tajnici Europskog</w:t>
      </w:r>
      <w:r>
        <w:rPr>
          <w:kern w:val="2"/>
          <w14:ligatures w14:val="standardContextual"/>
        </w:rPr>
        <w:t>a</w:t>
      </w:r>
      <w:r w:rsidRPr="00B028C0">
        <w:rPr>
          <w:kern w:val="2"/>
          <w14:ligatures w14:val="standardContextual"/>
        </w:rPr>
        <w:t xml:space="preserve"> gospodarskog i socijalnog odbora za izvršenje proračuna Europskog</w:t>
      </w:r>
      <w:r>
        <w:rPr>
          <w:kern w:val="2"/>
          <w14:ligatures w14:val="standardContextual"/>
        </w:rPr>
        <w:t>a</w:t>
      </w:r>
      <w:r w:rsidRPr="00B028C0">
        <w:rPr>
          <w:kern w:val="2"/>
          <w14:ligatures w14:val="standardContextual"/>
        </w:rPr>
        <w:t xml:space="preserve"> gospodarskog i socijalnog odbora za financijsku godinu 2023.;</w:t>
      </w:r>
    </w:p>
    <w:p w14:paraId="7C3E8C73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2.</w:t>
      </w:r>
      <w:r w:rsidRPr="00B028C0">
        <w:rPr>
          <w:kern w:val="2"/>
          <w14:ligatures w14:val="standardContextual"/>
        </w:rPr>
        <w:tab/>
        <w:t>iznosi svoje primjedbe u Rezoluciji u nastavku;</w:t>
      </w:r>
    </w:p>
    <w:p w14:paraId="069F0EB1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3.</w:t>
      </w:r>
      <w:r w:rsidRPr="00B028C0">
        <w:rPr>
          <w:kern w:val="2"/>
          <w14:ligatures w14:val="standardContextual"/>
        </w:rPr>
        <w:tab/>
        <w:t xml:space="preserve">nalaže svojoj predsjednici da ovu Odluku i Rezoluciju, koja je njezin sastavni dio, proslijedi Europskom gospodarskom i socijalnom odboru, Vijeću, Komisiji i Revizorskom sudu te da ih da na objavu u </w:t>
      </w:r>
      <w:r w:rsidRPr="00B028C0">
        <w:rPr>
          <w:i/>
          <w:kern w:val="2"/>
          <w14:ligatures w14:val="standardContextual"/>
        </w:rPr>
        <w:t>Službenom listu Europske unije</w:t>
      </w:r>
      <w:r w:rsidRPr="00B028C0">
        <w:rPr>
          <w:kern w:val="2"/>
          <w14:ligatures w14:val="standardContextual"/>
        </w:rPr>
        <w:t xml:space="preserve"> (serija L).</w:t>
      </w:r>
    </w:p>
    <w:p w14:paraId="1F0359F8" w14:textId="77777777" w:rsidR="00B028C0" w:rsidRPr="00B028C0" w:rsidRDefault="00B028C0" w:rsidP="00B028C0">
      <w:pPr>
        <w:widowControl/>
        <w:jc w:val="both"/>
        <w:rPr>
          <w:rFonts w:eastAsia="Aptos"/>
          <w:kern w:val="2"/>
          <w:szCs w:val="24"/>
          <w:lang w:eastAsia="en-US"/>
          <w14:ligatures w14:val="standardContextual"/>
        </w:rPr>
        <w:sectPr w:rsidR="00B028C0" w:rsidRPr="00B028C0" w:rsidSect="00B028C0">
          <w:footnotePr>
            <w:numRestart w:val="eachSect"/>
          </w:footnotePr>
          <w:endnotePr>
            <w:numFmt w:val="decimal"/>
          </w:end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E9F4560" w14:textId="77777777" w:rsidR="00B028C0" w:rsidRPr="00B028C0" w:rsidRDefault="00B028C0" w:rsidP="00B028C0">
      <w:pPr>
        <w:pStyle w:val="ATHeading3"/>
      </w:pPr>
      <w:r w:rsidRPr="00B028C0">
        <w:lastRenderedPageBreak/>
        <w:t>2. Rezolucija Europskog parlamenta od 7. svibnja 2025. s primjedbama koje su sastavni dio Odluke o razrješnici za izvršenje općeg proračuna Europske unije za financijsku godinu 2023., dio VI. – Europski gospodarski i socijalni odbor (2024/2025(DEC))</w:t>
      </w:r>
    </w:p>
    <w:p w14:paraId="1F355C41" w14:textId="6A07E523" w:rsidR="00B028C0" w:rsidRPr="00B028C0" w:rsidRDefault="00B028C0" w:rsidP="00B028C0">
      <w:pPr>
        <w:spacing w:before="480" w:after="240"/>
        <w:rPr>
          <w:iCs/>
          <w:kern w:val="2"/>
          <w14:ligatures w14:val="standardContextual"/>
        </w:rPr>
      </w:pPr>
      <w:r>
        <w:rPr>
          <w:i/>
          <w:kern w:val="2"/>
          <w14:ligatures w14:val="standardContextual"/>
        </w:rPr>
        <w:t>E</w:t>
      </w:r>
      <w:r w:rsidRPr="00B028C0">
        <w:rPr>
          <w:i/>
          <w:kern w:val="2"/>
          <w14:ligatures w14:val="standardContextual"/>
        </w:rPr>
        <w:t>uropski parlament</w:t>
      </w:r>
      <w:r w:rsidRPr="00B028C0">
        <w:rPr>
          <w:iCs/>
          <w:kern w:val="2"/>
          <w14:ligatures w14:val="standardContextual"/>
        </w:rPr>
        <w:t>,</w:t>
      </w:r>
    </w:p>
    <w:p w14:paraId="5D20DE10" w14:textId="4D5A2B1A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CE6492">
        <w:t>–</w:t>
      </w:r>
      <w:r w:rsidRPr="00B028C0">
        <w:rPr>
          <w:kern w:val="2"/>
          <w14:ligatures w14:val="standardContextual"/>
        </w:rPr>
        <w:tab/>
        <w:t>uzimajući u obzir svoju Odluku o razrješnici za izvršenje općeg proračuna Europske unije za financijsku godinu 2023., dio VI. – Europski gospodarski i socijalni odbor,</w:t>
      </w:r>
    </w:p>
    <w:p w14:paraId="50F3EB58" w14:textId="1734628F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CE6492">
        <w:t>–</w:t>
      </w:r>
      <w:r w:rsidRPr="00B028C0">
        <w:rPr>
          <w:kern w:val="2"/>
          <w14:ligatures w14:val="standardContextual"/>
        </w:rPr>
        <w:tab/>
        <w:t>uzimajući u obzir članak 102. Poslovnika i Prilog V. Poslovniku,</w:t>
      </w:r>
    </w:p>
    <w:p w14:paraId="38987F83" w14:textId="4FB5C0D2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CE6492">
        <w:t>–</w:t>
      </w:r>
      <w:r w:rsidRPr="00B028C0">
        <w:rPr>
          <w:kern w:val="2"/>
          <w14:ligatures w14:val="standardContextual"/>
        </w:rPr>
        <w:tab/>
        <w:t>uzimajući u obzir izvješće Odbora za proračunski nadzor (A10-0054/2025),</w:t>
      </w:r>
    </w:p>
    <w:p w14:paraId="4D6097A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A.</w:t>
      </w:r>
      <w:r w:rsidRPr="00B028C0">
        <w:rPr>
          <w:kern w:val="2"/>
          <w14:ligatures w14:val="standardContextual"/>
        </w:rPr>
        <w:tab/>
        <w:t>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resursima;</w:t>
      </w:r>
    </w:p>
    <w:p w14:paraId="0DA7FF47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B.</w:t>
      </w:r>
      <w:r w:rsidRPr="00B028C0">
        <w:rPr>
          <w:kern w:val="2"/>
          <w14:ligatures w14:val="standardContextual"/>
        </w:rPr>
        <w:tab/>
        <w:t>budući da je Europski gospodarski i socijalni odbor („Odbor”) savjetodavno tijelo Unije i forum za savjetovanje, dijalog i konsenzus među predstavnicima raznih gospodarskih, socijalnih i civilnih sastavnica organiziranog civilnog društva iz država članica;</w:t>
      </w:r>
    </w:p>
    <w:p w14:paraId="00F8ED1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C.</w:t>
      </w:r>
      <w:r w:rsidRPr="00B028C0">
        <w:rPr>
          <w:kern w:val="2"/>
          <w14:ligatures w14:val="standardContextual"/>
        </w:rPr>
        <w:tab/>
        <w:t>budući da Odbor doprinosi postupku donošenja odluka Unije i, osiguravanjem poveznica između politika Unije i gospodarskih, socijalnih i građanskih okolnosti, slijedi ciljeve bolje izrade zakonodavstva, participativne demokracije „odozdo prema gore” i promicanja europskih vrijednosti;</w:t>
      </w:r>
    </w:p>
    <w:p w14:paraId="68AC117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D.</w:t>
      </w:r>
      <w:r w:rsidRPr="00B028C0">
        <w:rPr>
          <w:kern w:val="2"/>
          <w14:ligatures w14:val="standardContextual"/>
        </w:rPr>
        <w:tab/>
        <w:t>budući da se Komisija ili Vijeće u određenim slučajevima moraju obavezno savjetovati s Odborom, Odbor može donijeti odluke i na vlastitu inicijativu uz široko područje upućivanja prema definiciji iz Jedinstvenog europskog akta, Ugovora iz Maastrichta i Ugovora iz Amsterdama, što omogućuje savjetovanje Parlamenta s Odborom;</w:t>
      </w:r>
    </w:p>
    <w:p w14:paraId="2C28314C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E.</w:t>
      </w:r>
      <w:r w:rsidRPr="00B028C0">
        <w:rPr>
          <w:kern w:val="2"/>
          <w14:ligatures w14:val="standardContextual"/>
        </w:rPr>
        <w:tab/>
        <w:t>budući da je Povjerenstvo za financije i proračun (CAF) nadzorno tijelo Odbora za sve proračunske postupke, a posebno za izradu projekcija proračuna, izvršenje proračuna, godišnje izvješće o radu, razrješnicu i mjere poduzete na temelju godišnjeg izvješća Revizorskog suda („Sud”);</w:t>
      </w:r>
    </w:p>
    <w:p w14:paraId="1CF7EEBA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F.</w:t>
      </w:r>
      <w:r w:rsidRPr="00B028C0">
        <w:rPr>
          <w:kern w:val="2"/>
          <w14:ligatures w14:val="standardContextual"/>
        </w:rPr>
        <w:tab/>
        <w:t>budući da je Odbor posljednjih godina poduzeo inicijative za privlačenje i zadržavanje kvalificiranog osoblja, optimizaciju svoje organizacijske strukture i metoda rada te promicanje radnog okruženja punog poštovanja, a sve u kontekstu ograničenog proračuna;</w:t>
      </w:r>
    </w:p>
    <w:p w14:paraId="6E8E1F4C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1.</w:t>
      </w:r>
      <w:r w:rsidRPr="00B028C0">
        <w:rPr>
          <w:kern w:val="2"/>
          <w14:ligatures w14:val="standardContextual"/>
        </w:rPr>
        <w:tab/>
        <w:t>konstatira da je proračun Odbora obuhvaćen naslovom 7. VFO-a „Europska javna uprava”, koji je 2023. iznosio ukupno 12,3 milijardi EUR, tj. 6,4 % rashoda proračuna Unije; napominje da je 2023. proračun Odbora činio 1,29 % odobrenih sredstava iz naslova 7. VFO-a;</w:t>
      </w:r>
    </w:p>
    <w:p w14:paraId="5D539C9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2.</w:t>
      </w:r>
      <w:r w:rsidRPr="00B028C0">
        <w:rPr>
          <w:kern w:val="2"/>
          <w14:ligatures w14:val="standardContextual"/>
        </w:rPr>
        <w:tab/>
        <w:t xml:space="preserve">konstatira da je Revizorski sud u godišnjem izvješću za financijsku godinu 2023. („izvješće Revizorskog suda”) ispitao uzorak od 70 transakcija pod naslovom 7. od kojih je 21 (30 %) sadržavalo pogreške; nadalje napominje da je za pet od tih pogrešaka, koje je kvantificirao Revizorski sud, stopa pogreške procijenjena ispod praga </w:t>
      </w:r>
      <w:r w:rsidRPr="00B028C0">
        <w:rPr>
          <w:kern w:val="2"/>
          <w14:ligatures w14:val="standardContextual"/>
        </w:rPr>
        <w:lastRenderedPageBreak/>
        <w:t>značajnosti;</w:t>
      </w:r>
    </w:p>
    <w:p w14:paraId="6BAC5CE5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3.</w:t>
      </w:r>
      <w:r w:rsidRPr="00B028C0">
        <w:rPr>
          <w:kern w:val="2"/>
          <w14:ligatures w14:val="standardContextual"/>
        </w:rPr>
        <w:tab/>
        <w:t xml:space="preserve">prima na znanje iz izvješća Revizorskog suda da administrativni rashodi uključuju rashode za ljudske resurse, uključujući mirovine, koji su 2023. činili otprilike 70 % ukupnih administrativnih rashoda, kao i rashode za zgrade, opremu, energiju, komunikacije i informacijsku tehnologiju; pozdravlja činjenicu da je Revizorski sud, kao i prethodnih godina, zaključio da su administrativni rashodi općenito </w:t>
      </w:r>
      <w:proofErr w:type="spellStart"/>
      <w:r w:rsidRPr="00B028C0">
        <w:rPr>
          <w:kern w:val="2"/>
          <w14:ligatures w14:val="standardContextual"/>
        </w:rPr>
        <w:t>niskorizični</w:t>
      </w:r>
      <w:proofErr w:type="spellEnd"/>
      <w:r w:rsidRPr="00B028C0">
        <w:rPr>
          <w:kern w:val="2"/>
          <w14:ligatures w14:val="standardContextual"/>
        </w:rPr>
        <w:t>; napominje da Revizorski sud nije utvrdio posebne probleme koji se odnose na Odbor tijekom 2023.;</w:t>
      </w:r>
    </w:p>
    <w:p w14:paraId="4E74B4ED" w14:textId="77777777" w:rsidR="00B028C0" w:rsidRPr="00B028C0" w:rsidRDefault="00B028C0" w:rsidP="00B028C0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B028C0">
        <w:rPr>
          <w:b/>
          <w:iCs/>
          <w:kern w:val="2"/>
          <w14:ligatures w14:val="standardContextual"/>
        </w:rPr>
        <w:t>Upravljanje proračunom i financijama</w:t>
      </w:r>
    </w:p>
    <w:p w14:paraId="6E4DCC20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4.</w:t>
      </w:r>
      <w:r w:rsidRPr="00B028C0">
        <w:rPr>
          <w:kern w:val="2"/>
          <w14:ligatures w14:val="standardContextual"/>
        </w:rPr>
        <w:tab/>
        <w:t>konstatira da je konačni usvojeni proračun Odbora za 2023. iznosio 158 767 970 EUR, što odgovara ukupnom povećanju od 4,1 % u odnosu na 2022.; prima na znanje iz odgovora Odbora na upitnik koji je podnio Odbor za proračunski nadzor u vezi s proračunskom razrješnicu za 2023. („Upitnik”) i godišnjeg izvješća o radu Odbora za 2023. („Godišnje izvješće”) da se proračunska linija za plaće i naknade (rashodi povezani s osobljem i članovima Odbora) povećala za 8,4 % između 2022. i 2023. zbog inflacije; prima na znanje iz Upitnika da se proračun za vanjsku pomoć za rad, razvoj i održavanje softverskih sustava povećao za 33,70 % od 2022. do 2023. zbog toga što je Odbor 2023. provedbu svoje digitalne strategije za razdoblje od 2024. do 2026. proglasio prioritetom; napominje da je inače raspodjela odobrenih sredstava po drugim proračunskim linijama u proračunu Odbora za 2023. ostala usporediva s raspodjelom iz prethodnih godina;</w:t>
      </w:r>
    </w:p>
    <w:p w14:paraId="399CD44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5.</w:t>
      </w:r>
      <w:r w:rsidRPr="00B028C0">
        <w:rPr>
          <w:kern w:val="2"/>
          <w14:ligatures w14:val="standardContextual"/>
        </w:rPr>
        <w:tab/>
        <w:t>sa zadovoljstvom prima na znanje da se stopa izvršenja proračuna Odbora za odobrena sredstva za preuzimanje obveza za tekuću godinu dodatno povećala s 96,12 % 2022. na 98,70 % 2023., čime završava faza nižeg izvršenja proračuna prethodnih godina zbog pandemije bolesti COVID-19 i povezanih ograničenja putovanja; nadalje napominje da se stopa izvršenja odobrenih sredstava za plaćanje za tekuću godinu povećala s 88,12 % 2022. na 90,67 % 2023.; napominje da je prosječno vrijeme plaćanja 2023. iznosilo 20,14 dana, što je više nego 2022. (tj. 18,34 dana);</w:t>
      </w:r>
    </w:p>
    <w:p w14:paraId="50884397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6.</w:t>
      </w:r>
      <w:r w:rsidRPr="00B028C0">
        <w:rPr>
          <w:kern w:val="2"/>
          <w14:ligatures w14:val="standardContextual"/>
        </w:rPr>
        <w:tab/>
        <w:t>napominje da je prijenos odobrenih sredstava iz 2023. u 2024. iznosio 13 827 713 EUR (tj. približno 8,70 % proračuna Odbora za 2023.), što je smanjenje u odnosu na razinu iz prethodne godine od 20 162 518 EUR (tj. približno 13 % proračuna Odbora za 2022.); nadalje, sa zadovoljstvom prima na znanje da je stopa izvršenja odobrenih sredstava prenesenih iz 2022. u 2023. iznosila 86,76 % 2023., u usporedbi sa 76,91 % 2022.; potiče Odbor da nastavi učinkovito koristiti osigurana sredstva;</w:t>
      </w:r>
    </w:p>
    <w:p w14:paraId="1695E09C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7.</w:t>
      </w:r>
      <w:r w:rsidRPr="00B028C0">
        <w:rPr>
          <w:kern w:val="2"/>
          <w14:ligatures w14:val="standardContextual"/>
        </w:rPr>
        <w:tab/>
        <w:t>napominje da su vlastite službe Odbora 2022. pokrenule 12 pregovaračkih postupaka čija je vrijednost manja od 60 000 EUR, uglavnom za studije slučaja, studije i logističku potporu; napominje da je Odbor također pokrenuo šest postupaka javne nabave sa zajedničkim službama koje dijeli s Europskim odborom regija, uglavnom u području logistike i održavanja;</w:t>
      </w:r>
    </w:p>
    <w:p w14:paraId="0ED6719A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8.</w:t>
      </w:r>
      <w:r w:rsidRPr="00B028C0">
        <w:rPr>
          <w:kern w:val="2"/>
          <w14:ligatures w14:val="standardContextual"/>
        </w:rPr>
        <w:tab/>
        <w:t xml:space="preserve">konstatira da je 2023. Odbor nastavio poboljšavati ekonomičnost svojih aktivnosti, među ostalim zahvaljujući hibridnom radu, povećanom radu na daljinu, potpunoj dematerijalizaciji financijskih tokova i smanjenoj potrošnji energije; prima na znanje iz Upitnika da je Odbor 2023. ostvario financijsku uštedu od 65 000 EUR zbog smanjenja potrošnje energije; pohvaljuje Odbor zbog potpisivanja novog okvirnog ugovora za </w:t>
      </w:r>
      <w:r w:rsidRPr="00B028C0">
        <w:rPr>
          <w:kern w:val="2"/>
          <w14:ligatures w14:val="standardContextual"/>
        </w:rPr>
        <w:lastRenderedPageBreak/>
        <w:t xml:space="preserve">zdravstvene preglede kojim se predviđaju niže cijene, povećana fleksibilnost i općenito bolja usluga u odnosu na prethodni ugovor; prepoznaje znatne proračunske i administrativne uštede koje je Odbor ostvario </w:t>
      </w:r>
      <w:proofErr w:type="spellStart"/>
      <w:r w:rsidRPr="00B028C0">
        <w:rPr>
          <w:kern w:val="2"/>
          <w14:ligatures w14:val="standardContextual"/>
        </w:rPr>
        <w:t>međuinstitucijskom</w:t>
      </w:r>
      <w:proofErr w:type="spellEnd"/>
      <w:r w:rsidRPr="00B028C0">
        <w:rPr>
          <w:kern w:val="2"/>
          <w14:ligatures w14:val="standardContextual"/>
        </w:rPr>
        <w:t xml:space="preserve"> suradnjom, posebno s pomoću zajedničkih službi s Odborom regija i eksternalizacijom (sporazum na razini službi) određenih usluga Komisiji kad je riječ o ljudskim resursima i upotrebi informatičkih alata za upravljanje financijama i ljudskim resursima, kao i sudjelovanjem u </w:t>
      </w:r>
      <w:proofErr w:type="spellStart"/>
      <w:r w:rsidRPr="00B028C0">
        <w:rPr>
          <w:kern w:val="2"/>
          <w14:ligatures w14:val="standardContextual"/>
        </w:rPr>
        <w:t>međuinstitucijskim</w:t>
      </w:r>
      <w:proofErr w:type="spellEnd"/>
      <w:r w:rsidRPr="00B028C0">
        <w:rPr>
          <w:kern w:val="2"/>
          <w14:ligatures w14:val="standardContextual"/>
        </w:rPr>
        <w:t xml:space="preserve"> postupcima javne nabave koje vode druge institucije; prima na znanje iz Upitnika da su se ukupni troškovi Odbora za eksternalizaciju određenih usluga Komisiji povećali sa 743 600 EUR 2022. na 793 000 EUR 2023.;</w:t>
      </w:r>
    </w:p>
    <w:p w14:paraId="53D0EBD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9.</w:t>
      </w:r>
      <w:r w:rsidRPr="00B028C0">
        <w:rPr>
          <w:kern w:val="2"/>
          <w14:ligatures w14:val="standardContextual"/>
        </w:rPr>
        <w:tab/>
        <w:t>podsjeća da je odlukom Vijeća od 25. svibnja 2023. utvrđena naknada za sudjelovanje članova Odbora na nestatutarnim sastancima na daljinu u iznosu od 145 EUR po sastanku na daljinu dnevno, što predstavlja 50 % dnevnice za fizičko sudjelovanje 2023.; smatra da je, unatoč tome što je sudjelovanje na daljinu važan instrument za moderne institucije s obzirom na to da se njime, među ostalim, smanjuju troškovi sastanaka i omogućuje sudjelovanje većeg broja sudionika, dodjela naknade za sudjelovanje na sastancima na daljinu teško shvatljiva javnosti, čak i ako je umanjena i namijenjena samo za neke vrste događanja, osobito ako se uzme u obzir razlika koja se članovima Odbora i članovima Odbora regija isplaćuje za sudjelovanje na sastancima na daljinu; sa zadovoljstvom prima na znanje iz izvješća Odbora o daljnjim mjerama u vezi s Rezolucijom Parlamenta o izvršenju proračuna Odbora za 2022. („izvješće o daljnjim mjerama”) da je primjenom te odluke već ostvarena proračunska ušteda od 1 677 000 EUR zbog nižih putnih troškova i isplaćenih naknada, kao i ekološka ušteda od oko 553,66 tona CO</w:t>
      </w:r>
      <w:r w:rsidRPr="00B028C0">
        <w:rPr>
          <w:kern w:val="2"/>
          <w:vertAlign w:val="subscript"/>
          <w14:ligatures w14:val="standardContextual"/>
        </w:rPr>
        <w:t>2</w:t>
      </w:r>
      <w:r w:rsidRPr="00B028C0">
        <w:rPr>
          <w:kern w:val="2"/>
          <w14:ligatures w14:val="standardContextual"/>
        </w:rPr>
        <w:t xml:space="preserve"> zbog manjeg broja putovanja 2023.; prima na znanje iz Godišnjeg izvješća da je broj dana sastanaka na daljinu za koje je osiguran povrat troškova bio 2006 (6259 2022.), s prosječnim trajanjem od 3 sata po sastanku i ukupnim troškom od 294 930 EUR 2023. (922 925 EUR 2022.); pozdravlja višestruke provjere koje je Odbor proveo kako bi prije isplate naknade dokazao prisutnost članova na daljinu;</w:t>
      </w:r>
    </w:p>
    <w:p w14:paraId="10F5BC6E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10.</w:t>
      </w:r>
      <w:r w:rsidRPr="00B028C0">
        <w:rPr>
          <w:kern w:val="2"/>
          <w14:ligatures w14:val="standardContextual"/>
        </w:rPr>
        <w:tab/>
        <w:t xml:space="preserve">napominje da je učinak ruske ratne agresije na Ukrajinu i dalje težak uteg za proračun Obora 2023., i to zbog povećanja inflacije i prilagodbi plaća, izazova u projektima u vezi s nekretninama zbog kašnjenja i viših cijena sirovina, </w:t>
      </w:r>
      <w:proofErr w:type="spellStart"/>
      <w:r w:rsidRPr="00B028C0">
        <w:rPr>
          <w:kern w:val="2"/>
          <w14:ligatures w14:val="standardContextual"/>
        </w:rPr>
        <w:t>indeksacije</w:t>
      </w:r>
      <w:proofErr w:type="spellEnd"/>
      <w:r w:rsidRPr="00B028C0">
        <w:rPr>
          <w:kern w:val="2"/>
          <w14:ligatures w14:val="standardContextual"/>
        </w:rPr>
        <w:t xml:space="preserve"> ugovora o najmu (+ 10,3 % 2023. u odnosu na 2022.) te </w:t>
      </w:r>
      <w:proofErr w:type="spellStart"/>
      <w:r w:rsidRPr="00B028C0">
        <w:rPr>
          <w:kern w:val="2"/>
          <w14:ligatures w14:val="standardContextual"/>
        </w:rPr>
        <w:t>indeksacije</w:t>
      </w:r>
      <w:proofErr w:type="spellEnd"/>
      <w:r w:rsidRPr="00B028C0">
        <w:rPr>
          <w:kern w:val="2"/>
          <w14:ligatures w14:val="standardContextual"/>
        </w:rPr>
        <w:t xml:space="preserve"> ugovora o uslugama održavanja i sigurnosti (+ 13,50 % 2023. u odnosu na 2021.); posebno napominje da su se troškovi energije u razdoblju od 2021. do 2022. povećali sa 726 000 EUR na 3 125 000 EUR, da bi se 2023. smanjili na 1 923 391 EUR; prima na znanje gornju granicu od 2 % za troškove koji se ne odnose na plaće; u tom kontekstu pohvaljuje Odbor za njegovu inicijativu za rješavanje izazova na proračunskoj razini, npr. provedbom strategija za uštedu energije kratkoročnim, kao i srednjoročnim i dugoročnim mjerama, zbog čega nije potrebna izmjena proračuna za 2023.;</w:t>
      </w:r>
    </w:p>
    <w:p w14:paraId="3E4A8973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11.</w:t>
      </w:r>
      <w:r w:rsidRPr="00B028C0">
        <w:rPr>
          <w:kern w:val="2"/>
          <w14:ligatures w14:val="standardContextual"/>
        </w:rPr>
        <w:tab/>
        <w:t>prima na znanje smanjenje odobrenih sredstava za tekuću godinu za proračunsku liniju 1 0 0 4 (rashodi za putovanja zastupnika, uključujući dnevnice i naknade za sastanke) s 19,790 milijuna EUR 2022. (od čega je isplaćeno 15,895 milijuna EUR) na 19,761 milijuna EUR 2023. (od čega je isplaćeno 18,344 milijuna EUR); sa zadovoljstvom prima na znanje poboljšanje stope izvršenja tih odobrenih sredstava s 80,31 % 2022. na 92,83 % 2023.; napominje da je predsjednik Odbora 2023. sudjelovao u 35 službenih putovanja u ukupnom iznosu od 71 926 EUR, u usporedbi s 26 službenih putovanja u ukupnom iznosu od 38 042 EUR 2022.;</w:t>
      </w:r>
    </w:p>
    <w:p w14:paraId="4C87D12D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lastRenderedPageBreak/>
        <w:t>12.</w:t>
      </w:r>
      <w:r w:rsidRPr="00B028C0">
        <w:rPr>
          <w:kern w:val="2"/>
          <w14:ligatures w14:val="standardContextual"/>
        </w:rPr>
        <w:tab/>
        <w:t xml:space="preserve">prima na znanje iz Upitnika da Zajednička uprava za inovacije i informacijsku tehnologiju Odbora i Odbora regija dodjeljuje oko 3 % svojeg proračuna za IT kibernetičkoj sigurnosti, što je daleko od cilja od 10 % predviđenog relevantnim zakonodavstvom; poziva </w:t>
      </w:r>
      <w:proofErr w:type="spellStart"/>
      <w:r w:rsidRPr="00B028C0">
        <w:rPr>
          <w:kern w:val="2"/>
          <w14:ligatures w14:val="standardContextual"/>
        </w:rPr>
        <w:t>suzakonodavce</w:t>
      </w:r>
      <w:proofErr w:type="spellEnd"/>
      <w:r w:rsidRPr="00B028C0">
        <w:rPr>
          <w:kern w:val="2"/>
          <w14:ligatures w14:val="standardContextual"/>
        </w:rPr>
        <w:t xml:space="preserve"> i Komisiju da to uzmu u obzir u okviru godišnjeg proračunskog postupka;</w:t>
      </w:r>
    </w:p>
    <w:p w14:paraId="1170815E" w14:textId="77777777" w:rsidR="00B028C0" w:rsidRPr="00B028C0" w:rsidRDefault="00B028C0" w:rsidP="00B028C0">
      <w:pPr>
        <w:spacing w:after="240"/>
        <w:ind w:left="567" w:hanging="567"/>
        <w:rPr>
          <w:iCs/>
          <w:kern w:val="2"/>
          <w14:ligatures w14:val="standardContextual"/>
        </w:rPr>
      </w:pPr>
      <w:r w:rsidRPr="00B028C0">
        <w:rPr>
          <w:b/>
          <w:iCs/>
          <w:kern w:val="2"/>
          <w14:ligatures w14:val="standardContextual"/>
        </w:rPr>
        <w:t>Unutarnje upravljanje, uspješnost i unutarnja kontrola</w:t>
      </w:r>
    </w:p>
    <w:p w14:paraId="241FBAB5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13.</w:t>
      </w:r>
      <w:r w:rsidRPr="00B028C0">
        <w:rPr>
          <w:kern w:val="2"/>
          <w14:ligatures w14:val="standardContextual"/>
        </w:rPr>
        <w:tab/>
        <w:t>prima na znanje iz godišnjeg izvješća da je Odbor u okviru svojeg godišnjeg programa rada za 2023. imao ukupno 31 cilj osmišljen za sve subjekte u njegovoj administraciji te da u okviru strategije Glavnog tajništva za razdoblje od 2021. do 2025. Odbor ima pet temeljnih vrijednosti i pet ključnih strateških ciljeva; prima na znanje iz Upitnika da su broj izrađenih mišljenja i sudjelovanja na sastancima na visokoj razini ključni pokazatelji za mjerenje uspješnosti Odbora; prima na znanje iz Upitnika da Odbor ima pokazatelje uspješnosti u različitim područjima, kao što su IT, ljudski resursi, prevođenje i komunikacija; traži od Odbora da u svoje buduće izvješćivanje uvrsti popis svih ključnih pokazatelja uspješnosti i ciljeva, po aktivnosti, kao i cilj (%) postavljen za njihovo postizanje i razinu (%) njihova ostvarenja;</w:t>
      </w:r>
    </w:p>
    <w:p w14:paraId="704A7723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14.</w:t>
      </w:r>
      <w:r w:rsidRPr="00B028C0">
        <w:rPr>
          <w:kern w:val="2"/>
          <w14:ligatures w14:val="standardContextual"/>
        </w:rPr>
        <w:tab/>
        <w:t xml:space="preserve">napominje da Odbor svoju misiju ostvaruje mišljenjima koja se odnose na zakonodavne prijedloge Komisije (zahtjevi za mišljenje) i samoinicijativnim mišljenjima, u kojima se institucije Unije pozivaju na djelovanje, kao i </w:t>
      </w:r>
      <w:proofErr w:type="spellStart"/>
      <w:r w:rsidRPr="00B028C0">
        <w:rPr>
          <w:kern w:val="2"/>
          <w14:ligatures w14:val="standardContextual"/>
        </w:rPr>
        <w:t>razmatračkim</w:t>
      </w:r>
      <w:proofErr w:type="spellEnd"/>
      <w:r w:rsidRPr="00B028C0">
        <w:rPr>
          <w:kern w:val="2"/>
          <w14:ligatures w14:val="standardContextual"/>
        </w:rPr>
        <w:t xml:space="preserve"> mišljenjima, koja doprinose radu Komisije na planiranim inicijativama, te da se stajališta Odbora mogu istaknuti u rezolucijama ili uvrstiti u evaluacije ili informativna mišljenja; pohvaljuje Odbor za uspješnost u pomaganju Parlamentu, Vijeću i Komisiji u zakonodavnom ciklusu 2023.; u tom kontekstu napominje da je Odbor 2023. donio 213 mišljenja i izvješća, što je povećanje s 202 tijekom 2022. te je organizirao 146 saslušanja i 23 konferencije, u usporedbi sa 116 odnosno 29 tijekom 2022.; konstatira da su članovi Odbora 2023. sudjelovali na 429 sastanaka na visokoj razini, sastanaka na vrhu i konferencija, u usporedbi s 345 takvih sastanaka 2022.;</w:t>
      </w:r>
    </w:p>
    <w:p w14:paraId="73C95B32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15.</w:t>
      </w:r>
      <w:r w:rsidRPr="00B028C0">
        <w:rPr>
          <w:kern w:val="2"/>
          <w14:ligatures w14:val="standardContextual"/>
        </w:rPr>
        <w:tab/>
        <w:t>cijeni to što je Odbor 2023. poduzeo mjere za poboljšanje vidljivosti i učinka svojeg rada u vezi s formatom svojih mišljenja, metodologijom za daljnja mišljenja, suradnjom s Parlamentom i Komisijom i drugim projektima transverzalne prirode, kao i inovativnim inicijativama kao što su, među ostalim, test EU-a iz perspektive mladih, inicijativa člana iz zemlje kandidatkinje za proširenje i Europska platforma dionika kružnoga gospodarstva;</w:t>
      </w:r>
    </w:p>
    <w:p w14:paraId="0EBC7325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16.</w:t>
      </w:r>
      <w:r w:rsidRPr="00B028C0">
        <w:rPr>
          <w:b/>
          <w:i/>
          <w:kern w:val="2"/>
          <w14:ligatures w14:val="standardContextual"/>
        </w:rPr>
        <w:tab/>
      </w:r>
      <w:r w:rsidRPr="00B028C0">
        <w:rPr>
          <w:kern w:val="2"/>
          <w14:ligatures w14:val="standardContextual"/>
        </w:rPr>
        <w:t>pohvaljuje inicijative koje je Odbor poduzeo u cilju poticanja aktivnog sudjelovanja mladih u postupku donošenja politika;</w:t>
      </w:r>
    </w:p>
    <w:p w14:paraId="6E9A0E28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17.</w:t>
      </w:r>
      <w:r w:rsidRPr="00B028C0">
        <w:rPr>
          <w:kern w:val="2"/>
          <w14:ligatures w14:val="standardContextual"/>
        </w:rPr>
        <w:tab/>
        <w:t>pozdravlja pilot-projekt proveden između rujna 2022. i travnja 2023. u cilju jačanja praćenja odabranih mišljenja u pogledu svih institucija, dok je 19 mišljenja odabrano za pojačano praćenje u okviru tog projekta; prima na znanje iz Upitnika opće pozitivne rezultate tog pilot-projekta, kao što su poboljšanje kapaciteta Odbora za poduzimanje daljnjih mjera, bolje određivanje prioriteta rada Odbora te povećanje dosega i učinka odabranih mišljenja;</w:t>
      </w:r>
    </w:p>
    <w:p w14:paraId="271E0BD2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18.</w:t>
      </w:r>
      <w:r w:rsidRPr="00B028C0">
        <w:rPr>
          <w:kern w:val="2"/>
          <w14:ligatures w14:val="standardContextual"/>
        </w:rPr>
        <w:tab/>
        <w:t xml:space="preserve">ističe da je učinkovito upravljanje ograničenim resursima i dalje ključni izazov tijekom 2023. zbog kadrovskih ograničenja, što je dodatno pogoršano povećanim aktivnostima u okviru stalne stabilne kadrovske politike; prima na znanje plan Odbora da uvede novi </w:t>
      </w:r>
      <w:r w:rsidRPr="00B028C0">
        <w:rPr>
          <w:kern w:val="2"/>
          <w14:ligatures w14:val="standardContextual"/>
        </w:rPr>
        <w:lastRenderedPageBreak/>
        <w:t>pristup strateškom planiranju radne snage i raspodjeli osoblja, koristeći se prikupljanjem podataka o vještinama osoblja, aktivnim slušanjem u cijeloj organizaciji i promišljanjima političkih tijela Odbora o strateškim prioritetima; poziva Odbor da obavještava Parlament o ishodu tog novog plana jer bi to moglo nadahnuti druge institucije koje se suočavaju sa sličnim izazovima koji se ponavljaju u pogledu resursa;</w:t>
      </w:r>
    </w:p>
    <w:p w14:paraId="46B8315C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19.</w:t>
      </w:r>
      <w:r w:rsidRPr="00B028C0">
        <w:rPr>
          <w:kern w:val="2"/>
          <w14:ligatures w14:val="standardContextual"/>
        </w:rPr>
        <w:tab/>
        <w:t>kad je riječ o standardima unutarnje kontrole, napominje da je provjera usklađenosti za 2023. pokazala poboljšanja u odnosu na 2022.; u tom kontekstu napominje da se usklađenost, odnosno mjera u kojoj se provode zahtjevi iz 16 standarda unutarnje kontrole, povećala s 80,30 % 2022. na 87,40 % 2023., dok se učinkovitost, odnosno mjera u kojoj provedba tih zahtjeva funkcionira kako je predviđeno, povećala sa 74 % 2022. na 78,10 % 2023.; nadalje napominje da je godišnja procjena rizika za 2023. pokazala da su se primjenom unutarnjih kontrola 2023. smanjili inherentni rizici (u kategorijama „kritično” i „vrlo važno”) za 53 %, to jest s 40 na 19 tijekom 2023.;</w:t>
      </w:r>
    </w:p>
    <w:p w14:paraId="234A677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20.</w:t>
      </w:r>
      <w:r w:rsidRPr="00B028C0">
        <w:rPr>
          <w:b/>
          <w:i/>
          <w:kern w:val="2"/>
          <w14:ligatures w14:val="standardContextual"/>
        </w:rPr>
        <w:tab/>
      </w:r>
      <w:r w:rsidRPr="00B028C0">
        <w:rPr>
          <w:kern w:val="2"/>
          <w14:ligatures w14:val="standardContextual"/>
        </w:rPr>
        <w:t>napominje da je restrukturiranje Službe za unutarnju reviziju provedeno 2023., čime je ojačana njezina usklađenost s međunarodnim revizijskim standardima te su pojednostavnjeni i dokumentirani svi njezini postupci;</w:t>
      </w:r>
    </w:p>
    <w:p w14:paraId="78713B24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21.</w:t>
      </w:r>
      <w:r w:rsidRPr="00B028C0">
        <w:rPr>
          <w:kern w:val="2"/>
          <w14:ligatures w14:val="standardContextual"/>
        </w:rPr>
        <w:tab/>
        <w:t xml:space="preserve">napominje da je u području financijskih transakcija Služba Odbora za unutarnju reviziju početkom 2023. donijela novu odluku o procjeni rizika za provedbu pojednostavnjenog postupka; nadalje napominje da je Predsjedništvo Odbora 2023. donijelo novu povelju o unutarnjoj reviziji i povelju odbora za reviziju, uključujući </w:t>
      </w:r>
      <w:proofErr w:type="spellStart"/>
      <w:r w:rsidRPr="00B028C0">
        <w:rPr>
          <w:kern w:val="2"/>
          <w14:ligatures w14:val="standardContextual"/>
        </w:rPr>
        <w:t>postupovna</w:t>
      </w:r>
      <w:proofErr w:type="spellEnd"/>
      <w:r w:rsidRPr="00B028C0">
        <w:rPr>
          <w:kern w:val="2"/>
          <w14:ligatures w14:val="standardContextual"/>
        </w:rPr>
        <w:t xml:space="preserve"> pravila;</w:t>
      </w:r>
    </w:p>
    <w:p w14:paraId="2AF6C34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22.</w:t>
      </w:r>
      <w:r w:rsidRPr="00B028C0">
        <w:rPr>
          <w:kern w:val="2"/>
          <w14:ligatures w14:val="standardContextual"/>
        </w:rPr>
        <w:tab/>
        <w:t>prima na znanje iz Godišnjeg izvješća i Upitnika da je Služba za unutarnju reviziju 2023. pokrenula četiri revizije, i to o odobravanju sastanaka, odabiru savjetodavnog povjerenstva za industrijske promjene, strateškom ciklusu te naknadama za trajanje putovanja i udaljenost članova Odbora; poziva Odbor da tijelo nadležno za davanje razrješnice obavještava o ishodu tih revizija i da provede sve otvorene preporuke proizašle iz prethodnih revizija (o institucionalnim rokovima, tumačenju, provjeri, etici i integritetu, statutarnim pravima i rokovima plaćanja);</w:t>
      </w:r>
    </w:p>
    <w:p w14:paraId="57AE1D2F" w14:textId="77777777" w:rsidR="00B028C0" w:rsidRPr="00B028C0" w:rsidRDefault="00B028C0" w:rsidP="00B028C0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B028C0">
        <w:rPr>
          <w:b/>
          <w:iCs/>
          <w:kern w:val="2"/>
          <w14:ligatures w14:val="standardContextual"/>
        </w:rPr>
        <w:t>Ljudski resursi, jednakost i dobrobit osoblja</w:t>
      </w:r>
    </w:p>
    <w:p w14:paraId="4DA27C39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23.</w:t>
      </w:r>
      <w:r w:rsidRPr="00B028C0">
        <w:rPr>
          <w:kern w:val="2"/>
          <w14:ligatures w14:val="standardContextual"/>
        </w:rPr>
        <w:tab/>
        <w:t>konstatira da je na kraju 2023. Odbor zapošljavao 707 članova osoblja, u usporedbi sa 706 članova osoblja 2022.; nadalje napominje da je 2023. bilo zaposleno 49 ugovornih djelatnika i 130 privremenih djelatnika (od kojih je 52 zaposleno 2023.), u usporedbi s 50 ugovornih djelatnika i 128 privremenih djelatnika 2022.; osim toga, napominje da je Odbor zapošljavao 12 privremenih djelatnika i 10 vanjskih članova osoblja koji rade na licu mjesta, ne računajući vanjske pružatelje usluga u području logistike i informacijskih tehnologija; prima na znanje da je stopa popunjenosti radnih mjesta 2023. iznosila 95,50 % u usporedbi s 95,10 % 2022. i da je stopa fluktuacije osoblja 2023. iznosila 7 %;</w:t>
      </w:r>
    </w:p>
    <w:p w14:paraId="6D8482FA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24.</w:t>
      </w:r>
      <w:r w:rsidRPr="00B028C0">
        <w:rPr>
          <w:kern w:val="2"/>
          <w14:ligatures w14:val="standardContextual"/>
        </w:rPr>
        <w:tab/>
        <w:t xml:space="preserve">pozdravlja trenutačne napore Odbora da poboljša svoj okvir ljudskih resursa kako bi postao privlačan poslodavac i ponudio radno mjesto u kojem se svaki pojedinac cijeni i može u potpunosti razviti svoj potencijal; napominje da je Odbor u okviru provedbe svoje strategije ljudskih resursa za razdoblje od 2023. do 2025. ostvario nekoliko ključnih etapa tijekom 2023., pri čemu su donesene nove odluke, među ostalim, o radnim uvjetima (hibridni rad, prekovremeni rad, poseban dopust), strategiji za raznolikost i </w:t>
      </w:r>
      <w:proofErr w:type="spellStart"/>
      <w:r w:rsidRPr="00B028C0">
        <w:rPr>
          <w:kern w:val="2"/>
          <w14:ligatures w14:val="standardContextual"/>
        </w:rPr>
        <w:t>uključivost</w:t>
      </w:r>
      <w:proofErr w:type="spellEnd"/>
      <w:r w:rsidRPr="00B028C0">
        <w:rPr>
          <w:kern w:val="2"/>
          <w14:ligatures w14:val="standardContextual"/>
        </w:rPr>
        <w:t xml:space="preserve"> te akcijskom planu za razdoblje od 2023. do 2027., mobilnosti </w:t>
      </w:r>
      <w:r w:rsidRPr="00B028C0">
        <w:rPr>
          <w:kern w:val="2"/>
          <w14:ligatures w14:val="standardContextual"/>
        </w:rPr>
        <w:lastRenderedPageBreak/>
        <w:t>osoblja i metodologiji za osjetljiva radna mjesta, kao i o sustavu ocjenjivanja i promaknuća osoblja; sa zadovoljstvom prima na znanje pozitivne rezultate ankete o zadovoljstvu osoblja objavljene u svibnju 2023., u kojoj su i osoblje i rukovoditelji izrazili visoku razinu zadovoljstva raznim pitanjima u vezi s ljudskim resursima, posebno pitanjima u vezi s radnim aranžmanima, što je tema za koju se čini da je Odbor pronašao savršenu ravnotežu;</w:t>
      </w:r>
    </w:p>
    <w:p w14:paraId="0FA19CB8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25.</w:t>
      </w:r>
      <w:r w:rsidRPr="00B028C0">
        <w:rPr>
          <w:kern w:val="2"/>
          <w14:ligatures w14:val="standardContextual"/>
        </w:rPr>
        <w:tab/>
        <w:t>napominje da je Odbor drugu godinu zaredom postao neto uvoznik talenata (iz drugih institucija) kao rezultat provedbe ciljanog plana privlačnosti i zadržavanja; ipak priznaje stalne izazove zbog oslanjanja na privremene djelatnike zbog nedostatka popisa uspješnih kandidata EPSO-a (Europski ured za odabir osoblja), što predstavlja rizik za zadržavanje stručnog znanja; naglašava važnost stalnog osoblja u održavanju vještina, kontinuiteta i produktivnog radnog okruženja; preporučuje Odboru da provede inicijative kako bi odgovorio na te izazove, primjerice organiziranjem internih natječaja;</w:t>
      </w:r>
    </w:p>
    <w:p w14:paraId="460607E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26.</w:t>
      </w:r>
      <w:r w:rsidRPr="00B028C0">
        <w:rPr>
          <w:kern w:val="2"/>
          <w14:ligatures w14:val="standardContextual"/>
        </w:rPr>
        <w:tab/>
        <w:t>napominje da je 2023. dovršena vanjska revizija mapiranja ljudskih resursa koju je naručio Odbor u cilju bolje raspodjele oskudnih resursa; sa zabrinutošću prima na znanje da su rezultati te revizije potvrdili veliko radno opterećenje mnogih različitih službi u Odboru, čime se ugrožava ispunjavanje misije i obveza Odbora; poziva Odbor da provede preporuke te revizije, uključujući reviziju sustava ocjenjivanja i uspješnosti do 2025., donošenje nove odluke o radnim uvjetima i redovito praćenje angažmana osoblja; naglašava važnost strateškog planiranja radne snage kako bi se optimizirala raspodjela resursa, osigurala usklađenost s prioritetima na visokoj razini koje su odredila politička tijela i nastavili napori u pogledu troškovne učinkovitosti;</w:t>
      </w:r>
    </w:p>
    <w:p w14:paraId="7069E03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27.</w:t>
      </w:r>
      <w:r w:rsidRPr="00B028C0">
        <w:rPr>
          <w:kern w:val="2"/>
          <w14:ligatures w14:val="standardContextual"/>
        </w:rPr>
        <w:tab/>
        <w:t xml:space="preserve">napominje da su se 2023. nastavili pozitivni trendovi pokrenuti 2022. u pogledu zapošljavanja osoblja; pohvaljuje Odbor za mjere poduzete u tom području, kao što su, među ostalim, usklađivanje objavljivanja slobodnih radnih mjesta s objavom novih popisa uspješnih kandidata EPSO-a ili objava mogućnosti zapošljavanja na internetskim stranicama Odbora i LinkedInu; traži od Odbora da obavještava Parlament o ishodu svojeg pilot-projekta o aktivnostima </w:t>
      </w:r>
      <w:proofErr w:type="spellStart"/>
      <w:r w:rsidRPr="00B028C0">
        <w:rPr>
          <w:kern w:val="2"/>
          <w14:ligatures w14:val="standardContextual"/>
        </w:rPr>
        <w:t>brendiranja</w:t>
      </w:r>
      <w:proofErr w:type="spellEnd"/>
      <w:r w:rsidRPr="00B028C0">
        <w:rPr>
          <w:kern w:val="2"/>
          <w14:ligatures w14:val="standardContextual"/>
        </w:rPr>
        <w:t xml:space="preserve"> poslodavaca; ističe da je uključivanje novih zaposlenika važan faktor strateškog usklađivanja jer se njime osigurava informiranost osoblja o pravilima i strategijama koje su na snazi u nekoj instituciji; pohvaljuje Odbor zbog jačanja uključivanja novih članova osoblja u posao 2023. ažuriranom knjižicom dobrodošlice i pismom za uključivanje u posao, paketom dobrodošlice s ekološki prihvatljivim </w:t>
      </w:r>
      <w:proofErr w:type="spellStart"/>
      <w:r w:rsidRPr="00B028C0">
        <w:rPr>
          <w:kern w:val="2"/>
          <w14:ligatures w14:val="standardContextual"/>
        </w:rPr>
        <w:t>poklončićima</w:t>
      </w:r>
      <w:proofErr w:type="spellEnd"/>
      <w:r w:rsidRPr="00B028C0">
        <w:rPr>
          <w:kern w:val="2"/>
          <w14:ligatures w14:val="standardContextual"/>
        </w:rPr>
        <w:t>, sustavom povratnih informacija o iskustvu uvođenja u posao, poboljšanim rasporedom sjednice dobrodošlice, izmijenjenim kutkom za nove zaposlenike i odgovarajućim savjetima za rukovoditelje;</w:t>
      </w:r>
    </w:p>
    <w:p w14:paraId="28CB79C5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28.</w:t>
      </w:r>
      <w:r w:rsidRPr="00B028C0">
        <w:rPr>
          <w:kern w:val="2"/>
          <w14:ligatures w14:val="standardContextual"/>
        </w:rPr>
        <w:tab/>
        <w:t>podsjeća da je Odbor donio Odluku 282/23 A, koja je stupila na snagu 1. siječnja 2024., kojom se uspostavlja fleksibilna hibridna politika rada koja se temelji na povjerenju, a osoblju nudi bolju ravnotežu između poslovnog i privatnog života te poboljšava prilagodljivost i učinkovitost; poziva Odbor da tijelo nadležno za davanje razrješnice pravodobno obavještava o zbivanjima u tom pogledu;</w:t>
      </w:r>
    </w:p>
    <w:p w14:paraId="210B41AD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29.</w:t>
      </w:r>
      <w:r w:rsidRPr="00B028C0">
        <w:rPr>
          <w:kern w:val="2"/>
          <w14:ligatures w14:val="standardContextual"/>
        </w:rPr>
        <w:tab/>
        <w:t xml:space="preserve">pozdravlja imenovanje glavne tajnice u siječnju 2024. kao pozitivan pomak prema postizanju rodne ravnoteže; međutim, žali zbog toga što je postotak žena u višem rukovodstvu 2023. ostao nizak, pri čemu su žene trenutačno na samo dva od sedam viših rukovodećih položaja; međutim, pozdravlja činjenicu da Odbor rodnu ravnotežu među svojim osobljem, a posebno u višem rukovodstvu, smatra važnim čimbenikom te poziva Odbor da brzo poboljša situaciju na najvišim razinama Odbora osiguravanjem </w:t>
      </w:r>
      <w:r w:rsidRPr="00B028C0">
        <w:rPr>
          <w:kern w:val="2"/>
          <w14:ligatures w14:val="standardContextual"/>
        </w:rPr>
        <w:lastRenderedPageBreak/>
        <w:t xml:space="preserve">uravnotežene zastupljenosti u skladu s obvezama Odbora u pogledu raznolikosti i </w:t>
      </w:r>
      <w:proofErr w:type="spellStart"/>
      <w:r w:rsidRPr="00B028C0">
        <w:rPr>
          <w:kern w:val="2"/>
          <w14:ligatures w14:val="standardContextual"/>
        </w:rPr>
        <w:t>uključivosti</w:t>
      </w:r>
      <w:proofErr w:type="spellEnd"/>
      <w:r w:rsidRPr="00B028C0">
        <w:rPr>
          <w:kern w:val="2"/>
          <w14:ligatures w14:val="standardContextual"/>
        </w:rPr>
        <w:t>;</w:t>
      </w:r>
    </w:p>
    <w:p w14:paraId="47E34BC9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30.</w:t>
      </w:r>
      <w:r w:rsidRPr="00B028C0">
        <w:rPr>
          <w:kern w:val="2"/>
          <w14:ligatures w14:val="standardContextual"/>
        </w:rPr>
        <w:tab/>
        <w:t xml:space="preserve">žali zbog toga što Odbor nije mogao pružiti podatke o slučajevima izgaranja na poslu tijekom 2023. i odbacuje stajalište Odbora izraženo u njegovu izvješću o daljnjim mjerama prema kojem sindrom izgaranja na poslu kao takav nije priznata medicinska dijagnoza, a razlozi za sindrom izgaranja na poslu mogu biti višestruki; podsjeća na važnost statističkih podataka o sindromu izgaranja na poslu kako bi se pomoglo u definiranju odluka o dobrobiti osoblja, koje bi se također trebale temeljiti na iskustvima stečenima iz prošlih vrlo nesretnih iskustava, kao i na vanjskim evaluacijama trenutačnog okvira; prepoznaje ograničenja u pogledu zaštite podataka, ali naglašava vrijednost </w:t>
      </w:r>
      <w:proofErr w:type="spellStart"/>
      <w:r w:rsidRPr="00B028C0">
        <w:rPr>
          <w:kern w:val="2"/>
          <w14:ligatures w14:val="standardContextual"/>
        </w:rPr>
        <w:t>anonimiziranih</w:t>
      </w:r>
      <w:proofErr w:type="spellEnd"/>
      <w:r w:rsidRPr="00B028C0">
        <w:rPr>
          <w:kern w:val="2"/>
          <w14:ligatures w14:val="standardContextual"/>
        </w:rPr>
        <w:t xml:space="preserve"> statističkih podataka za potporu informiranim upravljačkim odlukama; sa zabrinutošću prima na znanje nalaze u kojima se ističe veliko radno opterećenje u nekoliko službi zbog ograničenih ljudskih resursa; pozdravlja donošenje novih radnih dogovora kao pozitivan korak, ali potiče Odbor da poduzme daljnje korake kako bi osigurao objavljivanje </w:t>
      </w:r>
      <w:proofErr w:type="spellStart"/>
      <w:r w:rsidRPr="00B028C0">
        <w:rPr>
          <w:kern w:val="2"/>
          <w14:ligatures w14:val="standardContextual"/>
        </w:rPr>
        <w:t>anonimiziranih</w:t>
      </w:r>
      <w:proofErr w:type="spellEnd"/>
      <w:r w:rsidRPr="00B028C0">
        <w:rPr>
          <w:kern w:val="2"/>
          <w14:ligatures w14:val="standardContextual"/>
        </w:rPr>
        <w:t xml:space="preserve"> podataka o slučajevima sindroma izgaranja na poslu;</w:t>
      </w:r>
    </w:p>
    <w:p w14:paraId="75DF31DD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31.</w:t>
      </w:r>
      <w:r w:rsidRPr="00B028C0">
        <w:rPr>
          <w:kern w:val="2"/>
          <w14:ligatures w14:val="standardContextual"/>
        </w:rPr>
        <w:tab/>
        <w:t>napominje da je 2023. Odbor zapošljavao članove osoblja iz svih država članica, pri čemu su neki od njih bili prekomjerno zastupljeni (npr. Belgija, Italija); napominje da je 2023. Odbor zapošljavao 24 % rukovoditelja iz 13 država članica koje su pristupile Uniji nakon 2004., što predstavlja blago povećanje u odnosu na 2022., kada je taj udio iznosio 21 %, odnosno 2021. kada je iznosio 19 %; ponovno potiče Odbor da nastavi poduzimati radnje za postizanje odgovarajuće zemljopisne ravnoteže među svojim osobljem s posebnim naglaskom na razini rukovodstva;</w:t>
      </w:r>
    </w:p>
    <w:p w14:paraId="0E88CEF1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32.</w:t>
      </w:r>
      <w:r w:rsidRPr="00B028C0">
        <w:rPr>
          <w:kern w:val="2"/>
          <w14:ligatures w14:val="standardContextual"/>
        </w:rPr>
        <w:tab/>
        <w:t>pozdravlja napore Odbora da stvori zdravo radno okruženje za članove svojeg osoblja; posebno pohvaljuje naglasak koji je Odbor stavio na mentalno i fizičko zdravlje osoblja te napore uložene u podizanje razine osviještenosti o zdravstvenim pitanjima; prima na znanje mjere Odbora o upravljanju bolovanjem, kao što su bolovanje u nepunom radnom vremenu i produljeni rad na daljinu, kako bi se osiguralo da se osoblje s dugotrajnim izostankom zbog bolesti pravodobno vrati na posao, kao i povećanje postotka osoblja bez odsutnosti s 27 % 2022. na 30 % 2023.; sa zadovoljstvom primjećuje da je Odbor 2023. organizirao besplatnu kampanju za otkrivanje raka kože u prostorijama Odbora, pri čemu su tijekom četiri dana vanjski dermatolozi savjetovali 104 člana osoblja;</w:t>
      </w:r>
    </w:p>
    <w:p w14:paraId="3177BD82" w14:textId="77777777" w:rsidR="00B028C0" w:rsidRPr="00B028C0" w:rsidRDefault="00B028C0" w:rsidP="00B028C0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B028C0">
        <w:rPr>
          <w:b/>
          <w:iCs/>
          <w:kern w:val="2"/>
          <w14:ligatures w14:val="standardContextual"/>
        </w:rPr>
        <w:t>Etički okvir i transparentnost</w:t>
      </w:r>
    </w:p>
    <w:p w14:paraId="59ADE26A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33.</w:t>
      </w:r>
      <w:r w:rsidRPr="00B028C0">
        <w:rPr>
          <w:kern w:val="2"/>
          <w14:ligatures w14:val="standardContextual"/>
        </w:rPr>
        <w:tab/>
        <w:t xml:space="preserve">pozdravlja donošenje nove strategije za raznolikost i uključenost, koja je na snazi do 2027.; pohvaljuje posebne mjere za podizanje razine osviještenosti o invaliditetu poduzete početkom 2024.; sa zadovoljstvom primjećuje da je osposobljavanje o raznolikosti i uključivanju i dalje obvezno za rukovoditelje i preporučeno za osoblje; prima na znanje snažnu predanost Odbora poticanju potpuno </w:t>
      </w:r>
      <w:proofErr w:type="spellStart"/>
      <w:r w:rsidRPr="00B028C0">
        <w:rPr>
          <w:kern w:val="2"/>
          <w14:ligatures w14:val="standardContextual"/>
        </w:rPr>
        <w:t>uključivog</w:t>
      </w:r>
      <w:proofErr w:type="spellEnd"/>
      <w:r w:rsidRPr="00B028C0">
        <w:rPr>
          <w:kern w:val="2"/>
          <w14:ligatures w14:val="standardContextual"/>
        </w:rPr>
        <w:t xml:space="preserve"> radnog mjesta; potiče Odbor da poduzme daljnje korake za praćenje zastupljenosti zaposlenika s invaliditetom i da osigura objavljivanje </w:t>
      </w:r>
      <w:proofErr w:type="spellStart"/>
      <w:r w:rsidRPr="00B028C0">
        <w:rPr>
          <w:kern w:val="2"/>
          <w14:ligatures w14:val="standardContextual"/>
        </w:rPr>
        <w:t>anonimiziranih</w:t>
      </w:r>
      <w:proofErr w:type="spellEnd"/>
      <w:r w:rsidRPr="00B028C0">
        <w:rPr>
          <w:kern w:val="2"/>
          <w14:ligatures w14:val="standardContextual"/>
        </w:rPr>
        <w:t xml:space="preserve"> podataka u tom pogledu;</w:t>
      </w:r>
    </w:p>
    <w:p w14:paraId="7ED3F391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34.</w:t>
      </w:r>
      <w:r w:rsidRPr="00B028C0">
        <w:rPr>
          <w:kern w:val="2"/>
          <w14:ligatures w14:val="standardContextual"/>
        </w:rPr>
        <w:tab/>
        <w:t xml:space="preserve">napominje da je Odbor 2023. nastavio svoj proces unutarnje reforme donošenjem odluke o općim provedbenim odredbama o administrativnim istragama i provedbenim pravilima za disciplinske postupke; pohvaljuje Odbor zbog toga što je poduzeo posljednji korak potreban za potpunu provedbu mjera za pojačani etički okvir Odbora; </w:t>
      </w:r>
      <w:r w:rsidRPr="00B028C0">
        <w:rPr>
          <w:kern w:val="2"/>
          <w14:ligatures w14:val="standardContextual"/>
        </w:rPr>
        <w:lastRenderedPageBreak/>
        <w:t>prima na znanje iz izvješća o daljnjim mjerama da su Odbor i unutarnji revizor postigli dogovor o akcijskom planu koji se odnosi na reviziju etike i integriteta Odbora, pri čemu je provedeno i zaključeno osam preporuka, dok dvije preporuke još treba provesti do ožujka 2025.; traži od Odbora da tijelo nadležno za davanje razrješnice nastavi obavještavati o napretku postignutom po tom pitanju;</w:t>
      </w:r>
    </w:p>
    <w:p w14:paraId="2433F392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35.</w:t>
      </w:r>
      <w:r w:rsidRPr="00B028C0">
        <w:rPr>
          <w:kern w:val="2"/>
          <w14:ligatures w14:val="standardContextual"/>
        </w:rPr>
        <w:tab/>
        <w:t>napominje da je Odbor 2023. nastavio osposobljavati osoblje i podizati razinu osviještenosti o temama u vezi sa zviždačima, sukobima interesa i drugim etičkim pitanjima: u tom kontekstu sa zadovoljstvom prima na znanje rezultate ankete o sudjelovanju osoblja provedene 2023. koji pokazuju visoku stopu osviještenosti među osobljem u pogledu etičkog okvira Odbora, posebno o mrežama povjerljivih savjetnika (93 %) i etičkih savjetnika (83 %); primjećuje da je Odbor 2023. organizirao 12 tečajeva osposobljavanja o tim temama u kojima je sudjelovalo ukupno 79 članova osoblja; pohvaljuje Odbor za organizaciju obveznog osposobljavanja o poštovanju i dostojanstvu na radnom mjestu za sve osoblje, uključujući rukovoditelje;</w:t>
      </w:r>
    </w:p>
    <w:p w14:paraId="7813DF1C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36.</w:t>
      </w:r>
      <w:r w:rsidRPr="00B028C0">
        <w:rPr>
          <w:kern w:val="2"/>
          <w14:ligatures w14:val="standardContextual"/>
        </w:rPr>
        <w:tab/>
        <w:t xml:space="preserve">napominje da je 2023. prijavljena jedna pritužba zbog uznemiravanja koja je zaključena iste godine kao rezultat istrage i posredovanja Odbora, bez nametanja sankcija; podsjeća da je Odbor oštećenik u sudskim postupcima koji su u tijeku i koje su pokrenula belgijska nacionalna tijela protiv bivšeg člana optuženog za povrede dužnosti, a koji se trenutačno nalazi pred belgijskim sudovima; traži od Odbora da Parlament obavještava o razvoju postignutom u tom pogledu; smatra da je poticanje kulture poštovanja i dostojanstva, uz potporu politike nulte tolerancije na uznemiravanje, ključno za sprečavanje budućih optužbi i osiguravanje sigurnog i </w:t>
      </w:r>
      <w:proofErr w:type="spellStart"/>
      <w:r w:rsidRPr="00B028C0">
        <w:rPr>
          <w:kern w:val="2"/>
          <w14:ligatures w14:val="standardContextual"/>
        </w:rPr>
        <w:t>uključivog</w:t>
      </w:r>
      <w:proofErr w:type="spellEnd"/>
      <w:r w:rsidRPr="00B028C0">
        <w:rPr>
          <w:kern w:val="2"/>
          <w14:ligatures w14:val="standardContextual"/>
        </w:rPr>
        <w:t xml:space="preserve"> radnog okruženja unutar Odbora;</w:t>
      </w:r>
    </w:p>
    <w:p w14:paraId="2D63226B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37.</w:t>
      </w:r>
      <w:r w:rsidRPr="00B028C0">
        <w:rPr>
          <w:kern w:val="2"/>
          <w14:ligatures w14:val="standardContextual"/>
        </w:rPr>
        <w:tab/>
        <w:t>ponavlja da je politika nulte tolerancije na uznemiravanje potrebna kako bi se zaštitila dobrobit osoblja i dužnost je svakog poslodavca; podsjeća da bi u rješavanju tvrdnji o uznemiravanju trebalo primijeniti pristup koji se temelji na stečenom iskustvu kako bi se izbjegli mogući prijestupi; i dalje smatra da bi vanjska i neovisna istraga predmeta koji se trenutačno nalazi u pravnom postupku bila korisna za poboljšanje reakcija Odbora na slične slučajeve;</w:t>
      </w:r>
    </w:p>
    <w:p w14:paraId="4F2C366A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38.</w:t>
      </w:r>
      <w:r w:rsidRPr="00B028C0">
        <w:rPr>
          <w:kern w:val="2"/>
          <w14:ligatures w14:val="standardContextual"/>
        </w:rPr>
        <w:tab/>
        <w:t xml:space="preserve">cijeni spremnost Odbora na suradnju s istražnim tijelima Unije, odnosno Europskim uredom za borbu protiv prijevara (OLAF), Uredom europskog javnog tužitelja (EPPO) i </w:t>
      </w:r>
      <w:proofErr w:type="spellStart"/>
      <w:r w:rsidRPr="00B028C0">
        <w:rPr>
          <w:kern w:val="2"/>
          <w14:ligatures w14:val="standardContextual"/>
        </w:rPr>
        <w:t>Ombudsmanom</w:t>
      </w:r>
      <w:proofErr w:type="spellEnd"/>
      <w:r w:rsidRPr="00B028C0">
        <w:rPr>
          <w:kern w:val="2"/>
          <w14:ligatures w14:val="standardContextual"/>
        </w:rPr>
        <w:t xml:space="preserve">; konstatira da su 2023. otvorena dva predmeta OLAF-a, od kojih su oba odbačena iste godine: jedan zbog nedostatka dokaza, a drugi je upućen Odboru na daljnje postupanje; traži od Odbora da tijelo nadležno za davanje razrješnice nastavi obavještavati o napretku postignutom u drugom predmetu; nadalje napominje da je </w:t>
      </w:r>
      <w:proofErr w:type="spellStart"/>
      <w:r w:rsidRPr="00B028C0">
        <w:rPr>
          <w:kern w:val="2"/>
          <w14:ligatures w14:val="standardContextual"/>
        </w:rPr>
        <w:t>Ombudsman</w:t>
      </w:r>
      <w:proofErr w:type="spellEnd"/>
      <w:r w:rsidRPr="00B028C0">
        <w:rPr>
          <w:kern w:val="2"/>
          <w14:ligatures w14:val="standardContextual"/>
        </w:rPr>
        <w:t xml:space="preserve"> 2023. pokrenuo istragu u vezi s upravljanjem predmetom koji se odnosi na optužbe za uznemiravanje; poziva Odbor da o rezultatima te istrage obavijesti tijelo nadležno za davanje razrješnice;</w:t>
      </w:r>
    </w:p>
    <w:p w14:paraId="6E306EA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39.</w:t>
      </w:r>
      <w:r w:rsidRPr="00B028C0">
        <w:rPr>
          <w:kern w:val="2"/>
          <w14:ligatures w14:val="standardContextual"/>
        </w:rPr>
        <w:tab/>
        <w:t xml:space="preserve">sa zadovoljstvom prima na znanje rad Odbora na većoj transparentnosti u njegovim aktivnostima 2023.; u tom kontekstu prima na znanje donošenje odluke o proširenju niza dokumenata dostupnih na internetu putem registra transparentnosti, kao što su zapisnici sa sastanaka Odbora i popisi prisutnih, kao i odluku kojom se od članova Odbora traži da se sastaju samo s registriranim dionicima, objavljuju svoj popis sastanaka i prilažu svoj „zakonodavni otisak” svojim mišljenjima; cijeni činjenicu da Odbor na internetu objavljuje informacije o svojem godišnjem proračunu, pokazateljima uspješnosti, rashodima ili javnoj nabavi; poziva na objavljivanje svih sastanaka koje </w:t>
      </w:r>
      <w:r w:rsidRPr="00B028C0">
        <w:rPr>
          <w:kern w:val="2"/>
          <w14:ligatures w14:val="standardContextual"/>
        </w:rPr>
        <w:lastRenderedPageBreak/>
        <w:t>članovi EGSO-a održavaju s trećim stranama;</w:t>
      </w:r>
    </w:p>
    <w:p w14:paraId="5311D6F5" w14:textId="77777777" w:rsidR="00B028C0" w:rsidRPr="00B028C0" w:rsidRDefault="00B028C0" w:rsidP="00B028C0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B028C0">
        <w:rPr>
          <w:kern w:val="2"/>
          <w14:ligatures w14:val="standardContextual"/>
        </w:rPr>
        <w:t>40.</w:t>
      </w:r>
      <w:r w:rsidRPr="00B028C0">
        <w:rPr>
          <w:kern w:val="2"/>
          <w14:ligatures w14:val="standardContextual"/>
        </w:rPr>
        <w:tab/>
        <w:t xml:space="preserve">sa zadovoljstvom napominje da je Odbor uspostavio čvrsta pravila i postupke za sprečavanje sukoba interesa i izbjegavanje rotirajućih vrata u pogledu osoblja koje se bavi vanjskim aktivnostima ili članova koji se zaposle nakon što više nisu članovi Odbora; u tom kontekstu napominje da je Odbor 2023. uveo novi „Obrazac izjave o financijskim interesima”; napominje da obrazac trebaju prijaviti članovi, izaslanici, zamjenici i savjetnici za svoja plaćena i neplaćena radna mjesta ili aktivnosti izvan Odbora; nadalje pohvaljuje sudjelovanje Odbora 2023. u političkim pregovorima o osnivanju </w:t>
      </w:r>
      <w:proofErr w:type="spellStart"/>
      <w:r w:rsidRPr="00B028C0">
        <w:rPr>
          <w:kern w:val="2"/>
          <w14:ligatures w14:val="standardContextual"/>
        </w:rPr>
        <w:t>međuinstitucijskog</w:t>
      </w:r>
      <w:proofErr w:type="spellEnd"/>
      <w:r w:rsidRPr="00B028C0">
        <w:rPr>
          <w:kern w:val="2"/>
          <w14:ligatures w14:val="standardContextual"/>
        </w:rPr>
        <w:t xml:space="preserve"> etičkog tijela zaduženog za utvrđivanje etičkih standarda za jačanje transparentnosti i integriteta;</w:t>
      </w:r>
    </w:p>
    <w:p w14:paraId="6E704A32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41.</w:t>
      </w:r>
      <w:r w:rsidRPr="00B028C0">
        <w:rPr>
          <w:kern w:val="2"/>
          <w14:ligatures w14:val="standardContextual"/>
        </w:rPr>
        <w:tab/>
        <w:t>napominje da je predsjedništvo Odbora 21. ožujka 2023. donijelo nekoliko mjera transparentnosti u skladu s načelima utvrđenima u pogledu registra transparentnosti EU-a, kao što su preporuka da se članovi koji obnašaju dužnost sastaju samo s registriranim dionicima, obveza članova koji obnašaju dužnost da objave svoje popise sastanaka i dobrovoljan „zakonodavni otisak” za izvjestitelje; napominje da je poduzeto nekoliko mjera za provedbu odluke predsjedništva, uključujući izdavanje obavijesti službe u kojoj se utvrđuju praktični modaliteti za provedbu odluke, kampanju za podizanje razine osviještenosti i odredbe o predlošcima poruka koje treba uključiti u korespondenciju između članova Odbora i vanjskih dionika kojima se potiče pridruživanje registru transparentnosti EU-a (ako je primjenjivo);</w:t>
      </w:r>
    </w:p>
    <w:p w14:paraId="64DB4E28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42.</w:t>
      </w:r>
      <w:r w:rsidRPr="00B028C0">
        <w:rPr>
          <w:kern w:val="2"/>
          <w14:ligatures w14:val="standardContextual"/>
        </w:rPr>
        <w:tab/>
        <w:t>potiče EGSO da provede praćenje prijavljenih sukoba interesa u stvarnom vremenu, zahtijevajući od svih članova i višeg osoblja da svake godine javno objavljuju financijske interese, imovinu i vanjske veze kako bi se spriječio neprimjeren utjecaj na donošenje odluka;</w:t>
      </w:r>
    </w:p>
    <w:p w14:paraId="4C52473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43.</w:t>
      </w:r>
      <w:r w:rsidRPr="00B028C0">
        <w:rPr>
          <w:kern w:val="2"/>
          <w14:ligatures w14:val="standardContextual"/>
        </w:rPr>
        <w:tab/>
        <w:t>konstatira da 2023. nije bilo slučajeva u područjima prijevara, sukoba interesa i zviždača; napominje da je učinkovitost mjera Odbora za borbu protiv prijevara preispitana kako bi se razvila strategija za borbu protiv prijevara koja još uvijek nedostaje unatoč opetovanim zahtjevima Parlamenta u rezolucijama o razrješnici da se poduzmu mjere za poboljšanje cjelokupnog sustava za borbu protiv prijevara; podsjeća na važnost sveobuhvatne strategije za borbu protiv prijevara i poziva Odbor da obavijesti tijelo nadležno za davanje razrješnice o ishodu tog postupka koji je trebao završiti donošenjem strategije za borbu protiv prijevara 2024.;</w:t>
      </w:r>
    </w:p>
    <w:p w14:paraId="0B841940" w14:textId="77777777" w:rsidR="00B028C0" w:rsidRPr="00B028C0" w:rsidRDefault="00B028C0" w:rsidP="00B028C0">
      <w:pPr>
        <w:spacing w:after="240"/>
        <w:ind w:left="567" w:hanging="567"/>
        <w:rPr>
          <w:b/>
          <w:iCs/>
          <w:kern w:val="2"/>
          <w:szCs w:val="24"/>
          <w14:ligatures w14:val="standardContextual"/>
        </w:rPr>
      </w:pPr>
      <w:r w:rsidRPr="00B028C0">
        <w:rPr>
          <w:b/>
          <w:iCs/>
          <w:kern w:val="2"/>
          <w14:ligatures w14:val="standardContextual"/>
        </w:rPr>
        <w:t>Digitalizacija, kibernetička sigurnost i zaštita podataka</w:t>
      </w:r>
    </w:p>
    <w:p w14:paraId="65C96C29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44.</w:t>
      </w:r>
      <w:r w:rsidRPr="00B028C0">
        <w:rPr>
          <w:kern w:val="2"/>
          <w14:ligatures w14:val="standardContextual"/>
        </w:rPr>
        <w:tab/>
        <w:t>prima na znanje da je kombinirani proračun za informacijsku tehnologiju Odbora i Odbora regija 2023. iznosio 12 700 000 EUR, u usporedbi s 11 712 000 EUR 2022., što je povećanje od 8,4 %, dok je 350 000 EUR tog proračuna (ili 3 % tog proračuna) 2023. plaćeno za kibernetičku sigurnost; nadalje napominje da je 6,24 % ukupnog proračuna Odbora za 2023. činilo rashode za mjere provedbe nove „Digitalne strategije za razdoblje 2024. – 2026.” (DS2026) koju je 2023. pripremila Zajednička uprava za inovacije i informacijsku tehnologiju (DIIT);</w:t>
      </w:r>
    </w:p>
    <w:p w14:paraId="7B475EC5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45.</w:t>
      </w:r>
      <w:r w:rsidRPr="00B028C0">
        <w:rPr>
          <w:kern w:val="2"/>
          <w14:ligatures w14:val="standardContextual"/>
        </w:rPr>
        <w:tab/>
        <w:t xml:space="preserve">napominje da se u dokumentu DS2026 predviđa budućnost u kojoj će se tehnologija integrirati u osnovnu misiju Odbora, s naglaskom na učinkovitosti, brzini i stalnom digitalnom razvoju, stavljajući upravu i članove u središte digitalne transformacije, uz cilj poboljšanja pružanja usluga, osnaživanja i prilagodljivosti; napominje da je DS2026 </w:t>
      </w:r>
      <w:r w:rsidRPr="00B028C0">
        <w:rPr>
          <w:kern w:val="2"/>
          <w14:ligatures w14:val="standardContextual"/>
        </w:rPr>
        <w:lastRenderedPageBreak/>
        <w:t xml:space="preserve">strukturiran oko osam ciljeva, osam ključnih načela i četiri velika projekta, kao što je usvajanje Aresa i </w:t>
      </w:r>
      <w:proofErr w:type="spellStart"/>
      <w:r w:rsidRPr="00B028C0">
        <w:rPr>
          <w:kern w:val="2"/>
          <w14:ligatures w14:val="standardContextual"/>
        </w:rPr>
        <w:t>EdiT</w:t>
      </w:r>
      <w:proofErr w:type="spellEnd"/>
      <w:r w:rsidRPr="00B028C0">
        <w:rPr>
          <w:kern w:val="2"/>
          <w14:ligatures w14:val="standardContextual"/>
        </w:rPr>
        <w:t>-a, za koje se očekuje da će se provesti 2026. odnosno 2025.; sa zadovoljstvom prima na znanje iz Upitnika napredak koji je DIIT ostvario u provedbi DS2026-a tijekom 2023., pri čemu su poduzete mjere kao što su, među ostalim, donošenje smjernica za osoblje o umjetnoj inteligenciji, integracija tokova amandmana u alate za prevođenje i osnivanje ureda za upravljanje projektima;</w:t>
      </w:r>
    </w:p>
    <w:p w14:paraId="7C0BB1C2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46.</w:t>
      </w:r>
      <w:r w:rsidRPr="00B028C0">
        <w:rPr>
          <w:kern w:val="2"/>
          <w14:ligatures w14:val="standardContextual"/>
        </w:rPr>
        <w:tab/>
        <w:t>prima na znanje iz Godišnjeg izvješća mjere Odbora u području zaštite osobnih podataka i njihove obrade; napominje da je 2023. Odbor izradio novu internetsku verziju svojeg registra evidencija i novi zajednički registar evidencija s Odborom regija, dok je Odbor imao 121 evidenciju, a Odbor regija 25 evidencija krajem 2023.; nadalje napominje da je Odbor 2023. donio novi postupak za postupanje s povredama podataka, objavio vodič za zaštitu podataka i proveo nekoliko inicijativa za podizanje razine osviještenosti za svoje osoblje i članove; naposljetku napominje da je Europski nadzornik za zaštitu podataka 2023. pokrenuo jednu istragu povezanu s upravljanjem vanjskom revizijom te je nastavio stariju istragu o upotrebi usluga računalstva u oblaku u okviru ugovora o uslugama računalstva u oblaku II. od strane institucija Unije, dok su zaključci za obje istrage još u tijeku; traži od Odbora da o daljnjim koracima u vezi s tim pitanjima obavještava tijelo nadležno za davanje razrješnice;</w:t>
      </w:r>
    </w:p>
    <w:p w14:paraId="67AF6BF7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47.</w:t>
      </w:r>
      <w:r w:rsidRPr="00B028C0">
        <w:rPr>
          <w:kern w:val="2"/>
          <w14:ligatures w14:val="standardContextual"/>
        </w:rPr>
        <w:tab/>
        <w:t>napominje da je Odbor 2023. dovršio svoj projekt za opremanje svih svojih dvorana za sastanke, dok je dodatnih 14 takvih dvorana opremljeno tehnologijama koje ih čine potpuno operativnima u hibridnom obliku; cijeni to što je Odbor proveo sve postupke javne nabave za ugovore visoke vrijednosti na potpuno digitaliziran način, upotrijebio kvalificirani elektronički potpis za sve vrste ugovornih sporazuma i pružio osposobljavanje osoblju o prijelazu na sustav alata za upravljanje javnom nabavom i portal za financiranje i natječaje 2023.;</w:t>
      </w:r>
    </w:p>
    <w:p w14:paraId="4FCDD2B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48.</w:t>
      </w:r>
      <w:r w:rsidRPr="00B028C0">
        <w:rPr>
          <w:kern w:val="2"/>
          <w14:ligatures w14:val="standardContextual"/>
        </w:rPr>
        <w:tab/>
        <w:t xml:space="preserve">pohvaljuje Odbor za konkretne mjere kojima se osigurava da njegovo osoblje 2023. stekne potrebne digitalne vještine na sve </w:t>
      </w:r>
      <w:proofErr w:type="spellStart"/>
      <w:r w:rsidRPr="00B028C0">
        <w:rPr>
          <w:kern w:val="2"/>
          <w14:ligatures w14:val="standardContextual"/>
        </w:rPr>
        <w:t>digitaliziranijem</w:t>
      </w:r>
      <w:proofErr w:type="spellEnd"/>
      <w:r w:rsidRPr="00B028C0">
        <w:rPr>
          <w:kern w:val="2"/>
          <w14:ligatures w14:val="standardContextual"/>
        </w:rPr>
        <w:t xml:space="preserve"> radnom mjestu; u tom kontekstu prima na znanje aktivnosti, kao što su „mini-</w:t>
      </w:r>
      <w:proofErr w:type="spellStart"/>
      <w:r w:rsidRPr="00B028C0">
        <w:rPr>
          <w:kern w:val="2"/>
          <w14:ligatures w14:val="standardContextual"/>
        </w:rPr>
        <w:t>hackathoni</w:t>
      </w:r>
      <w:proofErr w:type="spellEnd"/>
      <w:r w:rsidRPr="00B028C0">
        <w:rPr>
          <w:kern w:val="2"/>
          <w14:ligatures w14:val="standardContextual"/>
        </w:rPr>
        <w:t xml:space="preserve">”, organizirane u okviru </w:t>
      </w:r>
      <w:proofErr w:type="spellStart"/>
      <w:r w:rsidRPr="00B028C0">
        <w:rPr>
          <w:kern w:val="2"/>
          <w14:ligatures w14:val="standardContextual"/>
        </w:rPr>
        <w:t>istorazinske</w:t>
      </w:r>
      <w:proofErr w:type="spellEnd"/>
      <w:r w:rsidRPr="00B028C0">
        <w:rPr>
          <w:kern w:val="2"/>
          <w14:ligatures w14:val="standardContextual"/>
        </w:rPr>
        <w:t xml:space="preserve"> mreže uspostavljene s Odborom regija kako bi se potaknula bolja upotreba i razumijevanje suradničkih digitalnih alata, kao i </w:t>
      </w:r>
      <w:proofErr w:type="spellStart"/>
      <w:r w:rsidRPr="00B028C0">
        <w:rPr>
          <w:kern w:val="2"/>
          <w14:ligatures w14:val="standardContextual"/>
        </w:rPr>
        <w:t>istorazinsko</w:t>
      </w:r>
      <w:proofErr w:type="spellEnd"/>
      <w:r w:rsidRPr="00B028C0">
        <w:rPr>
          <w:kern w:val="2"/>
          <w14:ligatures w14:val="standardContextual"/>
        </w:rPr>
        <w:t xml:space="preserve"> podučavanje i razmjena iskustava; napominje da je ishod tih aktivnosti uključen u ponudu Odbora za osposobljavanje;</w:t>
      </w:r>
    </w:p>
    <w:p w14:paraId="261AD86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49.</w:t>
      </w:r>
      <w:r w:rsidRPr="00B028C0">
        <w:rPr>
          <w:kern w:val="2"/>
          <w14:ligatures w14:val="standardContextual"/>
        </w:rPr>
        <w:tab/>
        <w:t>napominje da su u listopadu 2023. usvojene smjernice za članove osoblja o upotrebi umjetne inteligencije, da je za sve članove osoblja održan informativni sastanak u kojem su istaknute mogućnosti i izazovi te da je daljnja komunikacija s članovima osoblja pružena putem članaka na intranetu Odbora koji se temelje na znanju kako bi se podigla razina osviještenosti;</w:t>
      </w:r>
    </w:p>
    <w:p w14:paraId="6EEDD524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50.</w:t>
      </w:r>
      <w:r w:rsidRPr="00B028C0">
        <w:rPr>
          <w:kern w:val="2"/>
          <w14:ligatures w14:val="standardContextual"/>
        </w:rPr>
        <w:tab/>
        <w:t xml:space="preserve">konstatira da se 2023. nastavio rad na donošenju i primjeni okvira za kibernetičku sigurnost NIST u Odboru i Odboru regija, dok su mjere poduzete te godine bile usmjerene na neka od načela tog okvira, tj. na načela zaštite i otkrivanja; napominje da se strategije ublažavanja provode primjenom okvira za kibernetičku sigurnost „Osnovnih osam” (engl. </w:t>
      </w:r>
      <w:proofErr w:type="spellStart"/>
      <w:r w:rsidRPr="00B028C0">
        <w:rPr>
          <w:kern w:val="2"/>
          <w14:ligatures w14:val="standardContextual"/>
        </w:rPr>
        <w:t>Essential</w:t>
      </w:r>
      <w:proofErr w:type="spellEnd"/>
      <w:r w:rsidRPr="00B028C0">
        <w:rPr>
          <w:kern w:val="2"/>
          <w14:ligatures w14:val="standardContextual"/>
        </w:rPr>
        <w:t xml:space="preserve"> </w:t>
      </w:r>
      <w:proofErr w:type="spellStart"/>
      <w:r w:rsidRPr="00B028C0">
        <w:rPr>
          <w:kern w:val="2"/>
          <w14:ligatures w14:val="standardContextual"/>
        </w:rPr>
        <w:t>Eight</w:t>
      </w:r>
      <w:proofErr w:type="spellEnd"/>
      <w:r w:rsidRPr="00B028C0">
        <w:rPr>
          <w:kern w:val="2"/>
          <w14:ligatures w14:val="standardContextual"/>
        </w:rPr>
        <w:t>); nadalje napominje da Odbor 2023. nije naišao ni na kakve kibernetičke napade, ali je krajem 2022. i početkom 2024. utvrdio kratke napade uskraćivanjem usluga na korporativne internetske stranice Odbora koje su smještene na vanjskim poslužiteljima;</w:t>
      </w:r>
    </w:p>
    <w:p w14:paraId="3516B679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lastRenderedPageBreak/>
        <w:t>51.</w:t>
      </w:r>
      <w:r w:rsidRPr="00B028C0">
        <w:rPr>
          <w:kern w:val="2"/>
          <w14:ligatures w14:val="standardContextual"/>
        </w:rPr>
        <w:tab/>
        <w:t>potiče EGSO da poveća svoj proračun za kibernetičku sigurnost na najmanje 10 % svojih ukupnih rashoda za informacijsku tehnologiju u skladu s direktivama EU-a o kibernetičkoj sigurnosti, osiguravajući bolju zaštitu od kibernetičkih prijetnji, posebno za osjetljive podatke povezane s političkim i proračunskim pitanjima;</w:t>
      </w:r>
    </w:p>
    <w:p w14:paraId="4363051E" w14:textId="77777777" w:rsidR="00B028C0" w:rsidRPr="00B028C0" w:rsidRDefault="00B028C0" w:rsidP="00B028C0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B028C0">
        <w:rPr>
          <w:b/>
          <w:iCs/>
          <w:kern w:val="2"/>
          <w14:ligatures w14:val="standardContextual"/>
        </w:rPr>
        <w:t>Zgrade</w:t>
      </w:r>
    </w:p>
    <w:p w14:paraId="48C81C7A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52.</w:t>
      </w:r>
      <w:r w:rsidRPr="00B028C0">
        <w:rPr>
          <w:kern w:val="2"/>
          <w14:ligatures w14:val="standardContextual"/>
        </w:rPr>
        <w:tab/>
        <w:t>prima na znanje primitak izvješća Odbora od 3. lipnja 2024. kojim se tijelo nadležno za davanje razrješnice obavješćuje o politici upravljanja nekretninama Odbora, u skladu s člankom 266. stavkom 1. Financijske uredbe Unije; sa zadovoljstvom primjećuje iz tog izvješća da je Odbor, zajedno s Odborom regija, postigao jedan od glavnih prioriteta svoje strategije upravljanja nekretninama iz 2017., to jest „geografsku koncentraciju zgrada”; nadalje napominje da je to postignuće već donijelo uštede zbog nižih troškova najma cijele zgrade VMA u usporedbi s trima prethodno iznajmljenim zgradama; shvaća da te uštede iznose oko 1,8 milijuna EUR, što je, prema tom izvješću, jednako najamnini plaćenoj za zgradu B100; napominje da Odbor trenutačno radi na ažuriranju svoje dugoročne strategije upravljanja nekretninama iz 2017. te da bi taj rad trebao biti dovršen do kraja 2025.; poziva Odbor da o ishodu tog postupka obavijesti tijelo nadležno za davanje razrješnice;</w:t>
      </w:r>
    </w:p>
    <w:p w14:paraId="3FF94039" w14:textId="77777777" w:rsidR="00B028C0" w:rsidRPr="00B028C0" w:rsidRDefault="00B028C0" w:rsidP="00B028C0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B028C0">
        <w:rPr>
          <w:kern w:val="2"/>
          <w14:ligatures w14:val="standardContextual"/>
        </w:rPr>
        <w:t>53.</w:t>
      </w:r>
      <w:r w:rsidRPr="00B028C0">
        <w:rPr>
          <w:kern w:val="2"/>
          <w14:ligatures w14:val="standardContextual"/>
        </w:rPr>
        <w:tab/>
        <w:t>pozdravlja dovršetak obnova (tj. radova opremanja) novonabavljene zgrade VMA, što je uključivalo ugradnju pametnih tehnologija za uštedu energije; podržava plan Odbora da provede tehničke i ekološke revizije svih svojih zgrada, budući da bi ishod tih revizija trebao omogućiti utvrđivanje svih tehničkih instalacija i sastavnih dijelova zgrada koje je potrebno u potpunosti ili djelomično obnoviti ili zadržati, čime bi se postiglo usklađivanje s ciljevima europskog zelenog plana; poziva Odbor da obavijesti tijelo nadležno za davanje razrješnice o ishodu tih revizija i daljnjem postupanju u vezi s njima;</w:t>
      </w:r>
    </w:p>
    <w:p w14:paraId="5821A49F" w14:textId="77777777" w:rsidR="00B028C0" w:rsidRPr="00B028C0" w:rsidRDefault="00B028C0" w:rsidP="00B028C0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B028C0">
        <w:rPr>
          <w:kern w:val="2"/>
          <w14:ligatures w14:val="standardContextual"/>
        </w:rPr>
        <w:t>54.</w:t>
      </w:r>
      <w:r w:rsidRPr="00B028C0">
        <w:rPr>
          <w:kern w:val="2"/>
          <w14:ligatures w14:val="standardContextual"/>
        </w:rPr>
        <w:tab/>
        <w:t xml:space="preserve">napominje da je radna skupina za „nove načine rada”, osnovana 2022., objavila prvo </w:t>
      </w:r>
      <w:proofErr w:type="spellStart"/>
      <w:r w:rsidRPr="00B028C0">
        <w:rPr>
          <w:kern w:val="2"/>
          <w14:ligatures w14:val="standardContextual"/>
        </w:rPr>
        <w:t>prospektivno</w:t>
      </w:r>
      <w:proofErr w:type="spellEnd"/>
      <w:r w:rsidRPr="00B028C0">
        <w:rPr>
          <w:kern w:val="2"/>
          <w14:ligatures w14:val="standardContextual"/>
        </w:rPr>
        <w:t xml:space="preserve"> izvješće 2023., s naglaskom na dostupnim uredskim prostorima i mogućim opcijama optimizacije; prima na znanje plan Odbora da nastavi s tim postupkom uz sudjelovanje članova osoblja kako bi se zajednički osmislili budući radni prostori; poziva Odbor da tijelo nadležno za davanje razrješnice nastavi obavještavati o napretku postignutom po tom pitanju;</w:t>
      </w:r>
    </w:p>
    <w:p w14:paraId="1DB54068" w14:textId="77777777" w:rsidR="00B028C0" w:rsidRPr="00B028C0" w:rsidRDefault="00B028C0" w:rsidP="00B028C0">
      <w:pPr>
        <w:spacing w:after="240"/>
        <w:ind w:left="567" w:hanging="567"/>
        <w:rPr>
          <w:kern w:val="2"/>
          <w:szCs w:val="24"/>
          <w14:ligatures w14:val="standardContextual"/>
        </w:rPr>
      </w:pPr>
      <w:r w:rsidRPr="00B028C0">
        <w:rPr>
          <w:kern w:val="2"/>
          <w14:ligatures w14:val="standardContextual"/>
        </w:rPr>
        <w:t>55.</w:t>
      </w:r>
      <w:r w:rsidRPr="00B028C0">
        <w:rPr>
          <w:kern w:val="2"/>
          <w14:ligatures w14:val="standardContextual"/>
        </w:rPr>
        <w:tab/>
        <w:t>pozdravlja predanost Odbora i Odbora regija sustavnoj primjeni načela „dizajn za sve” na svoju infrastrukturu kako bi se osigurala tehnička pristupačnost njihove zgrade; napominje da su ta dva odbora 2023. poduzela niz različitih mjera kako bi osigurala pristupačnost svojih zgrada osobama s različitim vrstama invaliditeta, među ostalim u pogledu modernizacije dizala u zgradi JDE;</w:t>
      </w:r>
    </w:p>
    <w:p w14:paraId="4D7484B0" w14:textId="77777777" w:rsidR="00B028C0" w:rsidRPr="00B028C0" w:rsidRDefault="00B028C0" w:rsidP="00B028C0">
      <w:pPr>
        <w:spacing w:after="240"/>
        <w:ind w:left="567" w:hanging="567"/>
        <w:rPr>
          <w:b/>
          <w:iCs/>
          <w:kern w:val="2"/>
          <w:szCs w:val="24"/>
          <w14:ligatures w14:val="standardContextual"/>
        </w:rPr>
      </w:pPr>
      <w:r w:rsidRPr="00B028C0">
        <w:rPr>
          <w:b/>
          <w:iCs/>
          <w:kern w:val="2"/>
          <w14:ligatures w14:val="standardContextual"/>
        </w:rPr>
        <w:t>Okoliš i održivost</w:t>
      </w:r>
    </w:p>
    <w:p w14:paraId="0A13228A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56.</w:t>
      </w:r>
      <w:r w:rsidRPr="00B028C0">
        <w:rPr>
          <w:kern w:val="2"/>
          <w14:ligatures w14:val="standardContextual"/>
        </w:rPr>
        <w:tab/>
        <w:t>pozdravlja zelene prakse Odbora i pohvaljuje daljnje smanjenje potrošnje plina, električne energije i vode te emisija ugljika i povećanje stope recikliranja u vezi s aktivnostima Odbora 2023. u odnosu na 2019.; prima na znanje blago pogoršanje, u usporedbi s razinama iz 2019., stope količine otpada, s – 66 % 2022. na – 56 % 2023. zbog veće prisutnosti osoblja u uredima;</w:t>
      </w:r>
    </w:p>
    <w:p w14:paraId="1B20D05E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57.</w:t>
      </w:r>
      <w:r w:rsidRPr="00B028C0">
        <w:rPr>
          <w:kern w:val="2"/>
          <w14:ligatures w14:val="standardContextual"/>
        </w:rPr>
        <w:tab/>
        <w:t xml:space="preserve">napominje da su energetska učinkovitost i smanjenje emisija postignuti ulaganjima u </w:t>
      </w:r>
      <w:r w:rsidRPr="00B028C0">
        <w:rPr>
          <w:kern w:val="2"/>
          <w14:ligatures w14:val="standardContextual"/>
        </w:rPr>
        <w:lastRenderedPageBreak/>
        <w:t>inovativne energetski učinkovite instalacije u zgradama, među ostalim pametnim tehnologijama za uštedu energije ugrađenima u zgradu VMA, kupnjom 100 % zelene električne energije, uvođenjem (prilagođenih) ekoloških kriterija u svim natječajnim postupcima u vrijednosti od 60 000 EUR ili više, upotrebom radnih procesa bez papira i drugim mjerama kao što su, među ostalim, smanjenje vremena rada rasvjete, smanjenje zimske referentne temperature u svim zgradama na 19 stupnjeva ili zatvaranje zgrada u razdobljima niske prisutnosti osoblja; napominje da smanjenje potrošnje energije u Odboru odgovara stopi od 3,4 % i financijskoj dobiti od 65 395 EUR;</w:t>
      </w:r>
    </w:p>
    <w:p w14:paraId="54E65D85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58.</w:t>
      </w:r>
      <w:r w:rsidRPr="00B028C0">
        <w:rPr>
          <w:kern w:val="2"/>
          <w14:ligatures w14:val="standardContextual"/>
        </w:rPr>
        <w:tab/>
        <w:t>prima na znanje iz izvješća o daljnjim mjerama da su pametne tehnologije za uštedu energije ugrađene u nedavno obnovljenu zgradu VMA doprinijele smanjenju potrošnje energije u Odboru (plin i električna energija) od 20 % do 30 % 2023.; ipak ponavlja svoj poziv Odboru da Parlamentu dostavi najnovije informacije o povratu ulaganja tih tehnoloških instalacija;</w:t>
      </w:r>
    </w:p>
    <w:p w14:paraId="249E9A13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59.</w:t>
      </w:r>
      <w:r w:rsidRPr="00B028C0">
        <w:rPr>
          <w:kern w:val="2"/>
          <w14:ligatures w14:val="standardContextual"/>
        </w:rPr>
        <w:tab/>
        <w:t>pozdravlja da je Odbor usvojio strategiju za uštedu energije s kratkoročnim, srednjoročnim i dugoročnim mjerama; u tom kontekstu konstatira da je Odbor započeo ekološku reviziju svih svojih zgrada kako bi se, među ostalim, utvrdila razina energetske učinkovitosti postojećih struktura i dijelova opreme te procijenio ekološki povrat potrebnih ulaganja u usporedbi s ukupnim troškovima (održavanje, potrošnja itd.) tijekom razdoblja od 30 godina; nadalje napominje da su studije o mjerama energetske učinkovitosti planirane za 2024. i 2025.; poziva Odbor da tijelo nadležno za davanje razrješnice nastavi obavještavati o napretku postignutom po tim pitanjima;</w:t>
      </w:r>
    </w:p>
    <w:p w14:paraId="73898DC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60.</w:t>
      </w:r>
      <w:r w:rsidRPr="00B028C0">
        <w:rPr>
          <w:kern w:val="2"/>
          <w14:ligatures w14:val="standardContextual"/>
        </w:rPr>
        <w:tab/>
        <w:t>podsjeća da je 2022. električna energija koju su proizvele solarne ploče Odbora iznosila 15,5 MWh ili 0,25 % godišnje potrošnje Odbora, dok se taj broj 2023. smanjio na 5,75 MWh; sa zadovoljstvom prima na znanje iz Upitnika da Odbor služi kao primjer u vezi s mjerama i radnjama poduzetima u korist održive mobilnosti;</w:t>
      </w:r>
    </w:p>
    <w:p w14:paraId="7F124644" w14:textId="77777777" w:rsidR="00B028C0" w:rsidRPr="00B028C0" w:rsidRDefault="00B028C0" w:rsidP="00B028C0">
      <w:pPr>
        <w:spacing w:after="240"/>
        <w:ind w:left="567" w:hanging="567"/>
        <w:rPr>
          <w:b/>
          <w:iCs/>
          <w:kern w:val="2"/>
          <w14:ligatures w14:val="standardContextual"/>
        </w:rPr>
      </w:pPr>
      <w:proofErr w:type="spellStart"/>
      <w:r w:rsidRPr="00B028C0">
        <w:rPr>
          <w:b/>
          <w:iCs/>
          <w:kern w:val="2"/>
          <w14:ligatures w14:val="standardContextual"/>
        </w:rPr>
        <w:t>Međuinstitucijska</w:t>
      </w:r>
      <w:proofErr w:type="spellEnd"/>
      <w:r w:rsidRPr="00B028C0">
        <w:rPr>
          <w:b/>
          <w:iCs/>
          <w:kern w:val="2"/>
          <w14:ligatures w14:val="standardContextual"/>
        </w:rPr>
        <w:t xml:space="preserve"> suradnja</w:t>
      </w:r>
    </w:p>
    <w:p w14:paraId="7B1E9982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61.</w:t>
      </w:r>
      <w:r w:rsidRPr="00B028C0">
        <w:rPr>
          <w:kern w:val="2"/>
          <w14:ligatures w14:val="standardContextual"/>
        </w:rPr>
        <w:tab/>
        <w:t>pohvaljuje blisku suradnju koju je Odbor uspostavio s Odborom regija na administrativnoj razini s pomoću novog sporazuma o suradnji potpisanog 2022., pri čemu dva odbora dijele prostore i zajedničke usluge u područjima prevođenja, infrastrukture, logistike, sigurnosti, javne nabave, financijskog upravljanja i IT-a, uz istodobno zadržavanje potpune institucionalne autonomije; pozdravlja pozitivan razvoj događaja 2023. kada su dva odbora dodatno postigla dogovor o razvoju i financiranju zajedničkog komunikacijskog područja sa zajedničkom audiovizualnom opremom u zgradi JDE; traži od Odbora da utvrdi proračunske uštede ostvarene tijekom prve godine provedbe tog sporazuma u audiovizualnom području i da o njima obavijesti Parlament; ponovno poziva Odbor da nastavi i proširi tu suradnju u drugim područjima kako bi se izbjeglo udvostručavanje i dodatno racionalizirali operativni troškovi usluga dostupnih u prostorijama koje dijele Odbor i Odbor regija; poziva Odbor i Odbor regija da istraže mogućnost uspostave jedinstvene administracije za svoje zajedničke službe, uz zadržavanje zasebnih uprava ili jedinica za službe koje se bave pitanjima povezanima s njihovim posebnim i neovisnim mandatima; potiče Odbor i Odbor regija da nastave ulagati napore u daljnji razvoj suradnje i sinergija;</w:t>
      </w:r>
    </w:p>
    <w:p w14:paraId="5FF4055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62.</w:t>
      </w:r>
      <w:r w:rsidRPr="00B028C0">
        <w:rPr>
          <w:kern w:val="2"/>
          <w14:ligatures w14:val="standardContextual"/>
        </w:rPr>
        <w:tab/>
        <w:t xml:space="preserve">primjećuje da su se proračunske uštede i povećanje učinkovitosti nastavili ostvarivati aktivnom suradnjom Odbora i drugih institucija Unije 2023., među ostalim organiziranjem plenarnih sjednica Odbora u prostorima Komisije i Parlamenta, u kojima </w:t>
      </w:r>
      <w:r w:rsidRPr="00B028C0">
        <w:rPr>
          <w:kern w:val="2"/>
          <w14:ligatures w14:val="standardContextual"/>
        </w:rPr>
        <w:lastRenderedPageBreak/>
        <w:t>se mjesta za održavanje događanja i povezane usluge pružaju besplatno ili po cijenama nižima od vanjskih tržišnih cijena;</w:t>
      </w:r>
    </w:p>
    <w:p w14:paraId="2F7DB0D9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63.</w:t>
      </w:r>
      <w:r w:rsidRPr="00B028C0">
        <w:rPr>
          <w:kern w:val="2"/>
          <w14:ligatures w14:val="standardContextual"/>
        </w:rPr>
        <w:tab/>
        <w:t xml:space="preserve">sa zadovoljstvom prima na znanje da su Odbor i Parlament 2023. ponovno pregovarali i potpisali svoj </w:t>
      </w:r>
      <w:proofErr w:type="spellStart"/>
      <w:r w:rsidRPr="00B028C0">
        <w:rPr>
          <w:kern w:val="2"/>
          <w14:ligatures w14:val="standardContextual"/>
        </w:rPr>
        <w:t>međuinstitucijski</w:t>
      </w:r>
      <w:proofErr w:type="spellEnd"/>
      <w:r w:rsidRPr="00B028C0">
        <w:rPr>
          <w:kern w:val="2"/>
          <w14:ligatures w14:val="standardContextual"/>
        </w:rPr>
        <w:t xml:space="preserve"> sporazum 2024., dok je cilj sporazuma pružiti relevantnije i pravodobnije doprinose tijekom cijelog zakonodavnog ciklusa i ojačati bilateralnu suradnju; pozdravlja činjenicu da su novim Protokolom o suradnji Odbora s Komisijom, potpisanim 2022., već postignuti poboljšani učinci Odbora, primjerice u fazi prije donošenja zakonodavstva, putem </w:t>
      </w:r>
      <w:proofErr w:type="spellStart"/>
      <w:r w:rsidRPr="00B028C0">
        <w:rPr>
          <w:kern w:val="2"/>
          <w14:ligatures w14:val="standardContextual"/>
        </w:rPr>
        <w:t>razmatračkih</w:t>
      </w:r>
      <w:proofErr w:type="spellEnd"/>
      <w:r w:rsidRPr="00B028C0">
        <w:rPr>
          <w:kern w:val="2"/>
          <w14:ligatures w14:val="standardContextual"/>
        </w:rPr>
        <w:t xml:space="preserve"> mišljenja; potiče daljnje jačanje političkih, zakonodavnih i komunikacijskih sinergija između Odbora i Parlamenta, posebno u kontekstu europske građanske inicijative i europskog semestra;</w:t>
      </w:r>
    </w:p>
    <w:p w14:paraId="03F6514C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64.</w:t>
      </w:r>
      <w:r w:rsidRPr="00B028C0">
        <w:rPr>
          <w:kern w:val="2"/>
          <w14:ligatures w14:val="standardContextual"/>
        </w:rPr>
        <w:tab/>
        <w:t xml:space="preserve">ponovno ističe da cijeni eksternalizaciju (sporazumi na razini službi) posebnih usluga Komisiji za upravljanje ljudskim resursima i upotrebu informatičkih alata za financijsko upravljanje i upravljanje ljudskim resursima, kao i sudjelovanje Odbora u </w:t>
      </w:r>
      <w:proofErr w:type="spellStart"/>
      <w:r w:rsidRPr="00B028C0">
        <w:rPr>
          <w:kern w:val="2"/>
          <w14:ligatures w14:val="standardContextual"/>
        </w:rPr>
        <w:t>međuinstitucijskim</w:t>
      </w:r>
      <w:proofErr w:type="spellEnd"/>
      <w:r w:rsidRPr="00B028C0">
        <w:rPr>
          <w:kern w:val="2"/>
          <w14:ligatures w14:val="standardContextual"/>
        </w:rPr>
        <w:t xml:space="preserve"> postupcima javne nabave koje vode druge institucije, pri čemu je Odbor 2023. i dalje imao koristi od sinergija u području IT-a, korporativnih putovanja, osiguranja, prijevoza, prevođenja i audiovizualne opreme;</w:t>
      </w:r>
    </w:p>
    <w:p w14:paraId="1B9989A2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65.</w:t>
      </w:r>
      <w:r w:rsidRPr="00B028C0">
        <w:rPr>
          <w:kern w:val="2"/>
          <w14:ligatures w14:val="standardContextual"/>
        </w:rPr>
        <w:tab/>
        <w:t>prima na znanje ulogu Odbora u jačanju veza s nacionalnim gospodarskim i socijalnim vijećima država članica i među njima; prima na znanje iz Upitnika mjere koje je Odbor poduzeo kako bi ojačao mrežu i internetsku zajednicu s nacionalnim gospodarskim i socijalnim vijećima, kao što su, među ostalim, osnivanje zajedničkih radnih skupina i programa razmjene, rad na suradničkoj IT platformi i sudjelovanje u zajedničkim događanjima; traži kontinuiranu suradnju na temama od zajedničkog interesa i razmjenu dobrih praksi, naglašavajući ključnu ulogu civilnog društva u rješavanju trenutačnih izazova Unije;</w:t>
      </w:r>
    </w:p>
    <w:p w14:paraId="6C41C817" w14:textId="77777777" w:rsidR="00B028C0" w:rsidRPr="00B028C0" w:rsidRDefault="00B028C0" w:rsidP="00B028C0">
      <w:pPr>
        <w:spacing w:after="240"/>
        <w:ind w:left="567" w:hanging="567"/>
        <w:rPr>
          <w:b/>
          <w:iCs/>
          <w:kern w:val="2"/>
          <w14:ligatures w14:val="standardContextual"/>
        </w:rPr>
      </w:pPr>
      <w:r w:rsidRPr="00B028C0">
        <w:rPr>
          <w:b/>
          <w:iCs/>
          <w:kern w:val="2"/>
          <w14:ligatures w14:val="standardContextual"/>
        </w:rPr>
        <w:t>Komunikacija</w:t>
      </w:r>
    </w:p>
    <w:p w14:paraId="32A61C0F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66.</w:t>
      </w:r>
      <w:r w:rsidRPr="00B028C0">
        <w:rPr>
          <w:kern w:val="2"/>
          <w14:ligatures w14:val="standardContextual"/>
        </w:rPr>
        <w:tab/>
        <w:t>napominje da je ukupni proračun Odbora za komunikaciju 2023. iznosio 2,15 milijuna EUR, što je povećanje u odnosu na 1,5 milijuna EUR 2022.; konstatira da je taj proračun prvenstveno dodijeljen za četiri vodeća događanja organizirana 2023. (europska građanska inicijativa Tvoja Europa, tvoje mišljenje!, nagrada za ekološku hranu i 14. nagrada za civilno društvo), poboljšanje i/ili preuređenje društvenih medija, vanjske internetske stranice i audiovizualne produkcije Odbora, kao i za medije i informativne publikacije; pohvaljuje Odbor za njegove komunikacijske aktivnosti kojima se ostvaruju ti komunikacijski prioriteti za 2023., kao što su, među ostalim, Inicijativa za plavi plan, konferencija COP28, rezolucija o demokraciji i 65. obljetnica Odbora;</w:t>
      </w:r>
    </w:p>
    <w:p w14:paraId="298F2F1C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67.</w:t>
      </w:r>
      <w:r w:rsidRPr="00B028C0">
        <w:rPr>
          <w:kern w:val="2"/>
          <w14:ligatures w14:val="standardContextual"/>
        </w:rPr>
        <w:tab/>
        <w:t xml:space="preserve">pohvaljuje Odbor za njegove napore u vezi sa strateškom komunikacijom 2023.; napominje da je Odbor donio novu komunikacijsku strategiju usmjerenu na jačanje njegova ugleda i dosega; prima na znanje da je u okviru te strategije Odbor na internetu prenosio svoja glavna događanja, uglavnom na svim jezicima Unije, uveo nove komunikacijske alate kao što je </w:t>
      </w:r>
      <w:proofErr w:type="spellStart"/>
      <w:r w:rsidRPr="00B028C0">
        <w:rPr>
          <w:kern w:val="2"/>
          <w14:ligatures w14:val="standardContextual"/>
        </w:rPr>
        <w:t>videoserija</w:t>
      </w:r>
      <w:proofErr w:type="spellEnd"/>
      <w:r w:rsidRPr="00B028C0">
        <w:rPr>
          <w:kern w:val="2"/>
          <w14:ligatures w14:val="standardContextual"/>
        </w:rPr>
        <w:t xml:space="preserve"> „Izvješćivanje o plenarnoj sjednici”, usmjerio svoje komunikacijske resurse na vodeća događanja Odbora za 2023. i uložio posebne napore kako bi povećao svoj doseg na društvenim mrežama;</w:t>
      </w:r>
    </w:p>
    <w:p w14:paraId="750F1FD5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68.</w:t>
      </w:r>
      <w:r w:rsidRPr="00B028C0">
        <w:rPr>
          <w:kern w:val="2"/>
          <w14:ligatures w14:val="standardContextual"/>
        </w:rPr>
        <w:tab/>
        <w:t xml:space="preserve">poziva EGSO da ojača svoje praćenje i izvješćivanje o radnim pravima, socijalnoj uključenosti i kršenju ljudskih prava u okviru programa koje financira EU, </w:t>
      </w:r>
      <w:r w:rsidRPr="00B028C0">
        <w:rPr>
          <w:kern w:val="2"/>
          <w14:ligatures w14:val="standardContextual"/>
        </w:rPr>
        <w:lastRenderedPageBreak/>
        <w:t>osiguravajući veću odgovornost u svojim savjetodavnim funkcijama i preporukama o politikama;</w:t>
      </w:r>
    </w:p>
    <w:p w14:paraId="60452656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69.</w:t>
      </w:r>
      <w:r w:rsidRPr="00B028C0">
        <w:rPr>
          <w:kern w:val="2"/>
          <w14:ligatures w14:val="standardContextual"/>
        </w:rPr>
        <w:tab/>
        <w:t>napominje da se broj pratitelja društvenih medija na korporativnim platformama Odbora 2023. znatno povećao za 25 000; napominje da je do kraja 2023. Odbor dosegao 61 416 pratitelja na X-u, što je povećanje od 5 % u odnosu na 2022., 61 761 pratitelja na LinkedInu, što je povećanje od 30 % u odnosu na 2022., 46 868 pratitelja na Facebooku, što je povećanje od 5,3 % u odnosu na 2022. i 17 428 pratitelja na Instagramu, što je povećanje od 45 % u odnosu na 2022.;</w:t>
      </w:r>
    </w:p>
    <w:p w14:paraId="57DCAA1A" w14:textId="77777777" w:rsidR="00B028C0" w:rsidRPr="00B028C0" w:rsidRDefault="00B028C0" w:rsidP="00B028C0">
      <w:pPr>
        <w:spacing w:after="240"/>
        <w:ind w:left="567" w:hanging="567"/>
        <w:rPr>
          <w:kern w:val="2"/>
          <w14:ligatures w14:val="standardContextual"/>
        </w:rPr>
      </w:pPr>
      <w:r w:rsidRPr="00B028C0">
        <w:rPr>
          <w:kern w:val="2"/>
          <w14:ligatures w14:val="standardContextual"/>
        </w:rPr>
        <w:t>70.</w:t>
      </w:r>
      <w:r w:rsidRPr="00B028C0">
        <w:rPr>
          <w:kern w:val="2"/>
          <w14:ligatures w14:val="standardContextual"/>
        </w:rPr>
        <w:tab/>
        <w:t xml:space="preserve">pozdravlja pozitivan pristup Odbora upotrebi rješenja otvorenog koda za svoju internetsku komunikaciju; napominje da je Odbor u srpnju 2023. otvorio svoj prvi korisnički račun na platformi EU </w:t>
      </w:r>
      <w:proofErr w:type="spellStart"/>
      <w:r w:rsidRPr="00B028C0">
        <w:rPr>
          <w:kern w:val="2"/>
          <w14:ligatures w14:val="standardContextual"/>
        </w:rPr>
        <w:t>Voice</w:t>
      </w:r>
      <w:proofErr w:type="spellEnd"/>
      <w:r w:rsidRPr="00B028C0">
        <w:rPr>
          <w:kern w:val="2"/>
          <w14:ligatures w14:val="standardContextual"/>
        </w:rPr>
        <w:t xml:space="preserve"> </w:t>
      </w:r>
      <w:proofErr w:type="spellStart"/>
      <w:r w:rsidRPr="00B028C0">
        <w:rPr>
          <w:kern w:val="2"/>
          <w14:ligatures w14:val="standardContextual"/>
        </w:rPr>
        <w:t>Mastodon</w:t>
      </w:r>
      <w:proofErr w:type="spellEnd"/>
      <w:r w:rsidRPr="00B028C0">
        <w:rPr>
          <w:kern w:val="2"/>
          <w14:ligatures w14:val="standardContextual"/>
        </w:rPr>
        <w:t xml:space="preserve">, decentraliziranoj i besplatnoj društvenoj mreži otvorenog koda koja povezuje korisnike u okruženju koje je usmjereno na privatnost i u kojem nema oglašavanja; primjećuje da je tijekom druge polovice 2023. Odbor aktivno komunicirao na računu </w:t>
      </w:r>
      <w:proofErr w:type="spellStart"/>
      <w:r w:rsidRPr="00B028C0">
        <w:rPr>
          <w:kern w:val="2"/>
          <w14:ligatures w14:val="standardContextual"/>
        </w:rPr>
        <w:t>Mastodon</w:t>
      </w:r>
      <w:proofErr w:type="spellEnd"/>
      <w:r w:rsidRPr="00B028C0">
        <w:rPr>
          <w:kern w:val="2"/>
          <w14:ligatures w14:val="standardContextual"/>
        </w:rPr>
        <w:t>, pri čemu je svaki radni dan dodavao priloge o svojim aktivnostima i prioritetima te podigao razinu osviještenosti o Uniji; prima na znanje odluku Odbora da od 2024. prestane biti prisutan na toj platformi.</w:t>
      </w:r>
    </w:p>
    <w:p w14:paraId="4791C2BB" w14:textId="477680C2" w:rsidR="00296C68" w:rsidRPr="00CE6492" w:rsidRDefault="00296C68" w:rsidP="00B028C0">
      <w:pPr>
        <w:pStyle w:val="NormalHanging12a"/>
      </w:pPr>
    </w:p>
    <w:sectPr w:rsidR="00296C68" w:rsidRPr="00CE6492" w:rsidSect="00B028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01FC5" w14:textId="77777777" w:rsidR="00A3101F" w:rsidRPr="002037E3" w:rsidRDefault="00A3101F">
      <w:r w:rsidRPr="002037E3">
        <w:separator/>
      </w:r>
    </w:p>
  </w:endnote>
  <w:endnote w:type="continuationSeparator" w:id="0">
    <w:p w14:paraId="24204166" w14:textId="77777777" w:rsidR="00A3101F" w:rsidRPr="002037E3" w:rsidRDefault="00A3101F">
      <w:r w:rsidRPr="002037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9E4F" w14:textId="77777777" w:rsidR="00064002" w:rsidRPr="002037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86B20" w14:textId="77777777" w:rsidR="00064002" w:rsidRPr="002037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93BD4" w14:textId="77777777" w:rsidR="00064002" w:rsidRPr="002037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65EAD" w14:textId="77777777" w:rsidR="00A3101F" w:rsidRPr="002037E3" w:rsidRDefault="00A3101F">
      <w:r w:rsidRPr="002037E3">
        <w:separator/>
      </w:r>
    </w:p>
  </w:footnote>
  <w:footnote w:type="continuationSeparator" w:id="0">
    <w:p w14:paraId="5ECEB3BF" w14:textId="77777777" w:rsidR="00A3101F" w:rsidRPr="002037E3" w:rsidRDefault="00A3101F">
      <w:r w:rsidRPr="002037E3">
        <w:continuationSeparator/>
      </w:r>
    </w:p>
  </w:footnote>
  <w:footnote w:id="1">
    <w:p w14:paraId="4DDD0EF4" w14:textId="04DB5E02" w:rsidR="00B028C0" w:rsidRPr="00110D65" w:rsidRDefault="00B028C0" w:rsidP="00B028C0">
      <w:pPr>
        <w:pStyle w:val="FootnoteText"/>
        <w:ind w:left="567" w:hanging="567"/>
        <w:rPr>
          <w:sz w:val="24"/>
          <w:szCs w:val="24"/>
          <w:lang w:val="hr-HR"/>
        </w:rPr>
      </w:pPr>
      <w:r w:rsidRPr="00110D65">
        <w:rPr>
          <w:rStyle w:val="FootnoteReference"/>
          <w:sz w:val="24"/>
          <w:szCs w:val="24"/>
          <w:lang w:val="hr-HR"/>
        </w:rPr>
        <w:footnoteRef/>
      </w:r>
      <w:r w:rsidRPr="00110D65">
        <w:rPr>
          <w:sz w:val="24"/>
          <w:szCs w:val="24"/>
          <w:lang w:val="hr-HR"/>
        </w:rPr>
        <w:t xml:space="preserve"> </w:t>
      </w:r>
      <w:r w:rsidRPr="00110D65">
        <w:rPr>
          <w:sz w:val="24"/>
          <w:szCs w:val="24"/>
          <w:lang w:val="hr-HR"/>
        </w:rPr>
        <w:tab/>
        <w:t xml:space="preserve">SL L 58, 23.2.2023., str. 1., ELI: </w:t>
      </w:r>
      <w:hyperlink r:id="rId1" w:tooltip="Omogućuje pristup tom dokumentu putem identifikatora ELI URI." w:history="1">
        <w:r w:rsidRPr="00110D65">
          <w:rPr>
            <w:rStyle w:val="Hyperlink1"/>
            <w:sz w:val="24"/>
            <w:szCs w:val="24"/>
            <w:shd w:val="clear" w:color="auto" w:fill="FFFFFF"/>
            <w:lang w:val="fi-FI"/>
          </w:rPr>
          <w:t>http://data.europa.eu/eli/budget/2023/1/oj</w:t>
        </w:r>
      </w:hyperlink>
      <w:r w:rsidRPr="00110D65">
        <w:rPr>
          <w:sz w:val="24"/>
          <w:szCs w:val="24"/>
          <w:lang w:val="hr-HR"/>
        </w:rPr>
        <w:t>.</w:t>
      </w:r>
    </w:p>
  </w:footnote>
  <w:footnote w:id="2">
    <w:p w14:paraId="3493989C" w14:textId="77777777" w:rsidR="00B028C0" w:rsidRPr="00110D65" w:rsidRDefault="00B028C0" w:rsidP="00B028C0">
      <w:pPr>
        <w:pStyle w:val="FootnoteText"/>
        <w:ind w:left="567" w:hanging="567"/>
        <w:rPr>
          <w:sz w:val="24"/>
          <w:szCs w:val="24"/>
          <w:lang w:val="hr-HR"/>
        </w:rPr>
      </w:pPr>
      <w:r w:rsidRPr="00110D65">
        <w:rPr>
          <w:rStyle w:val="FootnoteReference"/>
          <w:sz w:val="24"/>
          <w:szCs w:val="24"/>
          <w:lang w:val="hr-HR"/>
        </w:rPr>
        <w:footnoteRef/>
      </w:r>
      <w:r w:rsidRPr="00110D65">
        <w:rPr>
          <w:sz w:val="24"/>
          <w:szCs w:val="24"/>
          <w:lang w:val="hr-HR"/>
        </w:rPr>
        <w:t xml:space="preserve"> </w:t>
      </w:r>
      <w:r w:rsidRPr="00110D65">
        <w:rPr>
          <w:sz w:val="24"/>
          <w:szCs w:val="24"/>
          <w:lang w:val="hr-HR"/>
        </w:rPr>
        <w:tab/>
      </w:r>
      <w:r w:rsidRPr="00110D65">
        <w:rPr>
          <w:sz w:val="24"/>
          <w:szCs w:val="24"/>
          <w:lang w:val="hr-HR"/>
        </w:rPr>
        <w:t xml:space="preserve">SL C, C/2024/5462, 10.10.2024., ELI: </w:t>
      </w:r>
      <w:hyperlink r:id="rId2" w:history="1">
        <w:r w:rsidRPr="00110D65">
          <w:rPr>
            <w:rStyle w:val="Hyperlink1"/>
            <w:sz w:val="24"/>
            <w:szCs w:val="24"/>
            <w:lang w:val="fi-FI"/>
          </w:rPr>
          <w:t>http://data.europa.eu/eli/C/2024/5462/oj</w:t>
        </w:r>
      </w:hyperlink>
      <w:r w:rsidRPr="00110D65">
        <w:rPr>
          <w:sz w:val="24"/>
          <w:szCs w:val="24"/>
          <w:lang w:val="hr-HR"/>
        </w:rPr>
        <w:t>.</w:t>
      </w:r>
    </w:p>
  </w:footnote>
  <w:footnote w:id="3">
    <w:p w14:paraId="1D5256B7" w14:textId="77777777" w:rsidR="00B028C0" w:rsidRPr="00110D65" w:rsidRDefault="00B028C0" w:rsidP="00B028C0">
      <w:pPr>
        <w:pStyle w:val="FootnoteText"/>
        <w:ind w:left="567" w:hanging="567"/>
        <w:rPr>
          <w:sz w:val="24"/>
          <w:szCs w:val="24"/>
          <w:lang w:val="hr-HR"/>
        </w:rPr>
      </w:pPr>
      <w:r w:rsidRPr="00110D65">
        <w:rPr>
          <w:rStyle w:val="FootnoteReference"/>
          <w:sz w:val="24"/>
          <w:szCs w:val="24"/>
          <w:lang w:val="hr-HR"/>
        </w:rPr>
        <w:footnoteRef/>
      </w:r>
      <w:r w:rsidRPr="00110D65">
        <w:rPr>
          <w:sz w:val="24"/>
          <w:szCs w:val="24"/>
          <w:lang w:val="hr-HR"/>
        </w:rPr>
        <w:t xml:space="preserve"> </w:t>
      </w:r>
      <w:r w:rsidRPr="00110D65">
        <w:rPr>
          <w:sz w:val="24"/>
          <w:szCs w:val="24"/>
          <w:lang w:val="hr-HR"/>
        </w:rPr>
        <w:tab/>
      </w:r>
      <w:r w:rsidRPr="00110D65">
        <w:rPr>
          <w:sz w:val="24"/>
          <w:szCs w:val="24"/>
          <w:lang w:val="hr-HR"/>
        </w:rPr>
        <w:t xml:space="preserve">SL C, C/2024/5882, 9.10.2024., ELI: </w:t>
      </w:r>
      <w:hyperlink r:id="rId3" w:history="1">
        <w:r w:rsidRPr="00110D65">
          <w:rPr>
            <w:rStyle w:val="Hyperlink1"/>
            <w:sz w:val="24"/>
            <w:szCs w:val="24"/>
            <w:lang w:val="fi-FI"/>
          </w:rPr>
          <w:t>http://data.europa.eu/eli/C/2024/5882/oj</w:t>
        </w:r>
      </w:hyperlink>
      <w:r w:rsidRPr="00110D65">
        <w:rPr>
          <w:sz w:val="24"/>
          <w:szCs w:val="24"/>
          <w:lang w:val="hr-HR"/>
        </w:rPr>
        <w:t>.</w:t>
      </w:r>
    </w:p>
  </w:footnote>
  <w:footnote w:id="4">
    <w:p w14:paraId="7AD56D3D" w14:textId="77777777" w:rsidR="00B028C0" w:rsidRPr="00110D65" w:rsidRDefault="00B028C0" w:rsidP="00B028C0">
      <w:pPr>
        <w:pStyle w:val="FootnoteText"/>
        <w:ind w:left="567" w:hanging="567"/>
        <w:rPr>
          <w:sz w:val="24"/>
          <w:szCs w:val="24"/>
          <w:lang w:val="hr-HR"/>
        </w:rPr>
      </w:pPr>
      <w:r w:rsidRPr="00110D65">
        <w:rPr>
          <w:rStyle w:val="FootnoteReference"/>
          <w:sz w:val="24"/>
          <w:szCs w:val="24"/>
          <w:lang w:val="hr-HR"/>
        </w:rPr>
        <w:footnoteRef/>
      </w:r>
      <w:r w:rsidRPr="00110D65">
        <w:rPr>
          <w:sz w:val="24"/>
          <w:szCs w:val="24"/>
          <w:lang w:val="hr-HR"/>
        </w:rPr>
        <w:t xml:space="preserve"> </w:t>
      </w:r>
      <w:r w:rsidRPr="00110D65">
        <w:rPr>
          <w:sz w:val="24"/>
          <w:szCs w:val="24"/>
          <w:lang w:val="hr-HR"/>
        </w:rPr>
        <w:tab/>
      </w:r>
      <w:r w:rsidRPr="00110D65">
        <w:rPr>
          <w:sz w:val="24"/>
          <w:szCs w:val="24"/>
          <w:lang w:val="hr-HR"/>
        </w:rPr>
        <w:t xml:space="preserve">SL C, C/2024/6041, 10.10.2024., ELI: </w:t>
      </w:r>
      <w:hyperlink r:id="rId4" w:history="1">
        <w:r w:rsidRPr="00110D65">
          <w:rPr>
            <w:rStyle w:val="Hyperlink1"/>
            <w:sz w:val="24"/>
            <w:szCs w:val="24"/>
            <w:lang w:val="fi-FI"/>
          </w:rPr>
          <w:t>http://data.europa.eu/eli/C/2024/6041/oj</w:t>
        </w:r>
      </w:hyperlink>
      <w:r w:rsidRPr="00110D65">
        <w:rPr>
          <w:sz w:val="24"/>
          <w:szCs w:val="24"/>
          <w:lang w:val="hr-HR"/>
        </w:rPr>
        <w:t>.</w:t>
      </w:r>
    </w:p>
  </w:footnote>
  <w:footnote w:id="5">
    <w:p w14:paraId="68CCB74B" w14:textId="63BDAABA" w:rsidR="00B028C0" w:rsidRPr="00110D65" w:rsidRDefault="00B028C0" w:rsidP="00B028C0">
      <w:pPr>
        <w:pStyle w:val="FootnoteText"/>
        <w:ind w:left="567" w:hanging="567"/>
        <w:rPr>
          <w:sz w:val="24"/>
          <w:szCs w:val="24"/>
          <w:lang w:val="hr-HR"/>
        </w:rPr>
      </w:pPr>
      <w:r w:rsidRPr="00110D65">
        <w:rPr>
          <w:rStyle w:val="FootnoteReference"/>
          <w:sz w:val="24"/>
          <w:szCs w:val="24"/>
          <w:lang w:val="hr-HR"/>
        </w:rPr>
        <w:footnoteRef/>
      </w:r>
      <w:r w:rsidRPr="00110D65">
        <w:rPr>
          <w:sz w:val="24"/>
          <w:szCs w:val="24"/>
          <w:lang w:val="hr-HR"/>
        </w:rPr>
        <w:t xml:space="preserve"> </w:t>
      </w:r>
      <w:r w:rsidRPr="00110D65">
        <w:rPr>
          <w:sz w:val="24"/>
          <w:szCs w:val="24"/>
          <w:lang w:val="hr-HR"/>
        </w:rPr>
        <w:tab/>
      </w:r>
      <w:r w:rsidRPr="00110D65">
        <w:rPr>
          <w:sz w:val="24"/>
          <w:szCs w:val="24"/>
          <w:lang w:val="hr-HR"/>
        </w:rPr>
        <w:t xml:space="preserve">SL L 193, 30.7.2018., str. 1., ELI: </w:t>
      </w:r>
      <w:hyperlink r:id="rId5" w:history="1">
        <w:r w:rsidRPr="00110D65">
          <w:rPr>
            <w:rStyle w:val="Hyperlink1"/>
            <w:sz w:val="24"/>
            <w:szCs w:val="24"/>
            <w:lang w:val="fi-FI"/>
          </w:rPr>
          <w:t>http://data.europa.eu/eli/reg/2018/1046/oj</w:t>
        </w:r>
      </w:hyperlink>
      <w:r w:rsidRPr="00110D65">
        <w:rPr>
          <w:sz w:val="24"/>
          <w:szCs w:val="24"/>
          <w:lang w:val="hr-HR"/>
        </w:rPr>
        <w:t>.</w:t>
      </w:r>
    </w:p>
  </w:footnote>
  <w:footnote w:id="6">
    <w:p w14:paraId="10A09516" w14:textId="77777777" w:rsidR="00B028C0" w:rsidRPr="00110D65" w:rsidRDefault="00B028C0" w:rsidP="00B028C0">
      <w:pPr>
        <w:pStyle w:val="FootnoteText"/>
        <w:ind w:left="567" w:hanging="567"/>
        <w:rPr>
          <w:sz w:val="24"/>
          <w:szCs w:val="24"/>
          <w:lang w:val="hr-HR"/>
        </w:rPr>
      </w:pPr>
      <w:r w:rsidRPr="00110D65">
        <w:rPr>
          <w:rStyle w:val="FootnoteReference"/>
          <w:sz w:val="24"/>
          <w:szCs w:val="24"/>
          <w:lang w:val="hr-HR"/>
        </w:rPr>
        <w:footnoteRef/>
      </w:r>
      <w:r w:rsidRPr="00110D65">
        <w:rPr>
          <w:sz w:val="24"/>
          <w:szCs w:val="24"/>
          <w:lang w:val="hr-HR"/>
        </w:rPr>
        <w:t xml:space="preserve"> </w:t>
      </w:r>
      <w:r w:rsidRPr="00110D65">
        <w:rPr>
          <w:sz w:val="24"/>
          <w:szCs w:val="24"/>
          <w:lang w:val="hr-HR"/>
        </w:rPr>
        <w:tab/>
      </w:r>
      <w:r w:rsidRPr="00110D65">
        <w:rPr>
          <w:sz w:val="24"/>
          <w:szCs w:val="24"/>
          <w:lang w:val="hr-HR"/>
        </w:rPr>
        <w:t xml:space="preserve">SL L, 2024/2509, 26.9.2024., ELI: </w:t>
      </w:r>
      <w:hyperlink r:id="rId6" w:history="1">
        <w:r w:rsidRPr="00110D65">
          <w:rPr>
            <w:rStyle w:val="Hyperlink"/>
            <w:sz w:val="24"/>
            <w:szCs w:val="24"/>
            <w:lang w:val="hr-HR"/>
          </w:rPr>
          <w:t>http://data.europa.eu/eli/reg/2024/2509/oj</w:t>
        </w:r>
      </w:hyperlink>
      <w:r w:rsidRPr="00110D65">
        <w:rPr>
          <w:sz w:val="24"/>
          <w:szCs w:val="24"/>
          <w:shd w:val="clear" w:color="auto" w:fill="FFFFFF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23EFE" w14:textId="77777777" w:rsidR="00064002" w:rsidRPr="002037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A4D7C" w14:textId="77777777" w:rsidR="00064002" w:rsidRPr="002037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4E69" w14:textId="77777777" w:rsidR="00064002" w:rsidRPr="002037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0217640">
    <w:abstractNumId w:val="9"/>
  </w:num>
  <w:num w:numId="2" w16cid:durableId="955257335">
    <w:abstractNumId w:val="9"/>
  </w:num>
  <w:num w:numId="3" w16cid:durableId="477764948">
    <w:abstractNumId w:val="7"/>
  </w:num>
  <w:num w:numId="4" w16cid:durableId="1266226679">
    <w:abstractNumId w:val="7"/>
  </w:num>
  <w:num w:numId="5" w16cid:durableId="1744260130">
    <w:abstractNumId w:val="6"/>
  </w:num>
  <w:num w:numId="6" w16cid:durableId="234248814">
    <w:abstractNumId w:val="6"/>
  </w:num>
  <w:num w:numId="7" w16cid:durableId="757092963">
    <w:abstractNumId w:val="5"/>
  </w:num>
  <w:num w:numId="8" w16cid:durableId="2100443315">
    <w:abstractNumId w:val="5"/>
  </w:num>
  <w:num w:numId="9" w16cid:durableId="1335380338">
    <w:abstractNumId w:val="4"/>
  </w:num>
  <w:num w:numId="10" w16cid:durableId="1004091464">
    <w:abstractNumId w:val="4"/>
  </w:num>
  <w:num w:numId="11" w16cid:durableId="1970741613">
    <w:abstractNumId w:val="8"/>
  </w:num>
  <w:num w:numId="12" w16cid:durableId="1168906005">
    <w:abstractNumId w:val="8"/>
  </w:num>
  <w:num w:numId="13" w16cid:durableId="1511607417">
    <w:abstractNumId w:val="3"/>
  </w:num>
  <w:num w:numId="14" w16cid:durableId="46531982">
    <w:abstractNumId w:val="3"/>
  </w:num>
  <w:num w:numId="15" w16cid:durableId="23290429">
    <w:abstractNumId w:val="2"/>
  </w:num>
  <w:num w:numId="16" w16cid:durableId="392167478">
    <w:abstractNumId w:val="2"/>
  </w:num>
  <w:num w:numId="17" w16cid:durableId="564485141">
    <w:abstractNumId w:val="1"/>
  </w:num>
  <w:num w:numId="18" w16cid:durableId="1930431396">
    <w:abstractNumId w:val="1"/>
  </w:num>
  <w:num w:numId="19" w16cid:durableId="312804325">
    <w:abstractNumId w:val="0"/>
  </w:num>
  <w:num w:numId="20" w16cid:durableId="489518706">
    <w:abstractNumId w:val="0"/>
  </w:num>
  <w:num w:numId="21" w16cid:durableId="370694748">
    <w:abstractNumId w:val="9"/>
  </w:num>
  <w:num w:numId="22" w16cid:durableId="690839439">
    <w:abstractNumId w:val="7"/>
  </w:num>
  <w:num w:numId="23" w16cid:durableId="716902351">
    <w:abstractNumId w:val="6"/>
  </w:num>
  <w:num w:numId="24" w16cid:durableId="87510810">
    <w:abstractNumId w:val="5"/>
  </w:num>
  <w:num w:numId="25" w16cid:durableId="298538705">
    <w:abstractNumId w:val="4"/>
  </w:num>
  <w:num w:numId="26" w16cid:durableId="1979190066">
    <w:abstractNumId w:val="8"/>
  </w:num>
  <w:num w:numId="27" w16cid:durableId="763919026">
    <w:abstractNumId w:val="3"/>
  </w:num>
  <w:num w:numId="28" w16cid:durableId="1389567957">
    <w:abstractNumId w:val="2"/>
  </w:num>
  <w:num w:numId="29" w16cid:durableId="806893689">
    <w:abstractNumId w:val="1"/>
  </w:num>
  <w:num w:numId="30" w16cid:durableId="1139228465">
    <w:abstractNumId w:val="0"/>
  </w:num>
  <w:num w:numId="31" w16cid:durableId="1459567924">
    <w:abstractNumId w:val="9"/>
  </w:num>
  <w:num w:numId="32" w16cid:durableId="1609200055">
    <w:abstractNumId w:val="7"/>
  </w:num>
  <w:num w:numId="33" w16cid:durableId="1500120854">
    <w:abstractNumId w:val="6"/>
  </w:num>
  <w:num w:numId="34" w16cid:durableId="1948273000">
    <w:abstractNumId w:val="5"/>
  </w:num>
  <w:num w:numId="35" w16cid:durableId="885458267">
    <w:abstractNumId w:val="4"/>
  </w:num>
  <w:num w:numId="36" w16cid:durableId="1904487328">
    <w:abstractNumId w:val="8"/>
  </w:num>
  <w:num w:numId="37" w16cid:durableId="923104510">
    <w:abstractNumId w:val="3"/>
  </w:num>
  <w:num w:numId="38" w16cid:durableId="1542159712">
    <w:abstractNumId w:val="2"/>
  </w:num>
  <w:num w:numId="39" w16cid:durableId="1471286283">
    <w:abstractNumId w:val="1"/>
  </w:num>
  <w:num w:numId="40" w16cid:durableId="1865245281">
    <w:abstractNumId w:val="0"/>
  </w:num>
  <w:num w:numId="41" w16cid:durableId="1428574996">
    <w:abstractNumId w:val="10"/>
  </w:num>
  <w:num w:numId="42" w16cid:durableId="1159422985">
    <w:abstractNumId w:val="10"/>
  </w:num>
  <w:num w:numId="43" w16cid:durableId="1927837423">
    <w:abstractNumId w:val="10"/>
  </w:num>
  <w:num w:numId="44" w16cid:durableId="21290789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4/2025"/>
    <w:docVar w:name="dvlangue" w:val="HR"/>
    <w:docVar w:name="dvnumam" w:val="0"/>
    <w:docVar w:name="dvpe" w:val="764.993"/>
    <w:docVar w:name="dvrapporteur" w:val="Izvjestitelj: "/>
    <w:docVar w:name="dvtitre" w:val="Odluka Europskog parlamenta od .... 2025. o razrješnici za izvršenje općeg proračuna Europske unije za financijsku godinu 2023., dio VI. – Europski gospodarski i socijalni odbor(2024/2025(DEC))"/>
  </w:docVars>
  <w:rsids>
    <w:rsidRoot w:val="00A3101F"/>
    <w:rsid w:val="00002272"/>
    <w:rsid w:val="00064002"/>
    <w:rsid w:val="000677B9"/>
    <w:rsid w:val="000831BA"/>
    <w:rsid w:val="000A42CC"/>
    <w:rsid w:val="000E7DD9"/>
    <w:rsid w:val="0010095E"/>
    <w:rsid w:val="00110D65"/>
    <w:rsid w:val="00125B37"/>
    <w:rsid w:val="00187494"/>
    <w:rsid w:val="001F32AE"/>
    <w:rsid w:val="002037E3"/>
    <w:rsid w:val="0023346A"/>
    <w:rsid w:val="002767FF"/>
    <w:rsid w:val="00296C6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51C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01F"/>
    <w:rsid w:val="00A43E52"/>
    <w:rsid w:val="00A4678D"/>
    <w:rsid w:val="00A778C7"/>
    <w:rsid w:val="00AB107F"/>
    <w:rsid w:val="00AB441E"/>
    <w:rsid w:val="00AB6293"/>
    <w:rsid w:val="00AE0928"/>
    <w:rsid w:val="00AF3B82"/>
    <w:rsid w:val="00B028C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649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BC8C3"/>
  <w15:chartTrackingRefBased/>
  <w15:docId w15:val="{A00A707F-7918-4A8D-8F05-D4FAADEC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96C6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96C68"/>
    <w:pPr>
      <w:spacing w:before="480" w:after="240"/>
    </w:pPr>
  </w:style>
  <w:style w:type="paragraph" w:customStyle="1" w:styleId="PageHeading">
    <w:name w:val="PageHeading"/>
    <w:basedOn w:val="Normal"/>
    <w:rsid w:val="00296C6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96C68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296C6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96C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96C68"/>
    <w:rPr>
      <w:sz w:val="24"/>
      <w:lang w:val="hr-HR"/>
    </w:rPr>
  </w:style>
  <w:style w:type="paragraph" w:customStyle="1" w:styleId="EPFooter">
    <w:name w:val="EPFooter"/>
    <w:basedOn w:val="Normal"/>
    <w:rsid w:val="00296C6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296C6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96C68"/>
    <w:rPr>
      <w:sz w:val="24"/>
      <w:lang w:val="hr-HR"/>
    </w:rPr>
  </w:style>
  <w:style w:type="paragraph" w:customStyle="1" w:styleId="Normal6a">
    <w:name w:val="Normal6a"/>
    <w:basedOn w:val="Normal"/>
    <w:rsid w:val="00296C68"/>
    <w:pPr>
      <w:spacing w:after="120"/>
    </w:pPr>
  </w:style>
  <w:style w:type="paragraph" w:customStyle="1" w:styleId="Normal24a">
    <w:name w:val="Normal24a"/>
    <w:basedOn w:val="Normal"/>
    <w:rsid w:val="00296C68"/>
    <w:pPr>
      <w:spacing w:after="480"/>
    </w:pPr>
  </w:style>
  <w:style w:type="paragraph" w:customStyle="1" w:styleId="Footprint12b">
    <w:name w:val="Footprint12b"/>
    <w:basedOn w:val="Normal"/>
    <w:rsid w:val="00296C68"/>
    <w:pPr>
      <w:spacing w:before="240"/>
    </w:pPr>
    <w:rPr>
      <w:szCs w:val="24"/>
    </w:rPr>
  </w:style>
  <w:style w:type="paragraph" w:customStyle="1" w:styleId="Normal12a">
    <w:name w:val="Normal12a"/>
    <w:basedOn w:val="Normal"/>
    <w:rsid w:val="00296C68"/>
    <w:pPr>
      <w:spacing w:after="240"/>
    </w:pPr>
  </w:style>
  <w:style w:type="paragraph" w:customStyle="1" w:styleId="RollCallVotes">
    <w:name w:val="RollCallVotes"/>
    <w:basedOn w:val="Normal"/>
    <w:rsid w:val="00296C6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96C6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96C6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96C68"/>
    <w:pPr>
      <w:spacing w:before="120" w:after="120"/>
    </w:pPr>
    <w:rPr>
      <w:snapToGrid w:val="0"/>
      <w:sz w:val="16"/>
      <w:lang w:eastAsia="en-US"/>
    </w:rPr>
  </w:style>
  <w:style w:type="character" w:customStyle="1" w:styleId="Hyperlink1">
    <w:name w:val="Hyperlink1"/>
    <w:basedOn w:val="DefaultParagraphFont"/>
    <w:rsid w:val="00B028C0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B02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28C0"/>
    <w:pPr>
      <w:widowControl/>
      <w:jc w:val="both"/>
    </w:pPr>
    <w:rPr>
      <w:rFonts w:eastAsia="Aptos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28C0"/>
    <w:rPr>
      <w:rFonts w:eastAsia="Aptos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3618A-C798-45B2-B993-53120FA4B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7085</Words>
  <Characters>41848</Characters>
  <Application>Microsoft Office Word</Application>
  <DocSecurity>0</DocSecurity>
  <Lines>348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2025-12-05T12:14:00Z</dcterms:created>
  <dcterms:modified xsi:type="dcterms:W3CDTF">2025-12-05T12:14:00Z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P10_TA(2025)0082_</vt:lpwstr>
  </property>
  <property fmtid="{D5CDD505-2E9C-101B-9397-08002B2CF9AE}" pid="4" name="&lt;Type&gt;">
    <vt:lpwstr>RR</vt:lpwstr>
  </property>
</Properties>
</file>