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1C2F" w14:paraId="656D7CC3" w14:textId="77777777" w:rsidTr="0010095E">
        <w:trPr>
          <w:trHeight w:hRule="exact" w:val="1418"/>
        </w:trPr>
        <w:tc>
          <w:tcPr>
            <w:tcW w:w="6804" w:type="dxa"/>
            <w:shd w:val="clear" w:color="auto" w:fill="auto"/>
            <w:vAlign w:val="center"/>
          </w:tcPr>
          <w:p w14:paraId="102614DE" w14:textId="77777777" w:rsidR="00751A4A" w:rsidRPr="00201C2F" w:rsidRDefault="007E5494" w:rsidP="0010095E">
            <w:pPr>
              <w:pStyle w:val="EPName"/>
            </w:pPr>
            <w:r w:rsidRPr="00201C2F">
              <w:t>Europos Parlamentas</w:t>
            </w:r>
          </w:p>
          <w:p w14:paraId="1FFB3B9A" w14:textId="77777777" w:rsidR="00751A4A" w:rsidRPr="00201C2F" w:rsidRDefault="005F1B17" w:rsidP="005F1B17">
            <w:pPr>
              <w:pStyle w:val="EPTerm"/>
              <w:rPr>
                <w:rStyle w:val="HideTWBExt"/>
                <w:noProof w:val="0"/>
                <w:vanish w:val="0"/>
                <w:color w:val="auto"/>
              </w:rPr>
            </w:pPr>
            <w:r w:rsidRPr="00201C2F">
              <w:t>2024</w:t>
            </w:r>
            <w:r w:rsidR="00817416" w:rsidRPr="00201C2F">
              <w:t>-202</w:t>
            </w:r>
            <w:r w:rsidRPr="00201C2F">
              <w:t>9</w:t>
            </w:r>
          </w:p>
        </w:tc>
        <w:tc>
          <w:tcPr>
            <w:tcW w:w="2268" w:type="dxa"/>
            <w:shd w:val="clear" w:color="auto" w:fill="auto"/>
          </w:tcPr>
          <w:p w14:paraId="042A4A35" w14:textId="77777777" w:rsidR="00751A4A" w:rsidRPr="00201C2F" w:rsidRDefault="00187494" w:rsidP="0010095E">
            <w:pPr>
              <w:pStyle w:val="EPLogo"/>
            </w:pPr>
            <w:r w:rsidRPr="00201C2F">
              <w:rPr>
                <w:noProof/>
                <w:lang w:val="pl-PL" w:eastAsia="pl-PL"/>
              </w:rPr>
              <w:drawing>
                <wp:inline distT="0" distB="0" distL="0" distR="0" wp14:anchorId="13F0BE4B" wp14:editId="15C1124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5836CF" w14:textId="77777777" w:rsidR="00D058B8" w:rsidRPr="00201C2F" w:rsidRDefault="00D058B8" w:rsidP="004C5D52">
      <w:pPr>
        <w:pStyle w:val="LineTop"/>
      </w:pPr>
    </w:p>
    <w:p w14:paraId="373B613E" w14:textId="77777777" w:rsidR="00680577" w:rsidRPr="00201C2F" w:rsidRDefault="007E5494" w:rsidP="00680577">
      <w:pPr>
        <w:pStyle w:val="EPBodyTA1"/>
      </w:pPr>
      <w:r w:rsidRPr="00201C2F">
        <w:t>PRIIMTI TEKSTAI</w:t>
      </w:r>
    </w:p>
    <w:p w14:paraId="7C0E4A48" w14:textId="77777777" w:rsidR="00D058B8" w:rsidRPr="00201C2F" w:rsidRDefault="00D058B8" w:rsidP="00D058B8">
      <w:pPr>
        <w:pStyle w:val="LineBottom"/>
      </w:pPr>
    </w:p>
    <w:p w14:paraId="4B44A64A" w14:textId="77777777" w:rsidR="007E5494" w:rsidRPr="00201C2F" w:rsidRDefault="007E5494" w:rsidP="007E5494">
      <w:pPr>
        <w:pStyle w:val="ATHeading1"/>
      </w:pPr>
      <w:bookmarkStart w:id="0" w:name="TANumber"/>
      <w:r w:rsidRPr="00201C2F">
        <w:t>P10_TA(2025)00</w:t>
      </w:r>
      <w:r w:rsidR="00B62212">
        <w:t>82</w:t>
      </w:r>
      <w:bookmarkEnd w:id="0"/>
    </w:p>
    <w:p w14:paraId="23AC41B9" w14:textId="77777777" w:rsidR="007E5494" w:rsidRPr="00201C2F" w:rsidRDefault="007E5494" w:rsidP="007E5494">
      <w:pPr>
        <w:pStyle w:val="ATHeading2"/>
      </w:pPr>
      <w:bookmarkStart w:id="1" w:name="title"/>
      <w:r w:rsidRPr="00201C2F">
        <w:t>2023 m. biudžeto įvykdymo patvirtinimas: ES bendrasis biudžetas – Europos ekonomikos ir socialinių reikalų komitetas</w:t>
      </w:r>
      <w:bookmarkEnd w:id="1"/>
    </w:p>
    <w:p w14:paraId="22620BB5" w14:textId="77777777" w:rsidR="007E5494" w:rsidRPr="00201C2F" w:rsidRDefault="007E5494" w:rsidP="007E5494">
      <w:pPr>
        <w:rPr>
          <w:i/>
          <w:vanish/>
        </w:rPr>
      </w:pPr>
      <w:r w:rsidRPr="00201C2F">
        <w:rPr>
          <w:i/>
        </w:rPr>
        <w:fldChar w:fldCharType="begin"/>
      </w:r>
      <w:r w:rsidRPr="00201C2F">
        <w:rPr>
          <w:i/>
        </w:rPr>
        <w:instrText xml:space="preserve"> TC"(</w:instrText>
      </w:r>
      <w:bookmarkStart w:id="2" w:name="DocNumber"/>
      <w:r w:rsidRPr="00201C2F">
        <w:rPr>
          <w:i/>
        </w:rPr>
        <w:instrText>A10-0054/2025</w:instrText>
      </w:r>
      <w:bookmarkEnd w:id="2"/>
      <w:r w:rsidRPr="00201C2F">
        <w:rPr>
          <w:i/>
        </w:rPr>
        <w:instrText xml:space="preserve"> - Pranešėjas: Joachim Stanisław Brudziński)"\l3 \n&gt; \* MERGEFORMAT </w:instrText>
      </w:r>
      <w:r w:rsidRPr="00201C2F">
        <w:rPr>
          <w:i/>
        </w:rPr>
        <w:fldChar w:fldCharType="end"/>
      </w:r>
    </w:p>
    <w:p w14:paraId="2667ECC2" w14:textId="77777777" w:rsidR="007E5494" w:rsidRPr="00201C2F" w:rsidRDefault="007E5494" w:rsidP="007E5494">
      <w:pPr>
        <w:rPr>
          <w:vanish/>
        </w:rPr>
      </w:pPr>
      <w:bookmarkStart w:id="3" w:name="Commission"/>
      <w:r w:rsidRPr="00201C2F">
        <w:rPr>
          <w:vanish/>
        </w:rPr>
        <w:t>Biudžeto kontrolės komitetas</w:t>
      </w:r>
      <w:bookmarkEnd w:id="3"/>
    </w:p>
    <w:p w14:paraId="7BF28552" w14:textId="77777777" w:rsidR="007E5494" w:rsidRPr="00201C2F" w:rsidRDefault="007E5494" w:rsidP="007E5494">
      <w:pPr>
        <w:rPr>
          <w:vanish/>
        </w:rPr>
      </w:pPr>
      <w:bookmarkStart w:id="4" w:name="PE"/>
      <w:r w:rsidRPr="00201C2F">
        <w:rPr>
          <w:vanish/>
        </w:rPr>
        <w:t>PE764.993</w:t>
      </w:r>
      <w:bookmarkEnd w:id="4"/>
    </w:p>
    <w:p w14:paraId="4C7AF70F" w14:textId="656960BE" w:rsidR="00252E15" w:rsidRDefault="00252E15" w:rsidP="00252E15">
      <w:pPr>
        <w:pStyle w:val="ATHeading3"/>
      </w:pPr>
      <w:r>
        <w:t>1. 2025 m. gegužės 7 d. Europos Parlamento sprendimas dėl 2023 finansinių metų Europos Sąjungos bendrojo biudžeto įvykdymo patvirtinimo, VI skirsnis – Europos ekonomikos ir socialinių reikalų komitetas (2024/2025(DEC))</w:t>
      </w:r>
    </w:p>
    <w:p w14:paraId="2464D591" w14:textId="77777777" w:rsidR="00252E15" w:rsidRDefault="00252E15" w:rsidP="00252E15">
      <w:pPr>
        <w:spacing w:before="480" w:after="240"/>
      </w:pPr>
      <w:r>
        <w:rPr>
          <w:i/>
        </w:rPr>
        <w:t>Europos Parlamentas</w:t>
      </w:r>
      <w:r>
        <w:t>,</w:t>
      </w:r>
    </w:p>
    <w:p w14:paraId="4B61E15C" w14:textId="77777777" w:rsidR="00252E15" w:rsidRDefault="00252E15" w:rsidP="00252E15">
      <w:pPr>
        <w:spacing w:after="240"/>
        <w:ind w:left="567" w:hanging="567"/>
      </w:pPr>
      <w:r>
        <w:t>–</w:t>
      </w:r>
      <w:r>
        <w:tab/>
        <w:t>atsižvelgdamas į 2023 finansinių metų Europos Sąjungos bendrąjį biudžetą</w:t>
      </w:r>
      <w:r>
        <w:rPr>
          <w:vertAlign w:val="superscript"/>
        </w:rPr>
        <w:footnoteReference w:id="1"/>
      </w:r>
      <w:r>
        <w:t>,</w:t>
      </w:r>
    </w:p>
    <w:p w14:paraId="050F5D6B" w14:textId="77777777" w:rsidR="00252E15" w:rsidRDefault="00252E15" w:rsidP="00252E15">
      <w:pPr>
        <w:spacing w:after="240"/>
        <w:ind w:left="567" w:hanging="567"/>
      </w:pPr>
      <w:r>
        <w:t>–</w:t>
      </w:r>
      <w:r>
        <w:tab/>
        <w:t>atsižvelgdamas į 2023 finansinių metų Europos Sąjungos konsoliduotąsias metines ataskaitas (COM(2024)0272 – C10-0073/2024)</w:t>
      </w:r>
      <w:r>
        <w:rPr>
          <w:vertAlign w:val="superscript"/>
        </w:rPr>
        <w:footnoteReference w:id="2"/>
      </w:r>
      <w:r>
        <w:t>,</w:t>
      </w:r>
    </w:p>
    <w:p w14:paraId="397F80ED" w14:textId="77777777" w:rsidR="00252E15" w:rsidRDefault="00252E15" w:rsidP="00252E15">
      <w:pPr>
        <w:spacing w:after="240"/>
        <w:ind w:left="567" w:hanging="567"/>
        <w:rPr>
          <w:szCs w:val="24"/>
        </w:rPr>
      </w:pPr>
      <w:r>
        <w:t>–</w:t>
      </w:r>
      <w:r>
        <w:tab/>
        <w:t>atsižvelgdamas į Europos ekonomikos ir socialinių reikalų komiteto 2023 m. metinę veiklos ataskaitą,</w:t>
      </w:r>
    </w:p>
    <w:p w14:paraId="6B81E0A2" w14:textId="77777777" w:rsidR="00252E15" w:rsidRDefault="00252E15" w:rsidP="00252E15">
      <w:pPr>
        <w:spacing w:after="240"/>
        <w:ind w:left="567" w:hanging="567"/>
      </w:pPr>
      <w:r>
        <w:t>–</w:t>
      </w:r>
      <w:r>
        <w:tab/>
        <w:t>atsižvelgdamas į Audito Rūmų metinę ataskaitą dėl 2023 finansinių metų biudžeto vykdymo kartu su institucijų atsakymais</w:t>
      </w:r>
      <w:r>
        <w:rPr>
          <w:vertAlign w:val="superscript"/>
        </w:rPr>
        <w:footnoteReference w:id="3"/>
      </w:r>
      <w:r>
        <w:t>,</w:t>
      </w:r>
    </w:p>
    <w:p w14:paraId="70938D33" w14:textId="77777777" w:rsidR="00252E15" w:rsidRDefault="00252E15" w:rsidP="00252E15">
      <w:pPr>
        <w:spacing w:after="240"/>
        <w:ind w:left="567" w:hanging="567"/>
      </w:pPr>
      <w:r>
        <w:t>–</w:t>
      </w:r>
      <w:r>
        <w:tab/>
        <w:t>atsižvelgdamas į Audito Rūmų pagal Sutarties dėl Europos Sąjungos veikimo 287 straipsnį pateiktą 2023 finansinių metų sąskaitų patikimumo ir pagal jas atliktų operacijų teisėtumo ir tvarkingumo patikinimo pareiškimą</w:t>
      </w:r>
      <w:r>
        <w:rPr>
          <w:vertAlign w:val="superscript"/>
        </w:rPr>
        <w:footnoteReference w:id="4"/>
      </w:r>
      <w:r>
        <w:t>,</w:t>
      </w:r>
    </w:p>
    <w:p w14:paraId="679CE286" w14:textId="77777777" w:rsidR="00252E15" w:rsidRDefault="00252E15" w:rsidP="00252E15">
      <w:pPr>
        <w:spacing w:after="240"/>
        <w:ind w:left="567" w:hanging="567"/>
      </w:pPr>
      <w:r>
        <w:t>–</w:t>
      </w:r>
      <w:r>
        <w:tab/>
        <w:t>atsižvelgdamas į Sutarties dėl Europos Sąjungos veikimo 314 straipsnio 10 dalį ir 317, 318 ir 319 straipsnius,</w:t>
      </w:r>
    </w:p>
    <w:p w14:paraId="08AB1868" w14:textId="77777777" w:rsidR="00252E15" w:rsidRDefault="00252E15" w:rsidP="00252E15">
      <w:pPr>
        <w:spacing w:after="240"/>
        <w:ind w:left="567" w:hanging="567"/>
      </w:pPr>
      <w:r>
        <w:t>–</w:t>
      </w:r>
      <w:r>
        <w:tab/>
        <w:t xml:space="preserve">atsižvelgdamas į 2018 m. liepos 18 d. Europos Parlamento ir Tarybos reglamentą (ES, Euratomas) 2018/1046 dėl Sąjungos bendrajam biudžetui taikomų finansinių taisyklių, kuriuo iš dalies keičiami reglamentai (ES) Nr. 1296/2013, (ES) Nr. 1301/2013, (ES) Nr. </w:t>
      </w:r>
      <w:r>
        <w:lastRenderedPageBreak/>
        <w:t>1303/2013, (ES) Nr. 1304/2013, (ES) Nr. 1309/2013, (ES) Nr. 1316/2013, (ES) Nr. 223/2014, (ES) Nr. 283/2014 ir Sprendimas Nr. 541/2014/ES, bei panaikinamas Reglamentas (ES, Euratomas) Nr. 966/2012</w:t>
      </w:r>
      <w:r>
        <w:rPr>
          <w:vertAlign w:val="superscript"/>
        </w:rPr>
        <w:footnoteReference w:id="5"/>
      </w:r>
      <w:r>
        <w:t>, ypač į jo 59, 118, 260, 261 ir 262 straipsnius,</w:t>
      </w:r>
    </w:p>
    <w:p w14:paraId="26D40C93" w14:textId="77777777" w:rsidR="00252E15" w:rsidRDefault="00252E15" w:rsidP="00252E15">
      <w:pPr>
        <w:spacing w:after="240"/>
        <w:ind w:left="567" w:hanging="567"/>
      </w:pPr>
      <w:r>
        <w:t>–</w:t>
      </w:r>
      <w:r>
        <w:tab/>
        <w:t>atsižvelgdamas į 2024 m. rugsėjo 23 d. Europos Parlamento ir Tarybos reglamentą (ES, Euratomas) 2024/2509 dėl Sąjungos bendrajam biudžetui taikomų finansinių taisyklių</w:t>
      </w:r>
      <w:r>
        <w:rPr>
          <w:bCs/>
          <w:color w:val="333333"/>
          <w:shd w:val="clear" w:color="auto" w:fill="FFFFFF"/>
          <w:vertAlign w:val="superscript"/>
        </w:rPr>
        <w:footnoteReference w:id="6"/>
      </w:r>
      <w:r>
        <w:t>, ypač į jo 59, 118, 266, 267 ir 268 straipsnius,</w:t>
      </w:r>
    </w:p>
    <w:p w14:paraId="2FF31F1F" w14:textId="77777777" w:rsidR="00252E15" w:rsidRDefault="00252E15" w:rsidP="00252E15">
      <w:pPr>
        <w:spacing w:after="240"/>
        <w:ind w:left="567" w:hanging="567"/>
      </w:pPr>
      <w:r>
        <w:t>–</w:t>
      </w:r>
      <w:r>
        <w:tab/>
        <w:t>atsižvelgdamas į Darbo tvarkos taisyklių 102 straipsnį ir V priedą,</w:t>
      </w:r>
    </w:p>
    <w:p w14:paraId="1CFDB930" w14:textId="77777777" w:rsidR="00252E15" w:rsidRDefault="00252E15" w:rsidP="00252E15">
      <w:pPr>
        <w:spacing w:after="240"/>
        <w:ind w:left="567" w:hanging="567"/>
      </w:pPr>
      <w:r>
        <w:t>–</w:t>
      </w:r>
      <w:r>
        <w:tab/>
        <w:t>atsižvelgdamas į Biudžeto kontrolės komiteto pranešimą (A10</w:t>
      </w:r>
      <w:r>
        <w:noBreakHyphen/>
        <w:t>0054/2025),</w:t>
      </w:r>
    </w:p>
    <w:p w14:paraId="4CB62082" w14:textId="77777777" w:rsidR="00252E15" w:rsidRDefault="00252E15" w:rsidP="00252E15">
      <w:pPr>
        <w:spacing w:after="240"/>
        <w:ind w:left="567" w:hanging="567"/>
      </w:pPr>
      <w:r>
        <w:t>1.</w:t>
      </w:r>
      <w:r>
        <w:tab/>
        <w:t>patvirtina Europos ekonomikos ir socialinių reikalų komiteto generalinei sekretorei, kad Europos ekonomikos ir socialinių reikalų komiteto 2023 finansinių metų biudžetas įvykdytas;</w:t>
      </w:r>
    </w:p>
    <w:p w14:paraId="0209EC4E" w14:textId="77777777" w:rsidR="00252E15" w:rsidRDefault="00252E15" w:rsidP="00252E15">
      <w:pPr>
        <w:spacing w:after="240"/>
        <w:ind w:left="567" w:hanging="567"/>
      </w:pPr>
      <w:r>
        <w:t>2.</w:t>
      </w:r>
      <w:r>
        <w:tab/>
        <w:t>išdėsto savo pastabas toliau pateikiamoje rezoliucijoje;</w:t>
      </w:r>
    </w:p>
    <w:p w14:paraId="51BB0DFA" w14:textId="77777777" w:rsidR="00252E15" w:rsidRDefault="00252E15" w:rsidP="00252E15">
      <w:pPr>
        <w:spacing w:after="240"/>
        <w:ind w:left="567" w:hanging="567"/>
      </w:pPr>
      <w:r>
        <w:t>3.</w:t>
      </w:r>
      <w:r>
        <w:tab/>
        <w:t xml:space="preserve">paveda Pirmininkei perduoti šį sprendimą ir rezoliuciją, kuri yra neatskiriama jo dalis, Ekonomikos ir socialinių reikalų komitetui, Tarybai, Komisijai ir Audito Rūmams ir pasirūpinti, kad jie būtų paskelbti </w:t>
      </w:r>
      <w:r>
        <w:rPr>
          <w:i/>
        </w:rPr>
        <w:t>Europos Sąjungos oficialiajame leidinyje</w:t>
      </w:r>
      <w:r>
        <w:t xml:space="preserve"> (L serijoje).</w:t>
      </w:r>
    </w:p>
    <w:p w14:paraId="10141F05" w14:textId="77777777" w:rsidR="00252E15" w:rsidRDefault="00252E15" w:rsidP="00252E15">
      <w:pPr>
        <w:sectPr w:rsidR="00252E15" w:rsidSect="00252E15">
          <w:footnotePr>
            <w:numRestart w:val="eachSect"/>
          </w:footnotePr>
          <w:pgSz w:w="11906" w:h="16838"/>
          <w:pgMar w:top="1440" w:right="1440" w:bottom="1440" w:left="1440" w:header="708" w:footer="708" w:gutter="0"/>
          <w:cols w:space="720"/>
        </w:sectPr>
      </w:pPr>
    </w:p>
    <w:p w14:paraId="6EF6BC35" w14:textId="77777777" w:rsidR="00252E15" w:rsidRDefault="00252E15" w:rsidP="00252E15">
      <w:pPr>
        <w:pStyle w:val="ATHeading3"/>
      </w:pPr>
      <w:r>
        <w:lastRenderedPageBreak/>
        <w:t>2. 2025 m. gegužės 7 d. Europos Parlamento rezoliucija su pastabomis, sudarančiomis neatskiriamą sprendimo dėl 2023 finansinių metų Europos Sąjungos bendrojo biudžeto įvykdymo patvirtinimo, VI skirsnis – Europos ekonomikos ir socialinių reikalų komitetas, dalį (2024/2025(DEC))</w:t>
      </w:r>
    </w:p>
    <w:p w14:paraId="0A9F42B4" w14:textId="257CA108" w:rsidR="00252E15" w:rsidRPr="00252E15" w:rsidRDefault="00252E15" w:rsidP="00252E15">
      <w:pPr>
        <w:pStyle w:val="EPComma"/>
        <w:rPr>
          <w:i/>
        </w:rPr>
      </w:pPr>
      <w:r w:rsidRPr="00252E15">
        <w:rPr>
          <w:i/>
        </w:rPr>
        <w:t>Europos Parlamentas,</w:t>
      </w:r>
    </w:p>
    <w:p w14:paraId="1ACEBA33" w14:textId="4926DA18" w:rsidR="00252E15" w:rsidRDefault="00252E15" w:rsidP="00252E15">
      <w:pPr>
        <w:pStyle w:val="NormalHanging12a"/>
      </w:pPr>
      <w:r>
        <w:t>–</w:t>
      </w:r>
      <w:r>
        <w:tab/>
        <w:t>atsižvelgdamas į savo sprendimą dėl 2023 finansinių metų Europos Sąjungos bendrojo biudžeto įvykdymo patvirtinimo, VI skirsnis – Europos ekonomikos ir socialinių reikalų komitetas,</w:t>
      </w:r>
    </w:p>
    <w:p w14:paraId="07CA02F5" w14:textId="112B8AF5" w:rsidR="00252E15" w:rsidRDefault="00252E15" w:rsidP="00252E15">
      <w:pPr>
        <w:pStyle w:val="NormalHanging12a"/>
      </w:pPr>
      <w:r>
        <w:t>–</w:t>
      </w:r>
      <w:r>
        <w:tab/>
        <w:t>atsižvelgdamas į Darbo tvarkos taisyklių 102 straipsnį ir V priedą,</w:t>
      </w:r>
    </w:p>
    <w:p w14:paraId="6BE02EF8" w14:textId="67700166" w:rsidR="00252E15" w:rsidRDefault="00252E15" w:rsidP="00252E15">
      <w:pPr>
        <w:pStyle w:val="NormalHanging12a"/>
      </w:pPr>
      <w:r>
        <w:t>–</w:t>
      </w:r>
      <w:r>
        <w:tab/>
        <w:t>atsižvelgdamas į Biudžeto kontrolės komiteto pranešimą (A10-0054/2025),</w:t>
      </w:r>
    </w:p>
    <w:p w14:paraId="1276C241" w14:textId="77777777" w:rsidR="00252E15" w:rsidRDefault="00252E15" w:rsidP="00252E15">
      <w:pPr>
        <w:pStyle w:val="NormalHanging12a"/>
      </w:pPr>
      <w:r>
        <w:t>A.</w:t>
      </w:r>
      <w:r>
        <w:tab/>
        <w:t>kadangi vykdant biudžeto įvykdymo patvirtinimo procedūrą biudžeto įvykdymą tvirtinanti institucija nori pabrėžti, jog ypač svarbu toliau stiprinti Sąjungos institucijų demokratinį teisėtumą didinant skaidrumą ir atskaitomybę, įgyvendinant rezultatais grindžiamo biudžeto sudarymo koncepciją ir užtikrinant gerą žmogiškųjų išteklių valdymą;</w:t>
      </w:r>
    </w:p>
    <w:p w14:paraId="7106E94A" w14:textId="77777777" w:rsidR="00252E15" w:rsidRDefault="00252E15" w:rsidP="00252E15">
      <w:pPr>
        <w:pStyle w:val="NormalHanging12a"/>
      </w:pPr>
      <w:r>
        <w:t>B.</w:t>
      </w:r>
      <w:r>
        <w:tab/>
        <w:t>kadangi Europos ekonomikos ir socialinių reikalų komitetas (toliau – Komitetas) yra Sąjungos patariamasis organas, kuris veikia kaip valstybių narių įvairių organizuotos pilietinės visuomenės ekonominės, socialinės ir pilietinės veiklos sričių atstovų konsultacijų, dialogo ir bendro sutarimo forumas;</w:t>
      </w:r>
    </w:p>
    <w:p w14:paraId="3130A622" w14:textId="77777777" w:rsidR="00252E15" w:rsidRDefault="00252E15" w:rsidP="00252E15">
      <w:pPr>
        <w:pStyle w:val="NormalHanging12a"/>
      </w:pPr>
      <w:r>
        <w:t>C.</w:t>
      </w:r>
      <w:r>
        <w:tab/>
        <w:t>kadangi Komitetas prisideda prie Sąjungos sprendimų priėmimo proceso ir, užtikrindamas Sąjungos politikos sąsają su ekonominėmis, socialinėmis ir pilietinėmis aplinkybėmis, vykdo savo misiją – užtikrinti geresnį reglamentavimą, dalyvaujamąją demokratiją pagal principą „iš apačios į viršų“ ir puoselėti Europos vertybes;</w:t>
      </w:r>
    </w:p>
    <w:p w14:paraId="32622FB5" w14:textId="77777777" w:rsidR="00252E15" w:rsidRDefault="00252E15" w:rsidP="00252E15">
      <w:pPr>
        <w:pStyle w:val="NormalHanging12a"/>
      </w:pPr>
      <w:r>
        <w:t>D.</w:t>
      </w:r>
      <w:r>
        <w:tab/>
        <w:t>kadangi tam tikrais atvejais Komisija arba Taryba privalo konsultuotis su Komitetu, Komitetas taip pat gali priimti nuomones savo iniciatyva, be to, Suvestiniu Europos aktu, Mastrichto sutartimi ir Amsterdamo sutartimi nustatyta plati klausimų, kuriais gali būti prašoma Komiteto nuomonės, sritis ir tokiu būdu sudaromos sąlygos Parlamentui su juo konsultuotis;</w:t>
      </w:r>
    </w:p>
    <w:p w14:paraId="7BCD05EC" w14:textId="77777777" w:rsidR="00252E15" w:rsidRDefault="00252E15" w:rsidP="00252E15">
      <w:pPr>
        <w:pStyle w:val="NormalHanging12a"/>
      </w:pPr>
      <w:r>
        <w:t>E.</w:t>
      </w:r>
      <w:r>
        <w:tab/>
        <w:t>kadangi Komiteto Finansų ir biudžeto reikalų komisija (CAF) yra Komiteto priežiūros organas, atsakingas už visas biudžeto procedūras, ypač už biudžeto sąmatos sudarymą, biudžeto vykdymą, metinę veiklos ataskaitą, biudžeto įvykdymo patvirtinimą ir tolesnius veiksmus, kurių imamasi atsižvelgiant į Europos Audito Rūmų (toliau – Audito Rūmai) metinę ataskaitą;</w:t>
      </w:r>
    </w:p>
    <w:p w14:paraId="03692068" w14:textId="77777777" w:rsidR="00252E15" w:rsidRDefault="00252E15" w:rsidP="00252E15">
      <w:pPr>
        <w:pStyle w:val="NormalHanging12a"/>
      </w:pPr>
      <w:r>
        <w:t>F.</w:t>
      </w:r>
      <w:r>
        <w:tab/>
        <w:t>kadangi pastaraisiais metais Komitetas, atsižvelgdamas į turimą ribotą biudžetą, ėmėsi iniciatyvų pritraukti ir išlaikyti kvalifikuotus darbuotojus, optimizuoti savo organizacinę struktūrą ir darbo metodus ir skatinti pagarbią darbo aplinką;</w:t>
      </w:r>
    </w:p>
    <w:p w14:paraId="730CD805" w14:textId="77777777" w:rsidR="00252E15" w:rsidRDefault="00252E15" w:rsidP="00252E15">
      <w:pPr>
        <w:pStyle w:val="NormalHanging12a"/>
      </w:pPr>
      <w:r>
        <w:t>1.</w:t>
      </w:r>
      <w:r>
        <w:tab/>
        <w:t xml:space="preserve">pažymi, kad Komiteto biudžetas patenka į DFP 7 išlaidų kategoriją „Europos viešasis administravimas“, kurią 2023 m. iš viso sudarė 12,3 mlrd. EUR, t. y. 6,4 % Sąjungos biudžeto išlaidų; pažymi, kad 2023 m. Komiteto biudžetas sudarė 1,29 % DFP 7 išlaidų </w:t>
      </w:r>
      <w:r>
        <w:lastRenderedPageBreak/>
        <w:t>kategorijos asignavimų;</w:t>
      </w:r>
    </w:p>
    <w:p w14:paraId="4EC83865" w14:textId="77777777" w:rsidR="00252E15" w:rsidRDefault="00252E15" w:rsidP="00252E15">
      <w:pPr>
        <w:pStyle w:val="NormalHanging12a"/>
      </w:pPr>
      <w:r>
        <w:t>2.</w:t>
      </w:r>
      <w:r>
        <w:tab/>
        <w:t>pažymi, kad Audito Rūmai savo 2023 finansinių metų metinėje ataskaitoje (toliau – Audito Rūmų ataskaita) išanalizavo 70 operacijų pagal 7 išlaidų kategoriją imtį ir nustatė, kad vykdant 21 operaciją (30 %) buvo padaryta klaidų; taip pat pažymi, kad Audito Rūmai, kiekybiškai įvertinę šias klaidas, penkių klaidų atveju konstatavo, kad klaidų lygis nesiekia reikšmingumo ribos;</w:t>
      </w:r>
    </w:p>
    <w:p w14:paraId="722848D7" w14:textId="77777777" w:rsidR="00252E15" w:rsidRDefault="00252E15" w:rsidP="00252E15">
      <w:pPr>
        <w:pStyle w:val="NormalHanging12a"/>
      </w:pPr>
      <w:r>
        <w:t>3.</w:t>
      </w:r>
      <w:r>
        <w:tab/>
        <w:t>remdamasis Audito Rūmų ataskaita pažymi, kad administracinės išlaidos – tai išlaidos žmogiškiesiems ištekliams, įskaitant pensijas, kurios 2023 m. sudarė apie 70 % bendros administracinių išlaidų sumos, ir išlaidos pastatams, įrangai, energijai, komunikacijoms ir informacinėms technologijoms; palankiai vertina tai, kad Audito Rūmai, kaip ir ankstesniais metais, padarė išvadą, kad apskritai administracinės išlaidos yra mažos rizikos išlaidos; pažymi, kad 2023 m. Audito Rūmai nenustatė jokių konkrečių su Komitetu susijusių problemų;</w:t>
      </w:r>
    </w:p>
    <w:p w14:paraId="0E7F4B42" w14:textId="77777777" w:rsidR="00252E15" w:rsidRDefault="00252E15" w:rsidP="00252E15">
      <w:pPr>
        <w:pStyle w:val="NormalHanging12a"/>
        <w:rPr>
          <w:b/>
          <w:iCs/>
        </w:rPr>
      </w:pPr>
      <w:r>
        <w:rPr>
          <w:b/>
          <w:iCs/>
        </w:rPr>
        <w:t>Biudžeto ir finansų valdymas</w:t>
      </w:r>
    </w:p>
    <w:p w14:paraId="4476CCDD" w14:textId="77777777" w:rsidR="00252E15" w:rsidRDefault="00252E15" w:rsidP="00252E15">
      <w:pPr>
        <w:pStyle w:val="NormalHanging12a"/>
      </w:pPr>
      <w:r>
        <w:t>4.</w:t>
      </w:r>
      <w:r>
        <w:tab/>
        <w:t>pažymi, kad galutinis priimtas Komiteto biudžetas 2023 m. buvo 158 767 970 EUR, t. y. iš viso 4,1 % didesnis, palyginti su 2022 m.; remdamasis Komiteto atsakymais į Biudžeto kontrolės komiteto pateiktą klausimyną dėl 2023 m. biudžeto įvykdymo patvirtinimo (toliau – klausimynas) ir Komiteto 2023 m. metinę veiklos ataskaitą (toliau – metinė ataskaita), pažymi, kad į darbo užmokesčio ir išmokų biudžeto eilutę įrašyta suma (išlaidos Komiteto darbuotojams ir nariams) 2022–2023 m. dėl infliacijos padidėjo 8,4 %; remdamasis klausimynu pažymi, kad biudžetas su programinės įrangos sistemų veikimu, plėtra ir priežiūra susijusioms išorės paslaugų išlaidoms nuo 2022 m. iki 2023 m. padidėjo 33,70 %, nes Komitetas savo 2024–2026 m. skaitmeninės strategijos įgyvendinimą laikė prioritetiniu 2023 m. tikslu; pažymi, kad kitais požiūriais Komiteto 2023 m. asignavimų paskirstymas pagal kitas biudžeto eilutes išliko panašus į ankstesnių metų paskirstymą;</w:t>
      </w:r>
    </w:p>
    <w:p w14:paraId="1C9E025E" w14:textId="77777777" w:rsidR="00252E15" w:rsidRDefault="00252E15" w:rsidP="00252E15">
      <w:pPr>
        <w:pStyle w:val="NormalHanging12a"/>
      </w:pPr>
      <w:r>
        <w:t>5.</w:t>
      </w:r>
      <w:r>
        <w:tab/>
        <w:t>su pasitenkinimu pažymi, kad Komiteto biudžeto vykdymo lygis einamųjų metų įsipareigojimų asignavimų atveju dar labiau padidėjo – nuo 96,12 % 2022 m. iki 98,70 % 2023 m., taigi nebėra ankstesniais metais patirtos prastesnio biudžeto vykdymo dėl COVID-19 pandemijos ir su ja susijusių kelionių apribojimų problemos; taip pat pažymi, kad einamųjų metų mokėjimų asignavimų vykdymo lygis padidėjo nuo 88,12 % 2022 m. iki 90,67 % 2023 m.; pažymi, kad 2023 m. vidutinis sąskaitų faktūrų apmokėjimo laikas buvo 20,14 dienų, t. y. ilgesnis nei 2022 m., kai jis siekė 18,34 dienų;</w:t>
      </w:r>
    </w:p>
    <w:p w14:paraId="74CD9FF2" w14:textId="77777777" w:rsidR="00252E15" w:rsidRDefault="00252E15" w:rsidP="00252E15">
      <w:pPr>
        <w:pStyle w:val="NormalHanging12a"/>
      </w:pPr>
      <w:r>
        <w:t>6.</w:t>
      </w:r>
      <w:r>
        <w:tab/>
        <w:t>pažymi, kad iš 2023 m. į 2024 m. perkelti asignavimai sudarė 13 827 713 EUR (apie 8,70 % Komiteto 2023 m. biudžeto), t. y. ši suma sumažėjo, palyginti su ankstesnių metų lygiu, kai perkelti asignavimai sudarė 20 162 518 EUR (t. y. apie 13 % Komiteto 2022 m. biudžeto); taip pat su pasitenkinimu pažymi, kad iš 2022 m. į 2023 m. perkeltų asignavimų vykdymo lygis 2023 m. buvo 86,76 %, palyginti su 76,91 % 2022 m.; ragina Komitetą toliau veiksmingai naudoti skirtas lėšas;</w:t>
      </w:r>
    </w:p>
    <w:p w14:paraId="0F7DF1EA" w14:textId="77777777" w:rsidR="00252E15" w:rsidRDefault="00252E15" w:rsidP="00252E15">
      <w:pPr>
        <w:pStyle w:val="NormalHanging12a"/>
      </w:pPr>
      <w:r>
        <w:t>7.</w:t>
      </w:r>
      <w:r>
        <w:tab/>
        <w:t xml:space="preserve">pažymi, kad paties Komiteto tarnybos 2022 m. pradėjo 12 derybų procedūrų, kurių vertė nesiekia 60 000 EUR, daugiausia dėl atvejų tyrimo, tyrimų ir logistinės paramos; pažymi, kad Komitetas taip pat pradėjo šešias viešųjų pirkimų procedūras su jungtinėmis tarnybomis, kuriomis dalijasi su Europos regionų komitetu (toliau – RK), </w:t>
      </w:r>
      <w:r>
        <w:lastRenderedPageBreak/>
        <w:t>daugiausia logistikos ir priežiūros srityje;</w:t>
      </w:r>
    </w:p>
    <w:p w14:paraId="6DB6602B" w14:textId="77777777" w:rsidR="00252E15" w:rsidRDefault="00252E15" w:rsidP="00252E15">
      <w:pPr>
        <w:pStyle w:val="NormalHanging12a"/>
      </w:pPr>
      <w:r>
        <w:t>8.</w:t>
      </w:r>
      <w:r>
        <w:tab/>
        <w:t xml:space="preserve">pažymi, kad 2023 m. Komitetas toliau didino savo veiklos metodų ekonominį efektyvumą, be kita ko, taikydamas mišraus darbo metodą, leisdamas daugiau laiko dirbti nuotoliniu būdu, užtikrindamas visišką finansinių grandinių </w:t>
      </w:r>
      <w:proofErr w:type="spellStart"/>
      <w:r>
        <w:t>dematerializavimą</w:t>
      </w:r>
      <w:proofErr w:type="spellEnd"/>
      <w:r>
        <w:t xml:space="preserve"> ir mažesnį energijos suvartojimą; remdamasis klausimynu pažymi, kad dėl sumažėjusio energijos suvartojimo Komitetas 2023 m. sutaupė 65 000 EUR lėšų; giria Komitetą už tai, kad jis pasirašė naują preliminariąją sutartį dėl sveikatos patikrinimų, pagal kurią numatytos mažesnės kainos, didesnis lankstumas ir apskritai geresnės paslaugos, palyginti su ankstesne sutartimi; pažymi, kad Komitetas sutaupė nemažai biudžeto ir administracinių lėšų vykdydamas tarpinstitucinį bendradarbiavimą, visų pirma pasitelkdamas jungtines tarnybas su RK, perduodamas Komisijai (pagal susitarimus dėl paslaugų lygio) konkrečias žmogiškųjų išteklių tvarkymo užduotis ir naudodamasis IT priemonėmis finansų valdymo ir žmogiškųjų išteklių srityse, taip pat dalyvaudamas kitų institucijų vadovaujamose tarpinstitucinėse viešųjų pirkimų procedūrose; remdamasis klausimynu pažymi, kad bendros Komiteto patirtos išlaidos, susijusios su konkrečių paslaugų perdavimu Komisijai, padidėjo nuo 743 600 EUR 2022 m. iki 793 000 EUR 2023 m.;</w:t>
      </w:r>
    </w:p>
    <w:p w14:paraId="08943A60" w14:textId="77777777" w:rsidR="00252E15" w:rsidRDefault="00252E15" w:rsidP="00252E15">
      <w:pPr>
        <w:pStyle w:val="NormalHanging12a"/>
      </w:pPr>
      <w:r>
        <w:t>9.</w:t>
      </w:r>
      <w:r>
        <w:tab/>
        <w:t>primena, kad 2023 m. gegužės 25 d. Tarybos sprendime nustatyta, jog išmoka už Komiteto narių nuotolinį dalyvavimą įstatuose nenumatytuose posėdžiuose yra 145 EUR už kiekvieną nuotolinį posėdį per dieną, o tai sudaro 50 % dienpinigių už fizinį dalyvavimą 2023 m.; mano, kad nepaisant to, jog nuotolinis dalyvavimas yra svarbi priemonė šiuolaikinėms institucijoms, nes, be kita ko, ją taikant sumažėja posėdžių išlaidos ir yra sudaromos sąlygos platesniam dalyvavimui, išmokų už nuotolinį dalyvavimą posėdžiuose, net jei jos sumažintos ir numatytos tik kai kurių tipų renginiams, skyrimas visuomenei yra sunkiai suprantamas, juo labiau atsižvelgiant į skirtumą, mokamą Komiteto nariams ir RK nariams už dalyvavimą nuotoliniu būdu; remdamasis Komiteto pranešimu dėl tolesnių veiksmų, susijusių su Parlamento rezoliucija dėl Komiteto 2022 m. biudžeto vykdymo (toliau – pranešimas dėl tolesnių veiksmų), su pasitenkinimu pažymi, kad taikant šį sprendimą jau sutaupyta 1 677 000 EUR biudžeto lėšų dėl mažesnių kelionės išlaidų ir mokamų išmokų, taip pat dėl sumažėjusių kelionių 2023 m. sutaupyta apie 553,66 tonų CO</w:t>
      </w:r>
      <w:r>
        <w:rPr>
          <w:vertAlign w:val="subscript"/>
        </w:rPr>
        <w:t>2</w:t>
      </w:r>
      <w:r>
        <w:t xml:space="preserve"> aplinkosaugos požiūriu; remdamasis metine ataskaita pažymi, kad nuotoliniu būdu vykusių kompensuojamų posėdžių dienų skaičius buvo 2 006 (2022 m. – 6 259), vidutinė vieno posėdžio trukmė buvo 3 valandos, o bendros išlaidos 2023 m. sudarė 294 930 EUR (2022 m. – 922 925 EUR); palankiai vertina daug kartų Komiteto atliktus patikrinimus, kuriais prieš išmokant išmoką buvo siekiama įsitikinti, kad nariai dalyvavo nuotoliniu būdu;</w:t>
      </w:r>
    </w:p>
    <w:p w14:paraId="399025F4" w14:textId="77777777" w:rsidR="00252E15" w:rsidRDefault="00252E15" w:rsidP="00252E15">
      <w:pPr>
        <w:pStyle w:val="NormalHanging12a"/>
      </w:pPr>
      <w:r>
        <w:t>10.</w:t>
      </w:r>
      <w:r>
        <w:tab/>
        <w:t>pažymi, kad Rusijos agresijos karo prieš Ukrainą poveikis 2023 m. toliau darė spaudimą Komiteto biudžetui dėl didėjančios infliacijos ir atlyginimų koregavimo, su pastatų projektais susijusių iššūkių dėl vėlavimo ir didesnių žaliavų kainų, nuomos sutarčių indeksavimo (+ 10,3 % 2023 m., palyginti su 2022 m.), taip pat priežiūros ir saugumo paslaugų sutarčių indeksavimo (+ 13,50 % 2023 m., palyginti su 2021 m.); visų pirma pažymi, kad 2021–2022 m. laikotarpiu energijos kainos išaugo nuo 726 000 EUR iki 3 125 000 EUR, o 2023 m. sumažėjo iki 1 923 391 EUR; pripažįsta, kad su darbo užmokesčiu nesusijusioms išlaidoms taikoma 2 % viršutinė riba; atsižvelgdamas į tai, palankiai vertina Komiteto iniciatyvą spręsti problemas biudžeto lygmeniu, pvz., įgyvendinant energijos taupymo strategijas trumpalaikėmis, taip pat vidutinės trukmės ir ilgalaikėmis priemonėmis, todėl nereikėjo priimti 2023 m. taisomojo biudžeto;</w:t>
      </w:r>
    </w:p>
    <w:p w14:paraId="6A0CDA81" w14:textId="77777777" w:rsidR="00252E15" w:rsidRDefault="00252E15" w:rsidP="00252E15">
      <w:pPr>
        <w:pStyle w:val="NormalHanging12a"/>
      </w:pPr>
      <w:r>
        <w:lastRenderedPageBreak/>
        <w:t>11.</w:t>
      </w:r>
      <w:r>
        <w:tab/>
        <w:t>atkreipia dėmesį į tai, kad einamųjų metų asignavimai pagal 1 0 0 4 biudžeto eilutę (narių kelionių išlaidos, įskaitant dienpinigius ir išmokas už dalyvavimą posėdžiuose) sumažinti nuo 19,790 mln. EUR 2022 m. (iš kurių 15,895 mln. EUR buvo išmokėta) iki 19,761 mln. EUR 2023 m. (iš kurių 18,344 mln. EUR buvo išmokėta); su pasitenkinimu pažymi, kad šių asignavimų vykdymo lygis pagerėjo nuo 80,31 % 2022 m. iki 92,83 % 2023 m.; pažymi, kad 2023 m. Komiteto pirmininkas dalyvavo 35 komandiruotėse, kurių bendra išlaidų suma siekė 71 926 EUR, o 2022 m. – 26 komandiruotėse, kurių bendra išlaidų suma siekė 38 042 EUR;</w:t>
      </w:r>
    </w:p>
    <w:p w14:paraId="0A27710A" w14:textId="77777777" w:rsidR="00252E15" w:rsidRDefault="00252E15" w:rsidP="00252E15">
      <w:pPr>
        <w:pStyle w:val="NormalHanging12a"/>
      </w:pPr>
      <w:r>
        <w:t>12.</w:t>
      </w:r>
      <w:r>
        <w:tab/>
        <w:t>remdamasis klausimynu pažymi, kad Komiteto ir RK jungtinis inovacijų ir informacinių technologijų departamentas apie 3 % savo IT biudžeto skiria kibernetiniam saugumui, o tai toli gražu neatitinka atitinkamuose teisės aktuose nustatyto 10 % tikslo; ragina teisėkūros institucijas ir Komisiją į tai atsižvelgti vykdant metinę biudžeto procedūrą;</w:t>
      </w:r>
    </w:p>
    <w:p w14:paraId="26284EDF" w14:textId="77777777" w:rsidR="00252E15" w:rsidRDefault="00252E15" w:rsidP="00252E15">
      <w:pPr>
        <w:pStyle w:val="NormalHanging12a"/>
        <w:rPr>
          <w:iCs/>
        </w:rPr>
      </w:pPr>
      <w:r>
        <w:rPr>
          <w:b/>
          <w:iCs/>
        </w:rPr>
        <w:t>Vidaus valdymas, veikla ir vidaus kontrolė</w:t>
      </w:r>
    </w:p>
    <w:p w14:paraId="73668A5D" w14:textId="77777777" w:rsidR="00252E15" w:rsidRDefault="00252E15" w:rsidP="00252E15">
      <w:pPr>
        <w:pStyle w:val="NormalHanging12a"/>
      </w:pPr>
      <w:r>
        <w:t>13.</w:t>
      </w:r>
      <w:r>
        <w:tab/>
        <w:t>remdamasis metine ataskaita pažymi, kad Komitetas, įgyvendindamas savo 2023 m. metinę darbo programą, iš viso turėjo 31 tikslą, skirtą visiems jo administracijos padaliniams, ir kad pagal Generalinio sekretoriato 2021–2025 m. strategiją Komitete nustatytos penkios pagrindinės vertybės ir penki pagrindiniai strateginiai tikslai; remdamasis klausimynu pažymi, kad parengtų nuomonių skaičius ir dalyvavimas aukšto lygio posėdžiuose yra pagrindiniai rodikliai, kuriais vadovaujamasi vertinant Komiteto veiklos rezultatus; remdamasis klausimynu atkreipia dėmesį į tai, kad Komitetas turi nusistatęs veiklos rezultatų rodiklius įvairiose srityse, pvz., IT, žmogiškųjų išteklių, vertimo raštu ir komunikacijos srityse; prašo Komiteto į savo būsimas ataskaitas įtraukti visų pagrindinių veiklos rezultatų rodiklių ir tikslų sąrašą pagal veiklos rūšis, taip pat jiems pasiekti nustatytą tikslinę vertę (proc.) ir jų pasiekimo lygį (proc.);</w:t>
      </w:r>
    </w:p>
    <w:p w14:paraId="3FD70B52" w14:textId="77777777" w:rsidR="00252E15" w:rsidRDefault="00252E15" w:rsidP="00252E15">
      <w:pPr>
        <w:pStyle w:val="NormalHanging12a"/>
      </w:pPr>
      <w:r>
        <w:t>14.</w:t>
      </w:r>
      <w:r>
        <w:tab/>
        <w:t>pažymi, kad Komitetas savo misiją vykdo rengdamas nuomones dėl Komisijos pateiktų pasiūlymų dėl teisėkūros procedūra priimamų aktų (prašymai pateikti nuomonę), nuomones savo iniciatyva, kuriose Sąjungos institucijos raginamos imtis veiksmų, ir tiriamąsias nuomones, kuriomis prisidedama prie Komisijos veiklos, susijusios su jos planuojamomis iniciatyvomis, ir kad į Komiteto pozicijas gali būti atkreipiamas dėmesys rezoliucijose arba jos gali būti įtraukiamos į vertinimo bei informacines ataskaitas; giria Komitetą už jo veiklą padedant Parlamentui, Tarybai ir Komisijai vykdyti darbą per 2023 m. teisėkūros ciklą; atsižvelgdamas į tai pažymi, kad 2023 m. Komitetas priėmė 213 nuomonių ir pranešimų, t. y. daugiau nei 2022 m. (tuomet jų buvo 202), ir surengė 146 klausymus ir 23 konferencijas, palyginti su atitinkamai 116 klausymų ir 29 konferencijomis 2022 m.; pažymi, kad 2023 m. Komiteto nariai dalyvavo 429 aukšto lygio susitikimuose, aukščiausiojo lygio susitikimuose ir konferencijose, palyginti su 345 tokių lygių susitikimais ir konferencijomis 2022 m.;</w:t>
      </w:r>
    </w:p>
    <w:p w14:paraId="37DA143E" w14:textId="77777777" w:rsidR="00252E15" w:rsidRDefault="00252E15" w:rsidP="00252E15">
      <w:pPr>
        <w:pStyle w:val="NormalHanging12a"/>
      </w:pPr>
      <w:r>
        <w:t>15.</w:t>
      </w:r>
      <w:r>
        <w:tab/>
        <w:t>palankiai vertina tai, kad 2023 m. Komitetas ėmėsi veiksmų, kad pagerintų savo darbo matomumą ir poveikį, susijusį su jo nuomonių formatu, su tolesniais veiksmais susijusių nuomonių metodika, bendradarbiavimu su Parlamentu ir Komisija ir kitais kompleksinio pobūdžio projektais, taip pat novatoriškomis iniciatyvomis, pvz., ES jaunimo testu, narystės siekiančių šalių kandidačių iniciatyva ir Europos žiedinės ekonomikos suinteresuotųjų subjektų platforma;</w:t>
      </w:r>
    </w:p>
    <w:p w14:paraId="444764FE" w14:textId="77777777" w:rsidR="00252E15" w:rsidRDefault="00252E15" w:rsidP="00252E15">
      <w:pPr>
        <w:pStyle w:val="NormalHanging12a"/>
      </w:pPr>
      <w:r>
        <w:t>16.</w:t>
      </w:r>
      <w:r>
        <w:rPr>
          <w:b/>
          <w:i/>
        </w:rPr>
        <w:tab/>
      </w:r>
      <w:r>
        <w:t>palankiai vertina Komiteto iniciatyvas, kuriomis siekiama skatinti aktyvų jaunimo dalyvavimą politikos formavimo procese;</w:t>
      </w:r>
    </w:p>
    <w:p w14:paraId="01FA2F48" w14:textId="77777777" w:rsidR="00252E15" w:rsidRDefault="00252E15" w:rsidP="00252E15">
      <w:pPr>
        <w:pStyle w:val="NormalHanging12a"/>
      </w:pPr>
      <w:r>
        <w:lastRenderedPageBreak/>
        <w:t>17.</w:t>
      </w:r>
      <w:r>
        <w:tab/>
        <w:t>palankiai vertina nuo 2022 m. rugsėjo mėn. iki 2023 m. balandžio mėn. įgyvendintą bandomąjį projektą, kuriuo buvo siekiama sustiprinti tolesnius veiksmus atrinktų nuomonių, susijusių su visomis institucijomis, atveju; vykdant šį projektą buvo atrinkta 19 nuomonių, kad būtų galima imtis sustiprintų tolesnių veiksmų, susijusių su atitinkamu projektu; remdamasis klausimynu pažymi bendrus teigiamus šio bandomojo projekto rezultatus, pvz., Komiteto gebėjimų imtis tolesnių veiksmų gerinimą, geresnį Komiteto darbo prioritetų nustatymą ir aktyvesnę informavimo veiklą bei atrinktų nuomonių poveikį;</w:t>
      </w:r>
    </w:p>
    <w:p w14:paraId="75F489D0" w14:textId="77777777" w:rsidR="00252E15" w:rsidRDefault="00252E15" w:rsidP="00252E15">
      <w:pPr>
        <w:pStyle w:val="NormalHanging12a"/>
      </w:pPr>
      <w:r>
        <w:t>18.</w:t>
      </w:r>
      <w:r>
        <w:tab/>
        <w:t>pabrėžia, kad veiksmingas ribotų išteklių valdymas išliko pagrindiniu iššūkiu visus 2023 m. ir tai buvo susiję su darbuotojų skaičiaus trūkumo problema, kuri paaštrėjo dėl vykdomos aktyvesnės veiklos laikantis nuolatinės nekintančios personalo politikos; atkreipia dėmesį į Komiteto planą pradėti taikyti naują požiūrį į strateginį darbo jėgos planavimą ir darbuotojų paskirstymą, pasinaudojant duomenų apie darbuotojų įgūdžius rinkimu, atidžiai išklausant visus subjektus organizacijoje ir Komiteto politiniams organams rengiant svarstymus dėl strateginių prioritetų; ragina Komitetą nuolat informuoti Parlamentą apie šio naujo plano rezultatus, nes tai galėtų paskatinti kitas institucijas, kurios susiduria su panašiais pasikartojančiais sunkumais, išmintingai naudoti išteklius;</w:t>
      </w:r>
    </w:p>
    <w:p w14:paraId="4157D44B" w14:textId="77777777" w:rsidR="00252E15" w:rsidRDefault="00252E15" w:rsidP="00252E15">
      <w:pPr>
        <w:pStyle w:val="NormalHanging12a"/>
      </w:pPr>
      <w:r>
        <w:t>19.</w:t>
      </w:r>
      <w:r>
        <w:tab/>
        <w:t>kalbant apie vidaus kontrolės standartus, pažymi, jog 2023 m. atitikties tyrimas parodė, kad padėtis pagerėjo, palyginti su 2022 m.; atsižvelgdamas į tai pažymi, kad atitiktis, t. y. kokiu mastu įgyvendinami 16 vidaus kontrolės standartų reikalavimų, padidėjo nuo 80,30 % 2022 m. iki 87,40 % 2023 m., o veiksmingumas, t. y. kokiu mastu tie reikalavimai įgyvendinamai taip, kaip numatyta, padidėjo nuo 74 % 2022 m. iki 78,10 % 2023 m.; taip pat pažymi, kad 2023 m. metinis rizikos vertinimas parodė, kad taikant vidaus kontrolę būdingos rizikos atvejų skaičius (pagal kritinės svarbos ir labai didelės svarbos kategorijas) 2023 m. sumažėjo 53 % nuo 40 iki 19;</w:t>
      </w:r>
    </w:p>
    <w:p w14:paraId="61782905" w14:textId="77777777" w:rsidR="00252E15" w:rsidRDefault="00252E15" w:rsidP="00252E15">
      <w:pPr>
        <w:pStyle w:val="NormalHanging12a"/>
      </w:pPr>
      <w:r>
        <w:t>20.</w:t>
      </w:r>
      <w:r>
        <w:rPr>
          <w:b/>
          <w:i/>
        </w:rPr>
        <w:tab/>
      </w:r>
      <w:r>
        <w:t>pažymi, kad 2023 m. buvo pertvarkyta Vidaus audito tarnyba (VAT) ir taip buvo padidinta jos atitiktis tarptautiniams audito standartams, taip pat racionalizuoti bei dokumentuoti visi jos procesai;</w:t>
      </w:r>
    </w:p>
    <w:p w14:paraId="59CA949C" w14:textId="77777777" w:rsidR="00252E15" w:rsidRDefault="00252E15" w:rsidP="00252E15">
      <w:pPr>
        <w:pStyle w:val="NormalHanging12a"/>
      </w:pPr>
      <w:r>
        <w:t>21.</w:t>
      </w:r>
      <w:r>
        <w:tab/>
        <w:t>pažymi, kad finansinių operacijų srityje 2023 m. pradžioje Komiteto Vidaus audito tarnyba priėmė naują sprendimą dėl rizikos vertinimo įgyvendinant supaprastintą procedūrą; taip pat pažymi, kad 2023 m. Komiteto biuras priėmė naują Vidaus audito chartiją ir Audito komiteto chartiją, įskaitant procedūrines taisykles;</w:t>
      </w:r>
    </w:p>
    <w:p w14:paraId="4BB3FECF" w14:textId="77777777" w:rsidR="00252E15" w:rsidRDefault="00252E15" w:rsidP="00252E15">
      <w:pPr>
        <w:pStyle w:val="NormalHanging12a"/>
      </w:pPr>
      <w:r>
        <w:t>22.</w:t>
      </w:r>
      <w:r>
        <w:tab/>
        <w:t>remdamasis metine ataskaita ir klausimynu pažymi, kad 2023 m. Vidaus audito tarnyba pradėjo keturis auditus, t. y. dėl su posėdžiais susijusių leidimų, Pramonės permainų konsultacinės komisijos, strateginio ciklo bei išmokų Komiteto nariams už kelionių trukmę ir atstumą; ragina Komitetą nuolat informuoti biudžeto įvykdymą tvirtinančią instituciją apie šių auditų rezultatus ir įgyvendinti visas dar neįgyvendintas rekomendacijas, pateiktas per ankstesnius auditus (dėl institucinių terminų, vertimo žodžiu, tikrinimo, etikos ir sąžiningumo, Statutu nustatytų teisių ir mokėjimo terminų);</w:t>
      </w:r>
    </w:p>
    <w:p w14:paraId="534338BE" w14:textId="77777777" w:rsidR="00252E15" w:rsidRDefault="00252E15" w:rsidP="00252E15">
      <w:pPr>
        <w:pStyle w:val="NormalHanging12a"/>
        <w:rPr>
          <w:b/>
          <w:iCs/>
        </w:rPr>
      </w:pPr>
      <w:r>
        <w:rPr>
          <w:b/>
          <w:iCs/>
        </w:rPr>
        <w:t>Žmogiškieji ištekliai, lygybė ir darbuotojų gerovė</w:t>
      </w:r>
    </w:p>
    <w:p w14:paraId="54E4C04A" w14:textId="77777777" w:rsidR="00252E15" w:rsidRDefault="00252E15" w:rsidP="00252E15">
      <w:pPr>
        <w:pStyle w:val="NormalHanging12a"/>
      </w:pPr>
      <w:r>
        <w:t>23.</w:t>
      </w:r>
      <w:r>
        <w:tab/>
        <w:t xml:space="preserve">pažymi, kad 2023 m. pabaigoje Komitete dirbo 707 darbuotojai, o 2022 m. – 706 darbuotojai; taip pat pažymi, kad 2023 m. Komitete dirbo 49 sutartininkai ir 130 laikinųjų darbuotojų (iš kurių 52 įdarbinti 2023 m.) (palyginti su 50 sutartininkų ir 128 </w:t>
      </w:r>
      <w:r>
        <w:lastRenderedPageBreak/>
        <w:t xml:space="preserve">laikinaisiais darbuotojais 2022 m.); be to, pažymi, kad Komitete dirbo 12 iš laikinojo įdarbinimo agentūrų pasamdytų darbuotojų ir 10 išorės darbuotojų, dirbančių </w:t>
      </w:r>
      <w:proofErr w:type="spellStart"/>
      <w:r>
        <w:rPr>
          <w:i/>
          <w:iCs/>
        </w:rPr>
        <w:t>intra</w:t>
      </w:r>
      <w:proofErr w:type="spellEnd"/>
      <w:r>
        <w:rPr>
          <w:i/>
          <w:iCs/>
        </w:rPr>
        <w:t xml:space="preserve"> </w:t>
      </w:r>
      <w:proofErr w:type="spellStart"/>
      <w:r>
        <w:rPr>
          <w:i/>
          <w:iCs/>
        </w:rPr>
        <w:t>muros</w:t>
      </w:r>
      <w:proofErr w:type="spellEnd"/>
      <w:r>
        <w:t>, neįskaitant išorės logistikos ir IT sričių paslaugų teikėjų; atkreipia dėmesį į tai, kad 2023 m. pareigybių užimtumo lygis buvo 95,50 %, palyginti su 95,10 % 2022 m., o darbuotojų kaita 2023 m. siekė 7 %;</w:t>
      </w:r>
    </w:p>
    <w:p w14:paraId="66B1CCF8" w14:textId="77777777" w:rsidR="00252E15" w:rsidRDefault="00252E15" w:rsidP="00252E15">
      <w:pPr>
        <w:pStyle w:val="NormalHanging12a"/>
      </w:pPr>
      <w:r>
        <w:t>24.</w:t>
      </w:r>
      <w:r>
        <w:tab/>
        <w:t xml:space="preserve">palankiai vertina nuolatines Komiteto pastangas tobulinti savo žmogiškųjų išteklių sistemą siekiant tapti patraukliu darbdaviu ir darbo vieta, kurioje kiekvienas asmuo būtų vertinamas ir galėtų visapusiškai išnaudoti savo potencialą; pažymi, kad įgyvendindamas savo 2023–2025 m. žmogiškųjų išteklių strategiją Komitetas 2023 m. pasiekė keletą pagrindinių tarpinių tikslų ir priėmė naujus sprendimus dėl, be kita ko, darbo sąlygų (mišraus darbo, viršvalandžių, specialiųjų atostogų), įvairovės ir </w:t>
      </w:r>
      <w:proofErr w:type="spellStart"/>
      <w:r>
        <w:t>įtraukties</w:t>
      </w:r>
      <w:proofErr w:type="spellEnd"/>
      <w:r>
        <w:t xml:space="preserve"> strategijos bei veiksmų plano 2023–2027 m. laikotarpiui, darbuotojų judumo ir jautrių pareigybių atveju taikomos metodikos, taip pat dėl darbuotojų vertinimo ir paaukštinimo sistemos; su pasitenkinimu atkreipia dėmesį į teigiamus 2023 m. gegužės mėn. paskelbtos darbuotojų pasitenkinimo darbo vieta apklausos rezultatus, kurie rodo, kad tiek darbuotojai, tiek vadovai išreiškė didelį pasitenkinimą tuo, kaip tvarkomi įvairūs su žmogiškaisiais ištekliais susiję klausimai, visų pirma dėl darbo tvarkos, – panašu, kad šioje srityje Komitetui pavyko puikiai užtikrinti pusiausvyrą;</w:t>
      </w:r>
    </w:p>
    <w:p w14:paraId="4E112A1F" w14:textId="77777777" w:rsidR="00252E15" w:rsidRDefault="00252E15" w:rsidP="00252E15">
      <w:pPr>
        <w:pStyle w:val="NormalHanging12a"/>
      </w:pPr>
      <w:r>
        <w:t>25.</w:t>
      </w:r>
      <w:r>
        <w:tab/>
        <w:t>pažymi, kad Komitetas jau antrus metus iš eilės yra tapęs grynuoju specialistų (iš kitų institucijų) importuotoju, nes įgyvendino tikslinį darbo vietos patrauklumo darbuotojams ir jų išlaikymo planą; vis dėlto pripažįsta, kad dėl nepakankamų EPSO (Europos personalo atrankos tarnyba) rezervo sąrašų susiduriama su nuolatiniais iššūkiais, susijusiais su priklausomybe nuo laikinųjų darbuotojų, todėl kyla pavojus, kad nebus išsaugotos dalykinės žinios; pabrėžia nuolatinių darbuotojų svarbą siekiant išlaikyti įgūdžius, tęstinumą ir produktyvią darbo aplinką; rekomenduoja Komitetui įgyvendinti iniciatyvas siekiant spręsti šias problemas, pvz., organizuojant vidaus konkursus;</w:t>
      </w:r>
    </w:p>
    <w:p w14:paraId="0389D3E9" w14:textId="77777777" w:rsidR="00252E15" w:rsidRDefault="00252E15" w:rsidP="00252E15">
      <w:pPr>
        <w:pStyle w:val="NormalHanging12a"/>
      </w:pPr>
      <w:r>
        <w:t>26.</w:t>
      </w:r>
      <w:r>
        <w:tab/>
        <w:t>pažymi, kad, siekiant geriau paskirstyti ribotus išteklius, 2023 m. buvo baigtas Komiteto užsakytas žmogiškųjų išteklių gebėjimų išorės auditas; su susirūpinimu pažymi, kad šio audito rezultatai patvirtino didelį daugelio įvairių Komiteto tarnybų darbo krūvį, o tai kelia pavojų Komiteto misijos ir pareigų vykdymui; ragina Komitetą įgyvendinti to audito rekomendacijas, be kita ko, iki 2025 m. peržiūrėti vertinimo ir veiklos rezultatų sistemą, priimti naują sprendimą dėl darbo sąlygų ir reguliariai stebėti darbuotojų įsitraukimą; pabrėžia strateginio darbo jėgos planavimo svarbą siekiant optimizuoti išteklių paskirstymą, užtikrinti suderinamumą su politinių institucijų nustatytais aukšto lygio prioritetais ir toliau stengtis padidinti išlaidų efektyvumą;</w:t>
      </w:r>
    </w:p>
    <w:p w14:paraId="599353A8" w14:textId="77777777" w:rsidR="00252E15" w:rsidRDefault="00252E15" w:rsidP="00252E15">
      <w:pPr>
        <w:pStyle w:val="NormalHanging12a"/>
      </w:pPr>
      <w:r>
        <w:t>27.</w:t>
      </w:r>
      <w:r>
        <w:tab/>
        <w:t>pažymi, kad 2023 m. tęsėsi 2022 m. inicijuotos teigiamos tendencijos, susijusios su darbuotojų įdarbinimu; palankiai vertina Komiteto veiksmus šioje srityje, pvz., laisvų darbo vietų skelbimo suderinimą su naujų EPSO rezervo sąrašų skelbimu arba skelbimą apie galimybes įsidarbinti Komiteto interneto svetainėje ir platformoje „</w:t>
      </w:r>
      <w:proofErr w:type="spellStart"/>
      <w:r>
        <w:t>LinkedIn</w:t>
      </w:r>
      <w:proofErr w:type="spellEnd"/>
      <w:r>
        <w:t xml:space="preserve">“ ir kt.; prašo Komiteto informuoti Parlamentą apie bandomojo projekto dėl savo, kaip darbdavio, įvaizdžio kūrimo veiklos rezultatus; pabrėžia, kad naujų darbuotojų įtraukimas yra strateginio suderinimo veiksnys, svarbus užtikrinant, kad darbuotojai būtų informuojami apie institucijoje taikomas taisykles ir strategijas; giria Komitetą už tai, kad jis 2023 m. sustiprino naujų darbuotojų įtraukimą: parengė atnaujintą priėmimo brošiūrą ir įtraukimo į komandą laišką, naujiems darbuotojams skirtą informacinį paketą su ekologiškomis dovanėlėmis, sukūrė grįžtamosios informacijos rinkimo apie </w:t>
      </w:r>
      <w:r>
        <w:lastRenderedPageBreak/>
        <w:t>įtraukimo patirtį ciklą, pagerino naujiems darbuotojams skirtų informacinių susitikimų laiką, atnaujino naujiems darbuotojams skirtą svetainės skiltį ir pateikė vadovams skirtus patarimus dėl naujų darbuotojų įtraukimo;</w:t>
      </w:r>
    </w:p>
    <w:p w14:paraId="03FD2ED9" w14:textId="77777777" w:rsidR="00252E15" w:rsidRDefault="00252E15" w:rsidP="00252E15">
      <w:pPr>
        <w:pStyle w:val="NormalHanging12a"/>
      </w:pPr>
      <w:r>
        <w:t>28.</w:t>
      </w:r>
      <w:r>
        <w:tab/>
        <w:t>primena, kad Komitetas priėmė 2024 m. sausio 1 d. įsigaliojusį Sprendimą Nr. 282/23A, kuriuo nustatoma lanksti, pasitikėjimu grindžiama mišri darbo politika, kartu užtikrinant darbuotojams geresnę profesinio ir asmeninio gyvenimo pusiausvyrą ir didinant gebėjimą prisitaikyti bei veiksmingumą; prašo Komiteto laiku informuoti biudžeto įvykdymą tvirtinančią instituciją apie pokyčius šiuo klausimu;</w:t>
      </w:r>
    </w:p>
    <w:p w14:paraId="22FAF401" w14:textId="77777777" w:rsidR="00252E15" w:rsidRDefault="00252E15" w:rsidP="00252E15">
      <w:pPr>
        <w:spacing w:after="240"/>
        <w:ind w:left="567" w:hanging="567"/>
      </w:pPr>
      <w:r>
        <w:t>29.</w:t>
      </w:r>
      <w:r>
        <w:tab/>
        <w:t xml:space="preserve">džiaugiasi tuo, kad 2024 m. sausio mėn. į Generalinio sekretoriaus pareigas paskirta moteris, nes tai yra teigiamas pokytis siekiant lyčių pusiausvyros; vis dėlto apgailestauja, kad 2023 m. vyresniosios vadovybės pareigas einančių moterų procentinė dalis išliko maža ir šiuo metu tik dvi moterys eina šias pareigas, nors yra septynios vyresniosios vadovybės pareigybės; vis dėlto palankiai vertina tai, kad Komitetas mano, jog jo darbuotojų, ypač vyresniosios vadovybės, lyčių pusiausvyra yra svarbus veiksnys, ir ragina Komitetą skubiai pagerinti padėtį aukščiausiu Komiteto lygmeniu užtikrinant subalansuotą atstovavimą, atitinkantį Komiteto įsipareigojimus dėl įvairovės ir </w:t>
      </w:r>
      <w:proofErr w:type="spellStart"/>
      <w:r>
        <w:t>įtraukties</w:t>
      </w:r>
      <w:proofErr w:type="spellEnd"/>
      <w:r>
        <w:t>;</w:t>
      </w:r>
    </w:p>
    <w:p w14:paraId="106F948C" w14:textId="77777777" w:rsidR="00252E15" w:rsidRDefault="00252E15" w:rsidP="00252E15">
      <w:pPr>
        <w:pStyle w:val="Normal6a"/>
        <w:spacing w:after="240"/>
        <w:ind w:left="567" w:hanging="567"/>
      </w:pPr>
      <w:r>
        <w:t>30.</w:t>
      </w:r>
      <w:r>
        <w:tab/>
        <w:t>apgailestauja dėl to, kad Komitetas negalėjo pateikti 2023 m. duomenų apie profesinio perdegimo atvejus, ir atmeta Komiteto poziciją, išreikštą ataskaitoje dėl tolesnių veiksmų, kad pats profesinis perdegimas nėra pripažinta medicininė diagnozė, o perdegimo priežastys gali būti įvairios; primena statistinių duomenų apie profesinį perdegimą svarbą siekiant padėti priimti sprendimus dėl darbuotojų gerovės, kurie taip pat turėtų būti grindžiami ankstesne ne itin nemalonia patirtimi ir dabartinės sistemos išorės vertinimais; pripažįsta su duomenų apsauga susijusius apribojimus, tačiau pabrėžia nuasmenintų statistinių duomenų vertę siekiant padėti priimti informacija pagrįstus valdymo sprendimus; susirūpinęs atkreipia dėmesį į išvadas, kuriose atkreipiamas dėmesys į didelį darbo krūvį keliose tarnybose dėl ribotų žmogiškųjų išteklių; palankiai vertina tai, kad priimta nauja darbo tvarka, nes tai yra teigiamas žingsnis, tačiau ragina Komitetą imtis tolesnių veiksmų siekiant užtikrinti, kad būtų skelbiami anoniminiai duomenys apie profesinio perdegimo atvejus;</w:t>
      </w:r>
    </w:p>
    <w:p w14:paraId="23A26B98" w14:textId="77777777" w:rsidR="00252E15" w:rsidRDefault="00252E15" w:rsidP="00252E15">
      <w:pPr>
        <w:pStyle w:val="NormalHanging12a"/>
      </w:pPr>
      <w:r>
        <w:t>31.</w:t>
      </w:r>
      <w:r>
        <w:tab/>
        <w:t>pažymi, kad 2023 m. Komitete dirbo darbuotojai iš visų valstybių narių, bet kai kurių valstybių narių (pvz., Belgijos, Italijos) piliečių buvo gerokai daugiau nei kitų valstybių piliečių; pažymi, kad 2023 m. Komitete dirbo 24 % vadovų iš 13 valstybių narių, įstojusių į Sąjungą po 2004 m., t. y. šiek tiek daugiau, palyginti su 21 % 2022 m. ir 19 % 2021 m.; dar kartą ragina Komitetą toliau imtis veiksmų siekiant tinkamo geografinio savo darbuotojų pasiskirstymo, ypač daug dėmesio skiriant vadovybei;</w:t>
      </w:r>
    </w:p>
    <w:p w14:paraId="29066A8E" w14:textId="77777777" w:rsidR="00252E15" w:rsidRDefault="00252E15" w:rsidP="00252E15">
      <w:pPr>
        <w:pStyle w:val="NormalHanging12a"/>
      </w:pPr>
      <w:r>
        <w:t>32.</w:t>
      </w:r>
      <w:r>
        <w:tab/>
        <w:t xml:space="preserve">palankiai vertina Komiteto pastangas sukurti sveiką darbo aplinką savo darbuotojams; ypač palankiai vertina tai, kad Komitetas daug dėmesio skyrė darbuotojų psichinei ir fizinei sveikatai, taip pat giria pastangas didinti informuotumą su sveikata susijusiais klausimais; atkreipia dėmesį į Komiteto priemones, susijusias su laikinojo nedarbingumo atostogų valdymu, pvz., darbą ne visą darbo laiką dėl medicininių priežasčių ir išplėstą nuotolinio darbo tvarką, siekiant užtikrinti, kad darbuotojai, nebuvę ilgą laiką darbe dėl lėtinės ligos, laiku grįžtų dirbti, taip pat padidinti darbuotojų, neturinčių nebuvimo darbe dienų, procentinę dalį nuo 27 % 2022 m. iki 30 % 2023 m.; su pasitenkinimu pažymi, kad Komitetas savo patalpose surengė nemokamą pasitikrinimo dėl odos vėžio kampaniją, per kurią 2023 m. išorės </w:t>
      </w:r>
      <w:r>
        <w:lastRenderedPageBreak/>
        <w:t>dermatologų konsultacija per keturias dienas pasinaudojo 104 darbuotojai;</w:t>
      </w:r>
    </w:p>
    <w:p w14:paraId="7632963C" w14:textId="77777777" w:rsidR="00252E15" w:rsidRDefault="00252E15" w:rsidP="00252E15">
      <w:pPr>
        <w:pStyle w:val="NormalHanging12a"/>
        <w:rPr>
          <w:b/>
          <w:iCs/>
        </w:rPr>
      </w:pPr>
      <w:r>
        <w:rPr>
          <w:b/>
          <w:iCs/>
        </w:rPr>
        <w:t>Etikos sistema ir skaidrumas</w:t>
      </w:r>
    </w:p>
    <w:p w14:paraId="0DBA7509" w14:textId="77777777" w:rsidR="00252E15" w:rsidRDefault="00252E15" w:rsidP="00252E15">
      <w:pPr>
        <w:pStyle w:val="NormalHanging12a"/>
      </w:pPr>
      <w:r>
        <w:t>33.</w:t>
      </w:r>
      <w:r>
        <w:tab/>
        <w:t xml:space="preserve">palankiai vertina tai, kad priimta nauja įvairovės ir </w:t>
      </w:r>
      <w:proofErr w:type="spellStart"/>
      <w:r>
        <w:t>įtraukties</w:t>
      </w:r>
      <w:proofErr w:type="spellEnd"/>
      <w:r>
        <w:t xml:space="preserve"> strategija, galiojanti iki 2027 m.; palankiai vertina konkrečius informuotumo apie negalią didinimo veiksmus, kurių imtasi 2024 m. pradžioje; su pasitenkinimu pažymi, kad mokymai įvairovės ir </w:t>
      </w:r>
      <w:proofErr w:type="spellStart"/>
      <w:r>
        <w:t>įtraukties</w:t>
      </w:r>
      <w:proofErr w:type="spellEnd"/>
      <w:r>
        <w:t xml:space="preserve"> klausimais tebėra privalomi vadovams ir rekomenduojami darbuotojams; pripažįsta tvirtą Komiteto įsipareigojimą skatinti visiškai įtraukią darbo vietą; ragina Komitetą imtis tolesnių veiksmų siekiant stebėti atstovavimą neįgaliems darbuotojams ir užtikrinti, kad būtų skelbiami nuasmeninti duomenys šiuo klausimu;</w:t>
      </w:r>
    </w:p>
    <w:p w14:paraId="452889D9" w14:textId="77777777" w:rsidR="00252E15" w:rsidRDefault="00252E15" w:rsidP="00252E15">
      <w:pPr>
        <w:pStyle w:val="NormalHanging12a"/>
      </w:pPr>
      <w:r>
        <w:t>34.</w:t>
      </w:r>
      <w:r>
        <w:tab/>
        <w:t>pažymi, kad Komitetas tęsė savo vidaus reformų procesą ir 2023 m. priėmė sprendimą, kuriuo nustatomos bendrosios administracinių tyrimų įgyvendinimo nuostatos ir drausminių procedūrų įgyvendinimo taisyklės; giria Komitetą už tai, kad jis atliko šį paskutinį veiksmą, būtiną siekiant visapusiškai įgyvendinti priemones, skirtas Komiteto etikos sistemai sustiprinti; remdamasis tolesnių veiksmų ataskaita pažymi, kad Komitetas ir vidaus auditorius susitarė dėl veiksmų plano, susijusio su etikos ir sąžiningumo Komitete auditu, pagal kurį aštuonios rekomendacijos buvo įgyvendintos ir patvirtintos kaip baigtos įgyvendinti, o dvi rekomendacijos dar turi būti įgyvendintos iki 2025 m. kovo mėn.; prašo Komiteto pranešti biudžeto įvykdymą tvirtinančiai institucijai apie daromą atitinkamą pažangą;</w:t>
      </w:r>
    </w:p>
    <w:p w14:paraId="3F3D30C9" w14:textId="77777777" w:rsidR="00252E15" w:rsidRDefault="00252E15" w:rsidP="00252E15">
      <w:pPr>
        <w:pStyle w:val="NormalHanging12a"/>
      </w:pPr>
      <w:r>
        <w:t>35.</w:t>
      </w:r>
      <w:r>
        <w:tab/>
        <w:t>pažymi, kad 2023 m. Komitetas toliau rengė mokymus darbuotojams ir didino informuotumą temomis, susijusiomis su informavimu apie pažeidimus, interesų konfliktais ir kitais etikos klausimais: atsižvelgdamas į tai, su pasitenkinimu atkreipia dėmesį į 2023 m. atliktos darbuotojų įsitraukimo apklausos rezultatus, kurie rodo aukštą darbuotojų informuotumo apie Komiteto etikos sistemą lygį, visų pirma kalbant apie konfidencialių patarėjų (93 %) ir patarėjų etikos klausimais (83 %) tinklus; pažymi, kad 2023 m. Komitetas surengė 12 mokymų šiomis temomis sesijų, kuriose iš viso dalyvavo 79 darbuotojai; giria Komitetą už tai, kad jis organizavo privalomus mokymus pagarbos ir orumo darbe klausimais visiems darbuotojams, įskaitant vadovus;</w:t>
      </w:r>
    </w:p>
    <w:p w14:paraId="29855887" w14:textId="77777777" w:rsidR="00252E15" w:rsidRDefault="00252E15" w:rsidP="00252E15">
      <w:pPr>
        <w:pStyle w:val="NormalHanging12a"/>
      </w:pPr>
      <w:r>
        <w:t>36.</w:t>
      </w:r>
      <w:r>
        <w:tab/>
        <w:t>pažymi, kad 2023 m. buvo pranešta apie vieną skundą dėl priekabiavimo, kuris tais pačiais metais buvo užbaigtas nagrinėti Komitetui atlikus tyrimą ir pasitelkus tarpininkavimo veiksmus, netaikant sankcijų; primena, kad Komitetas yra civilinis ieškovas vykstančiame teismo procese, kurį Belgijos nacionalinės valdžios institucijos inicijavo prieš buvusį narį, kaltinamą nusižengimu, kuris šiuo metu nagrinėjamas Belgijos teisme; prašo Komiteto informuoti Parlamentą apie šios bylos eigą; mano, kad pagarbos ir orumo kultūros puoselėjimas, paremtas visiško priekabiavimo netoleravimo politika, yra labai svarbus siekiant užkirsti kelią būsimiems įtarimams ir užtikrinti saugią ir įtraukią darbo aplinką Komitete;</w:t>
      </w:r>
    </w:p>
    <w:p w14:paraId="7BA1EDC9" w14:textId="77777777" w:rsidR="00252E15" w:rsidRDefault="00252E15" w:rsidP="00252E15">
      <w:pPr>
        <w:pStyle w:val="NormalHanging12a"/>
      </w:pPr>
      <w:r>
        <w:t>37.</w:t>
      </w:r>
      <w:r>
        <w:tab/>
        <w:t>pakartoja, kad siekiant apsaugoti darbuotojų gerovę reikia įgyvendinti visiško priekabiavimo netoleravimo politiką ir kad tai yra bet kurio darbdavio pareiga; primena, kad nagrinėjant skundus dėl priekabiavimo turėtų būti taikomas įgytos patirties metodas, kad būtų išvengta bet kokių galimų pažeidimų; vis dėlto mano, kad išorės nepriklausomas atvejo, dėl kurio šiuo metu vyksta teismo procesas, tyrimas būtų naudingas siekiant pagerinti Komiteto reakciją panašių bylų atveju;</w:t>
      </w:r>
    </w:p>
    <w:p w14:paraId="0E2C2172" w14:textId="77777777" w:rsidR="00252E15" w:rsidRDefault="00252E15" w:rsidP="00252E15">
      <w:pPr>
        <w:pStyle w:val="NormalHanging12a"/>
      </w:pPr>
      <w:r>
        <w:t>38.</w:t>
      </w:r>
      <w:r>
        <w:tab/>
        <w:t xml:space="preserve">teigiamai vertina Komiteto pasirengimą bendradarbiauti su Sąjungos tyrimų organais, </w:t>
      </w:r>
      <w:r>
        <w:lastRenderedPageBreak/>
        <w:t>t. y. Europos kovos su sukčiavimu tarnyba (OLAF), Europos prokuratūra ir Ombudsmenu; pažymi, kad 2023 m. pradėtos nagrinėti dvi OLAF bylos, kurios tais pačiais metais buvo nutrauktos: vienos jų atveju trūko pakankamų įrodymų, kita buvo perduota Komitetui, kad šis imtųsi tolesnių veiksmų; prašo Komiteto pranešti biudžeto įvykdymą tvirtinančiai institucijai apie pažangą imantis su antrąja byla susijusių veiksmų; taip pat pažymi, kad 2023 m. Ombudsmenas pradėjo vadovybės veiksmų tyrimą, susijusį su įtarimais priekabiavimu; prašo Komiteto informuoti biudžeto įvykdymą tvirtinančią instituciją apie to tyrimo rezultatus;</w:t>
      </w:r>
    </w:p>
    <w:p w14:paraId="4E0BDBC5" w14:textId="77777777" w:rsidR="00252E15" w:rsidRDefault="00252E15" w:rsidP="00252E15">
      <w:pPr>
        <w:pStyle w:val="NormalHanging12a"/>
      </w:pPr>
      <w:r>
        <w:t>39.</w:t>
      </w:r>
      <w:r>
        <w:tab/>
        <w:t>su pasitenkinimu atkreipia dėmesį į Komiteto darbą 2023 m. siekiant didesnio savo veiklos skaidrumo; atsižvelgdamas į tai pažymi, kad priimtas sprendimas, kuriuo išplečiamas dokumentų, su kuriais galima susipažinti internetu per Skaidrumo registrą, pvz., Komiteto posėdžių protokolų ir dalyvių sąrašų, spektras, taip pat sprendimas, kuriuo reikalaujama, kad Komiteto nariai susitiktų tik su registruotais suinteresuotaisiais subjektais, skelbtų savo susitikimų sąrašą ir prie savo nuomonių pridėtų pranešimą apie poveikį teisės aktui; palankiai vertina tai, kad Komitetas internete skelbia informaciją apie savo metinį biudžetą, veiklos rezultatų rodiklius, išlaidas ar viešuosius pirkimus; ragina skelbti informaciją apie visus EESRK narių susitikimus su trečiosiomis šalimis;</w:t>
      </w:r>
    </w:p>
    <w:p w14:paraId="37FAE7BD" w14:textId="77777777" w:rsidR="00252E15" w:rsidRDefault="00252E15" w:rsidP="00252E15">
      <w:pPr>
        <w:spacing w:after="240"/>
        <w:ind w:left="567" w:hanging="567"/>
      </w:pPr>
      <w:r>
        <w:t>40.</w:t>
      </w:r>
      <w:r>
        <w:tab/>
        <w:t>džiaugdamasis pažymi, kad Komitetas nustatė tvirtas taisykles ir procedūras, kuriomis siekiama užkirsti kelią interesų konfliktams ir išvengti „sukamųjų durų“ reiškinio, kiek tai susiję su darbuotojais, kurie vykdo su darbu nesusijusią veiklą, arba nariais, kurie įsidarbina baigę eiti savo, kaip Komiteto narių, pareigas; atsižvelgdamas į tai pažymi, kad 2023 m. Komitetas pateikė naują finansinių interesų deklaracijos formą; pažymi, kad naudodami šią formą deklaraciją turi pateikti nariai, atstovai, pakaitiniai nariai ir patarėjai, kiek tai susiję tiek su atlyginamomis, tiek su neatlyginamomis pareigomis ar veikla ne Komitete; taip pat giria Komitetą už jo dalyvavimą 2023 m. politinėse derybose siekiant įsteigti tarpinstitucinį etikos organą, kuriam būtų pavesta nustatyti etikos standartus, kad būtų padidintas skaidrumas ir sąžiningumas;</w:t>
      </w:r>
    </w:p>
    <w:p w14:paraId="2F9908F7" w14:textId="77777777" w:rsidR="00252E15" w:rsidRDefault="00252E15" w:rsidP="00252E15">
      <w:pPr>
        <w:pStyle w:val="NormalHanging12a"/>
      </w:pPr>
      <w:r>
        <w:t>41.</w:t>
      </w:r>
      <w:r>
        <w:tab/>
        <w:t>pažymi, kad 2023 m. kovo 21 d. Komiteto biuras, laikydamasis nustatytų principų dėl ES skaidrumo registro, patvirtino keletą skaidrumo priemonių, pvz., rekomendaciją pareigas einantiems nariams susitikti tik su registruotais suinteresuotaisiais subjektais, pareigas einančių narių pareigą skelbti savo posėdžių sąrašus ir savanorišką informacijos apie poveikį teisės aktui skelbimą pranešėjams; pažymi, kad imtasi kelių veiksmų šiam Biuro sprendimui įgyvendinti, įskaitant tarnybinio pranešimo, kuriame nustatomos praktinės sprendimo įgyvendinimo sąlygos, parengimą, informuotumo didinimo kampaniją ir nuostatas dėl pavyzdinių pranešimų, kurie turi būti įtraukti į Komiteto narių ir išorės suinteresuotųjų subjektų susirašinėjimą, siekiant juos paskatinti prisijungti prie ES skaidrumo registro (jei taikoma);</w:t>
      </w:r>
    </w:p>
    <w:p w14:paraId="1CF9B443" w14:textId="77777777" w:rsidR="00252E15" w:rsidRDefault="00252E15" w:rsidP="00252E15">
      <w:pPr>
        <w:pStyle w:val="NormalHanging12a"/>
      </w:pPr>
      <w:r>
        <w:t>42.</w:t>
      </w:r>
      <w:r>
        <w:tab/>
        <w:t>primygtinai ragina EESRK tikruoju laiku stebėti paskelbtus interesų konfliktus, reikalaujant, kad visi nariai ir vyresnieji darbuotojai kasmet viešai atskleistų finansinius interesus, turtą ir išorės ryšius, kad būtų užkirstas kelias nederamai įtakai priimant sprendimus;</w:t>
      </w:r>
    </w:p>
    <w:p w14:paraId="32854196" w14:textId="77777777" w:rsidR="00252E15" w:rsidRDefault="00252E15" w:rsidP="00252E15">
      <w:pPr>
        <w:pStyle w:val="Normal6a"/>
        <w:spacing w:after="240"/>
        <w:ind w:left="567" w:hanging="567"/>
      </w:pPr>
      <w:r>
        <w:t>43.</w:t>
      </w:r>
      <w:r>
        <w:tab/>
        <w:t xml:space="preserve">pažymi, kad 2023 m. nebuvo sukčiavimo, interesų konfliktų ir informavimo apie pažeidimus atvejų; pažymi, kad Komiteto kovos su sukčiavimu priemonių veiksmingumas buvo peržiūrėtas siekiant parengti kovos su sukčiavimu strategiją, kurios vis dar nėra nepaisant keleto Parlamento prašymų, pateiktų rezoliucijose dėl biudžeto įvykdymo patvirtinimo, kad būtų imamasi veiksmų bendrai kovos su </w:t>
      </w:r>
      <w:r>
        <w:lastRenderedPageBreak/>
        <w:t>sukčiavimu sistemai pagerinti; primena išsamios kovos su sukčiavimu strategijos svarbą ir ragina Komitetą nuolat informuoti biudžeto įvykdymą tvirtinančią instituciją apie šios veiklos, kuri turėjo būti baigta 2024 m. priėmus kovos su sukčiavimu strategiją, rezultatus;</w:t>
      </w:r>
    </w:p>
    <w:p w14:paraId="3D31E9C4" w14:textId="77777777" w:rsidR="00252E15" w:rsidRDefault="00252E15" w:rsidP="00252E15">
      <w:pPr>
        <w:pStyle w:val="NormalHanging12a"/>
        <w:rPr>
          <w:b/>
          <w:iCs/>
          <w:szCs w:val="24"/>
        </w:rPr>
      </w:pPr>
      <w:r>
        <w:rPr>
          <w:b/>
          <w:iCs/>
        </w:rPr>
        <w:t>Skaitmeninimas, kibernetinis saugumas ir duomenų apsauga</w:t>
      </w:r>
    </w:p>
    <w:p w14:paraId="3EE1C89D" w14:textId="77777777" w:rsidR="00252E15" w:rsidRDefault="00252E15" w:rsidP="00252E15">
      <w:pPr>
        <w:pStyle w:val="NormalHanging12a"/>
      </w:pPr>
      <w:r>
        <w:t>44.</w:t>
      </w:r>
      <w:r>
        <w:tab/>
        <w:t>pažymi, kad bendras tiek Komiteto, tiek RK IT biudžetas 2023 m. buvo 12 700 000 EUR, palyginti su 11 712 000 EUR 2022 m., t. y. padidėjo 8,4 %, o iš to biudžeto 350 000 EUR (arba 3 %) 2023 m. buvo skirta kibernetiniam saugumui finansuoti; taip pat pažymi, kad 6,24 % viso 2023 m. Komiteto biudžeto sudarė išlaidos veiksmams, kuriais įgyvendinama naujoji 2024–2026 m. skaitmeninė strategija (DS2026), kurią 2023 m. parengė Jungtinis inovacijų ir informacinių technologijų direktoratas (DIIT);</w:t>
      </w:r>
    </w:p>
    <w:p w14:paraId="76DA02A7" w14:textId="77777777" w:rsidR="00252E15" w:rsidRDefault="00252E15" w:rsidP="00252E15">
      <w:pPr>
        <w:pStyle w:val="NormalHanging12a"/>
      </w:pPr>
      <w:r>
        <w:t>45.</w:t>
      </w:r>
      <w:r>
        <w:tab/>
        <w:t>pažymi, kad pagal DS2026 numatomas būsimas technologijų naudojimas pagrindinei Komiteto misijai įgyvendinti, akcentuojant veiksmingumą, spartą ir nuolatinę skaitmeninę raidą, skaitmeninės pertvarkos srityje daugiausia dėmesio skiriant administracijai ir nariams ir siekiant pagerinti paslaugų teikimą, įgalėjimą ir gebėjimą prisitaikyti; pažymi, kad DS2026 struktūra grindžiama aštuoniais tikslais, aštuoniais pagrindiniais principais ir keturiais didelės apimties projektais, kurie susiję su, pvz., sistemų „</w:t>
      </w:r>
      <w:proofErr w:type="spellStart"/>
      <w:r>
        <w:t>Ares</w:t>
      </w:r>
      <w:proofErr w:type="spellEnd"/>
      <w:r>
        <w:t>“ ir „</w:t>
      </w:r>
      <w:proofErr w:type="spellStart"/>
      <w:r>
        <w:t>EdiT</w:t>
      </w:r>
      <w:proofErr w:type="spellEnd"/>
      <w:r>
        <w:t>“ taikymo pradžia ir kuriuos tikimasi įgyvendinti atitinkamai 2026 m. ir 2025 m.; remdamasis klausimynu, su pasitenkinimu atkreipia dėmesį į DIIT padarytą pažangą 2023 m. įgyvendinant DS2026 ir veiksmus, kurių buvo imtasi, pvz., priimtos darbuotojams skirtos gairės dėl dirbtinio intelekto, pakeitimų srautų integravimas į vertimo priemones, projekto valdymo biuro įsteigimas ir kt.;</w:t>
      </w:r>
    </w:p>
    <w:p w14:paraId="24A4B5C8" w14:textId="77777777" w:rsidR="00252E15" w:rsidRDefault="00252E15" w:rsidP="00252E15">
      <w:pPr>
        <w:pStyle w:val="NormalHanging12a"/>
      </w:pPr>
      <w:r>
        <w:t>46.</w:t>
      </w:r>
      <w:r>
        <w:tab/>
        <w:t>remdamasis metine ataskaita atkreipia dėmesį į Komiteto veiksmus asmens duomenų apsaugos ir jų tvarkymo srityje; pažymi, kad 2023 m. Komitetas sukūrė naują internetinę įrašų registro versiją ir naują bendrą įrašų registrą su RK (ankstesniame registre buvo 121 įrašas, o pastarajame registre 2023 m. pabaigoje buvo 25 įrašai); taip pat pažymi, kad Komitetas 2023 m. patvirtino naują duomenų saugumo pažeidimų nagrinėjimo procedūrą, paskelbė duomenų apsaugos vadovą ir įgyvendino keletą savo darbuotojams ir nariams skirtų informuotumo didinimo iniciatyvų; galiausiai pažymi, kad 2023 m. Europos duomenų apsaugos priežiūros pareigūnas pradėjo vieną tyrimą, susijusį su išorės audito valdymu, ir tęsė senesnį tyrimą dėl Sąjungos institucijų naudojimosi debesijos paslaugomis pagal sutartis „</w:t>
      </w:r>
      <w:proofErr w:type="spellStart"/>
      <w:r>
        <w:t>Cloud</w:t>
      </w:r>
      <w:proofErr w:type="spellEnd"/>
      <w:r>
        <w:t xml:space="preserve"> II“, bet abiejų tyrimų išvados dar nepateiktos; prašo Komiteto informuoti biudžeto įvykdymą tvirtinančią instituciją apie tolesnius veiksmus šioje srityje;</w:t>
      </w:r>
    </w:p>
    <w:p w14:paraId="5DDE8FE6" w14:textId="77777777" w:rsidR="00252E15" w:rsidRDefault="00252E15" w:rsidP="00252E15">
      <w:pPr>
        <w:pStyle w:val="NormalHanging12a"/>
      </w:pPr>
      <w:r>
        <w:t>47.</w:t>
      </w:r>
      <w:r>
        <w:tab/>
        <w:t>pažymi, kad 2023 m. Komitetas užbaigė savo visų savo posėdžių salių įrangos projektą, o dar 14-oje tokių salių buvo įdiegtos technologijos, dėl kurių jos gali visapusiškai naudojamos rengiant posėdžius mišriu būdu; palankiai vertina tai, kad Komitetas 2023 m. visas didelės vertės sutarčių viešųjų pirkimų procedūras vykdė visiškai skaitmeniniu būdu, bet kokios rūšies sutartiniams susitarimams naudojo kvalifikuotą elektroninį parašą ir surengė darbuotojams skirtus mokymus, susijusius su perėjimu prie Viešųjų pirkimų valdymo priemonės sistemos ir Finansavimo ir konkursų portalo naudojimo;</w:t>
      </w:r>
    </w:p>
    <w:p w14:paraId="3E434704" w14:textId="77777777" w:rsidR="00252E15" w:rsidRDefault="00252E15" w:rsidP="00252E15">
      <w:pPr>
        <w:pStyle w:val="NormalHanging12a"/>
      </w:pPr>
      <w:r>
        <w:t>48.</w:t>
      </w:r>
      <w:r>
        <w:tab/>
        <w:t xml:space="preserve">giria Komitetą už 2023 m. įgyvendintus konkrečius veiksmus, kuriais siekiama užtikrinti, kad jo darbuotojai įgytų būtinų skaitmeninių įgūdžių vis labiau </w:t>
      </w:r>
      <w:r>
        <w:lastRenderedPageBreak/>
        <w:t xml:space="preserve">skaitmenizuotoje darbo vietoje; atsižvelgdamas į tai, atkreipia dėmesį į veiklą, pvz., </w:t>
      </w:r>
      <w:proofErr w:type="spellStart"/>
      <w:r>
        <w:t>minihakatonus</w:t>
      </w:r>
      <w:proofErr w:type="spellEnd"/>
      <w:r>
        <w:t xml:space="preserve">, organizuojamus kartu su RK sukurtame </w:t>
      </w:r>
      <w:proofErr w:type="spellStart"/>
      <w:r>
        <w:t>lygiarangių</w:t>
      </w:r>
      <w:proofErr w:type="spellEnd"/>
      <w:r>
        <w:t xml:space="preserve"> tinkle, siekiant skatinti geresnį bendradarbiavimu grindžiamų skaitmeninių priemonių naudojimą ir supratimą, taip pat tarpusavio mokymąsi ir keitimąsi patirtimi; pažymi, kad šios veiklos rezultatai buvo įtraukti į Komiteto mokymo programą;</w:t>
      </w:r>
    </w:p>
    <w:p w14:paraId="360843D6" w14:textId="77777777" w:rsidR="00252E15" w:rsidRDefault="00252E15" w:rsidP="00252E15">
      <w:pPr>
        <w:pStyle w:val="NormalHanging12a"/>
      </w:pPr>
      <w:r>
        <w:t>49.</w:t>
      </w:r>
      <w:r>
        <w:tab/>
        <w:t>pažymi, kad 2023 m. spalio mėn. buvo priimtos darbuotojams skirtos dirbtinio intelekto (DI) naudojimo gairės, kad visiems darbuotojams buvo surengti informaciniai mokymai, kurių metų buvo atkreiptas dėmesys į galimybes ir iššūkius, ir kad, siekiant didinti informuotumą, daugiau informacijos darbuotojams buvo teikiama Komiteto intranete paskelbiant žiniomis grindžiamus straipsnius;</w:t>
      </w:r>
    </w:p>
    <w:p w14:paraId="761F4B58" w14:textId="77777777" w:rsidR="00252E15" w:rsidRDefault="00252E15" w:rsidP="00252E15">
      <w:pPr>
        <w:pStyle w:val="NormalHanging12a"/>
      </w:pPr>
      <w:r>
        <w:t>50.</w:t>
      </w:r>
      <w:r>
        <w:tab/>
        <w:t>pažymi, kad 2023 m. tiek Komitete, tiek RK toliau buvo pritaikoma ir taikoma NIST kibernetinio saugumo sistema, o veiksmais, kurių imtasi tais metais, daugiausia dėmesio skirta kai kuriems tos sistemos principams, t. y. apsaugos ir atskleidimo principams; pažymi, kad rizikos mažinimo strategijos įgyvendinamos naudojant kibernetinio saugumo sistemą „</w:t>
      </w:r>
      <w:proofErr w:type="spellStart"/>
      <w:r>
        <w:t>Essential</w:t>
      </w:r>
      <w:proofErr w:type="spellEnd"/>
      <w:r>
        <w:t xml:space="preserve"> </w:t>
      </w:r>
      <w:proofErr w:type="spellStart"/>
      <w:r>
        <w:t>Eight</w:t>
      </w:r>
      <w:proofErr w:type="spellEnd"/>
      <w:r>
        <w:t>“; be to, pažymi, kad 2023 m. Komitetas nesusidūrė su jokiais kibernetiniais išpuoliais, tačiau 2022 m. pabaigoje ir 2024 m. pradžioje patyrė trumpas paslaugos trikdymo atakas (</w:t>
      </w:r>
      <w:proofErr w:type="spellStart"/>
      <w:r>
        <w:t>DoS</w:t>
      </w:r>
      <w:proofErr w:type="spellEnd"/>
      <w:r>
        <w:t>), nukreiptas prieš Komiteto išorėje įkurdintas institucines interneto svetaines;</w:t>
      </w:r>
    </w:p>
    <w:p w14:paraId="299A70AC" w14:textId="77777777" w:rsidR="00252E15" w:rsidRDefault="00252E15" w:rsidP="00252E15">
      <w:pPr>
        <w:pStyle w:val="NormalHanging12a"/>
      </w:pPr>
      <w:r>
        <w:t>51.</w:t>
      </w:r>
      <w:r>
        <w:tab/>
        <w:t>primygtinai ragina EESRK padidinti savo kibernetinio saugumo biudžetą bent iki 10 % visų savo IT išlaidų, laikantis ES kibernetinio saugumo direktyvų, užtikrinant didesnę apsaugą nuo kibernetinių grėsmių, ypač neskelbtinų duomenų, susijusių su politikos ir biudžeto klausimais, atveju;</w:t>
      </w:r>
    </w:p>
    <w:p w14:paraId="24E13A26" w14:textId="77777777" w:rsidR="00252E15" w:rsidRDefault="00252E15" w:rsidP="00252E15">
      <w:pPr>
        <w:pStyle w:val="NormalHanging12a"/>
        <w:rPr>
          <w:b/>
          <w:iCs/>
        </w:rPr>
      </w:pPr>
      <w:r>
        <w:rPr>
          <w:b/>
          <w:iCs/>
        </w:rPr>
        <w:t>Pastatai</w:t>
      </w:r>
    </w:p>
    <w:p w14:paraId="6F80781A" w14:textId="77777777" w:rsidR="00252E15" w:rsidRDefault="00252E15" w:rsidP="00252E15">
      <w:pPr>
        <w:pStyle w:val="NormalHanging12a"/>
      </w:pPr>
      <w:r>
        <w:t>52.</w:t>
      </w:r>
      <w:r>
        <w:tab/>
        <w:t>patvirtina, kad gavo 2024 m. birželio 3 d. Komiteto pranešimą, kuriuo biudžeto įvykdymą tvirtinanti institucija informuojama apie Komiteto pastatų politiką, kaip numatyta pagal Sąjungos finansinio reglamento 266 straipsnio 1 dalį; remdamasis šiuo pranešimu, su pasitenkinimu pažymi, kad Komitetas kartu su RK įgyvendinimo vieną iš pagrindinių savo 2017 m. pastatų strategijos prioritetų, t. y. užtikrino pastatų geografinę koncentraciją; taip pat pažymi, kad šis pasiekimas jau padėjo sutaupyti lėšų dėl mažesnių viso VMA pastato nuomos išlaidų, palyginti su trimis anksčiau nuomotais pastatais; pažymi, kad šios sutaupytos lėšos sudaro apie 1,8 mln. EUR, o tai, remiantis minėtu pranešimu, atitinka B100 pastato nuomos mokestį; pažymi, kad Komitetas šiuo metu siekia atnaujinti savo 2017 m. ilgalaikę pastatų strategiją ir kad šis darbas turėtų būti baigtas iki 2025 m. pabaigos; ragina Komitetą nuolat informuoti biudžeto įvykdymą tvirtinančią instituciją apie šių veiksmų rezultatus;</w:t>
      </w:r>
    </w:p>
    <w:p w14:paraId="2E8C7568" w14:textId="77777777" w:rsidR="00252E15" w:rsidRDefault="00252E15" w:rsidP="00252E15">
      <w:pPr>
        <w:spacing w:after="240"/>
        <w:ind w:left="567" w:hanging="567"/>
      </w:pPr>
      <w:r>
        <w:t>53.</w:t>
      </w:r>
      <w:r>
        <w:tab/>
        <w:t>palankiai vertina tai, kad užbaigta naujai įsigyto VMA pastato renovacija (t. y. įrengimo darbai), įskaitant pažangiųjų energijos taupymo technologijų diegimą; pritaria Komiteto planui atlikti visų savo pastatų techninius ir aplinkosaugos auditus, kadangi šių auditų rezultatai turėtų sudaryti sąlygas nustatyti visus techninius įrenginius ir pastato komponentus, kuriuos reikia visiškai arba iš dalies renovuoti arba išlaikyti tokius, kokie jie yra, užtikrinant suderinamumą su Europos žaliojo kurso tikslais; ragina Komitetą informuoti biudžeto įvykdymą tvirtinančią instituciją apie šių auditų rezultatus ir tolesnius su jais susijusius veiksmus;</w:t>
      </w:r>
    </w:p>
    <w:p w14:paraId="5D80E947" w14:textId="77777777" w:rsidR="00252E15" w:rsidRDefault="00252E15" w:rsidP="00252E15">
      <w:pPr>
        <w:spacing w:after="240"/>
        <w:ind w:left="567" w:hanging="567"/>
      </w:pPr>
      <w:r>
        <w:t>54.</w:t>
      </w:r>
      <w:r>
        <w:tab/>
        <w:t xml:space="preserve">pažymi, kad 2022 m. įsteigta Naujų darbo metodų darbo grupė 2023 m. paskelbė </w:t>
      </w:r>
      <w:r>
        <w:lastRenderedPageBreak/>
        <w:t>pirmąjį pranešimą apie perspektyvas, kuriame daugiausia dėmesio skiriama turimoms biuro patalpoms ir galimoms optimizavimo galimybėms; atkreipia dėmesį į Komiteto ketinimą tęsti šiuos veiksmus taikant dalyvaujamąjį procesą, į kurį būtų įtraukti darbuotojai, kad būtų bendrai kuriamos būsimos darbo vietos; ragina Komitetą pranešti biudžeto įvykdymą tvirtinančiai institucijai apie daromą atitinkamą pažangą;</w:t>
      </w:r>
    </w:p>
    <w:p w14:paraId="3582221C" w14:textId="77777777" w:rsidR="00252E15" w:rsidRDefault="00252E15" w:rsidP="00252E15">
      <w:pPr>
        <w:spacing w:after="240"/>
        <w:ind w:left="567" w:hanging="567"/>
      </w:pPr>
      <w:r>
        <w:t>55.</w:t>
      </w:r>
      <w:r>
        <w:tab/>
        <w:t>palankiai vertina Komiteto ir RK įsipareigojimą savo infrastruktūrai sistemingai taikyti universalumo principą, projektavimo metu užtikrinant pastatų prieinamumą; pažymi, kad 2023 m. abu komitetai ėmėsi įvairių priemonių, kad užtikrintų savo pastatų prieinamumą asmenims su įvairių rūšių negalia, be kita ko, modernizuodami liftus JDE pastate;</w:t>
      </w:r>
    </w:p>
    <w:p w14:paraId="5C63536D" w14:textId="77777777" w:rsidR="00252E15" w:rsidRDefault="00252E15" w:rsidP="00252E15">
      <w:pPr>
        <w:pStyle w:val="NormalHanging12a"/>
        <w:rPr>
          <w:b/>
          <w:iCs/>
          <w:szCs w:val="24"/>
        </w:rPr>
      </w:pPr>
      <w:r>
        <w:rPr>
          <w:b/>
          <w:iCs/>
        </w:rPr>
        <w:t>Aplinka ir tvarumas</w:t>
      </w:r>
    </w:p>
    <w:p w14:paraId="698472D5" w14:textId="77777777" w:rsidR="00252E15" w:rsidRDefault="00252E15" w:rsidP="00252E15">
      <w:pPr>
        <w:pStyle w:val="NormalHanging12a"/>
      </w:pPr>
      <w:r>
        <w:t>56.</w:t>
      </w:r>
      <w:r>
        <w:tab/>
        <w:t>giria Komiteto žaliąją praktiką ir palankiai vertina tai, kad 2023 m., palyginti su 2019 m., toliau mažinamas dujų, elektros energijos ir vandens suvartojimas bei išmetamas anglies dioksido kiekis ir padidintas perdirbimo lygis, susijęs su Komiteto veikla; atkreipia dėmesį į nedidelį atliekų kiekio sumažėjimą, palyginti su 2019 m. lygiu (nuo – 66 % 2022 m. iki – 56 % 2023 m.), tai susiję su padidėjusiu darbo biure mastu;</w:t>
      </w:r>
    </w:p>
    <w:p w14:paraId="19364759" w14:textId="77777777" w:rsidR="00252E15" w:rsidRDefault="00252E15" w:rsidP="00252E15">
      <w:pPr>
        <w:pStyle w:val="NormalHanging12a"/>
      </w:pPr>
      <w:r>
        <w:t>57.</w:t>
      </w:r>
      <w:r>
        <w:tab/>
        <w:t xml:space="preserve">pažymi, kad energijos vartojimo efektyvumas ir išmetamųjų teršalų kiekio mažinimas buvo pasiekti investuojant į naujoviškus efektyviai energiją vartojančius pastatų įrenginius, įskaitant VMA pastate įdiegtas pažangiąsias energijos taupymo technologijas, 100 % žaliosios elektros energijos pirkimą, (pritaikytų) aplinkosaugos kriterijų naudojimą visose konkursų procedūrose, kurių vertė siekia 60 000 EUR ar daugiau, </w:t>
      </w:r>
      <w:proofErr w:type="spellStart"/>
      <w:r>
        <w:t>bepopierių</w:t>
      </w:r>
      <w:proofErr w:type="spellEnd"/>
      <w:r>
        <w:t xml:space="preserve"> darbo srautų taikymą ir kitas priemones, pvz., apšvietimo laiko sutrumpinimą, žiemos atskaitos temperatūros sumažinimą iki 19 laipsnių arba pastatų uždarymą laikotarpiais, kai šiuose pastatuose dirba mažai darbuotojų, ir daugelį kitų priemonių; pažymi, kad Komiteto energijos suvartojimo sumažėjimas atitinka 3,4 % lygį ir reiškia 65 395 EUR finansinę naudą;</w:t>
      </w:r>
    </w:p>
    <w:p w14:paraId="525BDF5F" w14:textId="77777777" w:rsidR="00252E15" w:rsidRDefault="00252E15" w:rsidP="00252E15">
      <w:pPr>
        <w:pStyle w:val="NormalHanging12a"/>
      </w:pPr>
      <w:r>
        <w:t>58.</w:t>
      </w:r>
      <w:r>
        <w:tab/>
        <w:t>remdamasis tolesnių veiksmų ataskaita pažymi, kad pažangios energijos taupymo technologijos, įdiegtos neseniai renovuotame VMA pastate, 2023 m. padėjo sumažinti Komiteto energijos (dujų ir elektros) suvartojimą 20–30 %; vis dėlto pakartoja savo raginimą Komitetui pateikti Parlamentui naujausią informaciją apie investicijų į šiuos technologinius sprendimus grąžą;</w:t>
      </w:r>
    </w:p>
    <w:p w14:paraId="299528A3" w14:textId="77777777" w:rsidR="00252E15" w:rsidRDefault="00252E15" w:rsidP="00252E15">
      <w:pPr>
        <w:pStyle w:val="NormalHanging12a"/>
      </w:pPr>
      <w:r>
        <w:t>59.</w:t>
      </w:r>
      <w:r>
        <w:tab/>
        <w:t>palankiai vertina tai, kad Komitetas priėmė energijos taupymo strategiją, kurioje numatytos trumpalaikės, vidutinės trukmės ir ilgalaikės priemonės; atsižvelgdamas į tai pažymi, kad Komitetas pradėjo visų savo pastatų aplinkosaugos auditą, siekdamas, be kita ko, nustatyti dabartinių konstrukcijų ir įrangos energinio naudingumo lygį, taip pat įvertinti būtinų investicijų grąžą aplinkosaugos požiūriu, palyginti su bendromis išlaidomis (technine priežiūra, vartojimu ir kt.) per 30 metų laikotarpį; taip pat pažymi, kad energijos vartojimo efektyvumo priemonių tyrimus planuojama atlikti 2024 ir 2025 m.; ragina Komitetą pranešti biudžeto įvykdymą tvirtinančiai institucijai apie daromą pažangą šioje srityje;</w:t>
      </w:r>
    </w:p>
    <w:p w14:paraId="5A44C8FC" w14:textId="77777777" w:rsidR="00252E15" w:rsidRDefault="00252E15" w:rsidP="00252E15">
      <w:pPr>
        <w:pStyle w:val="NormalHanging12a"/>
      </w:pPr>
      <w:r>
        <w:t>60.</w:t>
      </w:r>
      <w:r>
        <w:tab/>
        <w:t xml:space="preserve">primena, kad 2022 m. Komiteto įrengtų saulės baterijų plokščių pagamintas elektros energijos kiekis siekė 15,5 MWH arba 0,25 % Komiteto metinio suvartojimo, o 2023 m. šis kiekis sumažėjo iki 5,75 MWh; remdamasis klausimynu, su pasitenkinimu pažymi, kad Komitetas rodo pavyzdį, kiek tai susiję su priemonėmis ir veiksmais, kurių imtasi </w:t>
      </w:r>
      <w:r>
        <w:lastRenderedPageBreak/>
        <w:t>siekiant tvaraus judumo;</w:t>
      </w:r>
    </w:p>
    <w:p w14:paraId="1BDF483C" w14:textId="77777777" w:rsidR="00252E15" w:rsidRDefault="00252E15" w:rsidP="00252E15">
      <w:pPr>
        <w:pStyle w:val="NormalHanging12a"/>
        <w:rPr>
          <w:b/>
          <w:iCs/>
        </w:rPr>
      </w:pPr>
      <w:r>
        <w:rPr>
          <w:b/>
          <w:iCs/>
        </w:rPr>
        <w:t>Tarpinstitucinis bendradarbiavimas</w:t>
      </w:r>
    </w:p>
    <w:p w14:paraId="5FE2F3B8" w14:textId="77777777" w:rsidR="00252E15" w:rsidRDefault="00252E15" w:rsidP="00252E15">
      <w:pPr>
        <w:pStyle w:val="NormalHanging12a"/>
      </w:pPr>
      <w:r>
        <w:t>61.</w:t>
      </w:r>
      <w:r>
        <w:tab/>
        <w:t>palankiai vertina glaudų Komiteto ir RK bendradarbiavimą administraciniu lygmeniu pagal 2022 m. pasirašytą naują bendradarbiavimo susitarimą, pagal kurį abu komitetai dalijasi patalpomis ir jungtinėmis tarnybomis vertimo raštu, infrastruktūros, logistikos, saugumo, viešųjų pirkimų, finansų valdymo ir IT srityse, kartu išlaikydami visišką institucinį savarankiškumą; palankiai vertina teigiamus pokyčius 2023 m., kai abu komitetai toliau susitarė dėl bendros komunikacijos erdvės su bendra garso ir vaizdo infrastruktūra JDE pastate sukūrimo ir finansavimo; prašo Komiteto nustatyti, kiek biudžeto lėšų sutaupyta per pirmuosius šio susitarimo audiovizualinėje srityje įgyvendinimo metus, ir informuoti apie tai Parlamentą; pakartoja savo raginimą Komitetui tęsti ir išplėsti šį bendradarbiavimą kitose srityse, siekiant išvengti dubliavimosi ir toliau racionalizuoti paslaugų, teikiamų patalpose, kuriomis dalijasi Komitetas ir RK, veiklos sąnaudas; ragina Komitetą ir RK išnagrinėti galimybę sukurti vieną bendrą savo jungtinių tarnybų administraciją, išlaikant atskirus direktoratus ar skyrius tarnyboms, sprendžiančioms klausimus, susijusius su jų konkrečiais ir nepriklausomais įgaliojimais; ragina Komitetą ir RK toliau dėti pastangas siekiant plėtoti tolesnį bendradarbiavimą ir sąveiką;</w:t>
      </w:r>
    </w:p>
    <w:p w14:paraId="20ACD674" w14:textId="77777777" w:rsidR="00252E15" w:rsidRDefault="00252E15" w:rsidP="00252E15">
      <w:pPr>
        <w:pStyle w:val="NormalHanging12a"/>
      </w:pPr>
      <w:r>
        <w:t>62.</w:t>
      </w:r>
      <w:r>
        <w:tab/>
        <w:t>pažymi, kad 2023 m. Komitetui ir kitoms Sąjungos institucijoms aktyviai bendradarbiaujant, be kita ko, organizuojant Komiteto plenarines sesijas Komisijos ir Parlamento patalpose, kuriose patalpos posėdžiams ir susijusios paslaugos teikiamos nemokamai arba mažesnėmis nei išorės rinkos kainomis, toliau buvo taupomos biudžeto lėšos ir padidintas veiksmingumas;</w:t>
      </w:r>
    </w:p>
    <w:p w14:paraId="21ABD63E" w14:textId="77777777" w:rsidR="00252E15" w:rsidRDefault="00252E15" w:rsidP="00252E15">
      <w:pPr>
        <w:pStyle w:val="NormalHanging12a"/>
      </w:pPr>
      <w:r>
        <w:t>63.</w:t>
      </w:r>
      <w:r>
        <w:tab/>
        <w:t>su pasitenkinimu pažymi, kad 2023 m. Komitetas ir Parlamentas iš naujo derėjosi ir 2024 m. pasirašė savo tarpinstitucinį susitarimą, kuriuo siekiama prie dvišalio bendradarbiavimo prisidėti aktualesniais ir per visą teisėkūros ciklą laiku teikiamais indėliais ir stiprinti šį bendradarbiavimą; palankiai vertina tai, kad 2022 m. pasirašytu naujuoju Komiteto ir Komisijos bendradarbiavimo protokolu jau sustiprintas Komiteto poveikis, pvz., parengiamuoju teisėkūros etapu parengiant tiriamąsias nuomones; ragina toliau stiprinti Komiteto ir Parlamento politinę, teisėkūros ir komunikacijos srities sinergiją, ypač atsižvelgiant į Europos piliečių iniciatyvą ir Europos semestrą;</w:t>
      </w:r>
    </w:p>
    <w:p w14:paraId="5846C18B" w14:textId="77777777" w:rsidR="00252E15" w:rsidRDefault="00252E15" w:rsidP="00252E15">
      <w:pPr>
        <w:pStyle w:val="NormalHanging12a"/>
      </w:pPr>
      <w:r>
        <w:t>64.</w:t>
      </w:r>
      <w:r>
        <w:tab/>
        <w:t>pakartoja, jog palankiai vertina tai, kad Komisijai perduodamos (pagal susitarimus dėl paslaugų lygio) konkrečios žmogiškųjų išteklių tvarkymo užduotys ir naudojamasi IT priemonėmis finansų valdymo ir žmogiškųjų išteklių srityse, taip pat Komiteto dalyvavimą kitų institucijų vadovaujamose tarpinstitucinėse viešųjų pirkimų procedūrose, nes tai padėjo Komitetui 2023 m. ir toliau naudotis sinergija IT, komandiruočių, draudimo, transporto, vertimo raštu bei garso ir vaizdo įrangos srityse;</w:t>
      </w:r>
    </w:p>
    <w:p w14:paraId="2D7BD41A" w14:textId="77777777" w:rsidR="00252E15" w:rsidRDefault="00252E15" w:rsidP="00252E15">
      <w:pPr>
        <w:pStyle w:val="Normal6a"/>
        <w:spacing w:after="240"/>
        <w:ind w:left="567" w:hanging="567"/>
      </w:pPr>
      <w:r>
        <w:t>65.</w:t>
      </w:r>
      <w:r>
        <w:tab/>
        <w:t>atkreipia dėmesį į Komiteto vaidmenį stiprinant ryšius su valstybių narių nacionalinėmis ekonomikos ir socialinių reikalų tarybomis ir tarp jų; remdamasis klausimynu atkreipia dėmesį į priemones, kurių Komitetas ėmėsi siekdamas sustiprinti NESRT tinklą ir internetinę NESRT bendruomenę, pvz., jungtinių darbo grupių sudarymą ir mainų programas, bendradarbiavimo platformos IT srityje kūrimą ir dalyvavimą bendruose renginiuose; ragina toliau bendradarbiauti bendro intereso klausimais ir keistis gerąja patirtimi, pabrėžiant gyvybiškai svarbų pilietinės visuomenės vaidmenį sprendžiant dabartinius Sąjungos uždavinius;</w:t>
      </w:r>
    </w:p>
    <w:p w14:paraId="0284C4C9" w14:textId="77777777" w:rsidR="00252E15" w:rsidRDefault="00252E15" w:rsidP="00252E15">
      <w:pPr>
        <w:pStyle w:val="NormalHanging12a"/>
        <w:rPr>
          <w:b/>
          <w:iCs/>
        </w:rPr>
      </w:pPr>
      <w:r>
        <w:rPr>
          <w:b/>
          <w:iCs/>
        </w:rPr>
        <w:lastRenderedPageBreak/>
        <w:t>Komunikacija</w:t>
      </w:r>
    </w:p>
    <w:p w14:paraId="3A7E169B" w14:textId="77777777" w:rsidR="00252E15" w:rsidRDefault="00252E15" w:rsidP="00252E15">
      <w:pPr>
        <w:pStyle w:val="NormalHanging12a"/>
      </w:pPr>
      <w:r>
        <w:t>66.</w:t>
      </w:r>
      <w:r>
        <w:tab/>
        <w:t>pažymi, kad 2023 m. bendras Komiteto komunikacijos biudžetas buvo 2,15 mln. EUR, t. y. didesnis, palyginti su 1,5 mln. EUR 2022 m.; pažymi, kad šis biudžetas visų pirma buvo skirtas keturiems svarbiausiems 2023 m. renginiams (Europos piliečių iniciatyvai, renginiui „Tavo Europa, tavo balsas!“, ekologiškų maisto produktų gamybos apdovanojimų renginiui ir 14-ajam pilietinės visuomenės apdovanojimo renginiui), Komiteto veiklos socialinėje žiniasklaidoje, išorės interneto svetainės ir audiovizualinės produkcijos tobulinimui ir (arba) atnaujinimui, taip pat leidiniams medijose ir spaudos publikacijoms; palankiai vertina Komiteto komunikacijos veiklą, kuria buvo įgyvendinami 2023 m. komunikacijos prioritetai: Mėlynojo kurso iniciatyva, COP28, rezoliucija dėl demokratijos ir Komiteto veiklos 65-osios metinės ir kt.;</w:t>
      </w:r>
    </w:p>
    <w:p w14:paraId="12360C02" w14:textId="77777777" w:rsidR="00252E15" w:rsidRDefault="00252E15" w:rsidP="00252E15">
      <w:pPr>
        <w:pStyle w:val="NormalHanging12a"/>
      </w:pPr>
      <w:r>
        <w:t>67.</w:t>
      </w:r>
      <w:r>
        <w:tab/>
        <w:t>giria Komitetą už jo pastangas 2023 m. vykdant strateginę komunikaciją; pažymi, kad Komitetas priėmė naują komunikacijos strategiją, kuria siekiama stiprinti jo įvaizdį ir informavimo veiklą; pažymi, kad, įgyvendindamas šią strategiją, Komitetas savo pagrindinius renginius transliavo internetu, daugeliu atveju visomis Sąjungos kalbomis, įdiegė naujas komunikacijos priemones, pvz., vaizdo įrašų seriją „Reportažai iš plenarinių sesijų“, savo komunikacijos išteklius visų pirma skyrė svarbiausiems Komiteto 2023 m. renginiams ir dėjo ypatingas pastangas siekdamas sustiprinti savo informavimo veiklą socialinėje žiniasklaidoje;</w:t>
      </w:r>
    </w:p>
    <w:p w14:paraId="3E776F16" w14:textId="77777777" w:rsidR="00252E15" w:rsidRDefault="00252E15" w:rsidP="00252E15">
      <w:pPr>
        <w:pStyle w:val="NormalHanging12a"/>
      </w:pPr>
      <w:r>
        <w:t>68.</w:t>
      </w:r>
      <w:r>
        <w:tab/>
        <w:t xml:space="preserve">ragina EESRK stiprinti darbuotojų teisių, socialinės </w:t>
      </w:r>
      <w:proofErr w:type="spellStart"/>
      <w:r>
        <w:t>įtraukties</w:t>
      </w:r>
      <w:proofErr w:type="spellEnd"/>
      <w:r>
        <w:t xml:space="preserve"> ir žmogaus teisių sričių pažeidimų vykdant ES finansuojamas programas stebėseną ir ataskaitų apie juos teikimą, užtikrinant didesnę atskaitomybę už savo patariamąsias funkcijas ir politikos rekomendacijas;</w:t>
      </w:r>
    </w:p>
    <w:p w14:paraId="06ED67FA" w14:textId="77777777" w:rsidR="00252E15" w:rsidRDefault="00252E15" w:rsidP="00252E15">
      <w:pPr>
        <w:pStyle w:val="NormalHanging12a"/>
      </w:pPr>
      <w:r>
        <w:t>69.</w:t>
      </w:r>
      <w:r>
        <w:tab/>
        <w:t>pažymi, kad 2023 m. Komiteto institucinių paskyrų socialinės žiniasklaidos platformose sekėjų skaičius gerokai padidėjo (papildomai prisijungė 25 000 sekėjų); atkreipia dėmesį į Komiteto sekėjų skaičių, pasiektą iki 2023 m. pabaigos: 61 416 sekėjų platformoje „X“, t. y. 5 % daugiau nei 2022 m., 61 761 sekėjas platformoje „</w:t>
      </w:r>
      <w:proofErr w:type="spellStart"/>
      <w:r>
        <w:t>LinkedIn</w:t>
      </w:r>
      <w:proofErr w:type="spellEnd"/>
      <w:r>
        <w:t>“, t. y. 30 % daugiau nei 2022 m., 46 868 sekėjai platformoje „Facebook“, t. y. 5,3 % daugiau nei 2022 m., ir 17 428 sekėjai platformoje „Instagram“, t. y. 45 % daugiau nei 2022 m.;</w:t>
      </w:r>
    </w:p>
    <w:p w14:paraId="5CBA9226" w14:textId="77777777" w:rsidR="00252E15" w:rsidRDefault="00252E15" w:rsidP="00252E15">
      <w:pPr>
        <w:pStyle w:val="NormalHanging12a"/>
      </w:pPr>
      <w:r>
        <w:t>70.</w:t>
      </w:r>
      <w:r>
        <w:tab/>
        <w:t xml:space="preserve">palankiai vertina teigiamą Komiteto požiūrį į atvirojo kodo sprendimų naudojimą komunikacijai internetu; pažymi, kad 2023 m. liepos mėn. Komitetas pradėjo naudoti savo pirmąją paskyrą platformoje „EU </w:t>
      </w:r>
      <w:proofErr w:type="spellStart"/>
      <w:r>
        <w:t>Voice</w:t>
      </w:r>
      <w:proofErr w:type="spellEnd"/>
      <w:r>
        <w:t>“, veikiančioje tinkle „</w:t>
      </w:r>
      <w:proofErr w:type="spellStart"/>
      <w:r>
        <w:t>Mastodon</w:t>
      </w:r>
      <w:proofErr w:type="spellEnd"/>
      <w:r>
        <w:t>“, t. y. decentralizuotame ir nemokamame atvirojo kodo socialinės žiniasklaidos tinkle, kuris jungia vartotojus aplinkoje, kurioje nėra reklamos ir užtikrinamas privatumas; pažymi, kad 2023 m. antrąjį pusmetį Komitetas aktyviai komunikavo tinklo „</w:t>
      </w:r>
      <w:proofErr w:type="spellStart"/>
      <w:r>
        <w:t>Mastodon</w:t>
      </w:r>
      <w:proofErr w:type="spellEnd"/>
      <w:r>
        <w:t>“ paskyroje, kiekvieną darbo dieną skelbdamas įrašus apie savo veiklą ir prioritetus ir didindamas informuotumą apie Sąjungą; atkreipia dėmesį į Komiteto sprendimą nuo 2024 m. nebepalaikyti paskyros šioje platformoje.</w:t>
      </w:r>
    </w:p>
    <w:sectPr w:rsidR="00252E15" w:rsidSect="00201C2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2A928" w14:textId="77777777" w:rsidR="007E5494" w:rsidRPr="00201C2F" w:rsidRDefault="007E5494">
      <w:r w:rsidRPr="00201C2F">
        <w:separator/>
      </w:r>
    </w:p>
  </w:endnote>
  <w:endnote w:type="continuationSeparator" w:id="0">
    <w:p w14:paraId="1F703C3F" w14:textId="77777777" w:rsidR="007E5494" w:rsidRPr="00201C2F" w:rsidRDefault="007E5494">
      <w:r w:rsidRPr="00201C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1D4E7" w14:textId="77777777" w:rsidR="00064002" w:rsidRPr="00201C2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5B442" w14:textId="77777777" w:rsidR="00064002" w:rsidRPr="00201C2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717A2" w14:textId="77777777" w:rsidR="00064002" w:rsidRPr="00201C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C10E5" w14:textId="77777777" w:rsidR="007E5494" w:rsidRPr="00201C2F" w:rsidRDefault="007E5494">
      <w:r w:rsidRPr="00201C2F">
        <w:separator/>
      </w:r>
    </w:p>
  </w:footnote>
  <w:footnote w:type="continuationSeparator" w:id="0">
    <w:p w14:paraId="18F7C287" w14:textId="77777777" w:rsidR="007E5494" w:rsidRPr="00201C2F" w:rsidRDefault="007E5494">
      <w:r w:rsidRPr="00201C2F">
        <w:continuationSeparator/>
      </w:r>
    </w:p>
  </w:footnote>
  <w:footnote w:id="1">
    <w:p w14:paraId="45BFE620" w14:textId="77777777" w:rsidR="00252E15" w:rsidRDefault="00252E15" w:rsidP="00252E15">
      <w:pPr>
        <w:pStyle w:val="FootnoteText"/>
        <w:ind w:left="567" w:hanging="567"/>
        <w:rPr>
          <w:sz w:val="24"/>
          <w:szCs w:val="24"/>
          <w:lang w:val="lt-LT"/>
        </w:rPr>
      </w:pPr>
      <w:r>
        <w:rPr>
          <w:rStyle w:val="FootnoteReference"/>
          <w:sz w:val="24"/>
          <w:szCs w:val="24"/>
          <w:lang w:val="lt-LT"/>
        </w:rPr>
        <w:footnoteRef/>
      </w:r>
      <w:r>
        <w:rPr>
          <w:sz w:val="24"/>
          <w:szCs w:val="24"/>
          <w:lang w:val="lt-LT"/>
        </w:rPr>
        <w:t xml:space="preserve"> </w:t>
      </w:r>
      <w:r>
        <w:rPr>
          <w:sz w:val="24"/>
          <w:szCs w:val="24"/>
          <w:lang w:val="lt-LT"/>
        </w:rPr>
        <w:tab/>
        <w:t xml:space="preserve">OL L 58, 2023 2 23, p. 1, ELI: </w:t>
      </w:r>
      <w:hyperlink r:id="rId1" w:tooltip="Prieiga prie šio dokumento per jo ELI nuorodą." w:history="1">
        <w:r>
          <w:rPr>
            <w:rStyle w:val="Hyperlink"/>
            <w:color w:val="0563C1"/>
            <w:sz w:val="24"/>
            <w:shd w:val="clear" w:color="auto" w:fill="FFFFFF"/>
            <w:lang w:val="lt-LT"/>
          </w:rPr>
          <w:t>http://data.europa.eu/eli/budget/2023/1/oj</w:t>
        </w:r>
      </w:hyperlink>
      <w:r>
        <w:rPr>
          <w:sz w:val="24"/>
          <w:szCs w:val="24"/>
          <w:shd w:val="clear" w:color="auto" w:fill="FFFFFF"/>
          <w:lang w:val="lt-LT"/>
        </w:rPr>
        <w:t>.</w:t>
      </w:r>
    </w:p>
  </w:footnote>
  <w:footnote w:id="2">
    <w:p w14:paraId="6DEC2D05" w14:textId="77777777" w:rsidR="00252E15" w:rsidRDefault="00252E15" w:rsidP="00252E15">
      <w:pPr>
        <w:pStyle w:val="FootnoteText"/>
        <w:ind w:left="567" w:hanging="567"/>
        <w:rPr>
          <w:sz w:val="24"/>
          <w:szCs w:val="24"/>
          <w:lang w:val="lt-LT"/>
        </w:rPr>
      </w:pPr>
      <w:r>
        <w:rPr>
          <w:rStyle w:val="FootnoteReference"/>
          <w:sz w:val="24"/>
          <w:szCs w:val="24"/>
          <w:lang w:val="lt-LT"/>
        </w:rPr>
        <w:footnoteRef/>
      </w:r>
      <w:r>
        <w:rPr>
          <w:sz w:val="24"/>
          <w:szCs w:val="24"/>
          <w:lang w:val="lt-LT"/>
        </w:rPr>
        <w:t xml:space="preserve"> </w:t>
      </w:r>
      <w:r>
        <w:rPr>
          <w:sz w:val="24"/>
          <w:szCs w:val="24"/>
          <w:lang w:val="lt-LT"/>
        </w:rPr>
        <w:tab/>
      </w:r>
      <w:r>
        <w:rPr>
          <w:sz w:val="24"/>
          <w:szCs w:val="24"/>
          <w:lang w:val="lt-LT"/>
        </w:rPr>
        <w:t xml:space="preserve">OL C, C/2024/5462, 2024 10 10, ELI: </w:t>
      </w:r>
      <w:hyperlink r:id="rId2" w:history="1">
        <w:r>
          <w:rPr>
            <w:rStyle w:val="Hyperlink"/>
            <w:sz w:val="24"/>
            <w:lang w:val="lt-LT"/>
          </w:rPr>
          <w:t>http://data.europa.eu/eli/C/2024/5462/oj</w:t>
        </w:r>
      </w:hyperlink>
      <w:r>
        <w:rPr>
          <w:sz w:val="24"/>
          <w:szCs w:val="24"/>
          <w:shd w:val="clear" w:color="auto" w:fill="FFFFFF"/>
          <w:lang w:val="lt-LT"/>
        </w:rPr>
        <w:t>.</w:t>
      </w:r>
    </w:p>
  </w:footnote>
  <w:footnote w:id="3">
    <w:p w14:paraId="1887F907" w14:textId="77777777" w:rsidR="00252E15" w:rsidRDefault="00252E15" w:rsidP="00252E15">
      <w:pPr>
        <w:pStyle w:val="FootnoteText"/>
        <w:ind w:left="567" w:hanging="567"/>
        <w:rPr>
          <w:sz w:val="24"/>
          <w:szCs w:val="24"/>
          <w:lang w:val="lt-LT"/>
        </w:rPr>
      </w:pPr>
      <w:r>
        <w:rPr>
          <w:rStyle w:val="FootnoteReference"/>
          <w:sz w:val="24"/>
          <w:szCs w:val="24"/>
          <w:lang w:val="lt-LT"/>
        </w:rPr>
        <w:footnoteRef/>
      </w:r>
      <w:r>
        <w:rPr>
          <w:sz w:val="24"/>
          <w:szCs w:val="24"/>
          <w:lang w:val="lt-LT"/>
        </w:rPr>
        <w:t xml:space="preserve"> </w:t>
      </w:r>
      <w:r>
        <w:rPr>
          <w:sz w:val="24"/>
          <w:szCs w:val="24"/>
          <w:lang w:val="lt-LT"/>
        </w:rPr>
        <w:tab/>
      </w:r>
      <w:r>
        <w:rPr>
          <w:sz w:val="24"/>
          <w:szCs w:val="24"/>
          <w:lang w:val="lt-LT"/>
        </w:rPr>
        <w:t xml:space="preserve">OL C, C/2024/5882, 2024 10 9, ELI: </w:t>
      </w:r>
      <w:hyperlink r:id="rId3" w:history="1">
        <w:r>
          <w:rPr>
            <w:rStyle w:val="Hyperlink"/>
            <w:sz w:val="24"/>
            <w:lang w:val="lt-LT"/>
          </w:rPr>
          <w:t>http://data.europa.eu/eli/C/2024/5882/oj</w:t>
        </w:r>
      </w:hyperlink>
      <w:r>
        <w:rPr>
          <w:sz w:val="24"/>
          <w:szCs w:val="24"/>
          <w:shd w:val="clear" w:color="auto" w:fill="FFFFFF"/>
          <w:lang w:val="lt-LT"/>
        </w:rPr>
        <w:t>.</w:t>
      </w:r>
    </w:p>
  </w:footnote>
  <w:footnote w:id="4">
    <w:p w14:paraId="33693DB6" w14:textId="77777777" w:rsidR="00252E15" w:rsidRDefault="00252E15" w:rsidP="00252E15">
      <w:pPr>
        <w:pStyle w:val="FootnoteText"/>
        <w:ind w:left="567" w:hanging="567"/>
        <w:rPr>
          <w:sz w:val="24"/>
          <w:szCs w:val="24"/>
          <w:lang w:val="lt-LT"/>
        </w:rPr>
      </w:pPr>
      <w:r>
        <w:rPr>
          <w:rStyle w:val="FootnoteReference"/>
          <w:sz w:val="24"/>
          <w:szCs w:val="24"/>
          <w:lang w:val="lt-LT"/>
        </w:rPr>
        <w:footnoteRef/>
      </w:r>
      <w:r>
        <w:rPr>
          <w:sz w:val="24"/>
          <w:szCs w:val="24"/>
          <w:lang w:val="lt-LT"/>
        </w:rPr>
        <w:t xml:space="preserve"> </w:t>
      </w:r>
      <w:r>
        <w:rPr>
          <w:sz w:val="24"/>
          <w:szCs w:val="24"/>
          <w:lang w:val="lt-LT"/>
        </w:rPr>
        <w:tab/>
      </w:r>
      <w:r>
        <w:rPr>
          <w:sz w:val="24"/>
          <w:szCs w:val="24"/>
          <w:lang w:val="lt-LT"/>
        </w:rPr>
        <w:t xml:space="preserve">OL C, C/2024/6041, 2024 10 10, ELI: </w:t>
      </w:r>
      <w:hyperlink r:id="rId4" w:history="1">
        <w:r>
          <w:rPr>
            <w:rStyle w:val="Hyperlink"/>
            <w:sz w:val="24"/>
            <w:lang w:val="lt-LT"/>
          </w:rPr>
          <w:t>http://data.europa.eu/eli/C/2024/6041/oj</w:t>
        </w:r>
      </w:hyperlink>
      <w:r>
        <w:rPr>
          <w:sz w:val="24"/>
          <w:szCs w:val="24"/>
          <w:shd w:val="clear" w:color="auto" w:fill="FFFFFF"/>
          <w:lang w:val="lt-LT"/>
        </w:rPr>
        <w:t>.</w:t>
      </w:r>
    </w:p>
  </w:footnote>
  <w:footnote w:id="5">
    <w:p w14:paraId="6771437C" w14:textId="77777777" w:rsidR="00252E15" w:rsidRDefault="00252E15" w:rsidP="00252E15">
      <w:pPr>
        <w:pStyle w:val="FootnoteText"/>
        <w:ind w:left="567" w:hanging="567"/>
        <w:rPr>
          <w:sz w:val="24"/>
          <w:szCs w:val="24"/>
          <w:lang w:val="lt-LT"/>
        </w:rPr>
      </w:pPr>
      <w:r>
        <w:rPr>
          <w:rStyle w:val="FootnoteReference"/>
          <w:sz w:val="24"/>
          <w:szCs w:val="24"/>
          <w:lang w:val="lt-LT"/>
        </w:rPr>
        <w:footnoteRef/>
      </w:r>
      <w:r>
        <w:rPr>
          <w:sz w:val="24"/>
          <w:szCs w:val="24"/>
          <w:lang w:val="lt-LT"/>
        </w:rPr>
        <w:t xml:space="preserve"> </w:t>
      </w:r>
      <w:r>
        <w:rPr>
          <w:sz w:val="24"/>
          <w:szCs w:val="24"/>
          <w:lang w:val="lt-LT"/>
        </w:rPr>
        <w:tab/>
      </w:r>
      <w:r>
        <w:rPr>
          <w:sz w:val="24"/>
          <w:szCs w:val="24"/>
          <w:lang w:val="lt-LT"/>
        </w:rPr>
        <w:t xml:space="preserve">OL L 193, 2018 7 30, p. 1, ELI: </w:t>
      </w:r>
      <w:hyperlink r:id="rId5" w:history="1">
        <w:r>
          <w:rPr>
            <w:rStyle w:val="Hyperlink"/>
            <w:sz w:val="24"/>
            <w:lang w:val="lt-LT"/>
          </w:rPr>
          <w:t>http://data.europa.eu/eli/reg/2018/1046/oj</w:t>
        </w:r>
      </w:hyperlink>
      <w:r>
        <w:rPr>
          <w:sz w:val="24"/>
          <w:szCs w:val="24"/>
          <w:lang w:val="lt-LT"/>
        </w:rPr>
        <w:t>.</w:t>
      </w:r>
    </w:p>
  </w:footnote>
  <w:footnote w:id="6">
    <w:p w14:paraId="7F36DA1D" w14:textId="77777777" w:rsidR="00252E15" w:rsidRDefault="00252E15" w:rsidP="00252E15">
      <w:pPr>
        <w:pStyle w:val="FootnoteText"/>
        <w:ind w:left="567" w:hanging="567"/>
        <w:rPr>
          <w:sz w:val="24"/>
          <w:szCs w:val="24"/>
          <w:lang w:val="lt-LT"/>
        </w:rPr>
      </w:pPr>
      <w:r>
        <w:rPr>
          <w:rStyle w:val="FootnoteReference"/>
          <w:sz w:val="24"/>
          <w:szCs w:val="24"/>
          <w:lang w:val="lt-LT"/>
        </w:rPr>
        <w:footnoteRef/>
      </w:r>
      <w:r>
        <w:rPr>
          <w:sz w:val="24"/>
          <w:szCs w:val="24"/>
          <w:lang w:val="lt-LT"/>
        </w:rPr>
        <w:t xml:space="preserve"> </w:t>
      </w:r>
      <w:r>
        <w:rPr>
          <w:sz w:val="24"/>
          <w:szCs w:val="24"/>
          <w:lang w:val="lt-LT"/>
        </w:rPr>
        <w:tab/>
      </w:r>
      <w:r>
        <w:rPr>
          <w:sz w:val="24"/>
          <w:szCs w:val="24"/>
          <w:lang w:val="lt-LT"/>
        </w:rPr>
        <w:t xml:space="preserve">OL L, 2024/2509, 2024 9 26, ELI: </w:t>
      </w:r>
      <w:hyperlink r:id="rId6" w:history="1">
        <w:r>
          <w:rPr>
            <w:rStyle w:val="Hyperlink"/>
            <w:sz w:val="24"/>
            <w:lang w:val="lt-LT"/>
          </w:rPr>
          <w:t>http://data.europa.eu/eli/reg/2024/2509/oj</w:t>
        </w:r>
      </w:hyperlink>
      <w:r>
        <w:rPr>
          <w:sz w:val="24"/>
          <w:szCs w:val="24"/>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52E32" w14:textId="77777777" w:rsidR="00064002" w:rsidRPr="00201C2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CAFA9" w14:textId="77777777" w:rsidR="00064002" w:rsidRPr="00201C2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A027B" w14:textId="77777777" w:rsidR="00064002" w:rsidRPr="00201C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69065954">
    <w:abstractNumId w:val="9"/>
  </w:num>
  <w:num w:numId="2" w16cid:durableId="299268170">
    <w:abstractNumId w:val="9"/>
  </w:num>
  <w:num w:numId="3" w16cid:durableId="1154878063">
    <w:abstractNumId w:val="7"/>
  </w:num>
  <w:num w:numId="4" w16cid:durableId="2062628620">
    <w:abstractNumId w:val="7"/>
  </w:num>
  <w:num w:numId="5" w16cid:durableId="660625355">
    <w:abstractNumId w:val="6"/>
  </w:num>
  <w:num w:numId="6" w16cid:durableId="761954121">
    <w:abstractNumId w:val="6"/>
  </w:num>
  <w:num w:numId="7" w16cid:durableId="1898736439">
    <w:abstractNumId w:val="5"/>
  </w:num>
  <w:num w:numId="8" w16cid:durableId="607857757">
    <w:abstractNumId w:val="5"/>
  </w:num>
  <w:num w:numId="9" w16cid:durableId="242954093">
    <w:abstractNumId w:val="4"/>
  </w:num>
  <w:num w:numId="10" w16cid:durableId="1684238453">
    <w:abstractNumId w:val="4"/>
  </w:num>
  <w:num w:numId="11" w16cid:durableId="1982726968">
    <w:abstractNumId w:val="8"/>
  </w:num>
  <w:num w:numId="12" w16cid:durableId="899944917">
    <w:abstractNumId w:val="8"/>
  </w:num>
  <w:num w:numId="13" w16cid:durableId="410810844">
    <w:abstractNumId w:val="3"/>
  </w:num>
  <w:num w:numId="14" w16cid:durableId="2054574432">
    <w:abstractNumId w:val="3"/>
  </w:num>
  <w:num w:numId="15" w16cid:durableId="163324458">
    <w:abstractNumId w:val="2"/>
  </w:num>
  <w:num w:numId="16" w16cid:durableId="600648470">
    <w:abstractNumId w:val="2"/>
  </w:num>
  <w:num w:numId="17" w16cid:durableId="435102185">
    <w:abstractNumId w:val="1"/>
  </w:num>
  <w:num w:numId="18" w16cid:durableId="114908644">
    <w:abstractNumId w:val="1"/>
  </w:num>
  <w:num w:numId="19" w16cid:durableId="363094059">
    <w:abstractNumId w:val="0"/>
  </w:num>
  <w:num w:numId="20" w16cid:durableId="97877645">
    <w:abstractNumId w:val="0"/>
  </w:num>
  <w:num w:numId="21" w16cid:durableId="2020813932">
    <w:abstractNumId w:val="9"/>
  </w:num>
  <w:num w:numId="22" w16cid:durableId="263075606">
    <w:abstractNumId w:val="7"/>
  </w:num>
  <w:num w:numId="23" w16cid:durableId="1485707714">
    <w:abstractNumId w:val="6"/>
  </w:num>
  <w:num w:numId="24" w16cid:durableId="1389066302">
    <w:abstractNumId w:val="5"/>
  </w:num>
  <w:num w:numId="25" w16cid:durableId="1629118648">
    <w:abstractNumId w:val="4"/>
  </w:num>
  <w:num w:numId="26" w16cid:durableId="1727142101">
    <w:abstractNumId w:val="8"/>
  </w:num>
  <w:num w:numId="27" w16cid:durableId="476336260">
    <w:abstractNumId w:val="3"/>
  </w:num>
  <w:num w:numId="28" w16cid:durableId="973415449">
    <w:abstractNumId w:val="2"/>
  </w:num>
  <w:num w:numId="29" w16cid:durableId="861674760">
    <w:abstractNumId w:val="1"/>
  </w:num>
  <w:num w:numId="30" w16cid:durableId="663512371">
    <w:abstractNumId w:val="0"/>
  </w:num>
  <w:num w:numId="31" w16cid:durableId="889071929">
    <w:abstractNumId w:val="9"/>
  </w:num>
  <w:num w:numId="32" w16cid:durableId="372846301">
    <w:abstractNumId w:val="7"/>
  </w:num>
  <w:num w:numId="33" w16cid:durableId="752897621">
    <w:abstractNumId w:val="6"/>
  </w:num>
  <w:num w:numId="34" w16cid:durableId="955215935">
    <w:abstractNumId w:val="5"/>
  </w:num>
  <w:num w:numId="35" w16cid:durableId="2024356254">
    <w:abstractNumId w:val="4"/>
  </w:num>
  <w:num w:numId="36" w16cid:durableId="133645245">
    <w:abstractNumId w:val="8"/>
  </w:num>
  <w:num w:numId="37" w16cid:durableId="383070121">
    <w:abstractNumId w:val="3"/>
  </w:num>
  <w:num w:numId="38" w16cid:durableId="161285170">
    <w:abstractNumId w:val="2"/>
  </w:num>
  <w:num w:numId="39" w16cid:durableId="318078225">
    <w:abstractNumId w:val="1"/>
  </w:num>
  <w:num w:numId="40" w16cid:durableId="354311480">
    <w:abstractNumId w:val="0"/>
  </w:num>
  <w:num w:numId="41" w16cid:durableId="510147776">
    <w:abstractNumId w:val="10"/>
  </w:num>
  <w:num w:numId="42" w16cid:durableId="59642618">
    <w:abstractNumId w:val="10"/>
  </w:num>
  <w:num w:numId="43" w16cid:durableId="669603590">
    <w:abstractNumId w:val="10"/>
  </w:num>
  <w:num w:numId="44" w16cid:durableId="18540274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4/2025"/>
    <w:docVar w:name="dvlangue" w:val="LT"/>
    <w:docVar w:name="dvnumam" w:val="0"/>
    <w:docVar w:name="dvpe" w:val="764.993"/>
    <w:docVar w:name="dvrapporteur" w:val="Pranešėjas: "/>
    <w:docVar w:name="dvtitre" w:val="1. 2025 m. gegužės 7 d. Europos Parlamento sprendimas dėl 2023 finansinių metų Europos Sąjungos bendrojo biudžeto įvykdymo patvirtinimo, VI skirsnis – Europos ekonomikos ir socialinių reikalų komitetas(2024/2025(DEC))"/>
  </w:docVars>
  <w:rsids>
    <w:rsidRoot w:val="007E5494"/>
    <w:rsid w:val="00002272"/>
    <w:rsid w:val="00064002"/>
    <w:rsid w:val="000677B9"/>
    <w:rsid w:val="000831BA"/>
    <w:rsid w:val="000A42CC"/>
    <w:rsid w:val="000C55C4"/>
    <w:rsid w:val="000E7DD9"/>
    <w:rsid w:val="0010095E"/>
    <w:rsid w:val="00114E3B"/>
    <w:rsid w:val="00125B37"/>
    <w:rsid w:val="00187494"/>
    <w:rsid w:val="001F32AE"/>
    <w:rsid w:val="00201C2F"/>
    <w:rsid w:val="00252E1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5494"/>
    <w:rsid w:val="00817416"/>
    <w:rsid w:val="00842779"/>
    <w:rsid w:val="00865F67"/>
    <w:rsid w:val="00881A7B"/>
    <w:rsid w:val="008840E5"/>
    <w:rsid w:val="00887B3E"/>
    <w:rsid w:val="008C2AC6"/>
    <w:rsid w:val="00930C23"/>
    <w:rsid w:val="0093193B"/>
    <w:rsid w:val="009509D8"/>
    <w:rsid w:val="00950B64"/>
    <w:rsid w:val="00981893"/>
    <w:rsid w:val="009B5807"/>
    <w:rsid w:val="00A1687D"/>
    <w:rsid w:val="00A43E52"/>
    <w:rsid w:val="00A4678D"/>
    <w:rsid w:val="00A55672"/>
    <w:rsid w:val="00A778C7"/>
    <w:rsid w:val="00AB441E"/>
    <w:rsid w:val="00AB6293"/>
    <w:rsid w:val="00AE0928"/>
    <w:rsid w:val="00AF3B82"/>
    <w:rsid w:val="00B12E95"/>
    <w:rsid w:val="00B22876"/>
    <w:rsid w:val="00B558F0"/>
    <w:rsid w:val="00B62212"/>
    <w:rsid w:val="00BD48FE"/>
    <w:rsid w:val="00BD7BD8"/>
    <w:rsid w:val="00BE6ADC"/>
    <w:rsid w:val="00C05BFE"/>
    <w:rsid w:val="00C23CD4"/>
    <w:rsid w:val="00C61C0C"/>
    <w:rsid w:val="00C941CB"/>
    <w:rsid w:val="00CC2357"/>
    <w:rsid w:val="00CF071A"/>
    <w:rsid w:val="00D058B8"/>
    <w:rsid w:val="00D26D18"/>
    <w:rsid w:val="00D56C11"/>
    <w:rsid w:val="00D834A0"/>
    <w:rsid w:val="00D872DF"/>
    <w:rsid w:val="00D91E21"/>
    <w:rsid w:val="00DA7FCD"/>
    <w:rsid w:val="00E365E1"/>
    <w:rsid w:val="00E820A4"/>
    <w:rsid w:val="00EB006A"/>
    <w:rsid w:val="00EB4772"/>
    <w:rsid w:val="00ED0576"/>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820C03"/>
  <w15:chartTrackingRefBased/>
  <w15:docId w15:val="{7FFBEC62-DB11-4844-8867-CF2FBBB76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5567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55672"/>
    <w:pPr>
      <w:spacing w:before="480" w:after="240"/>
    </w:pPr>
  </w:style>
  <w:style w:type="paragraph" w:customStyle="1" w:styleId="PageHeading">
    <w:name w:val="PageHeading"/>
    <w:basedOn w:val="Normal"/>
    <w:rsid w:val="00A55672"/>
    <w:pPr>
      <w:keepNext/>
      <w:spacing w:after="480"/>
      <w:jc w:val="center"/>
    </w:pPr>
    <w:rPr>
      <w:rFonts w:ascii="Arial" w:hAnsi="Arial" w:cs="Arial"/>
      <w:b/>
    </w:rPr>
  </w:style>
  <w:style w:type="paragraph" w:customStyle="1" w:styleId="NormalBold">
    <w:name w:val="NormalBold"/>
    <w:basedOn w:val="Normal"/>
    <w:rsid w:val="00A55672"/>
    <w:rPr>
      <w:b/>
    </w:rPr>
  </w:style>
  <w:style w:type="paragraph" w:customStyle="1" w:styleId="NormalHanging12a">
    <w:name w:val="NormalHanging12a"/>
    <w:basedOn w:val="Normal"/>
    <w:link w:val="NormalHanging12aChar"/>
    <w:qFormat/>
    <w:rsid w:val="00A55672"/>
    <w:pPr>
      <w:spacing w:after="240"/>
      <w:ind w:left="567" w:hanging="567"/>
    </w:pPr>
  </w:style>
  <w:style w:type="paragraph" w:styleId="Header">
    <w:name w:val="header"/>
    <w:basedOn w:val="Normal"/>
    <w:link w:val="HeaderChar"/>
    <w:rsid w:val="00A55672"/>
    <w:pPr>
      <w:tabs>
        <w:tab w:val="center" w:pos="4513"/>
        <w:tab w:val="right" w:pos="9026"/>
      </w:tabs>
    </w:pPr>
  </w:style>
  <w:style w:type="character" w:customStyle="1" w:styleId="HeaderChar">
    <w:name w:val="Header Char"/>
    <w:basedOn w:val="DefaultParagraphFont"/>
    <w:link w:val="Header"/>
    <w:rsid w:val="00A55672"/>
    <w:rPr>
      <w:sz w:val="24"/>
      <w:lang w:val="lt-LT"/>
    </w:rPr>
  </w:style>
  <w:style w:type="paragraph" w:customStyle="1" w:styleId="EPFooter">
    <w:name w:val="EPFooter"/>
    <w:basedOn w:val="Normal"/>
    <w:rsid w:val="00A55672"/>
    <w:pPr>
      <w:tabs>
        <w:tab w:val="center" w:pos="4535"/>
        <w:tab w:val="right" w:pos="9071"/>
      </w:tabs>
      <w:spacing w:before="240" w:after="240"/>
    </w:pPr>
    <w:rPr>
      <w:color w:val="010000"/>
      <w:sz w:val="22"/>
    </w:rPr>
  </w:style>
  <w:style w:type="character" w:styleId="Hyperlink">
    <w:name w:val="Hyperlink"/>
    <w:basedOn w:val="DefaultParagraphFont"/>
    <w:rsid w:val="00A55672"/>
    <w:rPr>
      <w:color w:val="0563C1" w:themeColor="hyperlink"/>
      <w:u w:val="single"/>
    </w:rPr>
  </w:style>
  <w:style w:type="character" w:customStyle="1" w:styleId="NormalHanging12aChar">
    <w:name w:val="NormalHanging12a Char"/>
    <w:basedOn w:val="DefaultParagraphFont"/>
    <w:link w:val="NormalHanging12a"/>
    <w:locked/>
    <w:rsid w:val="00A55672"/>
    <w:rPr>
      <w:sz w:val="24"/>
      <w:lang w:val="lt-LT"/>
    </w:rPr>
  </w:style>
  <w:style w:type="paragraph" w:customStyle="1" w:styleId="Normal6a">
    <w:name w:val="Normal6a"/>
    <w:basedOn w:val="Normal"/>
    <w:rsid w:val="00A55672"/>
    <w:pPr>
      <w:spacing w:after="120"/>
    </w:pPr>
  </w:style>
  <w:style w:type="paragraph" w:styleId="CommentText">
    <w:name w:val="annotation text"/>
    <w:basedOn w:val="Normal"/>
    <w:link w:val="CommentTextChar"/>
    <w:uiPriority w:val="99"/>
    <w:unhideWhenUsed/>
    <w:rsid w:val="00252E15"/>
    <w:pPr>
      <w:widowControl/>
      <w:jc w:val="both"/>
    </w:pPr>
    <w:rPr>
      <w:rFonts w:eastAsiaTheme="minorHAnsi"/>
      <w:kern w:val="2"/>
      <w:sz w:val="20"/>
      <w:lang w:val="en-GB" w:eastAsia="en-US"/>
      <w14:ligatures w14:val="standardContextual"/>
    </w:rPr>
  </w:style>
  <w:style w:type="character" w:customStyle="1" w:styleId="CommentTextChar">
    <w:name w:val="Comment Text Char"/>
    <w:basedOn w:val="DefaultParagraphFont"/>
    <w:link w:val="CommentText"/>
    <w:uiPriority w:val="99"/>
    <w:rsid w:val="00252E15"/>
    <w:rPr>
      <w:rFonts w:eastAsiaTheme="minorHAnsi"/>
      <w:kern w:val="2"/>
      <w:lang w:eastAsia="en-US"/>
      <w14:ligatures w14:val="standardContextual"/>
    </w:rPr>
  </w:style>
  <w:style w:type="character" w:styleId="CommentReference">
    <w:name w:val="annotation reference"/>
    <w:basedOn w:val="DefaultParagraphFont"/>
    <w:uiPriority w:val="99"/>
    <w:unhideWhenUsed/>
    <w:rsid w:val="00252E1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2001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03FEAE-028C-48F9-A974-996117473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6734</Words>
  <Characters>44545</Characters>
  <Application>Microsoft Office Word</Application>
  <DocSecurity>0</DocSecurity>
  <Lines>371</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2025-11-24T17:51:00Z</dcterms:created>
  <dcterms:modified xsi:type="dcterms:W3CDTF">2025-11-24T17:51:00Z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P10_TA(2025)0082_</vt:lpwstr>
  </property>
  <property fmtid="{D5CDD505-2E9C-101B-9397-08002B2CF9AE}" pid="4" name="&lt;Type&gt;">
    <vt:lpwstr>RR</vt:lpwstr>
  </property>
</Properties>
</file>