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F82" w14:paraId="15D8ED08" w14:textId="77777777" w:rsidTr="0010095E">
        <w:trPr>
          <w:trHeight w:hRule="exact" w:val="1418"/>
        </w:trPr>
        <w:tc>
          <w:tcPr>
            <w:tcW w:w="6804" w:type="dxa"/>
            <w:shd w:val="clear" w:color="auto" w:fill="auto"/>
            <w:vAlign w:val="center"/>
          </w:tcPr>
          <w:p w14:paraId="72FC5E3E" w14:textId="77777777" w:rsidR="00751A4A" w:rsidRPr="003F0F82" w:rsidRDefault="009F01A9" w:rsidP="0010095E">
            <w:pPr>
              <w:pStyle w:val="EPName"/>
            </w:pPr>
            <w:r w:rsidRPr="003F0F82">
              <w:t>Eiropas Parlaments</w:t>
            </w:r>
          </w:p>
          <w:p w14:paraId="56B86855" w14:textId="77777777" w:rsidR="00751A4A" w:rsidRPr="003F0F82" w:rsidRDefault="005F1B17" w:rsidP="005F1B17">
            <w:pPr>
              <w:pStyle w:val="EPTerm"/>
              <w:rPr>
                <w:rStyle w:val="HideTWBExt"/>
                <w:noProof w:val="0"/>
                <w:vanish w:val="0"/>
                <w:color w:val="auto"/>
              </w:rPr>
            </w:pPr>
            <w:r w:rsidRPr="003F0F82">
              <w:t>2024</w:t>
            </w:r>
            <w:r w:rsidR="00817416" w:rsidRPr="003F0F82">
              <w:t>-202</w:t>
            </w:r>
            <w:r w:rsidRPr="003F0F82">
              <w:t>9</w:t>
            </w:r>
          </w:p>
        </w:tc>
        <w:tc>
          <w:tcPr>
            <w:tcW w:w="2268" w:type="dxa"/>
            <w:shd w:val="clear" w:color="auto" w:fill="auto"/>
          </w:tcPr>
          <w:p w14:paraId="7B876FCC" w14:textId="77777777" w:rsidR="00751A4A" w:rsidRPr="003F0F82" w:rsidRDefault="00187494" w:rsidP="0010095E">
            <w:pPr>
              <w:pStyle w:val="EPLogo"/>
            </w:pPr>
            <w:r w:rsidRPr="003F0F82">
              <w:rPr>
                <w:noProof/>
                <w:lang w:val="en-GB"/>
              </w:rPr>
              <w:drawing>
                <wp:inline distT="0" distB="0" distL="0" distR="0" wp14:anchorId="14B78537" wp14:editId="5F7E40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0A1290" w14:textId="77777777" w:rsidR="00D058B8" w:rsidRPr="003F0F82" w:rsidRDefault="00D058B8" w:rsidP="004C5D52">
      <w:pPr>
        <w:pStyle w:val="LineTop"/>
      </w:pPr>
    </w:p>
    <w:p w14:paraId="2377032B" w14:textId="77777777" w:rsidR="00680577" w:rsidRPr="003F0F82" w:rsidRDefault="009F01A9" w:rsidP="00680577">
      <w:pPr>
        <w:pStyle w:val="EPBodyTA1"/>
      </w:pPr>
      <w:r w:rsidRPr="003F0F82">
        <w:t>PIEŅEMTIE TEKSTI</w:t>
      </w:r>
    </w:p>
    <w:p w14:paraId="27C14ED5" w14:textId="77777777" w:rsidR="00D058B8" w:rsidRPr="003F0F82" w:rsidRDefault="00D058B8" w:rsidP="00D058B8">
      <w:pPr>
        <w:pStyle w:val="LineBottom"/>
      </w:pPr>
    </w:p>
    <w:p w14:paraId="3DF9FC6C" w14:textId="77777777" w:rsidR="009F01A9" w:rsidRPr="003F0F82" w:rsidRDefault="009F01A9" w:rsidP="009F01A9">
      <w:pPr>
        <w:pStyle w:val="ATHeading1"/>
      </w:pPr>
      <w:bookmarkStart w:id="0" w:name="TANumber"/>
      <w:r w:rsidRPr="003F0F82">
        <w:t>P10_TA(2025)00</w:t>
      </w:r>
      <w:r w:rsidR="003F0F82" w:rsidRPr="003F0F82">
        <w:t>82</w:t>
      </w:r>
      <w:bookmarkEnd w:id="0"/>
    </w:p>
    <w:p w14:paraId="3A559A2B" w14:textId="3BEE357D" w:rsidR="009F01A9" w:rsidRPr="003F0F82" w:rsidRDefault="004414C3" w:rsidP="004414C3">
      <w:pPr>
        <w:pStyle w:val="ATHeading2"/>
      </w:pPr>
      <w:bookmarkStart w:id="1" w:name="title"/>
      <w:r w:rsidRPr="003F0F82">
        <w:t xml:space="preserve">ES 2023. finanšu gada vispārējā budžeta izpildes apstiprināšana </w:t>
      </w:r>
      <w:r w:rsidR="0096385A">
        <w:t>–</w:t>
      </w:r>
      <w:r w:rsidRPr="003F0F82">
        <w:t xml:space="preserve"> Eiropas Ekonomikas un sociālo lietu komiteja</w:t>
      </w:r>
      <w:bookmarkEnd w:id="1"/>
    </w:p>
    <w:p w14:paraId="010842C9" w14:textId="77777777" w:rsidR="009F01A9" w:rsidRPr="003F0F82" w:rsidRDefault="009F01A9" w:rsidP="009F01A9">
      <w:pPr>
        <w:rPr>
          <w:i/>
          <w:vanish/>
        </w:rPr>
      </w:pPr>
      <w:r w:rsidRPr="003F0F82">
        <w:rPr>
          <w:i/>
        </w:rPr>
        <w:fldChar w:fldCharType="begin"/>
      </w:r>
      <w:r w:rsidRPr="003F0F82">
        <w:rPr>
          <w:i/>
        </w:rPr>
        <w:instrText xml:space="preserve"> TC"(</w:instrText>
      </w:r>
      <w:bookmarkStart w:id="2" w:name="DocNumber"/>
      <w:r w:rsidRPr="003F0F82">
        <w:rPr>
          <w:i/>
        </w:rPr>
        <w:instrText>A10-0054/2025</w:instrText>
      </w:r>
      <w:bookmarkEnd w:id="2"/>
      <w:r w:rsidRPr="003F0F82">
        <w:rPr>
          <w:i/>
        </w:rPr>
        <w:instrText xml:space="preserve"> - Referents: Joachim </w:instrText>
      </w:r>
      <w:proofErr w:type="spellStart"/>
      <w:r w:rsidRPr="003F0F82">
        <w:rPr>
          <w:i/>
        </w:rPr>
        <w:instrText>Stanisław</w:instrText>
      </w:r>
      <w:proofErr w:type="spellEnd"/>
      <w:r w:rsidRPr="003F0F82">
        <w:rPr>
          <w:i/>
        </w:rPr>
        <w:instrText xml:space="preserve"> </w:instrText>
      </w:r>
      <w:proofErr w:type="spellStart"/>
      <w:r w:rsidRPr="003F0F82">
        <w:rPr>
          <w:i/>
        </w:rPr>
        <w:instrText>Brudziński</w:instrText>
      </w:r>
      <w:proofErr w:type="spellEnd"/>
      <w:r w:rsidRPr="003F0F82">
        <w:rPr>
          <w:i/>
        </w:rPr>
        <w:instrText xml:space="preserve">)"\l3 \n&gt; \* MERGEFORMAT </w:instrText>
      </w:r>
      <w:r w:rsidRPr="003F0F82">
        <w:rPr>
          <w:i/>
        </w:rPr>
        <w:fldChar w:fldCharType="end"/>
      </w:r>
    </w:p>
    <w:p w14:paraId="34F6C05C" w14:textId="77777777" w:rsidR="009F01A9" w:rsidRPr="003F0F82" w:rsidRDefault="009F01A9" w:rsidP="009F01A9">
      <w:pPr>
        <w:rPr>
          <w:vanish/>
        </w:rPr>
      </w:pPr>
      <w:bookmarkStart w:id="3" w:name="Commission"/>
      <w:r w:rsidRPr="003F0F82">
        <w:rPr>
          <w:vanish/>
        </w:rPr>
        <w:t>Budžeta kontroles komiteja</w:t>
      </w:r>
      <w:bookmarkEnd w:id="3"/>
    </w:p>
    <w:p w14:paraId="793E4AC2" w14:textId="77777777" w:rsidR="009F01A9" w:rsidRPr="003F0F82" w:rsidRDefault="009F01A9" w:rsidP="009F01A9">
      <w:pPr>
        <w:rPr>
          <w:vanish/>
        </w:rPr>
      </w:pPr>
      <w:bookmarkStart w:id="4" w:name="PE"/>
      <w:r w:rsidRPr="003F0F82">
        <w:rPr>
          <w:vanish/>
        </w:rPr>
        <w:t>PE764.993</w:t>
      </w:r>
      <w:bookmarkEnd w:id="4"/>
    </w:p>
    <w:p w14:paraId="65C6E8CD" w14:textId="12A7314B" w:rsidR="009F01A9" w:rsidRPr="003F0F82" w:rsidRDefault="00B12FDB" w:rsidP="009F01A9">
      <w:pPr>
        <w:pStyle w:val="ATHeading3"/>
      </w:pPr>
      <w:bookmarkStart w:id="5" w:name="Sujet"/>
      <w:r w:rsidRPr="003F0F82">
        <w:t xml:space="preserve">1. </w:t>
      </w:r>
      <w:r w:rsidR="009F01A9" w:rsidRPr="003F0F82">
        <w:t xml:space="preserve">Eiropas Parlamenta 2025. gada </w:t>
      </w:r>
      <w:r w:rsidR="00BC4E23" w:rsidRPr="003F0F82">
        <w:t>7. maija</w:t>
      </w:r>
      <w:r w:rsidR="009F01A9" w:rsidRPr="003F0F82">
        <w:t xml:space="preserve"> lēmums par Eiropas Savienības 2023. finanšu gada vispārējā budžeta izpildes apstiprināšanu, VI iedaļa </w:t>
      </w:r>
      <w:r w:rsidR="0096385A">
        <w:t>–</w:t>
      </w:r>
      <w:r w:rsidR="009F01A9" w:rsidRPr="003F0F82">
        <w:t xml:space="preserve"> Eiropas Ekonomikas un sociālo lietu komiteja</w:t>
      </w:r>
      <w:bookmarkEnd w:id="5"/>
      <w:r w:rsidR="009F01A9" w:rsidRPr="003F0F82">
        <w:t xml:space="preserve"> </w:t>
      </w:r>
      <w:bookmarkStart w:id="6" w:name="References"/>
      <w:r w:rsidR="009F01A9" w:rsidRPr="003F0F82">
        <w:t>(2024/2025(DEC))</w:t>
      </w:r>
      <w:bookmarkEnd w:id="6"/>
    </w:p>
    <w:p w14:paraId="1ADDED7F" w14:textId="77777777" w:rsidR="00991725" w:rsidRPr="003F0F82" w:rsidRDefault="00991725" w:rsidP="00991725">
      <w:pPr>
        <w:pStyle w:val="EPComma"/>
      </w:pPr>
      <w:bookmarkStart w:id="7" w:name="TextBodyBegin"/>
      <w:bookmarkEnd w:id="7"/>
      <w:r w:rsidRPr="003F0F82">
        <w:rPr>
          <w:i/>
        </w:rPr>
        <w:t>Eiropas Parlaments</w:t>
      </w:r>
      <w:r w:rsidRPr="003F0F82">
        <w:t>,</w:t>
      </w:r>
    </w:p>
    <w:p w14:paraId="11CD0812" w14:textId="77777777" w:rsidR="0096385A" w:rsidRPr="0096385A" w:rsidRDefault="00991725" w:rsidP="0096385A">
      <w:pPr>
        <w:spacing w:after="240"/>
        <w:ind w:left="567" w:hanging="567"/>
        <w:rPr>
          <w:kern w:val="2"/>
          <w14:ligatures w14:val="standardContextual"/>
        </w:rPr>
      </w:pPr>
      <w:r w:rsidRPr="003F0F82">
        <w:t>–</w:t>
      </w:r>
      <w:r w:rsidRPr="003F0F82">
        <w:tab/>
      </w:r>
      <w:r w:rsidR="0096385A" w:rsidRPr="0096385A">
        <w:rPr>
          <w:kern w:val="2"/>
          <w14:ligatures w14:val="standardContextual"/>
        </w:rPr>
        <w:t>ņemot vērā Eiropas Savienības 2023. finanšu gada vispārējo budžetu </w:t>
      </w:r>
      <w:r w:rsidR="0096385A" w:rsidRPr="0096385A">
        <w:rPr>
          <w:kern w:val="2"/>
          <w:vertAlign w:val="superscript"/>
          <w14:ligatures w14:val="standardContextual"/>
        </w:rPr>
        <w:footnoteReference w:id="1"/>
      </w:r>
      <w:r w:rsidR="0096385A" w:rsidRPr="0096385A">
        <w:rPr>
          <w:kern w:val="2"/>
          <w14:ligatures w14:val="standardContextual"/>
        </w:rPr>
        <w:t>,</w:t>
      </w:r>
    </w:p>
    <w:p w14:paraId="01BB5716" w14:textId="15A47EE9"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Eiropas Savienības konsolidētos pārskatus par 2023. finanšu gadu (COM(2024)0272 – C10</w:t>
      </w:r>
      <w:r w:rsidRPr="0096385A">
        <w:rPr>
          <w:kern w:val="2"/>
          <w14:ligatures w14:val="standardContextual"/>
        </w:rPr>
        <w:noBreakHyphen/>
        <w:t>0073/2024) </w:t>
      </w:r>
      <w:r w:rsidRPr="0096385A">
        <w:rPr>
          <w:kern w:val="2"/>
          <w:vertAlign w:val="superscript"/>
          <w14:ligatures w14:val="standardContextual"/>
        </w:rPr>
        <w:footnoteReference w:id="2"/>
      </w:r>
      <w:r w:rsidRPr="0096385A">
        <w:rPr>
          <w:kern w:val="2"/>
          <w14:ligatures w14:val="standardContextual"/>
        </w:rPr>
        <w:t>,</w:t>
      </w:r>
    </w:p>
    <w:p w14:paraId="0B08917B" w14:textId="000FB324" w:rsidR="0096385A" w:rsidRPr="0096385A" w:rsidRDefault="0096385A" w:rsidP="0096385A">
      <w:pPr>
        <w:spacing w:after="240"/>
        <w:ind w:left="567" w:hanging="567"/>
        <w:rPr>
          <w:kern w:val="2"/>
          <w:szCs w:val="24"/>
          <w14:ligatures w14:val="standardContextual"/>
        </w:rPr>
      </w:pPr>
      <w:r>
        <w:rPr>
          <w:kern w:val="2"/>
          <w14:ligatures w14:val="standardContextual"/>
        </w:rPr>
        <w:t>–</w:t>
      </w:r>
      <w:r w:rsidRPr="0096385A">
        <w:rPr>
          <w:kern w:val="2"/>
          <w14:ligatures w14:val="standardContextual"/>
        </w:rPr>
        <w:tab/>
        <w:t>ņemot vērā Eiropas Ekonomikas un sociālo lietu komitejas 2023. gada darbības pārskatu,</w:t>
      </w:r>
    </w:p>
    <w:p w14:paraId="62C1CEC9" w14:textId="52070D84"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Revīzijas palātas pārskatu par budžeta izpildi 2023. finanšu gadā un iestāžu atbildes </w:t>
      </w:r>
      <w:r w:rsidRPr="0096385A">
        <w:rPr>
          <w:kern w:val="2"/>
          <w:vertAlign w:val="superscript"/>
          <w14:ligatures w14:val="standardContextual"/>
        </w:rPr>
        <w:footnoteReference w:id="3"/>
      </w:r>
      <w:r w:rsidRPr="0096385A">
        <w:rPr>
          <w:kern w:val="2"/>
          <w14:ligatures w14:val="standardContextual"/>
        </w:rPr>
        <w:t>,</w:t>
      </w:r>
    </w:p>
    <w:p w14:paraId="4026E135" w14:textId="1DA368B2"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deklarāciju </w:t>
      </w:r>
      <w:r w:rsidRPr="0096385A">
        <w:rPr>
          <w:kern w:val="2"/>
          <w:vertAlign w:val="superscript"/>
          <w14:ligatures w14:val="standardContextual"/>
        </w:rPr>
        <w:footnoteReference w:id="4"/>
      </w:r>
      <w:r w:rsidRPr="0096385A">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2E9A83E6" w14:textId="540AA3D9"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Līguma par Eiropas Savienības darbību 314. panta 10. punktu, kā arī 317. līdz 319. pantu,</w:t>
      </w:r>
    </w:p>
    <w:p w14:paraId="78C2D9A1" w14:textId="2DFB4E7B"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 xml:space="preserve">ņemot vērā Eiropas Parlamenta un Padomes 2018. gada 18. jūlija Regulu (ES, Euratom) 2018/1046 par finanšu noteikumiem, ko piemēro Savienības vispārējam budžetam, ar kuru groza Regulas (ES) Nr. 1296/2013, (ES) Nr. 1301/2013, (ES) </w:t>
      </w:r>
      <w:r w:rsidRPr="0096385A">
        <w:rPr>
          <w:kern w:val="2"/>
          <w14:ligatures w14:val="standardContextual"/>
        </w:rPr>
        <w:lastRenderedPageBreak/>
        <w:t>Nr. 1303/2013, (ES) Nr. 1304/2013, (ES) Nr. 1309/2013, (ES) Nr. 1316/2013, (ES) Nr. 223/2014, (ES) Nr. 283/2014 un Lēmumu Nr. 541/2014/ES un atceļ Regulu (ES, Euratom) Nr. 966/2012 </w:t>
      </w:r>
      <w:r w:rsidRPr="0096385A">
        <w:rPr>
          <w:kern w:val="2"/>
          <w:vertAlign w:val="superscript"/>
          <w14:ligatures w14:val="standardContextual"/>
        </w:rPr>
        <w:footnoteReference w:id="5"/>
      </w:r>
      <w:r w:rsidRPr="0096385A">
        <w:rPr>
          <w:kern w:val="2"/>
          <w14:ligatures w14:val="standardContextual"/>
        </w:rPr>
        <w:t>, un jo īpaši tās 59., 118. un 260. līdz 262. pantu,</w:t>
      </w:r>
    </w:p>
    <w:p w14:paraId="6623F5D7" w14:textId="6C6DEADF"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Eiropas Parlamenta un Padomes 2024. gada 23. septembra Regulu (ES, Euratom) 2024/2509 par finanšu noteikumiem, ko piemēro Savienības vispārējam budžetam </w:t>
      </w:r>
      <w:r w:rsidRPr="0096385A">
        <w:rPr>
          <w:bCs/>
          <w:color w:val="333333"/>
          <w:kern w:val="2"/>
          <w:szCs w:val="24"/>
          <w:shd w:val="clear" w:color="auto" w:fill="FFFFFF"/>
          <w:vertAlign w:val="superscript"/>
          <w14:ligatures w14:val="standardContextual"/>
        </w:rPr>
        <w:footnoteReference w:id="6"/>
      </w:r>
      <w:r w:rsidRPr="0096385A">
        <w:rPr>
          <w:kern w:val="2"/>
          <w14:ligatures w14:val="standardContextual"/>
        </w:rPr>
        <w:t>, un jo īpaši tās 59., 118. un 266. līdz 268. pantu,</w:t>
      </w:r>
    </w:p>
    <w:p w14:paraId="0C9B18CB" w14:textId="39171471"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Reglamenta 102. pantu un V pielikumu,</w:t>
      </w:r>
    </w:p>
    <w:p w14:paraId="3512D580" w14:textId="2693DB08"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Budžeta kontroles komitejas ziņojumu (A10-0054/2025),</w:t>
      </w:r>
    </w:p>
    <w:p w14:paraId="2E955A5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w:t>
      </w:r>
      <w:r w:rsidRPr="0096385A">
        <w:rPr>
          <w:kern w:val="2"/>
          <w14:ligatures w14:val="standardContextual"/>
        </w:rPr>
        <w:tab/>
        <w:t>sniedz Eiropas Ekonomikas un sociālo lietu komitejas ģenerālsekretārei apstiprinājumu par Eiropas Ekonomikas un sociālo lietu komitejas 2023. finanšu gada budžeta izpildi;</w:t>
      </w:r>
    </w:p>
    <w:p w14:paraId="32B81A2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w:t>
      </w:r>
      <w:r w:rsidRPr="0096385A">
        <w:rPr>
          <w:kern w:val="2"/>
          <w14:ligatures w14:val="standardContextual"/>
        </w:rPr>
        <w:tab/>
        <w:t>izklāsta savus konstatējumus turpmāk tekstā iekļautajā rezolūcijā;</w:t>
      </w:r>
    </w:p>
    <w:p w14:paraId="5BCFC30C"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w:t>
      </w:r>
      <w:r w:rsidRPr="0096385A">
        <w:rPr>
          <w:kern w:val="2"/>
          <w14:ligatures w14:val="standardContextual"/>
        </w:rPr>
        <w:tab/>
        <w:t xml:space="preserve">uzdod priekšsēdētājai šo lēmumu un rezolūciju, kas ir tā neatņemama daļa, nosūtīt Eiropas Ekonomikas un sociālo lietu komitejai, Padomei, Komisijai un Revīzijas palātai un nodrošināt to publicēšanu </w:t>
      </w:r>
      <w:r w:rsidRPr="0096385A">
        <w:rPr>
          <w:i/>
          <w:iCs/>
          <w:kern w:val="2"/>
          <w14:ligatures w14:val="standardContextual"/>
        </w:rPr>
        <w:t>Eiropas Savienības Oficiālajā Vēstnesī</w:t>
      </w:r>
      <w:r w:rsidRPr="0096385A">
        <w:rPr>
          <w:kern w:val="2"/>
          <w14:ligatures w14:val="standardContextual"/>
        </w:rPr>
        <w:t xml:space="preserve"> (L sērijā).</w:t>
      </w:r>
    </w:p>
    <w:p w14:paraId="4C7A99BF" w14:textId="77777777" w:rsidR="0096385A" w:rsidRPr="0096385A" w:rsidRDefault="0096385A" w:rsidP="0096385A">
      <w:pPr>
        <w:widowControl/>
        <w:rPr>
          <w:rFonts w:eastAsia="Aptos"/>
          <w:szCs w:val="24"/>
          <w:lang w:eastAsia="en-US"/>
        </w:rPr>
        <w:sectPr w:rsidR="0096385A" w:rsidRPr="0096385A" w:rsidSect="0096385A">
          <w:footnotePr>
            <w:numRestart w:val="eachSect"/>
          </w:footnotePr>
          <w:pgSz w:w="11906" w:h="16838"/>
          <w:pgMar w:top="1440" w:right="1440" w:bottom="1440" w:left="1440" w:header="708" w:footer="708" w:gutter="0"/>
          <w:cols w:space="720"/>
        </w:sectPr>
      </w:pPr>
    </w:p>
    <w:p w14:paraId="16690DEE" w14:textId="77777777" w:rsidR="0096385A" w:rsidRPr="0096385A" w:rsidRDefault="0096385A" w:rsidP="0096385A">
      <w:pPr>
        <w:pStyle w:val="ATHeading3"/>
      </w:pPr>
      <w:r w:rsidRPr="0096385A">
        <w:lastRenderedPageBreak/>
        <w:t>2. Eiropas Parlamenta 2025. gada 7. maija rezolūcija ar konstatējumiem, kas ir neatņemama daļa no lēmuma par Eiropas Savienības 2023. finanšu gada vispārējā budžeta izpildes apstiprināšanu, VI iedaļa – Eiropas Ekonomikas un sociālo lietu komiteja (2024/2025(DEC))</w:t>
      </w:r>
    </w:p>
    <w:p w14:paraId="57481942" w14:textId="26EDAFC5" w:rsidR="0096385A" w:rsidRPr="0096385A" w:rsidRDefault="0096385A" w:rsidP="0096385A">
      <w:pPr>
        <w:spacing w:before="480" w:after="240"/>
        <w:rPr>
          <w:iCs/>
          <w:kern w:val="2"/>
          <w14:ligatures w14:val="standardContextual"/>
        </w:rPr>
      </w:pPr>
      <w:r w:rsidRPr="003F0F82">
        <w:rPr>
          <w:i/>
        </w:rPr>
        <w:t>Eiropas Parlaments</w:t>
      </w:r>
      <w:r w:rsidRPr="0096385A">
        <w:rPr>
          <w:iCs/>
          <w:kern w:val="2"/>
          <w14:ligatures w14:val="standardContextual"/>
        </w:rPr>
        <w:t>,</w:t>
      </w:r>
    </w:p>
    <w:p w14:paraId="03FDE2DB" w14:textId="5AEBF5EA"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lēmumu par Eiropas Savienības 2023. finanšu gada vispārējā budžeta izpildes apstiprināšanu, VI iedaļa – Eiropas Ekonomikas un sociālo lietu komiteja,</w:t>
      </w:r>
    </w:p>
    <w:p w14:paraId="3DF491EC" w14:textId="7B478C0F"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Reglamenta 102. pantu un V pielikumu,</w:t>
      </w:r>
    </w:p>
    <w:p w14:paraId="6A8EE492" w14:textId="456A3DCA" w:rsidR="0096385A" w:rsidRPr="0096385A" w:rsidRDefault="0096385A" w:rsidP="0096385A">
      <w:pPr>
        <w:spacing w:after="240"/>
        <w:ind w:left="567" w:hanging="567"/>
        <w:rPr>
          <w:kern w:val="2"/>
          <w14:ligatures w14:val="standardContextual"/>
        </w:rPr>
      </w:pPr>
      <w:r>
        <w:rPr>
          <w:kern w:val="2"/>
          <w14:ligatures w14:val="standardContextual"/>
        </w:rPr>
        <w:t>–</w:t>
      </w:r>
      <w:r w:rsidRPr="0096385A">
        <w:rPr>
          <w:kern w:val="2"/>
          <w14:ligatures w14:val="standardContextual"/>
        </w:rPr>
        <w:tab/>
        <w:t>ņemot vērā Budžeta kontroles komitejas ziņojumu (A10-0054/2025),</w:t>
      </w:r>
    </w:p>
    <w:p w14:paraId="06E3AD14"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A.</w:t>
      </w:r>
      <w:r w:rsidRPr="0096385A">
        <w:rPr>
          <w:kern w:val="2"/>
          <w14:ligatures w14:val="standardContextual"/>
        </w:rPr>
        <w:tab/>
        <w:t xml:space="preserve">tā kā saistībā ar budžeta izpildes apstiprināšanas procedūru budžeta izpildes </w:t>
      </w:r>
      <w:proofErr w:type="spellStart"/>
      <w:r w:rsidRPr="0096385A">
        <w:rPr>
          <w:kern w:val="2"/>
          <w14:ligatures w14:val="standardContextual"/>
        </w:rPr>
        <w:t>apstiprinātājiestāde</w:t>
      </w:r>
      <w:proofErr w:type="spellEnd"/>
      <w:r w:rsidRPr="0096385A">
        <w:rPr>
          <w:kern w:val="2"/>
          <w14:ligatures w14:val="standardContextual"/>
        </w:rPr>
        <w:t xml:space="preserve"> vēlas uzsvērt, ka ir īpaši svarīgi vēl vairāk pastiprināt Savienības iestāžu demokrātisko leģitimitāti, uzlabojot </w:t>
      </w:r>
      <w:proofErr w:type="spellStart"/>
      <w:r w:rsidRPr="0096385A">
        <w:rPr>
          <w:kern w:val="2"/>
          <w14:ligatures w14:val="standardContextual"/>
        </w:rPr>
        <w:t>pārredzamību</w:t>
      </w:r>
      <w:proofErr w:type="spellEnd"/>
      <w:r w:rsidRPr="0096385A">
        <w:rPr>
          <w:kern w:val="2"/>
          <w14:ligatures w14:val="standardContextual"/>
        </w:rPr>
        <w:t xml:space="preserve"> un </w:t>
      </w:r>
      <w:proofErr w:type="spellStart"/>
      <w:r w:rsidRPr="0096385A">
        <w:rPr>
          <w:kern w:val="2"/>
          <w14:ligatures w14:val="standardContextual"/>
        </w:rPr>
        <w:t>pārskatatbildību</w:t>
      </w:r>
      <w:proofErr w:type="spellEnd"/>
      <w:r w:rsidRPr="0096385A">
        <w:rPr>
          <w:kern w:val="2"/>
          <w14:ligatures w14:val="standardContextual"/>
        </w:rPr>
        <w:t xml:space="preserve"> un īstenojot uz sniegumu balstītas budžeta izstrādes un labas cilvēkresursu pārvaldības koncepciju;</w:t>
      </w:r>
    </w:p>
    <w:p w14:paraId="67738B4A"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B.</w:t>
      </w:r>
      <w:r w:rsidRPr="0096385A">
        <w:rPr>
          <w:kern w:val="2"/>
          <w14:ligatures w14:val="standardContextual"/>
        </w:rPr>
        <w:tab/>
        <w:t>tā kā Eiropas Ekonomikas un sociālo lietu komiteja (“Komiteja”) ir Savienības padomdevēja struktūra, kas nodrošina forumu apspriedēm, dialogam un vienprātības panākšanai starp dalībvalstu organizētas pilsoniskās sabiedrības dažādu ekonomisko, sociālo un pilsonisko struktūru pārstāvjiem;</w:t>
      </w:r>
    </w:p>
    <w:p w14:paraId="56B38A7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C.</w:t>
      </w:r>
      <w:r w:rsidRPr="0096385A">
        <w:rPr>
          <w:kern w:val="2"/>
          <w14:ligatures w14:val="standardContextual"/>
        </w:rPr>
        <w:tab/>
        <w:t xml:space="preserve">tā kā Komiteja sniedz ieguldījumu Savienības lēmumu pieņemšanas procesā un, nodrošinot saikni starp Savienības </w:t>
      </w:r>
      <w:proofErr w:type="spellStart"/>
      <w:r w:rsidRPr="0096385A">
        <w:rPr>
          <w:kern w:val="2"/>
          <w14:ligatures w14:val="standardContextual"/>
        </w:rPr>
        <w:t>rīcībpolitikām</w:t>
      </w:r>
      <w:proofErr w:type="spellEnd"/>
      <w:r w:rsidRPr="0096385A">
        <w:rPr>
          <w:kern w:val="2"/>
          <w14:ligatures w14:val="standardContextual"/>
        </w:rPr>
        <w:t xml:space="preserve"> un ekonomiskajiem, sociālajiem un pilsoniskajiem apstākļiem, tā pilda savus uzdevumus – uzlabot likumdošanas procesu, sekmēt augšupēju līdzdalības demokrātiju un veicināt Eiropas vērtības;</w:t>
      </w:r>
    </w:p>
    <w:p w14:paraId="40D40FB6"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D.</w:t>
      </w:r>
      <w:r w:rsidRPr="0096385A">
        <w:rPr>
          <w:kern w:val="2"/>
          <w14:ligatures w14:val="standardContextual"/>
        </w:rPr>
        <w:tab/>
        <w:t>tā kā noteiktos gadījumos Komisijai vai Padomei ir obligāti jāapspriežas ar Komiteju un Komiteja var arī pieņemt atzinumus pēc savas iniciatīvas, vienlaikus aplūkojot plašu jautājumu loku, kā noteikts Vienotajā Eiropas aktā, Māstrihtas līgumā un Amsterdamas līgumā, tādējādi nodrošinot iespēju tos apspriest Parlamentā;</w:t>
      </w:r>
    </w:p>
    <w:p w14:paraId="226B8519"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E.</w:t>
      </w:r>
      <w:r w:rsidRPr="0096385A">
        <w:rPr>
          <w:kern w:val="2"/>
          <w14:ligatures w14:val="standardContextual"/>
        </w:rPr>
        <w:tab/>
        <w:t>tā kā Komitejas Finanšu un budžeta lietu komisija (</w:t>
      </w:r>
      <w:r w:rsidRPr="0096385A">
        <w:rPr>
          <w:i/>
          <w:kern w:val="2"/>
          <w14:ligatures w14:val="standardContextual"/>
        </w:rPr>
        <w:t>CAF</w:t>
      </w:r>
      <w:r w:rsidRPr="0096385A">
        <w:rPr>
          <w:kern w:val="2"/>
          <w14:ligatures w14:val="standardContextual"/>
        </w:rPr>
        <w:t>) ir Komitejas uzraudzības struktūra attiecībā uz visām budžeta procedūrām un jo īpaši budžeta tāmju sagatavošanu, budžeta izpildi, gada darbības pārskatu, budžeta izpildes apstiprināšanu un turpmāko rīcību saistībā ar Revīzijas palātas gada pārskatu;</w:t>
      </w:r>
    </w:p>
    <w:p w14:paraId="11DDCA9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F.</w:t>
      </w:r>
      <w:r w:rsidRPr="0096385A">
        <w:rPr>
          <w:kern w:val="2"/>
          <w14:ligatures w14:val="standardContextual"/>
        </w:rPr>
        <w:tab/>
        <w:t xml:space="preserve">tā kā pēdējos gados Komiteja ir īstenojusi iniciatīvas, lai piesaistītu un noturētu kvalificētus darbiniekus, optimizētu savu organizatorisko struktūru un darba metodes un veicinātu </w:t>
      </w:r>
      <w:proofErr w:type="spellStart"/>
      <w:r w:rsidRPr="0096385A">
        <w:rPr>
          <w:kern w:val="2"/>
          <w14:ligatures w14:val="standardContextual"/>
        </w:rPr>
        <w:t>cieņpilnu</w:t>
      </w:r>
      <w:proofErr w:type="spellEnd"/>
      <w:r w:rsidRPr="0096385A">
        <w:rPr>
          <w:kern w:val="2"/>
          <w14:ligatures w14:val="standardContextual"/>
        </w:rPr>
        <w:t xml:space="preserve"> darba vidi ierobežota budžeta kontekstā,</w:t>
      </w:r>
    </w:p>
    <w:p w14:paraId="04B24A7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w:t>
      </w:r>
      <w:r w:rsidRPr="0096385A">
        <w:rPr>
          <w:kern w:val="2"/>
          <w14:ligatures w14:val="standardContextual"/>
        </w:rPr>
        <w:tab/>
        <w:t>norāda, ka Komitejas budžets ietilpst DFS 7. izdevumu kategorijā “Eiropas publiskā pārvalde”, kuras kopējais apjoms 2023. gadā bija 12,3 miljardi EUR, t. i., 6,4 % no ES budžeta izdevumiem; norāda, ka 2023. gadā Komitejas budžets veidoja 1,29 % no DFS 7. izdevumu kategorijas apropriācijām;</w:t>
      </w:r>
    </w:p>
    <w:p w14:paraId="46DF8CE0"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w:t>
      </w:r>
      <w:r w:rsidRPr="0096385A">
        <w:rPr>
          <w:kern w:val="2"/>
          <w14:ligatures w14:val="standardContextual"/>
        </w:rPr>
        <w:tab/>
        <w:t xml:space="preserve">norāda, ka Revīzijas palāta savā 2023. finanšu gada pārskatā (“Revīzijas palātas pārskats”) 7. izdevumu kategorijā ir pārbaudījusi 70 darījumu izlasi, no kuriem </w:t>
      </w:r>
      <w:r w:rsidRPr="0096385A">
        <w:rPr>
          <w:kern w:val="2"/>
          <w14:ligatures w14:val="standardContextual"/>
        </w:rPr>
        <w:lastRenderedPageBreak/>
        <w:t>21 darījumā (30 %) bija kļūdas; turklāt norāda, ka attiecībā uz piecām Revīzijas palātas skaitļos izteiktajām kļūdām Revīzijas palātas aplēstais kļūdu līmenis bija zem būtiskuma sliekšņa;</w:t>
      </w:r>
    </w:p>
    <w:p w14:paraId="092C387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w:t>
      </w:r>
      <w:r w:rsidRPr="0096385A">
        <w:rPr>
          <w:kern w:val="2"/>
          <w14:ligatures w14:val="standardContextual"/>
        </w:rPr>
        <w:tab/>
        <w:t>norāda, ka saskaņā ar Revīzijas palātas ziņojumu administratīvie izdevumi ietver izdevumus par cilvēkresursiem, tostarp pensijām, kuri 2023. gadā veidoja aptuveni 70 % no kopējiem administratīvajiem izdevumiem, kā arī izdevumus par ēkām, iekārtām, energoresursiem, sakariem un informācijas tehnoloģiju; atzinīgi vērtē to, ka Revīzijas palāta tāpat kā iepriekšējos gados ir secinājusi, ka administratīvie izdevumi kopumā ir zema riska izdevumi; norāda, ka Revīzijas palāta 2023. gadā attiecībā uz Komiteju nekonstatēja īpašas problēmas;</w:t>
      </w:r>
    </w:p>
    <w:p w14:paraId="007E9422"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Budžeta un finanšu pārvaldība</w:t>
      </w:r>
    </w:p>
    <w:p w14:paraId="1305959A"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w:t>
      </w:r>
      <w:r w:rsidRPr="0096385A">
        <w:rPr>
          <w:kern w:val="2"/>
          <w14:ligatures w14:val="standardContextual"/>
        </w:rPr>
        <w:tab/>
        <w:t>norāda, ka Komitejas galīgais pieņemtais budžets 2023. gadā bija 158 767 970 EUR, kas ir par 4,1 % vairāk nekā 2022. gadā; pēc iepazīšanās ar Komitejas atbildēm uz Budžeta kontroles komitejas iesniegto anketu par 2023. gada budžeta izpildes apstiprināšanu (“aptauja”) un Komitejas 2023. gada darbības pārskatu (“gada pārskats”) norāda, ka atalgojuma un pabalstu budžeta pozīcija (izdevumi attiecībā uz Komitejas darbiniekiem un locekļiem) laikposmā no 2022. līdz 2023. gadam palielinājās par 8,4 % inflācijas dēļ; pēc iepazīšanās ar aptauju norāda, ka budžets ārējai palīdzībai attiecībā uz programmatūras sistēmu ekspluatāciju, izstrādi un uzturēšanu laikposmā no 2022. līdz 2023. gadam palielinājās par 33,70 %, jo Komiteja 2023. gadā par prioritāti noteica digitālās stratēģijas 2024.–2026. gadam īstenošanu; norāda, ka citādi apropriāciju sadalījums pa citām budžeta pozīcijām Komitejas 2023. gada budžetā saglabājās salīdzināms ar iepriekšējo gadu sadalījumu;</w:t>
      </w:r>
    </w:p>
    <w:p w14:paraId="5848DFB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w:t>
      </w:r>
      <w:r w:rsidRPr="0096385A">
        <w:rPr>
          <w:kern w:val="2"/>
          <w14:ligatures w14:val="standardContextual"/>
        </w:rPr>
        <w:tab/>
        <w:t>ar gandarījumu norāda, ka Komitejas budžeta izpildes līmenis attiecībā uz kārtējā gada saistību apropriācijām ir vēl vairāk palielinājies no 96,12 % 2022. gadā līdz 98,70 % 2023. gadā, atstājot novārtā zemāku budžeta izpildi iepriekšējos gados Covid-19 pandēmijas un ar to saistīto ceļošanas ierobežojumu dēļ; turklāt norāda, ka kārtējā gada maksājumu apropriāciju izpildes līmenis palielinājās no 88,12 % 2022. gadā līdz 90,67 % 2023. gadā; norāda, ka vidējais maksājumu laiks 2023. gadā bija 20,14 dienas, kas ir vairāk nekā 2022. gadā (t. i., 18,34 dienas);</w:t>
      </w:r>
    </w:p>
    <w:p w14:paraId="7EBBE36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w:t>
      </w:r>
      <w:r w:rsidRPr="0096385A">
        <w:rPr>
          <w:kern w:val="2"/>
          <w14:ligatures w14:val="standardContextual"/>
        </w:rPr>
        <w:tab/>
        <w:t>norāda, ka apropriāciju pārnesumi no 2023. uz 2024. gadu bija 13 827 713 EUR (t. i., aptuveni 8,70 % no Komitejas 2023. gada budžeta), kas ir par 20 162 518 EUR mazāk nekā iepriekšējā gadā (t. i., aptuveni 13 % no Komitejas 2022. gada budžeta); turklāt ar gandarījumu norāda, ka no 2022. uz 2023. gadu pārnesto apropriāciju izpildes līmenis 2023. gadā bija 86,76 % salīdzinājumā ar 76,91 % 2022. gadā; mudina Komiteju turpināt efektīvi izmantot piešķirtos līdzekļus;</w:t>
      </w:r>
    </w:p>
    <w:p w14:paraId="0910067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7.</w:t>
      </w:r>
      <w:r w:rsidRPr="0096385A">
        <w:rPr>
          <w:kern w:val="2"/>
          <w14:ligatures w14:val="standardContextual"/>
        </w:rPr>
        <w:tab/>
        <w:t>norāda, ka Komitejas dienesti 2022. gadā uzsāka 12 sarunu procedūras par summu zem 60 000 EUR, galvenokārt saistībā ar gadījumu analīzi, pētījumiem un loģistikas atbalstu; norāda, ka Komiteja ir arī uzsākusi sešas iepirkuma procedūras ar kopīgajiem dienestiem, kas ir kopīgi ar Eiropas Reģionu komiteju (RK), galvenokārt loģistikas un tehniskās apkopes jomā;</w:t>
      </w:r>
    </w:p>
    <w:p w14:paraId="46D4DC7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8.</w:t>
      </w:r>
      <w:r w:rsidRPr="0096385A">
        <w:rPr>
          <w:kern w:val="2"/>
          <w14:ligatures w14:val="standardContextual"/>
        </w:rPr>
        <w:tab/>
        <w:t xml:space="preserve">norāda, ka 2023. gadā Komiteja turpināja uzlabot savu darba metožu rentabilitāti, jo īpaši ar </w:t>
      </w:r>
      <w:proofErr w:type="spellStart"/>
      <w:r w:rsidRPr="0096385A">
        <w:rPr>
          <w:kern w:val="2"/>
          <w14:ligatures w14:val="standardContextual"/>
        </w:rPr>
        <w:t>hibrīddarbu</w:t>
      </w:r>
      <w:proofErr w:type="spellEnd"/>
      <w:r w:rsidRPr="0096385A">
        <w:rPr>
          <w:kern w:val="2"/>
          <w14:ligatures w14:val="standardContextual"/>
        </w:rPr>
        <w:t xml:space="preserve">, plašāku tāldarbu, finanšu ķēžu pilnīgu dematerializāciju un samazinātu enerģijas patēriņu; pēc iepazīšanās ar aptauju norāda, ka, samazinot </w:t>
      </w:r>
      <w:r w:rsidRPr="0096385A">
        <w:rPr>
          <w:kern w:val="2"/>
          <w14:ligatures w14:val="standardContextual"/>
        </w:rPr>
        <w:lastRenderedPageBreak/>
        <w:t>enerģijas patēriņu, Komiteja 2023. gadā panāca finansiālus ietaupījumus 65 000 EUR apmērā; atzinīgi vērtē to, ka Komiteja ir parakstījusi jaunu pamatlīgumu par medicīniskajām pārbaudēm, kas paredz zemākas cenas, lielāku elastību un labākus pakalpojumus kopumā nekā iepriekšējais līgums; atzīst ievērojamos budžeta un administratīvos ietaupījumus, ko Komiteja panāca, izmantojot iestāžu sadarbību, īpaši izmantojot kopīgus dienestus ar Reģionu komiteju un īpašu ārpakalpojumu uzticēšanu Komisijai (pakalpojumu līmeņa vienošanās) cilvēkresursu jautājumu risināšanai, un dažādu IT instrumentu izmantošanu finanšu pārvaldībai un cilvēkresursu vadībai, kā arī dalību iestāžu iepirkuma procedūrās, ko vada citas iestādes; pēc iepazīšanās ar aptaujas rezultātiem norāda, ka kopējās izmaksas, kas Komitejai radušās saistībā ar konkrētu pakalpojumu nodošanu ārpakalpojumu sniedzējiem Komisijai, ir palielinājušās no 743 600 EUR 2022. gadā līdz 793 000 EUR 2023. gadā;</w:t>
      </w:r>
    </w:p>
    <w:p w14:paraId="6F1ACE3E"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9.</w:t>
      </w:r>
      <w:r w:rsidRPr="0096385A">
        <w:rPr>
          <w:kern w:val="2"/>
          <w14:ligatures w14:val="standardContextual"/>
        </w:rPr>
        <w:tab/>
        <w:t>atgādina, ka Padomes 2023. gada 25. maija lēmumā dienas nauda par Komitejas locekļu attālinātu dalību sanāksmēs, kas nav obligātas, ir 145 EUR par katru neklātienes sanāksmi dienā, kas ir 50 % no dienas naudas par klātienes dalību 2023. gadā; uzskata, ka, neraugoties uz to, ka attālināta dalība ir svarīgs mūsdienu iestāžu instruments, ņemot vērā, ka tas cita starpā samazina sanāksmju izmaksas un nodrošina plašāku dalību, dienas naudas piešķiršana par attālinātu dalību sanāksmēs, pat ja tā ir samazināta un paredzēta tikai dažiem pasākumu veidiem, ir grūti saprotama sabiedrībai, vēl jo vairāk, ņemot vērā samaksas atšķirību Komitejas un RK locekļiem par attālinātu dalību; pēc iepazīšanās ar Komitejas ziņojumu par turpmākajiem pasākumiem saistībā ar Parlamenta rezolūciju par Komitejas 2022. gada budžeta izpildi (turpmāk “ziņojums par turpmākajiem pasākumiem”) ar gandarījumu norāda, ka minētā lēmuma piemērošana jau ir radījusi budžeta ietaupījumus 1 677 000 EUR apmērā, pateicoties mazākiem ceļa izdevumiem un izmaksātajiem pabalstiem, kā arī vides ietaupījumiem aptuveni 553,66 tonnu CO</w:t>
      </w:r>
      <w:r w:rsidRPr="0096385A">
        <w:rPr>
          <w:kern w:val="2"/>
          <w:vertAlign w:val="subscript"/>
          <w14:ligatures w14:val="standardContextual"/>
        </w:rPr>
        <w:t>2</w:t>
      </w:r>
      <w:r w:rsidRPr="0096385A">
        <w:rPr>
          <w:kern w:val="2"/>
          <w14:ligatures w14:val="standardContextual"/>
        </w:rPr>
        <w:t xml:space="preserve"> apmērā, jo 2023. gadā bija mazāk braucienu; pēc iepazīšanās ar gada pārskatu konstatē, ka atlīdzināto sanāksmju dienu skaits, kas apmeklētas neklātienē, bija 2006 (2022. gadā – 6 259) un ka vidējais vienas sanāksmes ilgums 2023. gadā bija 3 stundas un kopējās izmaksas bija 294 930 EUR (2022. gadā – 922 925 EUR); atzinīgi vērtē vairākkārtējas pārbaudes, ko Komiteja veikusi, lai pierādītu locekļu attālinātu dalību pirms dienas naudas izmaksas;</w:t>
      </w:r>
    </w:p>
    <w:p w14:paraId="72671AE1"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10.</w:t>
      </w:r>
      <w:r w:rsidRPr="0096385A">
        <w:rPr>
          <w:kern w:val="2"/>
          <w14:ligatures w14:val="standardContextual"/>
        </w:rPr>
        <w:tab/>
        <w:t xml:space="preserve">norāda, ka Krievijas agresijas kara pret Ukrainu ietekme turpināja radīt spiedienu uz Komitejas budžetu 2023. gadā, palielinot inflāciju un algu korekcijas, radot problēmas būvniecības projektos, ko izraisīja kavēšanās un augstākas izejvielu cenas, nomas līgumu indeksāciju (+10,3 % 2023. gadā salīdzinājumā ar 2022. gadu), kā arī apkopes un drošības pakalpojumu līgumu indeksāciju (+13,50 % 2023. gadā salīdzinājumā ar 2021. gadu); jo īpaši norāda, ka enerģijas izmaksas laikā no 2021. līdz 2022. gadam palielinājās no 726 000 EUR līdz 3 125 000 EUR, pirms 2023. gadā tās samazinājās līdz 1 923 391 EUR; atzīst ar algām nesaistīto izdevumu maksimālo apjomu 2 % apmērā; šajā sakarībā atzinīgi vērtē Komitejas iniciatīvu risināt problēmas budžeta līmenī, piemēram, īstenojot </w:t>
      </w:r>
      <w:proofErr w:type="spellStart"/>
      <w:r w:rsidRPr="0096385A">
        <w:rPr>
          <w:kern w:val="2"/>
          <w14:ligatures w14:val="standardContextual"/>
        </w:rPr>
        <w:t>energotaupības</w:t>
      </w:r>
      <w:proofErr w:type="spellEnd"/>
      <w:r w:rsidRPr="0096385A">
        <w:rPr>
          <w:kern w:val="2"/>
          <w14:ligatures w14:val="standardContextual"/>
        </w:rPr>
        <w:t xml:space="preserve"> stratēģijas, izmantojot īstermiņa, kā arī vidēja termiņa un ilgtermiņa pasākumus, tādējādi 2023. gadā nav nepieciešams budžeta grozījums;</w:t>
      </w:r>
    </w:p>
    <w:p w14:paraId="787F1B67"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11.</w:t>
      </w:r>
      <w:r w:rsidRPr="0096385A">
        <w:rPr>
          <w:kern w:val="2"/>
          <w14:ligatures w14:val="standardContextual"/>
        </w:rPr>
        <w:tab/>
        <w:t xml:space="preserve">norāda, ka kārtējā gada apropriācijas 1004. budžeta pozīcijā (izdevumi deputātu ceļa izdevumiem, tostarp dienas nauda un sanāksmju dienas nauda) ir samazinājušās no 19,790 miljoniem EUR 2022. gadā (no kuriem tika izmaksāti 15,895 miljoni EUR) līdz 19,761 miljonam EUR 2023. gadā (no kuriem tika izmaksāti 18,344 miljoni EUR); ar gandarījumu norāda, ka šo apropriāciju izpildes līmenis ir uzlabojies no 80,31 % </w:t>
      </w:r>
      <w:r w:rsidRPr="0096385A">
        <w:rPr>
          <w:kern w:val="2"/>
          <w14:ligatures w14:val="standardContextual"/>
        </w:rPr>
        <w:lastRenderedPageBreak/>
        <w:t>2022. gadā līdz 92,83 % 2023. gadā; norāda, ka Komitejas priekšsēdētājs piedalījās 35 komandējumos par kopējo summu 71 926 EUR 2023. gadā salīdzinājumā ar 26 komandējumiem par kopējo summu 38 042 EUR 2022. gadā;</w:t>
      </w:r>
    </w:p>
    <w:p w14:paraId="3F4B2D63"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12.</w:t>
      </w:r>
      <w:r w:rsidRPr="0096385A">
        <w:rPr>
          <w:kern w:val="2"/>
          <w14:ligatures w14:val="standardContextual"/>
        </w:rPr>
        <w:tab/>
        <w:t xml:space="preserve">pēc iepazīšanās ar aptaujas rezultātiem norāda, ka Komitejas un RK Kopīgā Inovācijas un informācijas tehnoloģiju direkcija aptuveni 3 % no sava IT budžeta piešķir </w:t>
      </w:r>
      <w:proofErr w:type="spellStart"/>
      <w:r w:rsidRPr="0096385A">
        <w:rPr>
          <w:kern w:val="2"/>
          <w14:ligatures w14:val="standardContextual"/>
        </w:rPr>
        <w:t>kiberdrošībai</w:t>
      </w:r>
      <w:proofErr w:type="spellEnd"/>
      <w:r w:rsidRPr="0096385A">
        <w:rPr>
          <w:kern w:val="2"/>
          <w14:ligatures w14:val="standardContextual"/>
        </w:rPr>
        <w:t>, kas ir tālu no attiecīgajos tiesību aktos noteiktā 10 % mērķa; aicina likumdevējus un Komisiju to ņemt vērā ikgadējā budžeta procedūrā;</w:t>
      </w:r>
    </w:p>
    <w:p w14:paraId="42190941" w14:textId="77777777" w:rsidR="0096385A" w:rsidRPr="0096385A" w:rsidRDefault="0096385A" w:rsidP="0096385A">
      <w:pPr>
        <w:spacing w:after="240"/>
        <w:ind w:left="567" w:hanging="567"/>
        <w:rPr>
          <w:kern w:val="2"/>
          <w14:ligatures w14:val="standardContextual"/>
        </w:rPr>
      </w:pPr>
      <w:r w:rsidRPr="0096385A">
        <w:rPr>
          <w:b/>
          <w:i/>
          <w:kern w:val="2"/>
          <w14:ligatures w14:val="standardContextual"/>
        </w:rPr>
        <w:t>Iekšējā pārvaldība, sniegums un iekšējā kontrole</w:t>
      </w:r>
    </w:p>
    <w:p w14:paraId="5584D7B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13.</w:t>
      </w:r>
      <w:r w:rsidRPr="0096385A">
        <w:rPr>
          <w:kern w:val="2"/>
          <w14:ligatures w14:val="standardContextual"/>
        </w:rPr>
        <w:tab/>
        <w:t>pēc iepazīšanās ar gada ziņojumu norāda, ka saskaņā ar 2023. gada darba programmu Komitejai kopumā bija 31 mērķis, kas bija paredzēts visām tās administrācijas struktūrām, un ka saskaņā ar ģenerālsekretariāta stratēģiju 2021.–2025. gadam Komitejai ir piecas pamatvērtības un pieci galvenie stratēģiskie mērķi; pēc iepazīšanās ar aptauju norāda, ka sagatavoto atzinumu skaits un dalība augsta līmeņa sanāksmēs ir galvenie rādītāji, pēc kuriem mēra Komitejas sniegumu; pēc iepazīšanās ar aptaujas rezultātiem pieņem zināšanai, ka Komitejai ir snieguma rādītāji dažādās jomās, piemēram, IT, cilvēkresursu, tulkošanas un komunikācijas jomā; prasa Komitejai turpmākajos ziņojumos iekļaut sarakstu ar visiem galvenajiem snieguma rādītājiem un mērķiem pa darbībām, kā arī to sasniegšanai noteikto mērķi (%) un to sasniegšanas līmeni (%);</w:t>
      </w:r>
    </w:p>
    <w:p w14:paraId="645507F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14.</w:t>
      </w:r>
      <w:r w:rsidRPr="0096385A">
        <w:rPr>
          <w:kern w:val="2"/>
          <w14:ligatures w14:val="standardContextual"/>
        </w:rPr>
        <w:tab/>
        <w:t>norāda, ka Komiteja savu uzdevumu īsteno ar atzinumiem, kas attiecas uz Komisijas iesniegtajiem tiesību aktu priekšlikumiem (atzinuma pieprasījumi), pašiniciatīvas atzinumiem, kuros Savienības iestādes tiek aicinātas rīkoties, un izpētes atzinumiem, kas papildina Komisijas darbu pie tās plānotajām iniciatīvām, un ka Komitejas nostājas var uzsvērt rezolūcijās vai iekļaut novērtējuma un informatīvajos ziņojumos; atzinīgi vērtē Komitejas sniegumu, palīdzot Parlamentam, Padomei un Komisijai likumdošanas ciklā 2023. gadā; šajā sakarībā norāda, ka 2023. gadā Komiteja pieņēma 213 atzinumus un ziņojumus, kas ir vairāk nekā 202 atzinumi un ziņojumi 2022. gadā, un organizēja 146 uzklausīšanas un 23 konferences salīdzinājumā ar attiecīgi 116 un 29 konferencēm 2022. gadā; norāda, ka Komitejas locekļi 2023. gadā piedalījās 429 augsta līmeņa sanāksmēs, samitos un konferencēs salīdzinājumā ar 345 sanāksmēm 2022. gadā;</w:t>
      </w:r>
    </w:p>
    <w:p w14:paraId="2D1F38D7"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15.</w:t>
      </w:r>
      <w:r w:rsidRPr="0096385A">
        <w:rPr>
          <w:kern w:val="2"/>
          <w14:ligatures w14:val="standardContextual"/>
        </w:rPr>
        <w:tab/>
        <w:t xml:space="preserve">atzinīgi vērtē to, ka Komiteja 2023. gadā ir rīkojusies, lai uzlabotu sava darba </w:t>
      </w:r>
      <w:proofErr w:type="spellStart"/>
      <w:r w:rsidRPr="0096385A">
        <w:rPr>
          <w:kern w:val="2"/>
          <w14:ligatures w14:val="standardContextual"/>
        </w:rPr>
        <w:t>pamanāmību</w:t>
      </w:r>
      <w:proofErr w:type="spellEnd"/>
      <w:r w:rsidRPr="0096385A">
        <w:rPr>
          <w:kern w:val="2"/>
          <w14:ligatures w14:val="standardContextual"/>
        </w:rPr>
        <w:t xml:space="preserve"> un ietekmi saistībā ar atzinumu formātu, metodiku atzinumu pēckontrolei, sadarbību ar Parlamentu un Komisiju un citiem transversāla rakstura projektiem, kā arī inovatīvām iniciatīvām, piemēram, ES jauniešu testu, paplašināšanās kandidātvalsts iniciatīvu un Eiropas aprites ekonomikas jautājumos ieinteresēto personu platformu;</w:t>
      </w:r>
    </w:p>
    <w:p w14:paraId="21D46D1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16.</w:t>
      </w:r>
      <w:r w:rsidRPr="0096385A">
        <w:rPr>
          <w:b/>
          <w:i/>
          <w:kern w:val="2"/>
          <w14:ligatures w14:val="standardContextual"/>
        </w:rPr>
        <w:tab/>
      </w:r>
      <w:r w:rsidRPr="0096385A">
        <w:rPr>
          <w:kern w:val="2"/>
          <w14:ligatures w14:val="standardContextual"/>
        </w:rPr>
        <w:t>atzinīgi vērtē Komitejas iniciatīvas, kuru mērķis ir veicināt jauniešu aktīvu iesaistīšanos politikas veidošanas procesā;</w:t>
      </w:r>
    </w:p>
    <w:p w14:paraId="6D69F527"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17.</w:t>
      </w:r>
      <w:r w:rsidRPr="0096385A">
        <w:rPr>
          <w:kern w:val="2"/>
          <w14:ligatures w14:val="standardContextual"/>
        </w:rPr>
        <w:tab/>
        <w:t>atzinīgi vērtē izmēģinājuma projektu, kas tika īstenots laikposmā no 2022. gada septembra līdz 2023. gada aprīlim ar mērķi pastiprināt darbu pēc atlasītajiem atzinumiem attiecībā uz visām iestādēm, savukārt 19 atzinumi tika atlasīti pastiprinātai pēcpārbaudei saskaņā ar šo projektu; pēc iepazīšanās ar aptaujas rezultātiem norāda uz minētā izmēģinājuma projekta vispārējiem pozitīvajiem rezultātiem, piemēram, uzlabojot Komitejas spēju veikt turpmākus pasākumus, uzlabojot Komitejas darba prioritātes un palielinot atlasīto atzinumu tvērumu un ietekmi;</w:t>
      </w:r>
    </w:p>
    <w:p w14:paraId="14EEC54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lastRenderedPageBreak/>
        <w:t>18.</w:t>
      </w:r>
      <w:r w:rsidRPr="0096385A">
        <w:rPr>
          <w:kern w:val="2"/>
          <w14:ligatures w14:val="standardContextual"/>
        </w:rPr>
        <w:tab/>
        <w:t>uzsver, ka ierobežoto resursu efektīva pārvaldība 2023. gadā joprojām bija viena no galvenajām problēmām personāla trūkuma dēļ, ko vēl vairāk saasināja lielākais darbību skaits saskaņā ar pastāvīgi stabilu personāla politiku; pieņem zināšanai Komitejas plānu ieviest jaunu pieeju stratēģiskajai darbaspēka plānošanai un personāla sadalei, izmantojot datu vākšanu par personāla prasmēm, aktīvu uzklausīšanu visā organizācijā un Komitejas politisko struktūru pārdomas par stratēģiskajām prioritātēm; aicina Komiteju pastāvīgi informēt Parlamentu par šā jaunā plāna rezultātiem, jo tas varētu iedvesmot citas iestādes, kas saskaras ar līdzīgiem, atkārtotiem uzdevumiem nepieciešamo resursu ziņā;</w:t>
      </w:r>
    </w:p>
    <w:p w14:paraId="271385E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19.</w:t>
      </w:r>
      <w:r w:rsidRPr="0096385A">
        <w:rPr>
          <w:kern w:val="2"/>
          <w14:ligatures w14:val="standardContextual"/>
        </w:rPr>
        <w:tab/>
        <w:t>attiecībā uz iekšējās kontroles standartiem (IKS) norāda, ka 2023. gada atbilstības pārbaudē tika konstatēti uzlabojumi salīdzinājumā ar 2022. gadu; šajā sakarībā norāda, ka atbilstība, proti, tas, cik lielā mērā tiek īstenotas 16 IKS prasības, ir palielinājusies no 80,30 % 2022. gadā līdz 87,40 % 2023. gadā, savukārt efektivitāte, proti, tas, cik lielā mērā šo prasību īstenošana darbojas, kā paredzēts, palielinājās no 74 % 2022. gadā līdz 78,10 % 2023. gadā; turklāt norāda, ka 2023. gada riska novērtējums parādīja, ka iekšējās kontroles piemērošana 2023. gadā ir samazinājusi raksturīgos riskus (kategorijās “kritisks” un “ļoti svarīgs”) par 53 % (no 40 līdz 19);</w:t>
      </w:r>
    </w:p>
    <w:p w14:paraId="330560A3"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20.</w:t>
      </w:r>
      <w:r w:rsidRPr="0096385A">
        <w:rPr>
          <w:b/>
          <w:i/>
          <w:kern w:val="2"/>
          <w14:ligatures w14:val="standardContextual"/>
        </w:rPr>
        <w:tab/>
      </w:r>
      <w:r w:rsidRPr="0096385A">
        <w:rPr>
          <w:kern w:val="2"/>
          <w14:ligatures w14:val="standardContextual"/>
        </w:rPr>
        <w:t>norāda, ka 2023. gadā notika Iekšējās revīzijas dienesta (IAS) pārstrukturēšana, stiprinot tā atbilstību starptautiskajiem revīzijas standartiem un racionalizējot un dokumentējot visu tā procesu;</w:t>
      </w:r>
    </w:p>
    <w:p w14:paraId="70592601"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21.</w:t>
      </w:r>
      <w:r w:rsidRPr="0096385A">
        <w:rPr>
          <w:kern w:val="2"/>
          <w14:ligatures w14:val="standardContextual"/>
        </w:rPr>
        <w:tab/>
        <w:t>norāda, ka finanšu darījumu jomā Komitejas Iekšējās revīzijas dienests (</w:t>
      </w:r>
      <w:r w:rsidRPr="0096385A">
        <w:rPr>
          <w:i/>
          <w:kern w:val="2"/>
          <w14:ligatures w14:val="standardContextual"/>
        </w:rPr>
        <w:t>IAS</w:t>
      </w:r>
      <w:r w:rsidRPr="0096385A">
        <w:rPr>
          <w:kern w:val="2"/>
          <w14:ligatures w14:val="standardContextual"/>
        </w:rPr>
        <w:t>) 2023. gada sākumā pieņēma jaunu lēmumu par risku novērtējumu vienkāršotas procedūras īstenošanai; turklāt norāda, ka Komitejas Birojs 2023. gadā pieņēma jaunu iekšējās revīzijas hartu un revīzijas komitejas nolikumu, tostarp procedūras noteikumus;</w:t>
      </w:r>
    </w:p>
    <w:p w14:paraId="2713D792"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22.</w:t>
      </w:r>
      <w:r w:rsidRPr="0096385A">
        <w:rPr>
          <w:kern w:val="2"/>
          <w14:ligatures w14:val="standardContextual"/>
        </w:rPr>
        <w:tab/>
        <w:t xml:space="preserve">pēc iepazīšanās ar gada ziņojumu un anketu norāda, ka 2023. gadā </w:t>
      </w:r>
      <w:r w:rsidRPr="0096385A">
        <w:rPr>
          <w:i/>
          <w:kern w:val="2"/>
          <w14:ligatures w14:val="standardContextual"/>
        </w:rPr>
        <w:t>IAS</w:t>
      </w:r>
      <w:r w:rsidRPr="0096385A">
        <w:rPr>
          <w:kern w:val="2"/>
          <w14:ligatures w14:val="standardContextual"/>
        </w:rPr>
        <w:t xml:space="preserve"> sāka četras revīzijas, proti, par sanāksmju atļaujām, Rūpniecības pārmaiņu konsultatīvās komisijas atlasi, stratēģisko ciklu, kā arī ilguma un attāluma piemaksām Komitejas locekļiem; aicina Komiteju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šo revīziju rezultātiem un īstenot visus neizpildītos ieteikumus, kas izriet no iepriekšējām revīzijām (par institucionālajiem termiņiem, mutisko tulkošanu, pārbaudi, ētiku un integritāti, tiesību aktos noteiktajām tiesībām un maksājumu termiņiem);</w:t>
      </w:r>
    </w:p>
    <w:p w14:paraId="3F41C266"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 xml:space="preserve">Cilvēkresursi, līdztiesība un darbinieku </w:t>
      </w:r>
      <w:proofErr w:type="spellStart"/>
      <w:r w:rsidRPr="0096385A">
        <w:rPr>
          <w:b/>
          <w:i/>
          <w:kern w:val="2"/>
          <w14:ligatures w14:val="standardContextual"/>
        </w:rPr>
        <w:t>labbūtība</w:t>
      </w:r>
      <w:proofErr w:type="spellEnd"/>
    </w:p>
    <w:p w14:paraId="58CB8C09"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23.</w:t>
      </w:r>
      <w:r w:rsidRPr="0096385A">
        <w:rPr>
          <w:kern w:val="2"/>
          <w14:ligatures w14:val="standardContextual"/>
        </w:rPr>
        <w:tab/>
        <w:t xml:space="preserve">norāda, ka 2023. gada beigās Komitejā kopumā bija 707 darbinieki, salīdzinot ar 706 darbiniekiem 2022. gadā; turklāt norāda, ka 2023. gadā tika nodarbināti 49 līgumdarbinieki un 130 pagaidu darbinieki (no tiem 52 pieņemti darbā 2023. gadā) (salīdzinājumā ar 50 līgumdarbiniekiem un 128 pagaidu darbiniekiem 2022. gadā); turklāt atzīmē, ka komitejā strādāja 12 pagaidu darbinieki un 10 ārštata darbinieki, kas strādāja </w:t>
      </w:r>
      <w:proofErr w:type="spellStart"/>
      <w:r w:rsidRPr="0096385A">
        <w:rPr>
          <w:i/>
          <w:kern w:val="2"/>
          <w14:ligatures w14:val="standardContextual"/>
        </w:rPr>
        <w:t>intra</w:t>
      </w:r>
      <w:proofErr w:type="spellEnd"/>
      <w:r w:rsidRPr="0096385A">
        <w:rPr>
          <w:i/>
          <w:kern w:val="2"/>
          <w14:ligatures w14:val="standardContextual"/>
        </w:rPr>
        <w:t> </w:t>
      </w:r>
      <w:proofErr w:type="spellStart"/>
      <w:r w:rsidRPr="0096385A">
        <w:rPr>
          <w:i/>
          <w:kern w:val="2"/>
          <w14:ligatures w14:val="standardContextual"/>
        </w:rPr>
        <w:t>muros</w:t>
      </w:r>
      <w:proofErr w:type="spellEnd"/>
      <w:r w:rsidRPr="0096385A">
        <w:rPr>
          <w:kern w:val="2"/>
          <w14:ligatures w14:val="standardContextual"/>
        </w:rPr>
        <w:t>, izņemot ārpakalpojumu sniedzējus loģistikas un IT jomā; pieņem zināšanai, ka amata vietu aizpildījuma īpatsvars 2023. gadā bija 95,50 % salīdzinājumā ar 95,10 % 2022. gadā un darbinieku mainība 2023. gadā bija 7 %;</w:t>
      </w:r>
    </w:p>
    <w:p w14:paraId="13C80BF7"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24.</w:t>
      </w:r>
      <w:r w:rsidRPr="0096385A">
        <w:rPr>
          <w:kern w:val="2"/>
          <w14:ligatures w14:val="standardContextual"/>
        </w:rPr>
        <w:tab/>
        <w:t xml:space="preserve">atzinīgi vērtē Komitejas pastāvīgos centienus uzlabot savu cilvēkresursu sistēmu, lai kļūtu par pievilcīgu darba devēju un darbvietu, kurā ikviens indivīds tiek novērtēts un var pilnībā attīstīt savu potenciālu; norāda, ka, īstenojot savu cilvēkresursu stratēģiju 2023.–2025. gadam, Komiteja 2023. gadā sasniedza vairākus galvenos atskaites </w:t>
      </w:r>
      <w:r w:rsidRPr="0096385A">
        <w:rPr>
          <w:kern w:val="2"/>
          <w14:ligatures w14:val="standardContextual"/>
        </w:rPr>
        <w:lastRenderedPageBreak/>
        <w:t>punktus, pieņemot jaunus lēmumus cita starpā par darba apstākļiem (</w:t>
      </w:r>
      <w:proofErr w:type="spellStart"/>
      <w:r w:rsidRPr="0096385A">
        <w:rPr>
          <w:kern w:val="2"/>
          <w14:ligatures w14:val="standardContextual"/>
        </w:rPr>
        <w:t>hibrīddarbs</w:t>
      </w:r>
      <w:proofErr w:type="spellEnd"/>
      <w:r w:rsidRPr="0096385A">
        <w:rPr>
          <w:kern w:val="2"/>
          <w14:ligatures w14:val="standardContextual"/>
        </w:rPr>
        <w:t xml:space="preserve">, virsstundas, īpašais atvaļinājums), daudzveidību un </w:t>
      </w:r>
      <w:proofErr w:type="spellStart"/>
      <w:r w:rsidRPr="0096385A">
        <w:rPr>
          <w:kern w:val="2"/>
          <w14:ligatures w14:val="standardContextual"/>
        </w:rPr>
        <w:t>iekļautības</w:t>
      </w:r>
      <w:proofErr w:type="spellEnd"/>
      <w:r w:rsidRPr="0096385A">
        <w:rPr>
          <w:kern w:val="2"/>
          <w14:ligatures w14:val="standardContextual"/>
        </w:rPr>
        <w:t xml:space="preserve"> stratēģiju un rīcības plānu 2023.–2027. gadam, personāla mobilitāti un metodiku attiecībā uz </w:t>
      </w:r>
      <w:proofErr w:type="spellStart"/>
      <w:r w:rsidRPr="0096385A">
        <w:rPr>
          <w:kern w:val="2"/>
          <w14:ligatures w14:val="standardContextual"/>
        </w:rPr>
        <w:t>sensitīviem</w:t>
      </w:r>
      <w:proofErr w:type="spellEnd"/>
      <w:r w:rsidRPr="0096385A">
        <w:rPr>
          <w:kern w:val="2"/>
          <w14:ligatures w14:val="standardContextual"/>
        </w:rPr>
        <w:t xml:space="preserve"> amatiem, kā arī par darbinieku novērtēšanas un paaugstināšanas sistēmu; ar gandarījumu norāda uz pozitīvajiem rezultātiem, kas gūti 2023. gada maijā publicētajā darbinieku apmierinātības aptaujā, kurā gan darbinieki, gan vadītāji pauda augstu apmierinātību ar dažādiem ar cilvēkresursiem saistītiem jautājumiem, jo īpaši attiecībā uz darba režīmu, par kuru Komiteja, šķiet, ir atradusi ideālu līdzsvaru;</w:t>
      </w:r>
    </w:p>
    <w:p w14:paraId="7C7FBC46"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25.</w:t>
      </w:r>
      <w:r w:rsidRPr="0096385A">
        <w:rPr>
          <w:kern w:val="2"/>
          <w14:ligatures w14:val="standardContextual"/>
        </w:rPr>
        <w:tab/>
        <w:t xml:space="preserve">norāda, ka Komiteja otro gadu pēc kārtas kļuva par talantu neto importētāju (no citām iestādēm), jo tika īstenots mērķtiecīgs pievilcīguma un paturēšanas plāns; tomēr atzīst pastāvīgās problēmas, ko rada paļaušanās uz pagaidu darbiniekiem </w:t>
      </w:r>
      <w:r w:rsidRPr="0096385A">
        <w:rPr>
          <w:i/>
          <w:kern w:val="2"/>
          <w14:ligatures w14:val="standardContextual"/>
        </w:rPr>
        <w:t>EPSO</w:t>
      </w:r>
      <w:r w:rsidRPr="0096385A">
        <w:rPr>
          <w:kern w:val="2"/>
          <w14:ligatures w14:val="standardContextual"/>
        </w:rPr>
        <w:t xml:space="preserve"> (Eiropas Personāla atlases biroja) rezerves sarakstu trūkuma dēļ, kas rada risku speciālo zināšanu saglabāšanai; uzsver pastāvīgo darbinieku nozīmi prasmju, nepārtrauktības un produktīvas darba vides uzturēšanā; iesaka Komitejai īstenot iniciatīvas, lai risinātu šīs problēmas, piemēram, organizējot iekšējos konkursus;</w:t>
      </w:r>
    </w:p>
    <w:p w14:paraId="4B66B673"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26.</w:t>
      </w:r>
      <w:r w:rsidRPr="0096385A">
        <w:rPr>
          <w:kern w:val="2"/>
          <w14:ligatures w14:val="standardContextual"/>
        </w:rPr>
        <w:tab/>
        <w:t>norāda – lai labāk sadalītu ierobežotos resursus, 2023. gadā tika pabeigta ārēja cilvēkresursu kartēšanas revīzija, ko pasūtīja Komiteja; ar bažām norāda, ka minētās revīzijas rezultāti apstiprināja lielo darba slodzi daudzos dažādos Komitejas dienestos, tādējādi apdraudot Komitejas uzdevumu un pienākumu izpildi; aicina Komiteju īstenot minētās revīzijas ieteikumus, tostarp līdz 2025. gadam pārskatīt novērtēšanas un snieguma sistēmu, pieņemt jaunu lēmumu par darba apstākļiem un regulāri uzraudzīt darbinieku iesaisti; uzsver, cik svarīga ir stratēģiska darbaspēka plānošana, lai optimizētu resursu piešķiršanu, nodrošinātu saskaņotību ar politisko iestāžu noteiktajām augsta līmeņa prioritātēm un turpinātu izmaksu efektivitātes centienus;</w:t>
      </w:r>
    </w:p>
    <w:p w14:paraId="3E723EB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27.</w:t>
      </w:r>
      <w:r w:rsidRPr="0096385A">
        <w:rPr>
          <w:kern w:val="2"/>
          <w14:ligatures w14:val="standardContextual"/>
        </w:rPr>
        <w:tab/>
        <w:t xml:space="preserve">norāda, ka 2023. gadā turpinājās 2022. gadā sāktās pozitīvās tendences attiecībā uz darbinieku pieņemšanu darbā; atzinīgi vērtē Komitejas veiktos pasākumus šajā jomā, piemēram, vakanto amata vietu publicēšanas saskaņošanu ar jaunu </w:t>
      </w:r>
      <w:r w:rsidRPr="0096385A">
        <w:rPr>
          <w:i/>
          <w:kern w:val="2"/>
          <w14:ligatures w14:val="standardContextual"/>
        </w:rPr>
        <w:t>EPSO</w:t>
      </w:r>
      <w:r w:rsidRPr="0096385A">
        <w:rPr>
          <w:kern w:val="2"/>
          <w14:ligatures w14:val="standardContextual"/>
        </w:rPr>
        <w:t xml:space="preserve"> rezerves sarakstu publicēšanu vai darba iespēju publicēšanu Komitejas tīmekļa vietnē un </w:t>
      </w:r>
      <w:proofErr w:type="spellStart"/>
      <w:r w:rsidRPr="0096385A">
        <w:rPr>
          <w:i/>
          <w:kern w:val="2"/>
          <w14:ligatures w14:val="standardContextual"/>
        </w:rPr>
        <w:t>LinkedIn</w:t>
      </w:r>
      <w:proofErr w:type="spellEnd"/>
      <w:r w:rsidRPr="0096385A">
        <w:rPr>
          <w:kern w:val="2"/>
          <w14:ligatures w14:val="standardContextual"/>
        </w:rPr>
        <w:t xml:space="preserve">; prasa Komitejai informēt Parlamentu par rezultātiem, kas gūti tās izmēģinājuma projektā par darba devēja zīmola veidošanas pasākumiem; uzsver, ka </w:t>
      </w:r>
      <w:proofErr w:type="spellStart"/>
      <w:r w:rsidRPr="0096385A">
        <w:rPr>
          <w:kern w:val="2"/>
          <w14:ligatures w14:val="standardContextual"/>
        </w:rPr>
        <w:t>jaunpienācēju</w:t>
      </w:r>
      <w:proofErr w:type="spellEnd"/>
      <w:r w:rsidRPr="0096385A">
        <w:rPr>
          <w:kern w:val="2"/>
          <w14:ligatures w14:val="standardContextual"/>
        </w:rPr>
        <w:t xml:space="preserve"> uzņemšana darbā ir svarīgs stratēģiskās saskaņošanas faktors, nodrošinot, ka darbinieki ir informēti par iestādē spēkā esošajiem noteikumiem un stratēģijām; atzinīgi vērtē to, ka Komiteja 2023. gadā ir pastiprinājusi jaunu darbinieku pieņemšanu darbā, izmantojot atjauninātu informatīvu ievada bukletu un uzņemšanas vēstuli, uzņemšanas paketi ar videi draudzīgām dāvanām, atgriezenisko saiti par darbā pieņemšanas pieredzi, uzlabotu </w:t>
      </w:r>
      <w:proofErr w:type="spellStart"/>
      <w:r w:rsidRPr="0096385A">
        <w:rPr>
          <w:kern w:val="2"/>
          <w14:ligatures w14:val="standardContextual"/>
        </w:rPr>
        <w:t>ievadsesiju</w:t>
      </w:r>
      <w:proofErr w:type="spellEnd"/>
      <w:r w:rsidRPr="0096385A">
        <w:rPr>
          <w:kern w:val="2"/>
          <w14:ligatures w14:val="standardContextual"/>
        </w:rPr>
        <w:t xml:space="preserve"> laiku, pārstrādātu </w:t>
      </w:r>
      <w:proofErr w:type="spellStart"/>
      <w:r w:rsidRPr="0096385A">
        <w:rPr>
          <w:kern w:val="2"/>
          <w14:ligatures w14:val="standardContextual"/>
        </w:rPr>
        <w:t>jaunpienācēju</w:t>
      </w:r>
      <w:proofErr w:type="spellEnd"/>
      <w:r w:rsidRPr="0096385A">
        <w:rPr>
          <w:kern w:val="2"/>
          <w14:ligatures w14:val="standardContextual"/>
        </w:rPr>
        <w:t xml:space="preserve"> stūrīti un uzņemšanas ieteikumus vadītājiem;</w:t>
      </w:r>
    </w:p>
    <w:p w14:paraId="3FDC72EE"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28.</w:t>
      </w:r>
      <w:r w:rsidRPr="0096385A">
        <w:rPr>
          <w:kern w:val="2"/>
          <w14:ligatures w14:val="standardContextual"/>
        </w:rPr>
        <w:tab/>
        <w:t xml:space="preserve">atgādina, ka Komiteja pieņēma Lēmumu 282/23A, kas stājās spēkā 2024. gada 1. janvārī, ar ko izveido elastīgu, uz uzticēšanos balstītu </w:t>
      </w:r>
      <w:proofErr w:type="spellStart"/>
      <w:r w:rsidRPr="0096385A">
        <w:rPr>
          <w:kern w:val="2"/>
          <w14:ligatures w14:val="standardContextual"/>
        </w:rPr>
        <w:t>hibrīddarba</w:t>
      </w:r>
      <w:proofErr w:type="spellEnd"/>
      <w:r w:rsidRPr="0096385A">
        <w:rPr>
          <w:kern w:val="2"/>
          <w14:ligatures w14:val="standardContextual"/>
        </w:rPr>
        <w:t xml:space="preserve"> politiku, vienlaikus piedāvājot darbiniekiem labāku darba un privātās dzīves līdzsvaru un uzlabojot pielāgošanās spēju un efektivitāti; aicina Komiteju savlaicīgi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jebkādām norisēm saistībā ar šo lietu;</w:t>
      </w:r>
    </w:p>
    <w:p w14:paraId="0731F1C0"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29.</w:t>
      </w:r>
      <w:r w:rsidRPr="0096385A">
        <w:rPr>
          <w:kern w:val="2"/>
          <w14:ligatures w14:val="standardContextual"/>
        </w:rPr>
        <w:tab/>
        <w:t xml:space="preserve">atzinīgi vērtē to, ka 2024. gada janvārī tika iecelta ģenerālsekretāre, kas ir pozitīvs pavērsiens ceļā uz dzimumu līdzsvara panākšanu; tomēr pauž nožēlu par to, ka sieviešu īpatsvars augstākajā vadībā 2023. gadā joprojām bija zems un tikai divus no septiņiem augstākā līmeņa vadības amatiem pašlaik ieņem sievietes; tomēr atzinīgi vērtē to, ka </w:t>
      </w:r>
      <w:r w:rsidRPr="0096385A">
        <w:rPr>
          <w:kern w:val="2"/>
          <w14:ligatures w14:val="standardContextual"/>
        </w:rPr>
        <w:lastRenderedPageBreak/>
        <w:t>Komiteja uzskata, ka dzimumu līdzsvars darbinieku vidū un jo īpaši augstākajā vadībā ir svarīgs faktors, un aicina Komiteju ātri uzlabot situāciju Komitejas augstākajos līmeņos, nodrošinot līdzsvarotu pārstāvību saskaņā ar Komitejas saistībām daudzveidības un iekļaušanas jomā;</w:t>
      </w:r>
    </w:p>
    <w:p w14:paraId="22140BB3"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30.</w:t>
      </w:r>
      <w:r w:rsidRPr="0096385A">
        <w:rPr>
          <w:kern w:val="2"/>
          <w14:ligatures w14:val="standardContextual"/>
        </w:rPr>
        <w:tab/>
        <w:t xml:space="preserve">pauž nožēlu par to, ka Komiteja nespēja sniegt datus par izdegšanas gadījumiem 2023. gadā, un noraida Komitejas nostāju, kas pausta tās ziņojumā par turpmākajiem pasākumiem, proti, ka izdegšana pati par sevi nav atzīta medicīniskā diagnoze un izdegšanas iemesli var būt dažādi; atgādina, cik svarīgi ir ar izdegšanu saistīti statistikas dati, kas palīdz pieņemt ar darbinieku </w:t>
      </w:r>
      <w:proofErr w:type="spellStart"/>
      <w:r w:rsidRPr="0096385A">
        <w:rPr>
          <w:kern w:val="2"/>
          <w14:ligatures w14:val="standardContextual"/>
        </w:rPr>
        <w:t>labbūtību</w:t>
      </w:r>
      <w:proofErr w:type="spellEnd"/>
      <w:r w:rsidRPr="0096385A">
        <w:rPr>
          <w:kern w:val="2"/>
          <w14:ligatures w14:val="standardContextual"/>
        </w:rPr>
        <w:t xml:space="preserve"> saistītus lēmumus, kuriem būtu jābalstās arī uz zināšanām, kas gūtas no iepriekšējās ļoti neveiksmīgās pieredzes, un uz pašreizējā regulējuma ārējiem novērtējumiem; atzīst datu aizsardzības ierobežojumus, bet uzsver </w:t>
      </w:r>
      <w:proofErr w:type="spellStart"/>
      <w:r w:rsidRPr="0096385A">
        <w:rPr>
          <w:kern w:val="2"/>
          <w14:ligatures w14:val="standardContextual"/>
        </w:rPr>
        <w:t>anonimizētu</w:t>
      </w:r>
      <w:proofErr w:type="spellEnd"/>
      <w:r w:rsidRPr="0096385A">
        <w:rPr>
          <w:kern w:val="2"/>
          <w14:ligatures w14:val="standardContextual"/>
        </w:rPr>
        <w:t xml:space="preserve"> statistikas datu vērtību, lai atbalstītu uz informāciju balstītus vadības lēmumus; ar bažām norāda uz konstatējumiem, kas liecina par lielo darba slodzi vairākos dienestos ierobežoto cilvēkresursu dēļ; atzinīgi vērtē jaunas darba kārtības pieņemšanu kā pozitīvu soli, taču mudina Komiteju veikt turpmākus pasākumus, lai nodrošinātu </w:t>
      </w:r>
      <w:proofErr w:type="spellStart"/>
      <w:r w:rsidRPr="0096385A">
        <w:rPr>
          <w:kern w:val="2"/>
          <w14:ligatures w14:val="standardContextual"/>
        </w:rPr>
        <w:t>anonimizētu</w:t>
      </w:r>
      <w:proofErr w:type="spellEnd"/>
      <w:r w:rsidRPr="0096385A">
        <w:rPr>
          <w:kern w:val="2"/>
          <w14:ligatures w14:val="standardContextual"/>
        </w:rPr>
        <w:t xml:space="preserve"> datu publicēšanu par izdegšanas gadījumiem;</w:t>
      </w:r>
    </w:p>
    <w:p w14:paraId="7611874C"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31.</w:t>
      </w:r>
      <w:r w:rsidRPr="0096385A">
        <w:rPr>
          <w:kern w:val="2"/>
          <w14:ligatures w14:val="standardContextual"/>
        </w:rPr>
        <w:tab/>
        <w:t>norāda, ka 2023. gadā Komiteja nodarbināja darbiniekus no visām dalībvalstīm un dažas no tām bija pārmērīgi pārstāvētas (piemēram, Beļģija un Itālija); norāda, ka 2023. gadā Komiteja nodarbināja 24 % vadītāju no tām 13 dalībvalstīm, kas pievienojās Savienībai pēc 2004. gada, kas ir neliels pieaugums salīdzinājumā ar 21 % 2022. gadā un 19 % – 2021. gadā; atkārtoti mudina Komiteju turpināt veikt pasākumus, lai panāktu pienācīgu personāla ģeogrāfisko pārstāvību, īpašu uzmanību pievēršot vadības līmenim;</w:t>
      </w:r>
    </w:p>
    <w:p w14:paraId="1980746F"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32.</w:t>
      </w:r>
      <w:r w:rsidRPr="0096385A">
        <w:rPr>
          <w:kern w:val="2"/>
          <w14:ligatures w14:val="standardContextual"/>
        </w:rPr>
        <w:tab/>
        <w:t xml:space="preserve">atzinīgi vērtē Komitejas centienus radīt veselīgu darba vidi saviem darbiniekiem; īpaši atzinīgi vērtē Komitejas uzsvaru uz darbinieku garīgo un fizisko veselību, kā arī centienus palielināt informētību par jautājumiem, kas saistīti ar veselību; norāda uz Komitejas pasākumiem attiecībā uz slimības atvaļinājumu pārvaldību, piemēram, nepilna laika medicīniskajiem atvaļinājumiem un attālinātā darba pagarināšanu, lai nodrošinātu, ka darbā atgriežas darbinieki, kuri ir ilgstošas slimības izraisītā prombūtnē, kā arī to, ka to darbinieku īpatsvars, kuri nav bijuši prombūtnē, ir palielinājies no 27 % 2022. gadā līdz 30 % 2023. gadā; ar gandarījumu konstatē, ka Komiteja organizēja bezmaksas ādas vēža </w:t>
      </w:r>
      <w:proofErr w:type="spellStart"/>
      <w:r w:rsidRPr="0096385A">
        <w:rPr>
          <w:kern w:val="2"/>
          <w14:ligatures w14:val="standardContextual"/>
        </w:rPr>
        <w:t>skrīninga</w:t>
      </w:r>
      <w:proofErr w:type="spellEnd"/>
      <w:r w:rsidRPr="0096385A">
        <w:rPr>
          <w:kern w:val="2"/>
          <w14:ligatures w14:val="standardContextual"/>
        </w:rPr>
        <w:t xml:space="preserve"> kampaņu Komitejas telpās, kur 2023. gadā 104 darbinieki četru dienu laikā saņēma ārēju dermatologu konsultācijas;</w:t>
      </w:r>
    </w:p>
    <w:p w14:paraId="6FFF89AF"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 xml:space="preserve">Ētikas regulējums un </w:t>
      </w:r>
      <w:proofErr w:type="spellStart"/>
      <w:r w:rsidRPr="0096385A">
        <w:rPr>
          <w:b/>
          <w:i/>
          <w:kern w:val="2"/>
          <w14:ligatures w14:val="standardContextual"/>
        </w:rPr>
        <w:t>pārredzamība</w:t>
      </w:r>
      <w:proofErr w:type="spellEnd"/>
    </w:p>
    <w:p w14:paraId="3951E3BA"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33.</w:t>
      </w:r>
      <w:r w:rsidRPr="0096385A">
        <w:rPr>
          <w:kern w:val="2"/>
          <w14:ligatures w14:val="standardContextual"/>
        </w:rPr>
        <w:tab/>
        <w:t xml:space="preserve">atzinīgi vērtē jaunās daudzveidības un </w:t>
      </w:r>
      <w:proofErr w:type="spellStart"/>
      <w:r w:rsidRPr="0096385A">
        <w:rPr>
          <w:kern w:val="2"/>
          <w14:ligatures w14:val="standardContextual"/>
        </w:rPr>
        <w:t>iekļautības</w:t>
      </w:r>
      <w:proofErr w:type="spellEnd"/>
      <w:r w:rsidRPr="0096385A">
        <w:rPr>
          <w:kern w:val="2"/>
          <w14:ligatures w14:val="standardContextual"/>
        </w:rPr>
        <w:t xml:space="preserve"> stratēģijas pieņemšanu, kas ir spēkā līdz 2027. gadam; atzinīgi vērtē īpašos izpratnes veicināšanas pasākumus par invaliditāti, kas tika veikti 2024. gada sākumā; ar gandarījumu norāda, ka daudzveidības un </w:t>
      </w:r>
      <w:proofErr w:type="spellStart"/>
      <w:r w:rsidRPr="0096385A">
        <w:rPr>
          <w:kern w:val="2"/>
          <w14:ligatures w14:val="standardContextual"/>
        </w:rPr>
        <w:t>iekļautības</w:t>
      </w:r>
      <w:proofErr w:type="spellEnd"/>
      <w:r w:rsidRPr="0096385A">
        <w:rPr>
          <w:kern w:val="2"/>
          <w14:ligatures w14:val="standardContextual"/>
        </w:rPr>
        <w:t xml:space="preserve"> apmācība vadītājiem joprojām ir obligāta un ieteicama darbiniekiem; atzīst Komitejas stingro apņemšanos veicināt pilnībā iekļaujošu darbavietu; mudina Komiteju veikt turpmākus pasākumus, lai uzraudzītu darbinieku ar invaliditāti pārstāvību un šajā sakarībā nodrošinātu </w:t>
      </w:r>
      <w:proofErr w:type="spellStart"/>
      <w:r w:rsidRPr="0096385A">
        <w:rPr>
          <w:kern w:val="2"/>
          <w14:ligatures w14:val="standardContextual"/>
        </w:rPr>
        <w:t>anonimizētu</w:t>
      </w:r>
      <w:proofErr w:type="spellEnd"/>
      <w:r w:rsidRPr="0096385A">
        <w:rPr>
          <w:kern w:val="2"/>
          <w14:ligatures w14:val="standardContextual"/>
        </w:rPr>
        <w:t xml:space="preserve"> datu publicēšanu;</w:t>
      </w:r>
    </w:p>
    <w:p w14:paraId="159A38CE"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34.</w:t>
      </w:r>
      <w:r w:rsidRPr="0096385A">
        <w:rPr>
          <w:kern w:val="2"/>
          <w14:ligatures w14:val="standardContextual"/>
        </w:rPr>
        <w:tab/>
        <w:t xml:space="preserve">norāda, ka Komiteja turpināja iekšējo reformu procesu, 2023. gadā pieņemot lēmumu par vispārējiem īstenošanas noteikumiem attiecībā uz administratīvo izmeklēšanu un disciplinārlietu īstenošanas noteikumiem; atzinīgi vērtē to, ka Komiteja ir spērusi šo pēdējo soli, kas nepieciešams, lai pilnībā īstenotu pasākumus Komitejas pastiprināta ētikas satvara izveidei; pēc iepazīšanās ar ziņojumu par turpmākajiem pasākumiem </w:t>
      </w:r>
      <w:r w:rsidRPr="0096385A">
        <w:rPr>
          <w:kern w:val="2"/>
          <w14:ligatures w14:val="standardContextual"/>
        </w:rPr>
        <w:lastRenderedPageBreak/>
        <w:t xml:space="preserve">norāda, ka Komiteja un iekšējais revidents ir vienojušies par rīcības plānu saistībā ar Komitejas ētikas un integritātes revīziju, kurā ir īstenoti un pabeigti astoņi ieteikumi un līdz 2025. gada martam vēl nav īstenoti divi ieteikumi; prasa Komitejai pastāvīgi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šajā jomā panākto progresu;</w:t>
      </w:r>
    </w:p>
    <w:p w14:paraId="5881EF5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35.</w:t>
      </w:r>
      <w:r w:rsidRPr="0096385A">
        <w:rPr>
          <w:kern w:val="2"/>
          <w14:ligatures w14:val="standardContextual"/>
        </w:rPr>
        <w:tab/>
        <w:t>norāda, ka Komiteja 2023. gadā turpināja apmācīt darbiniekus un palielināt informētību par tematiem, kas saistīti ar trauksmes celšanu, interešu konfliktiem un citiem ētikas jautājumiem: šajā sakarībā ar gandarījumu norāda uz 2023. gadā veiktās darbinieku iesaistes aptaujas rezultātiem, kas liecina par augstu darbinieku informētības līmeni par Komitejas ētikas satvaru, jo īpaši par konfidenciālo konsultantu (93 %) un ētikas konsultantu tīkliem (83 %); konstatē, ka Komiteja 2023. gadā organizēja 12 mācību sesijas par šiem tematiem, kurās kopumā piedalījās 79 darbinieki; atzinīgi vērtē to, ka Komiteja ir organizējusi obligātu apmācību par cieņas ievērošanu darbavietā visiem darbiniekiem, tostarp vadītājiem;</w:t>
      </w:r>
    </w:p>
    <w:p w14:paraId="0BC76813"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36.</w:t>
      </w:r>
      <w:r w:rsidRPr="0096385A">
        <w:rPr>
          <w:kern w:val="2"/>
          <w14:ligatures w14:val="standardContextual"/>
        </w:rPr>
        <w:tab/>
        <w:t xml:space="preserve">norāda, ka 2023. gadā tika ziņots par vienu sūdzību par aizskarošu izturēšanos, kas tika slēgta tajā pašā gadā Komitejas veiktās izmeklēšanas un </w:t>
      </w:r>
      <w:proofErr w:type="spellStart"/>
      <w:r w:rsidRPr="0096385A">
        <w:rPr>
          <w:kern w:val="2"/>
          <w14:ligatures w14:val="standardContextual"/>
        </w:rPr>
        <w:t>mediācijas</w:t>
      </w:r>
      <w:proofErr w:type="spellEnd"/>
      <w:r w:rsidRPr="0096385A">
        <w:rPr>
          <w:kern w:val="2"/>
          <w14:ligatures w14:val="standardContextual"/>
        </w:rPr>
        <w:t xml:space="preserve"> rezultātā, nepiemērojot sankcijas; atgādina, ka Komiteja ir iesaistīta tiesvedībā civillietā, ko Beļģijas valsts iestādes ir uzsākušas pret bijušo Komitejas locekli, kurš apsūdzēts amata pienākumu pārkāpumu izdarīšanā, un ka tas šobrīd tiek izskatīts Beļģijas tiesā; prasa Komitejai informēt Parlamentu par norisēm šajā lietā; uzskata, ka cieņas kultūras veicināšana, kurai sniedz atbalstu ar pilnīgas neiecietības politiku pret aizskarošu izturēšanos, ir būtiska, lai novērstu turpmākus apgalvojumus un panāktu drošu un iekļaujošu darba vidi Komitejā;</w:t>
      </w:r>
    </w:p>
    <w:p w14:paraId="7BF04C5C"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37.</w:t>
      </w:r>
      <w:r w:rsidRPr="0096385A">
        <w:rPr>
          <w:kern w:val="2"/>
          <w14:ligatures w14:val="standardContextual"/>
        </w:rPr>
        <w:tab/>
        <w:t xml:space="preserve">atkārtoti norāda, ka ir vajadzīga pilnīgas neiecietības politika pret aizskarošu izturēšanos, lai aizsargātu darbinieku </w:t>
      </w:r>
      <w:proofErr w:type="spellStart"/>
      <w:r w:rsidRPr="0096385A">
        <w:rPr>
          <w:kern w:val="2"/>
          <w14:ligatures w14:val="standardContextual"/>
        </w:rPr>
        <w:t>labjutību</w:t>
      </w:r>
      <w:proofErr w:type="spellEnd"/>
      <w:r w:rsidRPr="0096385A">
        <w:rPr>
          <w:kern w:val="2"/>
          <w14:ligatures w14:val="standardContextual"/>
        </w:rPr>
        <w:t>, un tā ir jebkura darba devēja pienākums; atgādina, ka, izskatot prasības par aizskarošu izturēšanos, būtu jāievieš pieeja, ar kuru tiek izmantota gūtā pieredze, lai izvairītos no jebkādiem iespējamiem pārkāpumiem; tomēr uzskata, ka ārēja un neatkarīga izmeklēšana par lietu, par kuru pašlaik notiek tiesvedība, būtu lietderīga, lai uzlabotu Komitejas atbildi līdzīgās lietās;</w:t>
      </w:r>
    </w:p>
    <w:p w14:paraId="4CAE4CBF"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38.</w:t>
      </w:r>
      <w:r w:rsidRPr="0096385A">
        <w:rPr>
          <w:kern w:val="2"/>
          <w14:ligatures w14:val="standardContextual"/>
        </w:rPr>
        <w:tab/>
        <w:t>atzinīgi vērtē Komitejas gatavību sadarboties ar Savienības izmeklēšanas struktūrām, proti, Eiropas Biroju krāpšanas apkarošanai un Eiropas Prokuratūru (</w:t>
      </w:r>
      <w:r w:rsidRPr="0096385A">
        <w:rPr>
          <w:i/>
          <w:iCs/>
          <w:kern w:val="2"/>
          <w14:ligatures w14:val="standardContextual"/>
        </w:rPr>
        <w:t>OLAF</w:t>
      </w:r>
      <w:r w:rsidRPr="0096385A">
        <w:rPr>
          <w:kern w:val="2"/>
          <w14:ligatures w14:val="standardContextual"/>
        </w:rPr>
        <w:t xml:space="preserve"> un </w:t>
      </w:r>
      <w:r w:rsidRPr="0096385A">
        <w:rPr>
          <w:i/>
          <w:iCs/>
          <w:kern w:val="2"/>
          <w14:ligatures w14:val="standardContextual"/>
        </w:rPr>
        <w:t>EPPO</w:t>
      </w:r>
      <w:r w:rsidRPr="0096385A">
        <w:rPr>
          <w:kern w:val="2"/>
          <w14:ligatures w14:val="standardContextual"/>
        </w:rPr>
        <w:t xml:space="preserve">) un </w:t>
      </w:r>
      <w:proofErr w:type="spellStart"/>
      <w:r w:rsidRPr="0096385A">
        <w:rPr>
          <w:kern w:val="2"/>
          <w14:ligatures w14:val="standardContextual"/>
        </w:rPr>
        <w:t>Ombudu</w:t>
      </w:r>
      <w:proofErr w:type="spellEnd"/>
      <w:r w:rsidRPr="0096385A">
        <w:rPr>
          <w:kern w:val="2"/>
          <w14:ligatures w14:val="standardContextual"/>
        </w:rPr>
        <w:t xml:space="preserve">; norāda, ka 2023. gadā tika sāktas divas </w:t>
      </w:r>
      <w:r w:rsidRPr="0096385A">
        <w:rPr>
          <w:i/>
          <w:iCs/>
          <w:kern w:val="2"/>
          <w14:ligatures w14:val="standardContextual"/>
        </w:rPr>
        <w:t>OLAF</w:t>
      </w:r>
      <w:r w:rsidRPr="0096385A">
        <w:rPr>
          <w:kern w:val="2"/>
          <w14:ligatures w14:val="standardContextual"/>
        </w:rPr>
        <w:t xml:space="preserve"> lietas, no kurām abas tajā pašā gadā tika izbeigtas: viena – pietiekamu pierādījumu trūkuma dēļ un otra – tika nosūtīta izskatīšanai Komitejā, lai veiktu turpmākus pasākumus; prasa Komitejai pastāvīgi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otrajā lietā panākto progresu; turklāt norāda, ka </w:t>
      </w:r>
      <w:proofErr w:type="spellStart"/>
      <w:r w:rsidRPr="0096385A">
        <w:rPr>
          <w:kern w:val="2"/>
          <w14:ligatures w14:val="standardContextual"/>
        </w:rPr>
        <w:t>Ombuds</w:t>
      </w:r>
      <w:proofErr w:type="spellEnd"/>
      <w:r w:rsidRPr="0096385A">
        <w:rPr>
          <w:kern w:val="2"/>
          <w14:ligatures w14:val="standardContextual"/>
        </w:rPr>
        <w:t xml:space="preserve"> 2023. gadā sāka izmeklēšanu saistībā ar tādas lietas pārvaldību, kas saistīta ar apgalvojumiem par aizskarošu izturēšanos; aicina Komiteju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šīs izmeklēšanas rezultātiem;</w:t>
      </w:r>
    </w:p>
    <w:p w14:paraId="55C327CF"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39.</w:t>
      </w:r>
      <w:r w:rsidRPr="0096385A">
        <w:rPr>
          <w:kern w:val="2"/>
          <w14:ligatures w14:val="standardContextual"/>
        </w:rPr>
        <w:tab/>
        <w:t xml:space="preserve">ar gandarījumu norāda uz Komitejas darbu virzībā uz lielāku </w:t>
      </w:r>
      <w:proofErr w:type="spellStart"/>
      <w:r w:rsidRPr="0096385A">
        <w:rPr>
          <w:kern w:val="2"/>
          <w14:ligatures w14:val="standardContextual"/>
        </w:rPr>
        <w:t>pārredzamību</w:t>
      </w:r>
      <w:proofErr w:type="spellEnd"/>
      <w:r w:rsidRPr="0096385A">
        <w:rPr>
          <w:kern w:val="2"/>
          <w14:ligatures w14:val="standardContextual"/>
        </w:rPr>
        <w:t xml:space="preserve"> tās darbībās 2023. gadā; šajā sakarībā norāda, ka ir pieņemts lēmums, ar ko paplašina to dokumentu klāstu, kuri tiešsaistē pieejami </w:t>
      </w:r>
      <w:proofErr w:type="spellStart"/>
      <w:r w:rsidRPr="0096385A">
        <w:rPr>
          <w:kern w:val="2"/>
          <w14:ligatures w14:val="standardContextual"/>
        </w:rPr>
        <w:t>Pārredzamības</w:t>
      </w:r>
      <w:proofErr w:type="spellEnd"/>
      <w:r w:rsidRPr="0096385A">
        <w:rPr>
          <w:kern w:val="2"/>
          <w14:ligatures w14:val="standardContextual"/>
        </w:rPr>
        <w:t xml:space="preserve"> reģistrā, piemēram, Komitejas sanāksmju protokoli un klātesošo saraksti, kā arī lēmums, ar kuru Komitejas locekļiem tiek prasīts tikties tikai ar reģistrētām ieinteresētajām personām, publicēt savu sanāksmju sarakstu un pievienot saviem atzinumiem to ietekmi uz likumdošanu; atzinīgi vērtē to, ka Komiteja tiešsaistē publicē informāciju par savu gada budžetu, snieguma rādītājiem, izdevumiem vai publisko iepirkumu; aicina publicēt informāciju par visām sanāksmēm, ko EESK locekļi rīko ar </w:t>
      </w:r>
      <w:proofErr w:type="spellStart"/>
      <w:r w:rsidRPr="0096385A">
        <w:rPr>
          <w:kern w:val="2"/>
          <w14:ligatures w14:val="standardContextual"/>
        </w:rPr>
        <w:t>trešām</w:t>
      </w:r>
      <w:proofErr w:type="spellEnd"/>
      <w:r w:rsidRPr="0096385A">
        <w:rPr>
          <w:kern w:val="2"/>
          <w14:ligatures w14:val="standardContextual"/>
        </w:rPr>
        <w:t xml:space="preserve"> personām;</w:t>
      </w:r>
    </w:p>
    <w:p w14:paraId="3ADB03AC" w14:textId="77777777" w:rsidR="0096385A" w:rsidRPr="0096385A" w:rsidRDefault="0096385A" w:rsidP="0096385A">
      <w:pPr>
        <w:spacing w:after="240"/>
        <w:ind w:left="567" w:hanging="567"/>
        <w:rPr>
          <w:kern w:val="2"/>
          <w:szCs w:val="24"/>
          <w14:ligatures w14:val="standardContextual"/>
        </w:rPr>
      </w:pPr>
      <w:r w:rsidRPr="0096385A">
        <w:rPr>
          <w:kern w:val="2"/>
          <w14:ligatures w14:val="standardContextual"/>
        </w:rPr>
        <w:lastRenderedPageBreak/>
        <w:t>40.</w:t>
      </w:r>
      <w:r w:rsidRPr="0096385A">
        <w:rPr>
          <w:kern w:val="2"/>
          <w14:ligatures w14:val="standardContextual"/>
        </w:rPr>
        <w:tab/>
        <w:t xml:space="preserve">ar gandarījumu konstatē, ka Komiteja ir ieviesusi stingrus noteikumus un procedūras, lai novērstu interešu konfliktus un izvairītos no virpuļdurvju efekta attiecībā uz darbiniekiem, kas iesaistās ārējās darbībās, vai locekļiem, kuri sāk darbu pēc tam, kad vairs nav Komitejas locekļi; šajā sakarībā norāda, ka Komiteja 2023. gadā ir ieviesusi jaunu “Finanšu interešu deklarācijas veidlapu”; norāda, ka veidlapa ir jādeklarē locekļiem, delegātiem, aizstājējiem un padomdevējiem gan saistībā ar atalgotiem, gan neatalgotiem amatiem vai darbībām ārpus Komitejas; turklāt atzinīgi vērtē Komitejas iesaistīšanos 2023. gada politiskajās sarunās, lai izveidotu iestāžu ētikas struktūru, kuras uzdevums būtu noteikt ētikas standartus </w:t>
      </w:r>
      <w:proofErr w:type="spellStart"/>
      <w:r w:rsidRPr="0096385A">
        <w:rPr>
          <w:kern w:val="2"/>
          <w14:ligatures w14:val="standardContextual"/>
        </w:rPr>
        <w:t>pārredzamības</w:t>
      </w:r>
      <w:proofErr w:type="spellEnd"/>
      <w:r w:rsidRPr="0096385A">
        <w:rPr>
          <w:kern w:val="2"/>
          <w14:ligatures w14:val="standardContextual"/>
        </w:rPr>
        <w:t xml:space="preserve"> un integritātes stiprināšanai;</w:t>
      </w:r>
    </w:p>
    <w:p w14:paraId="7F289E4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41.</w:t>
      </w:r>
      <w:r w:rsidRPr="0096385A">
        <w:rPr>
          <w:kern w:val="2"/>
          <w14:ligatures w14:val="standardContextual"/>
        </w:rPr>
        <w:tab/>
        <w:t xml:space="preserve">norāda, ka Komitejas Birojs 2023. gada 21. martā pieņēma vairākus </w:t>
      </w:r>
      <w:proofErr w:type="spellStart"/>
      <w:r w:rsidRPr="0096385A">
        <w:rPr>
          <w:kern w:val="2"/>
          <w14:ligatures w14:val="standardContextual"/>
        </w:rPr>
        <w:t>pārredzamības</w:t>
      </w:r>
      <w:proofErr w:type="spellEnd"/>
      <w:r w:rsidRPr="0096385A">
        <w:rPr>
          <w:kern w:val="2"/>
          <w14:ligatures w14:val="standardContextual"/>
        </w:rPr>
        <w:t xml:space="preserve"> pasākumus saskaņā ar principiem, kas noteikti attiecībā uz ES </w:t>
      </w:r>
      <w:proofErr w:type="spellStart"/>
      <w:r w:rsidRPr="0096385A">
        <w:rPr>
          <w:kern w:val="2"/>
          <w14:ligatures w14:val="standardContextual"/>
        </w:rPr>
        <w:t>Pārredzamības</w:t>
      </w:r>
      <w:proofErr w:type="spellEnd"/>
      <w:r w:rsidRPr="0096385A">
        <w:rPr>
          <w:kern w:val="2"/>
          <w14:ligatures w14:val="standardContextual"/>
        </w:rPr>
        <w:t xml:space="preserve"> reģistru, piemēram, ieteikumu biroja locekļiem tikties tikai ar reģistrētām ieinteresētajām personām, pienākumu amatos esošiem locekļiem publicēt sanāksmju sarakstus un brīvprātīgu “likumdošanas pēdu" referentiem; norāda, ka tika veikti vairāki pasākumi, lai īstenotu Biroja lēmumu, tostarp tika izdots dienesta dokuments, kurā izklāstīta lēmuma īstenošanas praktiskā kārtība, rīkota izpratnes veidošanas apmācības kampaņa un noteikumi par ziņojumu paraugiem, kas jāiekļauj sarakstē starp Komitejas locekļiem un ārējām ieinteresētajām personām, mudinot pievienoties ES </w:t>
      </w:r>
      <w:proofErr w:type="spellStart"/>
      <w:r w:rsidRPr="0096385A">
        <w:rPr>
          <w:kern w:val="2"/>
          <w14:ligatures w14:val="standardContextual"/>
        </w:rPr>
        <w:t>Pārredzamības</w:t>
      </w:r>
      <w:proofErr w:type="spellEnd"/>
      <w:r w:rsidRPr="0096385A">
        <w:rPr>
          <w:kern w:val="2"/>
          <w14:ligatures w14:val="standardContextual"/>
        </w:rPr>
        <w:t xml:space="preserve"> reģistram (attiecīgā gadījumā);</w:t>
      </w:r>
    </w:p>
    <w:p w14:paraId="544DA80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42.</w:t>
      </w:r>
      <w:r w:rsidRPr="0096385A">
        <w:rPr>
          <w:kern w:val="2"/>
          <w14:ligatures w14:val="standardContextual"/>
        </w:rPr>
        <w:tab/>
        <w:t>mudina EESK īstenot paziņoto interešu konfliktu izsekošanu reāllaikā, nosakot, ka visiem locekļiem un vadošajiem darbiniekiem katru gadu ir publiski jāatklāj finanšu intereses, aktīvi un ārējā piederība, lai novērstu nepamatotu ietekmi uz lēmumu pieņemšanu;</w:t>
      </w:r>
    </w:p>
    <w:p w14:paraId="42339C8F"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43.</w:t>
      </w:r>
      <w:r w:rsidRPr="0096385A">
        <w:rPr>
          <w:kern w:val="2"/>
          <w14:ligatures w14:val="standardContextual"/>
        </w:rPr>
        <w:tab/>
        <w:t xml:space="preserve">norāda, ka 2023. gadā nebija gadījumu krāpšanas, interešu konfliktu un trauksmes celšanas jomā; norāda, ka tika pārskatīta Komitejas krāpšanas apkarošanas pasākumu efektivitāte, lai izstrādātu krāpšanas apkarošanas stratēģiju, kuras joprojām trūkst, neraugoties uz vairākiem Parlamenta pieprasījumiem budžeta izpildes apstiprināšanas rezolūcijās veikt pasākumus, lai uzlabotu vispārējo krāpšanas apkarošanas sistēmu; atgādina, cik svarīga ir visaptveroša krāpšanas apkarošanas stratēģija, un aicina Komiteju pastāvīgi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šīs darbības rezultātiem, kam būtu vajadzējis beigties ar krāpšanas apkarošanas stratēģijas pieņemšanu 2024. gadā;</w:t>
      </w:r>
    </w:p>
    <w:p w14:paraId="510A047F" w14:textId="77777777" w:rsidR="0096385A" w:rsidRPr="0096385A" w:rsidRDefault="0096385A" w:rsidP="0096385A">
      <w:pPr>
        <w:spacing w:after="240"/>
        <w:ind w:left="567" w:hanging="567"/>
        <w:rPr>
          <w:b/>
          <w:i/>
          <w:kern w:val="2"/>
          <w:szCs w:val="24"/>
          <w14:ligatures w14:val="standardContextual"/>
        </w:rPr>
      </w:pPr>
      <w:proofErr w:type="spellStart"/>
      <w:r w:rsidRPr="0096385A">
        <w:rPr>
          <w:b/>
          <w:i/>
          <w:kern w:val="2"/>
          <w14:ligatures w14:val="standardContextual"/>
        </w:rPr>
        <w:t>Digitalizācija</w:t>
      </w:r>
      <w:proofErr w:type="spellEnd"/>
      <w:r w:rsidRPr="0096385A">
        <w:rPr>
          <w:b/>
          <w:i/>
          <w:kern w:val="2"/>
          <w14:ligatures w14:val="standardContextual"/>
        </w:rPr>
        <w:t xml:space="preserve">, </w:t>
      </w:r>
      <w:proofErr w:type="spellStart"/>
      <w:r w:rsidRPr="0096385A">
        <w:rPr>
          <w:b/>
          <w:i/>
          <w:kern w:val="2"/>
          <w14:ligatures w14:val="standardContextual"/>
        </w:rPr>
        <w:t>kiberdrošība</w:t>
      </w:r>
      <w:proofErr w:type="spellEnd"/>
      <w:r w:rsidRPr="0096385A">
        <w:rPr>
          <w:b/>
          <w:i/>
          <w:kern w:val="2"/>
          <w14:ligatures w14:val="standardContextual"/>
        </w:rPr>
        <w:t xml:space="preserve"> un datu aizsardzība</w:t>
      </w:r>
    </w:p>
    <w:p w14:paraId="085B613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44.</w:t>
      </w:r>
      <w:r w:rsidRPr="0096385A">
        <w:rPr>
          <w:kern w:val="2"/>
          <w14:ligatures w14:val="standardContextual"/>
        </w:rPr>
        <w:tab/>
        <w:t xml:space="preserve">norāda, ka Komitejas un RK kopējais IT budžets 2023. gadā bija 2 700 000 EUR salīdzinājumā ar 11 712 000 EUR 2022. gadā, t. i., par 8,4 % vairāk, savukārt 350 000 EUR no šā budžeta (vai 3 %) 2023. gadā tika izmaksāti </w:t>
      </w:r>
      <w:proofErr w:type="spellStart"/>
      <w:r w:rsidRPr="0096385A">
        <w:rPr>
          <w:kern w:val="2"/>
          <w14:ligatures w14:val="standardContextual"/>
        </w:rPr>
        <w:t>kiberdrošībai</w:t>
      </w:r>
      <w:proofErr w:type="spellEnd"/>
      <w:r w:rsidRPr="0096385A">
        <w:rPr>
          <w:kern w:val="2"/>
          <w14:ligatures w14:val="standardContextual"/>
        </w:rPr>
        <w:t>; turklāt norāda, ka 6,24 % no Komitejas 2023. gada kopējā budžeta bija izdevumi darbībām, ar kurām īsteno jauno digitālo stratēģiju 2024.–2026. gadam (</w:t>
      </w:r>
      <w:r w:rsidRPr="0096385A">
        <w:rPr>
          <w:i/>
          <w:kern w:val="2"/>
          <w14:ligatures w14:val="standardContextual"/>
        </w:rPr>
        <w:t>DS2026</w:t>
      </w:r>
      <w:r w:rsidRPr="0096385A">
        <w:rPr>
          <w:kern w:val="2"/>
          <w14:ligatures w14:val="standardContextual"/>
        </w:rPr>
        <w:t>), ko 2023. gadā sagatavoja kopīgais Inovācijas un informācijas tehnoloģiju direktorāts (</w:t>
      </w:r>
      <w:r w:rsidRPr="0096385A">
        <w:rPr>
          <w:i/>
          <w:kern w:val="2"/>
          <w14:ligatures w14:val="standardContextual"/>
        </w:rPr>
        <w:t>DIIT</w:t>
      </w:r>
      <w:r w:rsidRPr="0096385A">
        <w:rPr>
          <w:kern w:val="2"/>
          <w14:ligatures w14:val="standardContextual"/>
        </w:rPr>
        <w:t>);</w:t>
      </w:r>
    </w:p>
    <w:p w14:paraId="34AD561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45.</w:t>
      </w:r>
      <w:r w:rsidRPr="0096385A">
        <w:rPr>
          <w:kern w:val="2"/>
          <w14:ligatures w14:val="standardContextual"/>
        </w:rPr>
        <w:tab/>
        <w:t xml:space="preserve">norāda, ka </w:t>
      </w:r>
      <w:r w:rsidRPr="0096385A">
        <w:rPr>
          <w:i/>
          <w:kern w:val="2"/>
          <w14:ligatures w14:val="standardContextual"/>
        </w:rPr>
        <w:t>DS2026</w:t>
      </w:r>
      <w:r w:rsidRPr="0096385A">
        <w:rPr>
          <w:kern w:val="2"/>
          <w14:ligatures w14:val="standardContextual"/>
        </w:rPr>
        <w:t xml:space="preserve"> ir paredzēta tāda nākotne, kurā tehnoloģija ir integrēta Komitejas pamatuzdevumā, galveno uzmanību pievēršot efektivitātei, ātrumam un nepārtrauktai digitālajai attīstībai, digitālās pārveides centrā izvirzot gan administrāciju, gan locekļus un cenšoties uzlabot pakalpojumu sniegšanu, iespēju nodrošināšanu un pielāgošanās spēju; norāda, ka </w:t>
      </w:r>
      <w:r w:rsidRPr="0096385A">
        <w:rPr>
          <w:i/>
          <w:kern w:val="2"/>
          <w14:ligatures w14:val="standardContextual"/>
        </w:rPr>
        <w:t>DS2026</w:t>
      </w:r>
      <w:r w:rsidRPr="0096385A">
        <w:rPr>
          <w:kern w:val="2"/>
          <w14:ligatures w14:val="standardContextual"/>
        </w:rPr>
        <w:t xml:space="preserve"> struktūras pamatā ir astoņi mērķi, astoņi pamatprincipi un četri lieli projekti, piemēram, </w:t>
      </w:r>
      <w:proofErr w:type="spellStart"/>
      <w:r w:rsidRPr="0096385A">
        <w:rPr>
          <w:i/>
          <w:kern w:val="2"/>
          <w14:ligatures w14:val="standardContextual"/>
        </w:rPr>
        <w:t>Ares</w:t>
      </w:r>
      <w:proofErr w:type="spellEnd"/>
      <w:r w:rsidRPr="0096385A">
        <w:rPr>
          <w:kern w:val="2"/>
          <w14:ligatures w14:val="standardContextual"/>
        </w:rPr>
        <w:t xml:space="preserve"> un </w:t>
      </w:r>
      <w:proofErr w:type="spellStart"/>
      <w:r w:rsidRPr="0096385A">
        <w:rPr>
          <w:i/>
          <w:kern w:val="2"/>
          <w14:ligatures w14:val="standardContextual"/>
        </w:rPr>
        <w:t>EdiT</w:t>
      </w:r>
      <w:proofErr w:type="spellEnd"/>
      <w:r w:rsidRPr="0096385A">
        <w:rPr>
          <w:kern w:val="2"/>
          <w14:ligatures w14:val="standardContextual"/>
        </w:rPr>
        <w:t xml:space="preserve"> pieņemšana, kurus paredzēts īstenot attiecīgi </w:t>
      </w:r>
      <w:r w:rsidRPr="0096385A">
        <w:rPr>
          <w:kern w:val="2"/>
          <w14:ligatures w14:val="standardContextual"/>
        </w:rPr>
        <w:lastRenderedPageBreak/>
        <w:t xml:space="preserve">2026. un 2025. gadā; pēc iepazīšanās ar aptauju ar gandarījumu norāda uz </w:t>
      </w:r>
      <w:r w:rsidRPr="0096385A">
        <w:rPr>
          <w:i/>
          <w:kern w:val="2"/>
          <w14:ligatures w14:val="standardContextual"/>
        </w:rPr>
        <w:t>DIIT</w:t>
      </w:r>
      <w:r w:rsidRPr="0096385A">
        <w:rPr>
          <w:kern w:val="2"/>
          <w14:ligatures w14:val="standardContextual"/>
        </w:rPr>
        <w:t xml:space="preserve"> panākto progresu </w:t>
      </w:r>
      <w:r w:rsidRPr="0096385A">
        <w:rPr>
          <w:i/>
          <w:kern w:val="2"/>
          <w14:ligatures w14:val="standardContextual"/>
        </w:rPr>
        <w:t>DS2026</w:t>
      </w:r>
      <w:r w:rsidRPr="0096385A">
        <w:rPr>
          <w:kern w:val="2"/>
          <w14:ligatures w14:val="standardContextual"/>
        </w:rPr>
        <w:t xml:space="preserve"> īstenošanā 2023. gadā, cita starpā pieņemot personāla pamatnostādnes par mākslīgo intelektu, integrējot grozījumu plūsmas ar tulkošanas rīkiem un izveidojot projektu vadības biroju;</w:t>
      </w:r>
    </w:p>
    <w:p w14:paraId="78CCABC2"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46.</w:t>
      </w:r>
      <w:r w:rsidRPr="0096385A">
        <w:rPr>
          <w:kern w:val="2"/>
          <w14:ligatures w14:val="standardContextual"/>
        </w:rPr>
        <w:tab/>
        <w:t xml:space="preserve">pēc iepazīšanās ar gada ziņojumu norāda uz Komitejas darbībām personas datu aizsardzības un to apstrādes jomā; norāda, ka 2023. gadā Komiteja izveidoja jaunu tās reģistra tiešsaistes versiju un jaunu kopīgu darbību reģistru ar RK, un 2023. gada beigās pirmajā bija 121 ieraksts un otrajā bija 25 ieraksti; turklāt norāda, ka Komiteja pieņēma jaunu procedūru datu aizsardzības pārkāpumu novēršanai, publicēja datu aizsardzības rokasgrāmatu un 2023. gadā īstenoja vairākas izpratnes veicināšanas iniciatīvas saviem darbiniekiem un locekļiem; visbeidzot norāda, ka Eiropas Datu aizsardzības uzraudzītājs 2023. gadā sāka vienu izmeklēšanu saistībā ar ārējās revīzijas pārvaldību un turpināja senāku izmeklēšanu par to, kā Savienības iestādes izmanto </w:t>
      </w:r>
      <w:proofErr w:type="spellStart"/>
      <w:r w:rsidRPr="0096385A">
        <w:rPr>
          <w:kern w:val="2"/>
          <w14:ligatures w14:val="standardContextual"/>
        </w:rPr>
        <w:t>mākoņpakalpojumus</w:t>
      </w:r>
      <w:proofErr w:type="spellEnd"/>
      <w:r w:rsidRPr="0096385A">
        <w:rPr>
          <w:kern w:val="2"/>
          <w14:ligatures w14:val="standardContextual"/>
        </w:rPr>
        <w:t xml:space="preserve"> saskaņā ar </w:t>
      </w:r>
      <w:proofErr w:type="spellStart"/>
      <w:r w:rsidRPr="0096385A">
        <w:rPr>
          <w:i/>
          <w:kern w:val="2"/>
          <w14:ligatures w14:val="standardContextual"/>
        </w:rPr>
        <w:t>Cloud</w:t>
      </w:r>
      <w:proofErr w:type="spellEnd"/>
      <w:r w:rsidRPr="0096385A">
        <w:rPr>
          <w:i/>
          <w:kern w:val="2"/>
          <w14:ligatures w14:val="standardContextual"/>
        </w:rPr>
        <w:t xml:space="preserve"> II</w:t>
      </w:r>
      <w:r w:rsidRPr="0096385A">
        <w:rPr>
          <w:kern w:val="2"/>
          <w14:ligatures w14:val="standardContextual"/>
        </w:rPr>
        <w:t xml:space="preserve"> līgumiem, savukārt attiecībā uz abām izmeklēšanām secinājumi vēl nav pabeigti; prasa Komitejai turpināt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šajos jautājumos panākto progresu;</w:t>
      </w:r>
    </w:p>
    <w:p w14:paraId="5EE637E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47.</w:t>
      </w:r>
      <w:r w:rsidRPr="0096385A">
        <w:rPr>
          <w:kern w:val="2"/>
          <w14:ligatures w14:val="standardContextual"/>
        </w:rPr>
        <w:tab/>
        <w:t xml:space="preserve">norāda, ka Komiteja 2023. gadā pabeidza savu projektu attiecībā uz visu savu sanāksmju telpu aprīkojumu, savukārt vēl 14 šādas telpas bija aprīkotas ar tehnoloģijām, kas padara tās pilnībā darbotiesspējīgas </w:t>
      </w:r>
      <w:proofErr w:type="spellStart"/>
      <w:r w:rsidRPr="0096385A">
        <w:rPr>
          <w:kern w:val="2"/>
          <w14:ligatures w14:val="standardContextual"/>
        </w:rPr>
        <w:t>hibrīdformātā</w:t>
      </w:r>
      <w:proofErr w:type="spellEnd"/>
      <w:r w:rsidRPr="0096385A">
        <w:rPr>
          <w:kern w:val="2"/>
          <w14:ligatures w14:val="standardContextual"/>
        </w:rPr>
        <w:t xml:space="preserve">; atzinīgi vērtē to, ka Komiteja visas iepirkuma procedūras attiecībā uz augstas vērtības līgumiem veica pilnībā </w:t>
      </w:r>
      <w:proofErr w:type="spellStart"/>
      <w:r w:rsidRPr="0096385A">
        <w:rPr>
          <w:kern w:val="2"/>
          <w14:ligatures w14:val="standardContextual"/>
        </w:rPr>
        <w:t>digitalizētā</w:t>
      </w:r>
      <w:proofErr w:type="spellEnd"/>
      <w:r w:rsidRPr="0096385A">
        <w:rPr>
          <w:kern w:val="2"/>
          <w14:ligatures w14:val="standardContextual"/>
        </w:rPr>
        <w:t xml:space="preserve"> veidā, izmantoja kvalificētu elektronisko parakstu jebkāda veida līgumiskajām vienošanām un 2023. gadā nodrošināja darbiniekiem apmācību par pāreju uz publiskā iepirkuma pārvaldības rīku sistēmu un Finansējuma un iepirkumu portālu;</w:t>
      </w:r>
    </w:p>
    <w:p w14:paraId="40FB474D"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48.</w:t>
      </w:r>
      <w:r w:rsidRPr="0096385A">
        <w:rPr>
          <w:kern w:val="2"/>
          <w14:ligatures w14:val="standardContextual"/>
        </w:rPr>
        <w:tab/>
        <w:t xml:space="preserve">atzinīgi vērtē Komitejas konkrētās darbības, kuru mērķis ir nodrošināt, ka tās darbinieki 2023. gadā iegūst nepieciešamās digitālās prasmes arvien </w:t>
      </w:r>
      <w:proofErr w:type="spellStart"/>
      <w:r w:rsidRPr="0096385A">
        <w:rPr>
          <w:kern w:val="2"/>
          <w14:ligatures w14:val="standardContextual"/>
        </w:rPr>
        <w:t>digitalizētākā</w:t>
      </w:r>
      <w:proofErr w:type="spellEnd"/>
      <w:r w:rsidRPr="0096385A">
        <w:rPr>
          <w:kern w:val="2"/>
          <w14:ligatures w14:val="standardContextual"/>
        </w:rPr>
        <w:t xml:space="preserve"> darbavietā; šajā sakarībā norāda uz pasākumiem, piemēram, mini </w:t>
      </w:r>
      <w:proofErr w:type="spellStart"/>
      <w:r w:rsidRPr="0096385A">
        <w:rPr>
          <w:kern w:val="2"/>
          <w14:ligatures w14:val="standardContextual"/>
        </w:rPr>
        <w:t>hakatoniem</w:t>
      </w:r>
      <w:proofErr w:type="spellEnd"/>
      <w:r w:rsidRPr="0096385A">
        <w:rPr>
          <w:kern w:val="2"/>
          <w14:ligatures w14:val="standardContextual"/>
        </w:rPr>
        <w:t xml:space="preserve">, kas organizēti </w:t>
      </w:r>
      <w:proofErr w:type="spellStart"/>
      <w:r w:rsidRPr="0096385A">
        <w:rPr>
          <w:kern w:val="2"/>
          <w14:ligatures w14:val="standardContextual"/>
        </w:rPr>
        <w:t>vienādranga</w:t>
      </w:r>
      <w:proofErr w:type="spellEnd"/>
      <w:r w:rsidRPr="0096385A">
        <w:rPr>
          <w:kern w:val="2"/>
          <w14:ligatures w14:val="standardContextual"/>
        </w:rPr>
        <w:t xml:space="preserve"> tīkla ietvaros, kurš izveidots kopā ar RK, lai veicinātu </w:t>
      </w:r>
      <w:proofErr w:type="spellStart"/>
      <w:r w:rsidRPr="0096385A">
        <w:rPr>
          <w:kern w:val="2"/>
          <w14:ligatures w14:val="standardContextual"/>
        </w:rPr>
        <w:t>sadarbīgu</w:t>
      </w:r>
      <w:proofErr w:type="spellEnd"/>
      <w:r w:rsidRPr="0096385A">
        <w:rPr>
          <w:kern w:val="2"/>
          <w14:ligatures w14:val="standardContextual"/>
        </w:rPr>
        <w:t xml:space="preserve"> digitālo rīku labāku izmantošanu un izpratni par tiem, kā arī </w:t>
      </w:r>
      <w:proofErr w:type="spellStart"/>
      <w:r w:rsidRPr="0096385A">
        <w:rPr>
          <w:kern w:val="2"/>
          <w14:ligatures w14:val="standardContextual"/>
        </w:rPr>
        <w:t>vienādranga</w:t>
      </w:r>
      <w:proofErr w:type="spellEnd"/>
      <w:r w:rsidRPr="0096385A">
        <w:rPr>
          <w:kern w:val="2"/>
          <w14:ligatures w14:val="standardContextual"/>
        </w:rPr>
        <w:t xml:space="preserve"> apmācību un pieredzes apmaiņu; norāda, ka šo pasākumu rezultāti tika iekļauti Komitejas apmācības piedāvājumā;</w:t>
      </w:r>
    </w:p>
    <w:p w14:paraId="02EB1929"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49.</w:t>
      </w:r>
      <w:r w:rsidRPr="0096385A">
        <w:rPr>
          <w:kern w:val="2"/>
          <w14:ligatures w14:val="standardContextual"/>
        </w:rPr>
        <w:tab/>
        <w:t>norāda, ka 2023. gada oktobrī tika pieņemtas pamatnostādnes darbiniekiem par mākslīgā intelekta (MI) izmantošanu, ka visiem darbiniekiem tika nodrošināta informatīva sesija, kurā tika uzsvērtas iespējas un izaicinājumi, un ka turpmāka saziņa ar darbiniekiem tika nodrošināta, izmantojot uz zināšanām balstītus rakstus Komitejas iekštīklā informētības palielināšanai;</w:t>
      </w:r>
    </w:p>
    <w:p w14:paraId="1030F89D"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50.</w:t>
      </w:r>
      <w:r w:rsidRPr="0096385A">
        <w:rPr>
          <w:kern w:val="2"/>
          <w14:ligatures w14:val="standardContextual"/>
        </w:rPr>
        <w:tab/>
        <w:t xml:space="preserve">norāda, ka 2023. gadā gan Komitejā, gan RK turpinājās darbs pie </w:t>
      </w:r>
      <w:r w:rsidRPr="0096385A">
        <w:rPr>
          <w:i/>
          <w:kern w:val="2"/>
          <w14:ligatures w14:val="standardContextual"/>
        </w:rPr>
        <w:t>NIST</w:t>
      </w:r>
      <w:r w:rsidRPr="0096385A">
        <w:rPr>
          <w:kern w:val="2"/>
          <w14:ligatures w14:val="standardContextual"/>
        </w:rPr>
        <w:t xml:space="preserve"> </w:t>
      </w:r>
      <w:proofErr w:type="spellStart"/>
      <w:r w:rsidRPr="0096385A">
        <w:rPr>
          <w:kern w:val="2"/>
          <w14:ligatures w14:val="standardContextual"/>
        </w:rPr>
        <w:t>kiberdrošības</w:t>
      </w:r>
      <w:proofErr w:type="spellEnd"/>
      <w:r w:rsidRPr="0096385A">
        <w:rPr>
          <w:kern w:val="2"/>
          <w14:ligatures w14:val="standardContextual"/>
        </w:rPr>
        <w:t xml:space="preserve"> satvara pieņemšanas un piemērošanas, savukārt tajā gadā veiktie pasākumi bija vērsti uz dažiem minētā satvara principiem, t. i., aizsardzības un atklāšanas principiem; norāda, ka klimata pārmaiņu mazināšanas stratēģijas tiek īstenotas, izmantojot “</w:t>
      </w:r>
      <w:proofErr w:type="spellStart"/>
      <w:r w:rsidRPr="0096385A">
        <w:rPr>
          <w:kern w:val="2"/>
          <w14:ligatures w14:val="standardContextual"/>
        </w:rPr>
        <w:t>Essential</w:t>
      </w:r>
      <w:proofErr w:type="spellEnd"/>
      <w:r w:rsidRPr="0096385A">
        <w:rPr>
          <w:kern w:val="2"/>
          <w14:ligatures w14:val="standardContextual"/>
        </w:rPr>
        <w:t xml:space="preserve"> </w:t>
      </w:r>
      <w:proofErr w:type="spellStart"/>
      <w:r w:rsidRPr="0096385A">
        <w:rPr>
          <w:kern w:val="2"/>
          <w14:ligatures w14:val="standardContextual"/>
        </w:rPr>
        <w:t>Eight</w:t>
      </w:r>
      <w:proofErr w:type="spellEnd"/>
      <w:r w:rsidRPr="0096385A">
        <w:rPr>
          <w:kern w:val="2"/>
          <w14:ligatures w14:val="standardContextual"/>
        </w:rPr>
        <w:t xml:space="preserve">” </w:t>
      </w:r>
      <w:proofErr w:type="spellStart"/>
      <w:r w:rsidRPr="0096385A">
        <w:rPr>
          <w:kern w:val="2"/>
          <w14:ligatures w14:val="standardContextual"/>
        </w:rPr>
        <w:t>kiberdrošības</w:t>
      </w:r>
      <w:proofErr w:type="spellEnd"/>
      <w:r w:rsidRPr="0096385A">
        <w:rPr>
          <w:kern w:val="2"/>
          <w14:ligatures w14:val="standardContextual"/>
        </w:rPr>
        <w:t xml:space="preserve"> satvaru; turklāt norāda, ka Komiteja 2023. gadā </w:t>
      </w:r>
      <w:proofErr w:type="spellStart"/>
      <w:r w:rsidRPr="0096385A">
        <w:rPr>
          <w:kern w:val="2"/>
          <w14:ligatures w14:val="standardContextual"/>
        </w:rPr>
        <w:t>nesaskārās</w:t>
      </w:r>
      <w:proofErr w:type="spellEnd"/>
      <w:r w:rsidRPr="0096385A">
        <w:rPr>
          <w:kern w:val="2"/>
          <w14:ligatures w14:val="standardContextual"/>
        </w:rPr>
        <w:t xml:space="preserve"> ar kiberuzbrukumiem, bet 2022. gada beigās un 2024. gada sākumā tā </w:t>
      </w:r>
      <w:proofErr w:type="spellStart"/>
      <w:r w:rsidRPr="0096385A">
        <w:rPr>
          <w:kern w:val="2"/>
          <w14:ligatures w14:val="standardContextual"/>
        </w:rPr>
        <w:t>saskārās</w:t>
      </w:r>
      <w:proofErr w:type="spellEnd"/>
      <w:r w:rsidRPr="0096385A">
        <w:rPr>
          <w:kern w:val="2"/>
          <w14:ligatures w14:val="standardContextual"/>
        </w:rPr>
        <w:t xml:space="preserve"> ar īsiem pakalpojuma atteikuma (</w:t>
      </w:r>
      <w:proofErr w:type="spellStart"/>
      <w:r w:rsidRPr="0096385A">
        <w:rPr>
          <w:i/>
          <w:kern w:val="2"/>
          <w14:ligatures w14:val="standardContextual"/>
        </w:rPr>
        <w:t>DoS</w:t>
      </w:r>
      <w:proofErr w:type="spellEnd"/>
      <w:r w:rsidRPr="0096385A">
        <w:rPr>
          <w:kern w:val="2"/>
          <w14:ligatures w14:val="standardContextual"/>
        </w:rPr>
        <w:t>) uzbrukumiem Komitejas arējam korporatīvajām tīmekļa vietnēm;</w:t>
      </w:r>
    </w:p>
    <w:p w14:paraId="41BE53CA"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51.</w:t>
      </w:r>
      <w:r w:rsidRPr="0096385A">
        <w:rPr>
          <w:kern w:val="2"/>
          <w14:ligatures w14:val="standardContextual"/>
        </w:rPr>
        <w:tab/>
        <w:t xml:space="preserve">mudina EESK palielināt savu </w:t>
      </w:r>
      <w:proofErr w:type="spellStart"/>
      <w:r w:rsidRPr="0096385A">
        <w:rPr>
          <w:kern w:val="2"/>
          <w14:ligatures w14:val="standardContextual"/>
        </w:rPr>
        <w:t>kiberdrošības</w:t>
      </w:r>
      <w:proofErr w:type="spellEnd"/>
      <w:r w:rsidRPr="0096385A">
        <w:rPr>
          <w:kern w:val="2"/>
          <w14:ligatures w14:val="standardContextual"/>
        </w:rPr>
        <w:t xml:space="preserve"> budžetu līdz vismaz 10 % no kopējiem IT izdevumiem saskaņā ar ES </w:t>
      </w:r>
      <w:proofErr w:type="spellStart"/>
      <w:r w:rsidRPr="0096385A">
        <w:rPr>
          <w:kern w:val="2"/>
          <w14:ligatures w14:val="standardContextual"/>
        </w:rPr>
        <w:t>kiberdrošības</w:t>
      </w:r>
      <w:proofErr w:type="spellEnd"/>
      <w:r w:rsidRPr="0096385A">
        <w:rPr>
          <w:kern w:val="2"/>
          <w14:ligatures w14:val="standardContextual"/>
        </w:rPr>
        <w:t xml:space="preserve"> direktīvām, nodrošinot labāku aizsardzību pret </w:t>
      </w:r>
      <w:proofErr w:type="spellStart"/>
      <w:r w:rsidRPr="0096385A">
        <w:rPr>
          <w:kern w:val="2"/>
          <w14:ligatures w14:val="standardContextual"/>
        </w:rPr>
        <w:lastRenderedPageBreak/>
        <w:t>kiberdraudiem</w:t>
      </w:r>
      <w:proofErr w:type="spellEnd"/>
      <w:r w:rsidRPr="0096385A">
        <w:rPr>
          <w:kern w:val="2"/>
          <w14:ligatures w14:val="standardContextual"/>
        </w:rPr>
        <w:t xml:space="preserve">, jo īpaši attiecībā uz </w:t>
      </w:r>
      <w:proofErr w:type="spellStart"/>
      <w:r w:rsidRPr="0096385A">
        <w:rPr>
          <w:kern w:val="2"/>
          <w14:ligatures w14:val="standardContextual"/>
        </w:rPr>
        <w:t>sensitīviem</w:t>
      </w:r>
      <w:proofErr w:type="spellEnd"/>
      <w:r w:rsidRPr="0096385A">
        <w:rPr>
          <w:kern w:val="2"/>
          <w14:ligatures w14:val="standardContextual"/>
        </w:rPr>
        <w:t xml:space="preserve"> datiem, kas saistīti ar politikas un budžeta jautājumiem;</w:t>
      </w:r>
    </w:p>
    <w:p w14:paraId="3DA13211"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Ēkas</w:t>
      </w:r>
    </w:p>
    <w:p w14:paraId="6C0A8D2A"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52.</w:t>
      </w:r>
      <w:r w:rsidRPr="0096385A">
        <w:rPr>
          <w:kern w:val="2"/>
          <w14:ligatures w14:val="standardContextual"/>
        </w:rPr>
        <w:tab/>
        <w:t xml:space="preserve">apstiprina, ka ir saņemts Komitejas 2024. gada 3. jūnija ziņojums, ar kuru budžeta izpildes </w:t>
      </w:r>
      <w:proofErr w:type="spellStart"/>
      <w:r w:rsidRPr="0096385A">
        <w:rPr>
          <w:kern w:val="2"/>
          <w14:ligatures w14:val="standardContextual"/>
        </w:rPr>
        <w:t>apstiprinātājiestāde</w:t>
      </w:r>
      <w:proofErr w:type="spellEnd"/>
      <w:r w:rsidRPr="0096385A">
        <w:rPr>
          <w:kern w:val="2"/>
          <w14:ligatures w14:val="standardContextual"/>
        </w:rPr>
        <w:t xml:space="preserve"> tiek informēta par Komitejas ēku politiku saskaņā ar Savienības Finanšu regulas 266. panta 1. punktu; ar gandarījumu norāda, ka saskaņā ar minēto ziņojumu Komiteja kopā ar RK ir sasniegusi vienu no galvenajām prioritātēm savā 2017. gada ēku stratēģijā, t. i., “ēku ģeogrāfisko koncentrāciju”; turklāt norāda, ka šis sasniegums jau ir radījis ietaupījumus, pateicoties zemākām izmaksām par visas VMA ēkas īri salīdzinājumā ar trim iepriekš nomātajām ēkām; saprot, ka šie ietaupījumi ir aptuveni 1,8 miljoni EUR, kas saskaņā ar minēto ziņojumu ir līdzvērtīgi īres maksai, kas tiek maksāta par B100 ēku; norāda, ka Komiteja pašlaik strādā pie 2017. gada ilgtermiņa ēku stratēģijas atjaunināšanas un ka šis darbs būtu jāpabeidz līdz 2025. gada beigām; aicina Komiteju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šo pasākumu rezultātiem;</w:t>
      </w:r>
    </w:p>
    <w:p w14:paraId="6BD68009" w14:textId="77777777" w:rsidR="0096385A" w:rsidRPr="0096385A" w:rsidRDefault="0096385A" w:rsidP="0096385A">
      <w:pPr>
        <w:spacing w:after="240"/>
        <w:ind w:left="567" w:hanging="567"/>
        <w:rPr>
          <w:kern w:val="2"/>
          <w:szCs w:val="24"/>
          <w14:ligatures w14:val="standardContextual"/>
        </w:rPr>
      </w:pPr>
      <w:r w:rsidRPr="0096385A">
        <w:rPr>
          <w:kern w:val="2"/>
          <w14:ligatures w14:val="standardContextual"/>
        </w:rPr>
        <w:t>53.</w:t>
      </w:r>
      <w:r w:rsidRPr="0096385A">
        <w:rPr>
          <w:kern w:val="2"/>
          <w14:ligatures w14:val="standardContextual"/>
        </w:rPr>
        <w:tab/>
        <w:t xml:space="preserve">atzinīgi vērtē </w:t>
      </w:r>
      <w:proofErr w:type="spellStart"/>
      <w:r w:rsidRPr="0096385A">
        <w:rPr>
          <w:kern w:val="2"/>
          <w14:ligatures w14:val="standardContextual"/>
        </w:rPr>
        <w:t>jauniegādātās</w:t>
      </w:r>
      <w:proofErr w:type="spellEnd"/>
      <w:r w:rsidRPr="0096385A">
        <w:rPr>
          <w:kern w:val="2"/>
          <w14:ligatures w14:val="standardContextual"/>
        </w:rPr>
        <w:t xml:space="preserve"> VMA ēkas renovācijas (t. i., aprīkošanas darbu) pabeigšanu, kas ietvēra viedo </w:t>
      </w:r>
      <w:proofErr w:type="spellStart"/>
      <w:r w:rsidRPr="0096385A">
        <w:rPr>
          <w:kern w:val="2"/>
          <w14:ligatures w14:val="standardContextual"/>
        </w:rPr>
        <w:t>energotaupības</w:t>
      </w:r>
      <w:proofErr w:type="spellEnd"/>
      <w:r w:rsidRPr="0096385A">
        <w:rPr>
          <w:kern w:val="2"/>
          <w14:ligatures w14:val="standardContextual"/>
        </w:rPr>
        <w:t xml:space="preserve"> tehnoloģiju uzstādīšanu; atbalsta Komitejas plānu veikt visu savu ēku tehniskos un vides revīzijas, tā kā šo revīziju rezultātiem būtu jāļauj identificēt visas tehniskās iekārtas un ēku komponentus, kas pilnībā vai daļēji jārenovē vai jāuztur tādā stāvoklī, kādā tie ir, tādējādi saskaņojot tos ar Eiropas zaļā kursa mērķiem; aicina Komiteju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šo revīziju rezultātiem un turpmākajiem pasākumiem;</w:t>
      </w:r>
    </w:p>
    <w:p w14:paraId="1EFADC2C" w14:textId="77777777" w:rsidR="0096385A" w:rsidRPr="0096385A" w:rsidRDefault="0096385A" w:rsidP="0096385A">
      <w:pPr>
        <w:spacing w:after="240"/>
        <w:ind w:left="567" w:hanging="567"/>
        <w:rPr>
          <w:kern w:val="2"/>
          <w:szCs w:val="24"/>
          <w14:ligatures w14:val="standardContextual"/>
        </w:rPr>
      </w:pPr>
      <w:r w:rsidRPr="0096385A">
        <w:rPr>
          <w:kern w:val="2"/>
          <w14:ligatures w14:val="standardContextual"/>
        </w:rPr>
        <w:t>54.</w:t>
      </w:r>
      <w:r w:rsidRPr="0096385A">
        <w:rPr>
          <w:kern w:val="2"/>
          <w14:ligatures w14:val="standardContextual"/>
        </w:rPr>
        <w:tab/>
        <w:t xml:space="preserve">norāda, ka 2022. gadā izveidotā darba grupa par jauniem darba veidiem 2023. gadā izdeva pirmo perspektīvas ziņojumu, kurā galvenā uzmanība tika pievērsta pieejamajām biroju telpām un iespējamām optimizācijas iespējām; norāda uz Komitejas plānu turpināt šo darbu, izmantojot līdzdalības procesu ar darbiniekiem, lai kopīgi izstrādātu turpmākās darba telpas; aicina Komiteju pastāvīgi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šajā jautājumā panākto progresu;</w:t>
      </w:r>
    </w:p>
    <w:p w14:paraId="18DD440D" w14:textId="77777777" w:rsidR="0096385A" w:rsidRPr="0096385A" w:rsidRDefault="0096385A" w:rsidP="0096385A">
      <w:pPr>
        <w:spacing w:after="240"/>
        <w:ind w:left="567" w:hanging="567"/>
        <w:rPr>
          <w:kern w:val="2"/>
          <w:szCs w:val="24"/>
          <w14:ligatures w14:val="standardContextual"/>
        </w:rPr>
      </w:pPr>
      <w:r w:rsidRPr="0096385A">
        <w:rPr>
          <w:kern w:val="2"/>
          <w14:ligatures w14:val="standardContextual"/>
        </w:rPr>
        <w:t>55.</w:t>
      </w:r>
      <w:r w:rsidRPr="0096385A">
        <w:rPr>
          <w:kern w:val="2"/>
          <w14:ligatures w14:val="standardContextual"/>
        </w:rPr>
        <w:tab/>
        <w:t>atzinīgi vērtē Komitejas un RK apņemšanos sistemātiski piemērot principu “universālais dizains" savai infrastruktūrai, nodrošinot savas ēkas pieejamību pēc projekta; norāda, ka abas komitejas 2023. gadā veica virkni dažādu pasākumu, lai nodrošinātu, ka to ēkas ir pieejamas cilvēkiem ar dažāda veida invaliditāti, tostarp modernizējot liftus JDE ēkā;</w:t>
      </w:r>
    </w:p>
    <w:p w14:paraId="7B8865CF" w14:textId="77777777" w:rsidR="0096385A" w:rsidRPr="0096385A" w:rsidRDefault="0096385A" w:rsidP="0096385A">
      <w:pPr>
        <w:spacing w:after="240"/>
        <w:ind w:left="567" w:hanging="567"/>
        <w:rPr>
          <w:b/>
          <w:i/>
          <w:kern w:val="2"/>
          <w:szCs w:val="24"/>
          <w14:ligatures w14:val="standardContextual"/>
        </w:rPr>
      </w:pPr>
      <w:r w:rsidRPr="0096385A">
        <w:rPr>
          <w:b/>
          <w:i/>
          <w:kern w:val="2"/>
          <w14:ligatures w14:val="standardContextual"/>
        </w:rPr>
        <w:t>Vide un ilgtspēja</w:t>
      </w:r>
    </w:p>
    <w:p w14:paraId="3AB6B42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56.</w:t>
      </w:r>
      <w:r w:rsidRPr="0096385A">
        <w:rPr>
          <w:kern w:val="2"/>
          <w14:ligatures w14:val="standardContextual"/>
        </w:rPr>
        <w:tab/>
        <w:t xml:space="preserve">atzinīgi vērtē Komitejas zaļo praksi un atzinīgi vērtē turpmāku gāzes, elektroenerģijas un ūdens patēriņa un oglekļa emisiju samazinājumu un </w:t>
      </w:r>
      <w:proofErr w:type="spellStart"/>
      <w:r w:rsidRPr="0096385A">
        <w:rPr>
          <w:kern w:val="2"/>
          <w14:ligatures w14:val="standardContextual"/>
        </w:rPr>
        <w:t>reciklēšanas</w:t>
      </w:r>
      <w:proofErr w:type="spellEnd"/>
      <w:r w:rsidRPr="0096385A">
        <w:rPr>
          <w:kern w:val="2"/>
          <w14:ligatures w14:val="standardContextual"/>
        </w:rPr>
        <w:t xml:space="preserve"> rādītāja pieaugumu saistībā ar Komitejas darbību 2023. gadā salīdzinājumā ar 2019. gadu; norāda, ka salīdzinājumā ar 2019. gada līmeni atkritumu apjoms nedaudz pasliktinājās no –66 % 2022. gadā līdz –56 % 2023. gadā, jo bija lielāka klātbūtne birojos;</w:t>
      </w:r>
    </w:p>
    <w:p w14:paraId="0E2A230C"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57.</w:t>
      </w:r>
      <w:r w:rsidRPr="0096385A">
        <w:rPr>
          <w:kern w:val="2"/>
          <w14:ligatures w14:val="standardContextual"/>
        </w:rPr>
        <w:tab/>
        <w:t xml:space="preserve">norāda, ka energoefektivitāte un emisiju samazināšana ir panākta, ieguldot inovatīvās energoefektīvās ēku iekārtās, tostarp izmantojot viedās </w:t>
      </w:r>
      <w:proofErr w:type="spellStart"/>
      <w:r w:rsidRPr="0096385A">
        <w:rPr>
          <w:kern w:val="2"/>
          <w14:ligatures w14:val="standardContextual"/>
        </w:rPr>
        <w:t>energotaupības</w:t>
      </w:r>
      <w:proofErr w:type="spellEnd"/>
      <w:r w:rsidRPr="0096385A">
        <w:rPr>
          <w:kern w:val="2"/>
          <w14:ligatures w14:val="standardContextual"/>
        </w:rPr>
        <w:t xml:space="preserve"> tehnoloģijas, kas uzstādītas VMA ēkā, veidot 100 % zaļās elektroenerģijas iegādi, (pielāgotu) vides kritēriju ieviešanu visās iepirkuma procedūrās, kuru vērtība ir vismaz 60 000 EUR, </w:t>
      </w:r>
      <w:proofErr w:type="spellStart"/>
      <w:r w:rsidRPr="0096385A">
        <w:rPr>
          <w:kern w:val="2"/>
          <w14:ligatures w14:val="standardContextual"/>
        </w:rPr>
        <w:lastRenderedPageBreak/>
        <w:t>bezpapīra</w:t>
      </w:r>
      <w:proofErr w:type="spellEnd"/>
      <w:r w:rsidRPr="0096385A">
        <w:rPr>
          <w:kern w:val="2"/>
          <w14:ligatures w14:val="standardContextual"/>
        </w:rPr>
        <w:t xml:space="preserve"> darbplūsmas izmantošanu un citus pasākumus, piemēram, samazinot apgaismojuma darba laiku, samazinot ziemas references temperatūru visās ēkās līdz 19 grādiem vai slēdzot ēkas zemas darbinieku klātbūtnes periodos un daudzus citus pasākumus; norāda, ka Komitejas enerģijas patēriņa samazinājums atbilst 3,4 % likmei un finansiālajam ieguvumam 65 395 EUR apmērā;</w:t>
      </w:r>
    </w:p>
    <w:p w14:paraId="018F45E6"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58.</w:t>
      </w:r>
      <w:r w:rsidRPr="0096385A">
        <w:rPr>
          <w:kern w:val="2"/>
          <w14:ligatures w14:val="standardContextual"/>
        </w:rPr>
        <w:tab/>
        <w:t xml:space="preserve">pēc iepazīšanās ar ziņojumu par turpmākajiem pasākumiem norāda, ka nesen renovētajā VMA ēkā uzstādītās viedās </w:t>
      </w:r>
      <w:proofErr w:type="spellStart"/>
      <w:r w:rsidRPr="0096385A">
        <w:rPr>
          <w:kern w:val="2"/>
          <w14:ligatures w14:val="standardContextual"/>
        </w:rPr>
        <w:t>energotaupības</w:t>
      </w:r>
      <w:proofErr w:type="spellEnd"/>
      <w:r w:rsidRPr="0096385A">
        <w:rPr>
          <w:kern w:val="2"/>
          <w14:ligatures w14:val="standardContextual"/>
        </w:rPr>
        <w:t xml:space="preserve"> tehnoloģijas palīdzēja 2023. gadā samazināt Komitejas enerģijas (gāzes un elektroenerģijas) patēriņu par 20 % līdz 30 %; tomēr atkārtoti aicina Komiteju sniegt Parlamentam jaunāko informāciju par ieguldījumu atdevi no šīm uzstādītajām tehnoloģijām;</w:t>
      </w:r>
    </w:p>
    <w:p w14:paraId="7079476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59.</w:t>
      </w:r>
      <w:r w:rsidRPr="0096385A">
        <w:rPr>
          <w:kern w:val="2"/>
          <w14:ligatures w14:val="standardContextual"/>
        </w:rPr>
        <w:tab/>
        <w:t xml:space="preserve">atzinīgi vērtē to, ka Komiteja ir pieņēmusi </w:t>
      </w:r>
      <w:proofErr w:type="spellStart"/>
      <w:r w:rsidRPr="0096385A">
        <w:rPr>
          <w:kern w:val="2"/>
          <w14:ligatures w14:val="standardContextual"/>
        </w:rPr>
        <w:t>energotaupības</w:t>
      </w:r>
      <w:proofErr w:type="spellEnd"/>
      <w:r w:rsidRPr="0096385A">
        <w:rPr>
          <w:kern w:val="2"/>
          <w14:ligatures w14:val="standardContextual"/>
        </w:rPr>
        <w:t xml:space="preserve"> stratēģiju ar īstermiņa, vidēja termiņa un ilgtermiņa pasākumiem; šajā sakarībā norāda, ka Komiteja ir sākusi visu savu ēku vides auditu, lai cita starpā noteiktu pašreizējo struktūru un aprīkojuma energoefektivitātes līmeni, kā arī aplēstu nepieciešamo ieguldījumu atdevi vides jomā salīdzinājumā ar kopējām izmaksām (uzturēšana, patēriņš u. c.) 30 gadu periodā; turklāt norāda, ka pētījumi par energoefektivitātes pasākumiem ir plānoti 2024. un 2025. gadā; aicina Komiteju pastāvīgi informēt budžeta izpildes </w:t>
      </w:r>
      <w:proofErr w:type="spellStart"/>
      <w:r w:rsidRPr="0096385A">
        <w:rPr>
          <w:kern w:val="2"/>
          <w14:ligatures w14:val="standardContextual"/>
        </w:rPr>
        <w:t>apstiprinātājiestādi</w:t>
      </w:r>
      <w:proofErr w:type="spellEnd"/>
      <w:r w:rsidRPr="0096385A">
        <w:rPr>
          <w:kern w:val="2"/>
          <w14:ligatures w14:val="standardContextual"/>
        </w:rPr>
        <w:t xml:space="preserve"> par šajās jomās panākto progresu;</w:t>
      </w:r>
    </w:p>
    <w:p w14:paraId="77B5BCEB"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60.</w:t>
      </w:r>
      <w:r w:rsidRPr="0096385A">
        <w:rPr>
          <w:kern w:val="2"/>
          <w14:ligatures w14:val="standardContextual"/>
        </w:rPr>
        <w:tab/>
        <w:t>atgādina, ka 2022. gadā Komitejas saules enerģijas paneļu saražotā elektroenerģija bija 15,5 </w:t>
      </w:r>
      <w:proofErr w:type="spellStart"/>
      <w:r w:rsidRPr="0096385A">
        <w:rPr>
          <w:kern w:val="2"/>
          <w14:ligatures w14:val="standardContextual"/>
        </w:rPr>
        <w:t>MWh</w:t>
      </w:r>
      <w:proofErr w:type="spellEnd"/>
      <w:r w:rsidRPr="0096385A">
        <w:rPr>
          <w:kern w:val="2"/>
          <w14:ligatures w14:val="standardContextual"/>
        </w:rPr>
        <w:t xml:space="preserve"> jeb 0,25 % no Komitejas gada patēriņa, savukārt 2023. gadā šis rādītājs samazinājās līdz 5,75 </w:t>
      </w:r>
      <w:proofErr w:type="spellStart"/>
      <w:r w:rsidRPr="0096385A">
        <w:rPr>
          <w:kern w:val="2"/>
          <w14:ligatures w14:val="standardContextual"/>
        </w:rPr>
        <w:t>MWh</w:t>
      </w:r>
      <w:proofErr w:type="spellEnd"/>
      <w:r w:rsidRPr="0096385A">
        <w:rPr>
          <w:kern w:val="2"/>
          <w14:ligatures w14:val="standardContextual"/>
        </w:rPr>
        <w:t>; saistībā ar aptauju ar gandarījumu norāda, ka Komiteja rāda piemēru attiecībā uz pasākumiem un darbībām, kas veiktas ilgtspējīgas mobilitātes veicināšanai;</w:t>
      </w:r>
    </w:p>
    <w:p w14:paraId="121D8214"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Iestāžu sadarbība</w:t>
      </w:r>
    </w:p>
    <w:p w14:paraId="1113F2BD"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61.</w:t>
      </w:r>
      <w:r w:rsidRPr="0096385A">
        <w:rPr>
          <w:kern w:val="2"/>
          <w14:ligatures w14:val="standardContextual"/>
        </w:rPr>
        <w:tab/>
        <w:t>atzinīgi vērtē ciešo sadarbību, ko Komiteja administratīvā līmenī izveidojusi ar jauno 2022. gadā parakstīto sadarbības nolīgumu, saskaņā ar kuru abām komitejām ir kopīgas telpas un kopīgi pakalpojumi tulkošanas, infrastruktūras, loģistikas, drošības, iepirkuma, finanšu pārvaldības un IT jomā, vienlaikus saglabājot pilnīgu institucionālo autonomiju; atzinīgi vērtē pozitīvo attīstību 2023. gadā, kad abas komitejas arī vienojās par kopīgas komunikācijas telpas ar kopīgām audiovizuālām telpām JDE ēkā izstrādi un finansēšanu; prasa Komitejai apzināt un informēt Parlamentu par budžeta ietaupījumiem, kas gūti šā nolīguma īstenošanas pirmajā gadā audiovizuālajā jomā; atkārtoti aicina Komiteju turpināt un paplašināt šo sadarbību citās jomās, kas novērstu dublēšanos un vēl vairāk racionalizētu to pakalpojumu darbības izmaksas, kas pieejami Komitejas un RK kopīgajās telpās; aicina komiteju un RK izpētīt iespēju izveidot vienotu administrāciju to kopīgajiem dienestiem, saglabājot atsevišķus direktorātus vai nodaļas dienestiem, kas nodarbojas ar jautājumiem, kuri attiecas uz to konkrētajām un neatkarīgajām pilnvarām; mudina Komiteju un RK turpināt centienus attīstīt turpmāku sadarbību un sinerģiju;</w:t>
      </w:r>
    </w:p>
    <w:p w14:paraId="4553FC59"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62.</w:t>
      </w:r>
      <w:r w:rsidRPr="0096385A">
        <w:rPr>
          <w:kern w:val="2"/>
          <w14:ligatures w14:val="standardContextual"/>
        </w:rPr>
        <w:tab/>
        <w:t>konstatē, ka budžeta ietaupījumus un efektivitātes pieaugumu turpināja panākt, 2023. gadā aktīvi sadarbojoties Komitejai un citām Savienības iestādēm, tostarp organizējot Komitejas plenārsēdes Komisijas un Parlamenta telpās, kur vietas un saistītie pakalpojumi tiek nodrošināti vai nu bez maksas, vai par cenām, kas ir zemākas par ārējā tirgus cenām;</w:t>
      </w:r>
    </w:p>
    <w:p w14:paraId="4204CB4F"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lastRenderedPageBreak/>
        <w:t>63.</w:t>
      </w:r>
      <w:r w:rsidRPr="0096385A">
        <w:rPr>
          <w:kern w:val="2"/>
          <w14:ligatures w14:val="standardContextual"/>
        </w:rPr>
        <w:tab/>
        <w:t xml:space="preserve">ar gandarījumu norāda, ka Komiteja un Parlaments 2023. gadā atkārtoti apsprieda un 2024. gadā parakstīja iestāžu nolīgumu, savukārt nolīguma mērķis ir sniegt atbilstošāku un savlaicīgāku ieguldījumu visā likumdošanas ciklā un stiprināt divpusējo sadarbību; atzinīgi vērtē to, ka jaunais protokols par Komitejas sadarbību ar Komisiju, kas parakstīts 2022. gadā, jau ir uzlabojis Komitejas ietekmi, piemēram, </w:t>
      </w:r>
      <w:proofErr w:type="spellStart"/>
      <w:r w:rsidRPr="0096385A">
        <w:rPr>
          <w:kern w:val="2"/>
          <w14:ligatures w14:val="standardContextual"/>
        </w:rPr>
        <w:t>pirmslikumdošanas</w:t>
      </w:r>
      <w:proofErr w:type="spellEnd"/>
      <w:r w:rsidRPr="0096385A">
        <w:rPr>
          <w:kern w:val="2"/>
          <w14:ligatures w14:val="standardContextual"/>
        </w:rPr>
        <w:t xml:space="preserve"> posmā, izmantojot izpētes atzinumus; mudina vēl vairāk stiprināt politiskās, likumdošanas un komunikācijas sinerģijas starp Komiteju un Parlamentu, jo īpaši saistībā ar Eiropas pilsoņu iniciatīvu un Eiropas pusgadu;</w:t>
      </w:r>
    </w:p>
    <w:p w14:paraId="4CF85B88"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64.</w:t>
      </w:r>
      <w:r w:rsidRPr="0096385A">
        <w:rPr>
          <w:kern w:val="2"/>
          <w14:ligatures w14:val="standardContextual"/>
        </w:rPr>
        <w:tab/>
        <w:t>atkārtoti pauž atzinību par ārpakalpojumu uzticēšanu (pakalpojumu līmeņa vienošanās) Komisijai saistībā ar cilvēkresursu apstrādi un finanšu un cilvēkresursu pārvaldības IT rīku izmantošanu, kā arī par Komitejas dalību iestāžu iepirkuma procedūrās, ko vada citas iestādes, kā rezultātā Komiteja 2023. gadā turpināja gūt labumu no sinerģijas IT, korporatīvo ceļojumu, apdrošināšanas, transporta, tulkošanas un audiovizuālā aprīkojuma jomā;</w:t>
      </w:r>
    </w:p>
    <w:p w14:paraId="6EDC555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65.</w:t>
      </w:r>
      <w:r w:rsidRPr="0096385A">
        <w:rPr>
          <w:kern w:val="2"/>
          <w14:ligatures w14:val="standardContextual"/>
        </w:rPr>
        <w:tab/>
        <w:t>atzīmē Komitejas nozīmi saiknes stiprināšanā ar Savienības dalībvalstu ekonomikas un sociālo lietu padomēm (</w:t>
      </w:r>
      <w:r w:rsidRPr="0096385A">
        <w:rPr>
          <w:i/>
          <w:iCs/>
          <w:kern w:val="2"/>
          <w14:ligatures w14:val="standardContextual"/>
        </w:rPr>
        <w:t>NESC</w:t>
      </w:r>
      <w:r w:rsidRPr="0096385A">
        <w:rPr>
          <w:kern w:val="2"/>
          <w14:ligatures w14:val="standardContextual"/>
        </w:rPr>
        <w:t xml:space="preserve">) un starp tām; pēc iepazīšanās ar aptaujas rezultātiem norāda uz pasākumiem, ko Komiteja ir veikusi, lai stiprinātu valstu ekonomikas un sociālo lietu padomju tīklu un tiešsaistes kopienu, piemēram, kopīgu darba grupu un apmaiņas programmu izveidi, darbu pie </w:t>
      </w:r>
      <w:proofErr w:type="spellStart"/>
      <w:r w:rsidRPr="0096385A">
        <w:rPr>
          <w:kern w:val="2"/>
          <w14:ligatures w14:val="standardContextual"/>
        </w:rPr>
        <w:t>sadarbīgas</w:t>
      </w:r>
      <w:proofErr w:type="spellEnd"/>
      <w:r w:rsidRPr="0096385A">
        <w:rPr>
          <w:kern w:val="2"/>
          <w14:ligatures w14:val="standardContextual"/>
        </w:rPr>
        <w:t xml:space="preserve"> IT platformas un dalību kopīgos pasākumos; aicina turpināt sadarbību kopīgu interešu jautājumos un labas prakses apmaiņu, uzsverot pilsoniskās sabiedrības būtisko lomu Savienības pašreizējo problēmu risināšanā;</w:t>
      </w:r>
    </w:p>
    <w:p w14:paraId="15C2916C" w14:textId="77777777" w:rsidR="0096385A" w:rsidRPr="0096385A" w:rsidRDefault="0096385A" w:rsidP="0096385A">
      <w:pPr>
        <w:spacing w:after="240"/>
        <w:ind w:left="567" w:hanging="567"/>
        <w:rPr>
          <w:b/>
          <w:i/>
          <w:kern w:val="2"/>
          <w14:ligatures w14:val="standardContextual"/>
        </w:rPr>
      </w:pPr>
      <w:r w:rsidRPr="0096385A">
        <w:rPr>
          <w:b/>
          <w:i/>
          <w:kern w:val="2"/>
          <w14:ligatures w14:val="standardContextual"/>
        </w:rPr>
        <w:t>Komunikācija</w:t>
      </w:r>
    </w:p>
    <w:p w14:paraId="6451934E"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66.</w:t>
      </w:r>
      <w:r w:rsidRPr="0096385A">
        <w:rPr>
          <w:kern w:val="2"/>
          <w14:ligatures w14:val="standardContextual"/>
        </w:rPr>
        <w:tab/>
        <w:t>norāda, ka Komitejas kopējais komunikācijas budžets 2023. gadā bija 2,15 miljoni EUR, kas veido pieaugumu salīdzinājumā ar 1,5 miljoniem EUR 2022. gadā; norāda, ka šis budžets galvenokārt tika piešķirts četriem galvenajiem pasākumiem, kas tika organizēti 2023. gadā (Eiropas pilsoņu iniciatīva, “Jūsu Eiropa, jūsu lēmumi”, Bioloģiskās pārtikas balva un 14. balva pilsoniskajai sabiedrībai), Komitejas sociālo mediju, ārējās tīmekļa vietnes un audiovizuālās produkcijas, kā arī plašsaziņas līdzekļu un preses publikāciju uzlabošanai un/vai pārveidošanai; atzinīgi vērtē Komitejas komunikācijas pasākumus, ar kuriem tiek īstenotas šīs komunikācijas prioritātes 2023. gadam, piemēram, cita starpā zilā kursa iniciatīva, COP28, rezolūcija par demokrātiju un Komitejas 65. gadadiena;</w:t>
      </w:r>
    </w:p>
    <w:p w14:paraId="288D0495"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67.</w:t>
      </w:r>
      <w:r w:rsidRPr="0096385A">
        <w:rPr>
          <w:kern w:val="2"/>
          <w14:ligatures w14:val="standardContextual"/>
        </w:rPr>
        <w:tab/>
        <w:t xml:space="preserve">atzinīgi vērtē Komitejas centienus saistībā ar stratēģisko komunikāciju 2023. gadā; norāda, ka Komiteja ir pieņēmusi jaunu komunikācijas stratēģiju, kuras mērķis ir stiprināt tās tēlu un informētību; norāda, ka minētās stratēģijas ietvaros Komiteja tiešsaistē straumēja savus galvenos pasākumus, galvenokārt visās Savienības valodās, ieviesa jaunus komunikācijas rīkus, piemēram, </w:t>
      </w:r>
      <w:proofErr w:type="spellStart"/>
      <w:r w:rsidRPr="0096385A">
        <w:rPr>
          <w:kern w:val="2"/>
          <w14:ligatures w14:val="standardContextual"/>
        </w:rPr>
        <w:t>videosēriju</w:t>
      </w:r>
      <w:proofErr w:type="spellEnd"/>
      <w:r w:rsidRPr="0096385A">
        <w:rPr>
          <w:kern w:val="2"/>
          <w14:ligatures w14:val="standardContextual"/>
        </w:rPr>
        <w:t xml:space="preserve"> “Ziņošana no plenārsēdes”, kurā tās komunikācijas resursi tika koncentrēti uz Komitejas galvenajiem pasākumiem 2023. gadam, un īstenoja īpašus centienus, lai palielinātu savu ietekmi sociālajos medijos;</w:t>
      </w:r>
    </w:p>
    <w:p w14:paraId="44F59B86"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68.</w:t>
      </w:r>
      <w:r w:rsidRPr="0096385A">
        <w:rPr>
          <w:kern w:val="2"/>
          <w14:ligatures w14:val="standardContextual"/>
        </w:rPr>
        <w:tab/>
        <w:t xml:space="preserve">aicina EESK stiprināt uzraudzību un ziņošanu par darba tiesībām, sociālo iekļaušanu un cilvēktiesību pārkāpumiem ES finansētās programmās, nodrošinot lielāku </w:t>
      </w:r>
      <w:proofErr w:type="spellStart"/>
      <w:r w:rsidRPr="0096385A">
        <w:rPr>
          <w:kern w:val="2"/>
          <w14:ligatures w14:val="standardContextual"/>
        </w:rPr>
        <w:t>pārskatatbildību</w:t>
      </w:r>
      <w:proofErr w:type="spellEnd"/>
      <w:r w:rsidRPr="0096385A">
        <w:rPr>
          <w:kern w:val="2"/>
          <w14:ligatures w14:val="standardContextual"/>
        </w:rPr>
        <w:t xml:space="preserve"> tās padomdevējas funkcijās un politikas ieteikumos;</w:t>
      </w:r>
    </w:p>
    <w:p w14:paraId="1D5C43E4"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lastRenderedPageBreak/>
        <w:t>69.</w:t>
      </w:r>
      <w:r w:rsidRPr="0096385A">
        <w:rPr>
          <w:kern w:val="2"/>
          <w14:ligatures w14:val="standardContextual"/>
        </w:rPr>
        <w:tab/>
        <w:t xml:space="preserve">norāda, ka sociālo mediju sekotāju skaits Komitejas korporatīvajās platformās 2023. gadā ievērojami palielinājās, proti, par 25 000; norāda, ka līdz 2023. gada beigām Komitejas sekotāju skaits sasniedza 61 416 platformā </w:t>
      </w:r>
      <w:r w:rsidRPr="0096385A">
        <w:rPr>
          <w:i/>
          <w:iCs/>
          <w:kern w:val="2"/>
          <w14:ligatures w14:val="standardContextual"/>
        </w:rPr>
        <w:t>X</w:t>
      </w:r>
      <w:r w:rsidRPr="0096385A">
        <w:rPr>
          <w:kern w:val="2"/>
          <w14:ligatures w14:val="standardContextual"/>
        </w:rPr>
        <w:t xml:space="preserve">, kas ir par 5 % vairāk nekā 2022. gadā, 61 761 – </w:t>
      </w:r>
      <w:proofErr w:type="spellStart"/>
      <w:r w:rsidRPr="0096385A">
        <w:rPr>
          <w:i/>
          <w:kern w:val="2"/>
          <w14:ligatures w14:val="standardContextual"/>
        </w:rPr>
        <w:t>LinkedIn</w:t>
      </w:r>
      <w:proofErr w:type="spellEnd"/>
      <w:r w:rsidRPr="0096385A">
        <w:rPr>
          <w:kern w:val="2"/>
          <w14:ligatures w14:val="standardContextual"/>
        </w:rPr>
        <w:t xml:space="preserve">, kas ir par 30 % vairāk nekā 2022. gadā, 46 868 vietnē </w:t>
      </w:r>
      <w:proofErr w:type="spellStart"/>
      <w:r w:rsidRPr="0096385A">
        <w:rPr>
          <w:i/>
          <w:kern w:val="2"/>
          <w14:ligatures w14:val="standardContextual"/>
        </w:rPr>
        <w:t>Facebook</w:t>
      </w:r>
      <w:proofErr w:type="spellEnd"/>
      <w:r w:rsidRPr="0096385A">
        <w:rPr>
          <w:kern w:val="2"/>
          <w14:ligatures w14:val="standardContextual"/>
        </w:rPr>
        <w:t xml:space="preserve">, kas ir par 5,3 % vairāk nekā 2022. gadā un 17 428 </w:t>
      </w:r>
      <w:proofErr w:type="spellStart"/>
      <w:r w:rsidRPr="0096385A">
        <w:rPr>
          <w:i/>
          <w:kern w:val="2"/>
          <w14:ligatures w14:val="standardContextual"/>
        </w:rPr>
        <w:t>Instagram</w:t>
      </w:r>
      <w:proofErr w:type="spellEnd"/>
      <w:r w:rsidRPr="0096385A">
        <w:rPr>
          <w:kern w:val="2"/>
          <w14:ligatures w14:val="standardContextual"/>
        </w:rPr>
        <w:t>, kas ir par 45 % vairāk nekā 2022. gadā;</w:t>
      </w:r>
    </w:p>
    <w:p w14:paraId="77A53DFE" w14:textId="77777777" w:rsidR="0096385A" w:rsidRPr="0096385A" w:rsidRDefault="0096385A" w:rsidP="0096385A">
      <w:pPr>
        <w:spacing w:after="240"/>
        <w:ind w:left="567" w:hanging="567"/>
        <w:rPr>
          <w:kern w:val="2"/>
          <w14:ligatures w14:val="standardContextual"/>
        </w:rPr>
      </w:pPr>
      <w:r w:rsidRPr="0096385A">
        <w:rPr>
          <w:kern w:val="2"/>
          <w14:ligatures w14:val="standardContextual"/>
        </w:rPr>
        <w:t>70.</w:t>
      </w:r>
      <w:r w:rsidRPr="0096385A">
        <w:rPr>
          <w:kern w:val="2"/>
          <w14:ligatures w14:val="standardContextual"/>
        </w:rPr>
        <w:tab/>
        <w:t xml:space="preserve">atzinīgi vērtē Komitejas pozitīvo pieeju atvērtā koda risinājumu izmantošanai saziņai tiešsaistē; ņem vērā, 2023. gada jūlijā Komiteja atvēra savu pirmo kontu platformā </w:t>
      </w:r>
      <w:r w:rsidRPr="0096385A">
        <w:rPr>
          <w:i/>
          <w:kern w:val="2"/>
          <w14:ligatures w14:val="standardContextual"/>
        </w:rPr>
        <w:t xml:space="preserve">EU </w:t>
      </w:r>
      <w:proofErr w:type="spellStart"/>
      <w:r w:rsidRPr="0096385A">
        <w:rPr>
          <w:i/>
          <w:kern w:val="2"/>
          <w14:ligatures w14:val="standardContextual"/>
        </w:rPr>
        <w:t>Voice</w:t>
      </w:r>
      <w:proofErr w:type="spellEnd"/>
      <w:r w:rsidRPr="0096385A">
        <w:rPr>
          <w:i/>
          <w:kern w:val="2"/>
          <w14:ligatures w14:val="standardContextual"/>
        </w:rPr>
        <w:t xml:space="preserve"> </w:t>
      </w:r>
      <w:proofErr w:type="spellStart"/>
      <w:r w:rsidRPr="0096385A">
        <w:rPr>
          <w:i/>
          <w:kern w:val="2"/>
          <w14:ligatures w14:val="standardContextual"/>
        </w:rPr>
        <w:t>Mastodon</w:t>
      </w:r>
      <w:proofErr w:type="spellEnd"/>
      <w:r w:rsidRPr="0096385A">
        <w:rPr>
          <w:kern w:val="2"/>
          <w14:ligatures w14:val="standardContextual"/>
        </w:rPr>
        <w:t xml:space="preserve">, kas ir decentralizēts, bezmaksas un atvērtā pirmkoda sociālo mediju tīkls, kas savieno lietotājus uz privātumu orientētā un no reklāmām brīvā vidē; konstatē, ka 2023. gada otrajā pusē Komiteja veica aktīvu saziņu </w:t>
      </w:r>
      <w:proofErr w:type="spellStart"/>
      <w:r w:rsidRPr="0096385A">
        <w:rPr>
          <w:i/>
          <w:kern w:val="2"/>
          <w14:ligatures w14:val="standardContextual"/>
        </w:rPr>
        <w:t>Mastodon</w:t>
      </w:r>
      <w:proofErr w:type="spellEnd"/>
      <w:r w:rsidRPr="0096385A">
        <w:rPr>
          <w:kern w:val="2"/>
          <w14:ligatures w14:val="standardContextual"/>
        </w:rPr>
        <w:t xml:space="preserve"> kontā, katru darba dienu publicējot ierakstus par savām darbībām un prioritātēm un palielinot informētību par Savienību; pieņem zināšanai Komitejas lēmumu no 2024. gada pārtraukt savu klātbūtni minētajā platformā.</w:t>
      </w:r>
    </w:p>
    <w:p w14:paraId="53F04D63" w14:textId="77777777" w:rsidR="0096385A" w:rsidRPr="0096385A" w:rsidRDefault="0096385A" w:rsidP="0096385A">
      <w:pPr>
        <w:widowControl/>
        <w:jc w:val="both"/>
        <w:rPr>
          <w:rFonts w:eastAsia="Aptos"/>
          <w:kern w:val="2"/>
          <w:szCs w:val="24"/>
          <w:lang w:eastAsia="en-US"/>
          <w14:ligatures w14:val="standardContextual"/>
        </w:rPr>
      </w:pPr>
    </w:p>
    <w:p w14:paraId="7F0F9AED" w14:textId="44D59FF7" w:rsidR="00E365E1" w:rsidRPr="003F0F82" w:rsidRDefault="00E365E1" w:rsidP="0096385A">
      <w:pPr>
        <w:pStyle w:val="NormalHanging12a"/>
      </w:pPr>
    </w:p>
    <w:sectPr w:rsidR="00E365E1" w:rsidRPr="003F0F82" w:rsidSect="00E25E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790BA" w14:textId="77777777" w:rsidR="009F01A9" w:rsidRPr="00E25EA5" w:rsidRDefault="009F01A9">
      <w:r w:rsidRPr="00E25EA5">
        <w:separator/>
      </w:r>
    </w:p>
  </w:endnote>
  <w:endnote w:type="continuationSeparator" w:id="0">
    <w:p w14:paraId="3E958E7A" w14:textId="77777777" w:rsidR="009F01A9" w:rsidRPr="00E25EA5" w:rsidRDefault="009F01A9">
      <w:r w:rsidRPr="00E25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9847C" w14:textId="77777777" w:rsidR="00064002" w:rsidRPr="00E25E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150D" w14:textId="77777777" w:rsidR="00064002" w:rsidRPr="00E25E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CEC1" w14:textId="77777777" w:rsidR="00064002" w:rsidRPr="00E25E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4DF3D" w14:textId="77777777" w:rsidR="009F01A9" w:rsidRPr="00E25EA5" w:rsidRDefault="009F01A9">
      <w:r w:rsidRPr="00E25EA5">
        <w:separator/>
      </w:r>
    </w:p>
  </w:footnote>
  <w:footnote w:type="continuationSeparator" w:id="0">
    <w:p w14:paraId="102AB76A" w14:textId="77777777" w:rsidR="009F01A9" w:rsidRPr="00E25EA5" w:rsidRDefault="009F01A9">
      <w:r w:rsidRPr="00E25EA5">
        <w:continuationSeparator/>
      </w:r>
    </w:p>
  </w:footnote>
  <w:footnote w:id="1">
    <w:p w14:paraId="45E5D5D1"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t xml:space="preserve">OV L 58, 23.2.2023., 1. lpp., ELI: </w:t>
      </w:r>
      <w:hyperlink r:id="rId1" w:tooltip="Nodrošina piekļuvi šim dokumentam, izmantojot tā ELI URI." w:history="1">
        <w:r>
          <w:rPr>
            <w:rStyle w:val="Hyperlink1"/>
            <w:sz w:val="24"/>
            <w:szCs w:val="24"/>
            <w:shd w:val="clear" w:color="auto" w:fill="FFFFFF"/>
            <w:lang w:val="lv-LV"/>
          </w:rPr>
          <w:t>http://data.europa.eu/eli/budget/2023/1/oj</w:t>
        </w:r>
      </w:hyperlink>
      <w:r>
        <w:rPr>
          <w:sz w:val="24"/>
          <w:szCs w:val="24"/>
          <w:shd w:val="clear" w:color="auto" w:fill="FFFFFF"/>
          <w:lang w:val="lv-LV"/>
        </w:rPr>
        <w:t>.</w:t>
      </w:r>
    </w:p>
  </w:footnote>
  <w:footnote w:id="2">
    <w:p w14:paraId="1D487C22"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C/2024/5462, 10.10.2024., ELI: </w:t>
      </w:r>
      <w:hyperlink r:id="rId2" w:history="1">
        <w:r>
          <w:rPr>
            <w:rStyle w:val="Hyperlink1"/>
            <w:sz w:val="24"/>
            <w:szCs w:val="24"/>
            <w:lang w:val="lv-LV"/>
          </w:rPr>
          <w:t>http://data.europa.eu/eli/C/2024/5462/oj</w:t>
        </w:r>
      </w:hyperlink>
      <w:r>
        <w:rPr>
          <w:sz w:val="24"/>
          <w:szCs w:val="24"/>
          <w:shd w:val="clear" w:color="auto" w:fill="FFFFFF"/>
          <w:lang w:val="lv-LV"/>
        </w:rPr>
        <w:t>.</w:t>
      </w:r>
    </w:p>
  </w:footnote>
  <w:footnote w:id="3">
    <w:p w14:paraId="00CEE997"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C/2024/5882, 9.10.2024., ELI: </w:t>
      </w:r>
      <w:hyperlink r:id="rId3" w:history="1">
        <w:r>
          <w:rPr>
            <w:rStyle w:val="Hyperlink1"/>
            <w:sz w:val="24"/>
            <w:szCs w:val="24"/>
            <w:lang w:val="lv-LV"/>
          </w:rPr>
          <w:t>http://data.europa.eu/eli/C/2024/5882/oj</w:t>
        </w:r>
      </w:hyperlink>
      <w:r>
        <w:rPr>
          <w:sz w:val="24"/>
          <w:szCs w:val="24"/>
          <w:shd w:val="clear" w:color="auto" w:fill="FFFFFF"/>
          <w:lang w:val="lv-LV"/>
        </w:rPr>
        <w:t>.</w:t>
      </w:r>
    </w:p>
  </w:footnote>
  <w:footnote w:id="4">
    <w:p w14:paraId="1CE3F30A"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C/2024/6041, 10.10.2024., ELI: </w:t>
      </w:r>
      <w:hyperlink r:id="rId4" w:history="1">
        <w:r>
          <w:rPr>
            <w:rStyle w:val="Hyperlink1"/>
            <w:sz w:val="24"/>
            <w:szCs w:val="24"/>
            <w:lang w:val="lv-LV"/>
          </w:rPr>
          <w:t>http://data.europa.eu/eli/C/2024/6041/oj</w:t>
        </w:r>
      </w:hyperlink>
      <w:r>
        <w:rPr>
          <w:sz w:val="24"/>
          <w:szCs w:val="24"/>
          <w:shd w:val="clear" w:color="auto" w:fill="FFFFFF"/>
          <w:lang w:val="lv-LV"/>
        </w:rPr>
        <w:t>.</w:t>
      </w:r>
    </w:p>
  </w:footnote>
  <w:footnote w:id="5">
    <w:p w14:paraId="6FEF8E6A"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193, 30.7.2018., 1. lpp., ELI: </w:t>
      </w:r>
      <w:hyperlink r:id="rId5" w:history="1">
        <w:r>
          <w:rPr>
            <w:rStyle w:val="Hyperlink1"/>
            <w:sz w:val="24"/>
            <w:szCs w:val="24"/>
            <w:lang w:val="lv-LV"/>
          </w:rPr>
          <w:t>http://data.europa.eu/eli/reg/2018/1046/oj</w:t>
        </w:r>
      </w:hyperlink>
      <w:r>
        <w:rPr>
          <w:sz w:val="24"/>
          <w:szCs w:val="24"/>
          <w:lang w:val="lv-LV"/>
        </w:rPr>
        <w:t>.</w:t>
      </w:r>
    </w:p>
  </w:footnote>
  <w:footnote w:id="6">
    <w:p w14:paraId="54375E4C" w14:textId="77777777" w:rsidR="0096385A" w:rsidRDefault="0096385A" w:rsidP="0096385A">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2024/2509, 26.9.2024., ELI: </w:t>
      </w:r>
      <w:hyperlink r:id="rId6" w:history="1">
        <w:r>
          <w:rPr>
            <w:rStyle w:val="Hyperlink1"/>
            <w:sz w:val="24"/>
            <w:szCs w:val="24"/>
            <w:lang w:val="lv-LV"/>
          </w:rPr>
          <w:t xml:space="preserve"> http://data.europa.eu/eli/reg/2024/2509/oj</w:t>
        </w:r>
      </w:hyperlink>
      <w:r>
        <w:rPr>
          <w:sz w:val="24"/>
          <w:szCs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FD8AF" w14:textId="77777777" w:rsidR="00064002" w:rsidRPr="00E25E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8A50" w14:textId="77777777" w:rsidR="00064002" w:rsidRPr="00E25E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5B681" w14:textId="77777777" w:rsidR="00064002" w:rsidRPr="00E25E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382884">
    <w:abstractNumId w:val="9"/>
  </w:num>
  <w:num w:numId="2" w16cid:durableId="1127507450">
    <w:abstractNumId w:val="9"/>
  </w:num>
  <w:num w:numId="3" w16cid:durableId="914125417">
    <w:abstractNumId w:val="7"/>
  </w:num>
  <w:num w:numId="4" w16cid:durableId="1527593983">
    <w:abstractNumId w:val="7"/>
  </w:num>
  <w:num w:numId="5" w16cid:durableId="1175655128">
    <w:abstractNumId w:val="6"/>
  </w:num>
  <w:num w:numId="6" w16cid:durableId="1411274851">
    <w:abstractNumId w:val="6"/>
  </w:num>
  <w:num w:numId="7" w16cid:durableId="221403813">
    <w:abstractNumId w:val="5"/>
  </w:num>
  <w:num w:numId="8" w16cid:durableId="1278684579">
    <w:abstractNumId w:val="5"/>
  </w:num>
  <w:num w:numId="9" w16cid:durableId="1454596137">
    <w:abstractNumId w:val="4"/>
  </w:num>
  <w:num w:numId="10" w16cid:durableId="612640034">
    <w:abstractNumId w:val="4"/>
  </w:num>
  <w:num w:numId="11" w16cid:durableId="1503349418">
    <w:abstractNumId w:val="8"/>
  </w:num>
  <w:num w:numId="12" w16cid:durableId="1908608738">
    <w:abstractNumId w:val="8"/>
  </w:num>
  <w:num w:numId="13" w16cid:durableId="1564364366">
    <w:abstractNumId w:val="3"/>
  </w:num>
  <w:num w:numId="14" w16cid:durableId="745568234">
    <w:abstractNumId w:val="3"/>
  </w:num>
  <w:num w:numId="15" w16cid:durableId="950162365">
    <w:abstractNumId w:val="2"/>
  </w:num>
  <w:num w:numId="16" w16cid:durableId="202061382">
    <w:abstractNumId w:val="2"/>
  </w:num>
  <w:num w:numId="17" w16cid:durableId="156043713">
    <w:abstractNumId w:val="1"/>
  </w:num>
  <w:num w:numId="18" w16cid:durableId="1813715817">
    <w:abstractNumId w:val="1"/>
  </w:num>
  <w:num w:numId="19" w16cid:durableId="1819373640">
    <w:abstractNumId w:val="0"/>
  </w:num>
  <w:num w:numId="20" w16cid:durableId="1701204782">
    <w:abstractNumId w:val="0"/>
  </w:num>
  <w:num w:numId="21" w16cid:durableId="1943762995">
    <w:abstractNumId w:val="9"/>
  </w:num>
  <w:num w:numId="22" w16cid:durableId="481428108">
    <w:abstractNumId w:val="7"/>
  </w:num>
  <w:num w:numId="23" w16cid:durableId="1954247664">
    <w:abstractNumId w:val="6"/>
  </w:num>
  <w:num w:numId="24" w16cid:durableId="1464082436">
    <w:abstractNumId w:val="5"/>
  </w:num>
  <w:num w:numId="25" w16cid:durableId="1053577703">
    <w:abstractNumId w:val="4"/>
  </w:num>
  <w:num w:numId="26" w16cid:durableId="1257637873">
    <w:abstractNumId w:val="8"/>
  </w:num>
  <w:num w:numId="27" w16cid:durableId="2084133776">
    <w:abstractNumId w:val="3"/>
  </w:num>
  <w:num w:numId="28" w16cid:durableId="991637519">
    <w:abstractNumId w:val="2"/>
  </w:num>
  <w:num w:numId="29" w16cid:durableId="527763139">
    <w:abstractNumId w:val="1"/>
  </w:num>
  <w:num w:numId="30" w16cid:durableId="1243831653">
    <w:abstractNumId w:val="0"/>
  </w:num>
  <w:num w:numId="31" w16cid:durableId="184444523">
    <w:abstractNumId w:val="9"/>
  </w:num>
  <w:num w:numId="32" w16cid:durableId="1939016777">
    <w:abstractNumId w:val="7"/>
  </w:num>
  <w:num w:numId="33" w16cid:durableId="1848976957">
    <w:abstractNumId w:val="6"/>
  </w:num>
  <w:num w:numId="34" w16cid:durableId="1026296339">
    <w:abstractNumId w:val="5"/>
  </w:num>
  <w:num w:numId="35" w16cid:durableId="811672344">
    <w:abstractNumId w:val="4"/>
  </w:num>
  <w:num w:numId="36" w16cid:durableId="1711299984">
    <w:abstractNumId w:val="8"/>
  </w:num>
  <w:num w:numId="37" w16cid:durableId="1951543682">
    <w:abstractNumId w:val="3"/>
  </w:num>
  <w:num w:numId="38" w16cid:durableId="1602180188">
    <w:abstractNumId w:val="2"/>
  </w:num>
  <w:num w:numId="39" w16cid:durableId="1320424568">
    <w:abstractNumId w:val="1"/>
  </w:num>
  <w:num w:numId="40" w16cid:durableId="890000380">
    <w:abstractNumId w:val="0"/>
  </w:num>
  <w:num w:numId="41" w16cid:durableId="789933271">
    <w:abstractNumId w:val="10"/>
  </w:num>
  <w:num w:numId="42" w16cid:durableId="1469084087">
    <w:abstractNumId w:val="10"/>
  </w:num>
  <w:num w:numId="43" w16cid:durableId="461963507">
    <w:abstractNumId w:val="10"/>
  </w:num>
  <w:num w:numId="44" w16cid:durableId="826899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LV"/>
    <w:docVar w:name="dvnumam" w:val="0"/>
    <w:docVar w:name="dvpe" w:val="764.993"/>
    <w:docVar w:name="dvrapporteur" w:val="Referents: "/>
    <w:docVar w:name="dvtitre" w:val="Eiropas Parlamenta 2025. gada XX. XXX lēmums par Eiropas Savienības 2023. finanšu gada vispārējā budžeta izpildes apstiprināšanu, VI iedaļa — Eiropas Ekonomikas un sociālo lietu komiteja(2024/2025(DEC))"/>
  </w:docVars>
  <w:rsids>
    <w:rsidRoot w:val="009F01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F82"/>
    <w:rsid w:val="00411CCE"/>
    <w:rsid w:val="0041666E"/>
    <w:rsid w:val="00421060"/>
    <w:rsid w:val="004414C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85A"/>
    <w:rsid w:val="00981893"/>
    <w:rsid w:val="00991725"/>
    <w:rsid w:val="009F01A9"/>
    <w:rsid w:val="00A1687D"/>
    <w:rsid w:val="00A43E52"/>
    <w:rsid w:val="00A4678D"/>
    <w:rsid w:val="00A778C7"/>
    <w:rsid w:val="00AB441E"/>
    <w:rsid w:val="00AB6293"/>
    <w:rsid w:val="00AE0928"/>
    <w:rsid w:val="00AF3B82"/>
    <w:rsid w:val="00B12E95"/>
    <w:rsid w:val="00B12FDB"/>
    <w:rsid w:val="00B22876"/>
    <w:rsid w:val="00B558F0"/>
    <w:rsid w:val="00BC4E2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EA5"/>
    <w:rsid w:val="00E365E1"/>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502C5"/>
  <w15:chartTrackingRefBased/>
  <w15:docId w15:val="{1607DA13-873A-410A-8F63-2F43344D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17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1725"/>
    <w:pPr>
      <w:spacing w:before="480" w:after="240"/>
    </w:pPr>
  </w:style>
  <w:style w:type="paragraph" w:customStyle="1" w:styleId="PageHeading">
    <w:name w:val="PageHeading"/>
    <w:basedOn w:val="Normal"/>
    <w:rsid w:val="00991725"/>
    <w:pPr>
      <w:keepNext/>
      <w:spacing w:after="480"/>
      <w:jc w:val="center"/>
    </w:pPr>
    <w:rPr>
      <w:rFonts w:ascii="Arial" w:hAnsi="Arial" w:cs="Arial"/>
      <w:b/>
    </w:rPr>
  </w:style>
  <w:style w:type="paragraph" w:customStyle="1" w:styleId="NormalBold">
    <w:name w:val="NormalBold"/>
    <w:basedOn w:val="Normal"/>
    <w:rsid w:val="00991725"/>
    <w:rPr>
      <w:b/>
    </w:rPr>
  </w:style>
  <w:style w:type="paragraph" w:customStyle="1" w:styleId="NormalHanging12a">
    <w:name w:val="NormalHanging12a"/>
    <w:basedOn w:val="Normal"/>
    <w:link w:val="NormalHanging12aChar"/>
    <w:qFormat/>
    <w:rsid w:val="00991725"/>
    <w:pPr>
      <w:spacing w:after="240"/>
      <w:ind w:left="567" w:hanging="567"/>
    </w:pPr>
  </w:style>
  <w:style w:type="paragraph" w:styleId="Header">
    <w:name w:val="header"/>
    <w:basedOn w:val="Normal"/>
    <w:link w:val="HeaderChar"/>
    <w:rsid w:val="00991725"/>
    <w:pPr>
      <w:tabs>
        <w:tab w:val="center" w:pos="4513"/>
        <w:tab w:val="right" w:pos="9026"/>
      </w:tabs>
    </w:pPr>
  </w:style>
  <w:style w:type="character" w:customStyle="1" w:styleId="HeaderChar">
    <w:name w:val="Header Char"/>
    <w:basedOn w:val="DefaultParagraphFont"/>
    <w:link w:val="Header"/>
    <w:rsid w:val="00991725"/>
    <w:rPr>
      <w:sz w:val="24"/>
      <w:lang w:val="lv-LV"/>
    </w:rPr>
  </w:style>
  <w:style w:type="paragraph" w:customStyle="1" w:styleId="EPFooter">
    <w:name w:val="EPFooter"/>
    <w:basedOn w:val="Normal"/>
    <w:rsid w:val="00991725"/>
    <w:pPr>
      <w:tabs>
        <w:tab w:val="center" w:pos="4535"/>
        <w:tab w:val="right" w:pos="9071"/>
      </w:tabs>
      <w:spacing w:before="240" w:after="240"/>
    </w:pPr>
    <w:rPr>
      <w:color w:val="010000"/>
      <w:sz w:val="22"/>
    </w:rPr>
  </w:style>
  <w:style w:type="character" w:styleId="Hyperlink">
    <w:name w:val="Hyperlink"/>
    <w:basedOn w:val="DefaultParagraphFont"/>
    <w:rsid w:val="00991725"/>
    <w:rPr>
      <w:color w:val="0563C1" w:themeColor="hyperlink"/>
      <w:u w:val="single"/>
    </w:rPr>
  </w:style>
  <w:style w:type="character" w:customStyle="1" w:styleId="NormalHanging12aChar">
    <w:name w:val="NormalHanging12a Char"/>
    <w:basedOn w:val="DefaultParagraphFont"/>
    <w:link w:val="NormalHanging12a"/>
    <w:locked/>
    <w:rsid w:val="00991725"/>
    <w:rPr>
      <w:sz w:val="24"/>
      <w:lang w:val="lv-LV"/>
    </w:rPr>
  </w:style>
  <w:style w:type="paragraph" w:customStyle="1" w:styleId="Normal6a">
    <w:name w:val="Normal6a"/>
    <w:basedOn w:val="Normal"/>
    <w:rsid w:val="00991725"/>
    <w:pPr>
      <w:spacing w:after="120"/>
    </w:pPr>
  </w:style>
  <w:style w:type="paragraph" w:styleId="BalloonText">
    <w:name w:val="Balloon Text"/>
    <w:basedOn w:val="Normal"/>
    <w:link w:val="BalloonTextChar"/>
    <w:rsid w:val="00BC4E23"/>
    <w:rPr>
      <w:rFonts w:ascii="Segoe UI" w:hAnsi="Segoe UI" w:cs="Segoe UI"/>
      <w:sz w:val="18"/>
      <w:szCs w:val="18"/>
    </w:rPr>
  </w:style>
  <w:style w:type="character" w:customStyle="1" w:styleId="BalloonTextChar">
    <w:name w:val="Balloon Text Char"/>
    <w:basedOn w:val="DefaultParagraphFont"/>
    <w:link w:val="BalloonText"/>
    <w:rsid w:val="00BC4E23"/>
    <w:rPr>
      <w:rFonts w:ascii="Segoe UI" w:hAnsi="Segoe UI" w:cs="Segoe UI"/>
      <w:sz w:val="18"/>
      <w:szCs w:val="18"/>
      <w:lang w:val="lv-LV"/>
    </w:rPr>
  </w:style>
  <w:style w:type="paragraph" w:styleId="CommentText">
    <w:name w:val="annotation text"/>
    <w:basedOn w:val="Normal"/>
    <w:link w:val="CommentTextChar"/>
    <w:uiPriority w:val="99"/>
    <w:unhideWhenUsed/>
    <w:rsid w:val="0096385A"/>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96385A"/>
    <w:rPr>
      <w:rFonts w:eastAsia="Aptos"/>
      <w:kern w:val="2"/>
      <w:lang w:eastAsia="en-US"/>
      <w14:ligatures w14:val="standardContextual"/>
    </w:rPr>
  </w:style>
  <w:style w:type="character" w:styleId="CommentReference">
    <w:name w:val="annotation reference"/>
    <w:basedOn w:val="DefaultParagraphFont"/>
    <w:uiPriority w:val="99"/>
    <w:unhideWhenUsed/>
    <w:rsid w:val="0096385A"/>
    <w:rPr>
      <w:sz w:val="16"/>
      <w:szCs w:val="16"/>
    </w:rPr>
  </w:style>
  <w:style w:type="character" w:customStyle="1" w:styleId="Hyperlink1">
    <w:name w:val="Hyperlink1"/>
    <w:basedOn w:val="DefaultParagraphFont"/>
    <w:rsid w:val="0096385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62094">
      <w:bodyDiv w:val="1"/>
      <w:marLeft w:val="0"/>
      <w:marRight w:val="0"/>
      <w:marTop w:val="0"/>
      <w:marBottom w:val="0"/>
      <w:divBdr>
        <w:top w:val="none" w:sz="0" w:space="0" w:color="auto"/>
        <w:left w:val="none" w:sz="0" w:space="0" w:color="auto"/>
        <w:bottom w:val="none" w:sz="0" w:space="0" w:color="auto"/>
        <w:right w:val="none" w:sz="0" w:space="0" w:color="auto"/>
      </w:divBdr>
    </w:div>
    <w:div w:id="849180040">
      <w:bodyDiv w:val="1"/>
      <w:marLeft w:val="0"/>
      <w:marRight w:val="0"/>
      <w:marTop w:val="0"/>
      <w:marBottom w:val="0"/>
      <w:divBdr>
        <w:top w:val="none" w:sz="0" w:space="0" w:color="auto"/>
        <w:left w:val="none" w:sz="0" w:space="0" w:color="auto"/>
        <w:bottom w:val="none" w:sz="0" w:space="0" w:color="auto"/>
        <w:right w:val="none" w:sz="0" w:space="0" w:color="auto"/>
      </w:divBdr>
    </w:div>
    <w:div w:id="1375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68A04-DA47-49BA-8CE5-969F6A9A3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6473</Words>
  <Characters>42262</Characters>
  <Application>Microsoft Office Word</Application>
  <DocSecurity>0</DocSecurity>
  <Lines>352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2025-12-02T13:40:00Z</dcterms:created>
  <dcterms:modified xsi:type="dcterms:W3CDTF">2025-12-02T13:40:00Z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P10_TA(2025)0082_</vt:lpwstr>
  </property>
  <property fmtid="{D5CDD505-2E9C-101B-9397-08002B2CF9AE}" pid="4" name="&lt;Type&gt;">
    <vt:lpwstr>RR</vt:lpwstr>
  </property>
</Properties>
</file>