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4E1F" w14:paraId="401C8E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FA5704" w14:textId="77777777" w:rsidR="00751A4A" w:rsidRPr="00A24E1F" w:rsidRDefault="003B44A8" w:rsidP="0010095E">
            <w:pPr>
              <w:pStyle w:val="EPName"/>
            </w:pPr>
            <w:r w:rsidRPr="00A24E1F">
              <w:t>Parlament Europejski</w:t>
            </w:r>
          </w:p>
          <w:p w14:paraId="50E91EDA" w14:textId="77777777" w:rsidR="00751A4A" w:rsidRPr="00A24E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4E1F">
              <w:t>2024</w:t>
            </w:r>
            <w:r w:rsidR="00817416" w:rsidRPr="00A24E1F">
              <w:t>-202</w:t>
            </w:r>
            <w:r w:rsidRPr="00A24E1F">
              <w:t>9</w:t>
            </w:r>
          </w:p>
        </w:tc>
        <w:tc>
          <w:tcPr>
            <w:tcW w:w="2268" w:type="dxa"/>
            <w:shd w:val="clear" w:color="auto" w:fill="auto"/>
          </w:tcPr>
          <w:p w14:paraId="1A516857" w14:textId="77777777" w:rsidR="00751A4A" w:rsidRPr="00A24E1F" w:rsidRDefault="00187494" w:rsidP="0010095E">
            <w:pPr>
              <w:pStyle w:val="EPLogo"/>
            </w:pPr>
            <w:r w:rsidRPr="00A24E1F">
              <w:rPr>
                <w:noProof/>
                <w:lang w:val="en-GB"/>
              </w:rPr>
              <w:drawing>
                <wp:inline distT="0" distB="0" distL="0" distR="0" wp14:anchorId="0C950B00" wp14:editId="4CD3AF1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9757E1" w14:textId="77777777" w:rsidR="00D058B8" w:rsidRPr="00A24E1F" w:rsidRDefault="00D058B8" w:rsidP="004C5D52">
      <w:pPr>
        <w:pStyle w:val="LineTop"/>
      </w:pPr>
    </w:p>
    <w:p w14:paraId="2313137A" w14:textId="77777777" w:rsidR="00680577" w:rsidRPr="00A24E1F" w:rsidRDefault="003B44A8" w:rsidP="00680577">
      <w:pPr>
        <w:pStyle w:val="EPBodyTA1"/>
      </w:pPr>
      <w:r w:rsidRPr="00A24E1F">
        <w:t>TEKSTY PRZYJĘTE</w:t>
      </w:r>
    </w:p>
    <w:p w14:paraId="2DDF06C3" w14:textId="77777777" w:rsidR="00D058B8" w:rsidRPr="00A24E1F" w:rsidRDefault="00D058B8" w:rsidP="00D058B8">
      <w:pPr>
        <w:pStyle w:val="LineBottom"/>
      </w:pPr>
    </w:p>
    <w:p w14:paraId="60133FB4" w14:textId="77777777" w:rsidR="003B44A8" w:rsidRPr="00A24E1F" w:rsidRDefault="003B44A8" w:rsidP="003B44A8">
      <w:pPr>
        <w:pStyle w:val="ATHeading1"/>
      </w:pPr>
      <w:bookmarkStart w:id="0" w:name="TANumber"/>
      <w:r w:rsidRPr="00A24E1F">
        <w:t>P10_TA(2025)00</w:t>
      </w:r>
      <w:bookmarkEnd w:id="0"/>
      <w:r w:rsidR="00C95946">
        <w:t>82</w:t>
      </w:r>
    </w:p>
    <w:p w14:paraId="5D7FC690" w14:textId="77777777" w:rsidR="003B44A8" w:rsidRPr="006A2D45" w:rsidRDefault="006A2D45" w:rsidP="003B44A8">
      <w:pPr>
        <w:pStyle w:val="ATHeading2"/>
      </w:pPr>
      <w:r w:rsidRPr="006A2D45">
        <w:t>Absolutorium za rok 2023: budżet ogólny UE – Europejski Komitet Ekonomiczno-Społeczny</w:t>
      </w:r>
    </w:p>
    <w:p w14:paraId="09F16AEB" w14:textId="77777777" w:rsidR="003B44A8" w:rsidRPr="00A24E1F" w:rsidRDefault="003B44A8" w:rsidP="003B44A8">
      <w:pPr>
        <w:rPr>
          <w:i/>
          <w:vanish/>
        </w:rPr>
      </w:pPr>
      <w:r w:rsidRPr="00A24E1F">
        <w:rPr>
          <w:i/>
        </w:rPr>
        <w:fldChar w:fldCharType="begin"/>
      </w:r>
      <w:r w:rsidRPr="00A24E1F">
        <w:rPr>
          <w:i/>
        </w:rPr>
        <w:instrText xml:space="preserve"> TC"(</w:instrText>
      </w:r>
      <w:bookmarkStart w:id="1" w:name="DocNumber"/>
      <w:r w:rsidRPr="00A24E1F">
        <w:rPr>
          <w:i/>
        </w:rPr>
        <w:instrText>A10-0054/2025</w:instrText>
      </w:r>
      <w:bookmarkEnd w:id="1"/>
      <w:r w:rsidRPr="00A24E1F">
        <w:rPr>
          <w:i/>
        </w:rPr>
        <w:instrText xml:space="preserve"> - Sprawozdawca: Joachim Stanisław Brudziński)"\l3 \n&gt; \* MERGEFORMAT </w:instrText>
      </w:r>
      <w:r w:rsidRPr="00A24E1F">
        <w:rPr>
          <w:i/>
        </w:rPr>
        <w:fldChar w:fldCharType="end"/>
      </w:r>
    </w:p>
    <w:p w14:paraId="0D9F5C5E" w14:textId="77777777" w:rsidR="003B44A8" w:rsidRPr="00A24E1F" w:rsidRDefault="003B44A8" w:rsidP="003B44A8">
      <w:pPr>
        <w:rPr>
          <w:vanish/>
        </w:rPr>
      </w:pPr>
      <w:bookmarkStart w:id="2" w:name="Commission"/>
      <w:r w:rsidRPr="00A24E1F">
        <w:rPr>
          <w:vanish/>
        </w:rPr>
        <w:t>Komisja Kontroli Budżetowej</w:t>
      </w:r>
      <w:bookmarkEnd w:id="2"/>
    </w:p>
    <w:p w14:paraId="35A72EF5" w14:textId="77777777" w:rsidR="003B44A8" w:rsidRPr="00A24E1F" w:rsidRDefault="003B44A8" w:rsidP="003B44A8">
      <w:pPr>
        <w:rPr>
          <w:vanish/>
        </w:rPr>
      </w:pPr>
      <w:bookmarkStart w:id="3" w:name="PE"/>
      <w:r w:rsidRPr="00A24E1F">
        <w:rPr>
          <w:vanish/>
        </w:rPr>
        <w:t>PE764.993</w:t>
      </w:r>
      <w:bookmarkEnd w:id="3"/>
    </w:p>
    <w:p w14:paraId="1682BB5E" w14:textId="77777777" w:rsidR="00EA22F5" w:rsidRPr="00020AAB" w:rsidRDefault="00E80331" w:rsidP="00EA22F5">
      <w:pPr>
        <w:pStyle w:val="ATHeading3"/>
      </w:pPr>
      <w:bookmarkStart w:id="4" w:name="Sujet"/>
      <w:r>
        <w:t xml:space="preserve">1. </w:t>
      </w:r>
      <w:bookmarkEnd w:id="4"/>
      <w:r w:rsidR="00EA22F5" w:rsidRPr="00020AAB">
        <w:t>Decyzja Parlamentu Europejskiego z dnia 7 maja 2025 r. w sprawie absolutorium z wykonania budżetu ogólnego Unii Europejskiej za rok budżetowy 2023, sekcja VI – Europejski Komitet Ekonomiczno-</w:t>
      </w:r>
      <w:proofErr w:type="gramStart"/>
      <w:r w:rsidR="00EA22F5" w:rsidRPr="00020AAB">
        <w:t>Społeczny  (</w:t>
      </w:r>
      <w:proofErr w:type="gramEnd"/>
      <w:r w:rsidR="00EA22F5" w:rsidRPr="00020AAB">
        <w:t>2024/2025(DEC))</w:t>
      </w:r>
    </w:p>
    <w:p w14:paraId="305ABC86" w14:textId="5B0D9477" w:rsidR="00EA22F5" w:rsidRPr="00EA22F5" w:rsidRDefault="00EA22F5" w:rsidP="00EA22F5">
      <w:pPr>
        <w:spacing w:before="480" w:after="240"/>
        <w:rPr>
          <w:i/>
        </w:rPr>
      </w:pPr>
      <w:bookmarkStart w:id="5" w:name="TextBodyBegin"/>
      <w:bookmarkEnd w:id="5"/>
      <w:r w:rsidRPr="00EA22F5">
        <w:rPr>
          <w:i/>
        </w:rPr>
        <w:t xml:space="preserve">Parlament </w:t>
      </w:r>
      <w:r>
        <w:rPr>
          <w:i/>
        </w:rPr>
        <w:t>E</w:t>
      </w:r>
      <w:r w:rsidRPr="00EA22F5">
        <w:rPr>
          <w:i/>
        </w:rPr>
        <w:t>uropejski,</w:t>
      </w:r>
    </w:p>
    <w:p w14:paraId="23FF1D13" w14:textId="77777777" w:rsidR="00EA22F5" w:rsidRPr="00020AAB" w:rsidRDefault="00EA22F5" w:rsidP="00EA22F5">
      <w:pPr>
        <w:spacing w:after="240"/>
        <w:ind w:left="567" w:hanging="567"/>
      </w:pPr>
      <w:r w:rsidRPr="00020AAB">
        <w:t>–</w:t>
      </w:r>
      <w:r w:rsidRPr="00020AAB">
        <w:tab/>
        <w:t>uwzględniając budżet ogólny Unii Europejskiej na rok budżetowy 2023</w:t>
      </w:r>
      <w:r w:rsidRPr="00020AAB">
        <w:rPr>
          <w:vertAlign w:val="superscript"/>
        </w:rPr>
        <w:footnoteReference w:id="1"/>
      </w:r>
      <w:r w:rsidRPr="00020AAB">
        <w:t>,</w:t>
      </w:r>
    </w:p>
    <w:p w14:paraId="0D0B24D1" w14:textId="77777777" w:rsidR="00EA22F5" w:rsidRPr="00020AAB" w:rsidRDefault="00EA22F5" w:rsidP="00EA22F5">
      <w:pPr>
        <w:spacing w:after="240"/>
        <w:ind w:left="567" w:hanging="567"/>
      </w:pPr>
      <w:r w:rsidRPr="00020AAB">
        <w:t>–</w:t>
      </w:r>
      <w:r w:rsidRPr="00020AAB">
        <w:tab/>
        <w:t>uwzględniając skonsolidowane roczne sprawozdanie finansowe Unii Europejskiej za rok budżetowy 2023 (</w:t>
      </w:r>
      <w:proofErr w:type="gramStart"/>
      <w:r w:rsidRPr="00020AAB">
        <w:t>COM(</w:t>
      </w:r>
      <w:proofErr w:type="gramEnd"/>
      <w:r w:rsidRPr="00020AAB">
        <w:t>2024)0272 – C10</w:t>
      </w:r>
      <w:r w:rsidRPr="00020AAB">
        <w:noBreakHyphen/>
        <w:t>0073/2024)</w:t>
      </w:r>
      <w:r w:rsidRPr="00020AAB">
        <w:rPr>
          <w:vertAlign w:val="superscript"/>
        </w:rPr>
        <w:footnoteReference w:id="2"/>
      </w:r>
      <w:r w:rsidRPr="00020AAB">
        <w:t>,</w:t>
      </w:r>
    </w:p>
    <w:p w14:paraId="7F902144" w14:textId="77777777" w:rsidR="00EA22F5" w:rsidRPr="00020AAB" w:rsidRDefault="00EA22F5" w:rsidP="00EA22F5">
      <w:pPr>
        <w:spacing w:after="240"/>
        <w:ind w:left="567" w:hanging="567"/>
      </w:pPr>
      <w:r w:rsidRPr="00020AAB">
        <w:t>–</w:t>
      </w:r>
      <w:r w:rsidRPr="00020AAB">
        <w:tab/>
        <w:t>uwzględniając roczne sprawozdanie z działalności Europejskiego Komitetu Ekonomiczno-Społecznego za rok 2023,</w:t>
      </w:r>
    </w:p>
    <w:p w14:paraId="57592882" w14:textId="77777777" w:rsidR="00EA22F5" w:rsidRPr="00020AAB" w:rsidRDefault="00EA22F5" w:rsidP="00EA22F5">
      <w:pPr>
        <w:spacing w:after="240"/>
        <w:ind w:left="567" w:hanging="567"/>
      </w:pPr>
      <w:r w:rsidRPr="00020AAB">
        <w:t>–</w:t>
      </w:r>
      <w:r w:rsidRPr="00020AAB">
        <w:tab/>
        <w:t>uwzględniając sprawozdanie roczne Trybunału Obrachunkowego dotyczące wykonania budżetu za rok budżetowy 2023 wraz z odpowiedziami instytucji</w:t>
      </w:r>
      <w:r w:rsidRPr="00020AAB">
        <w:rPr>
          <w:vertAlign w:val="superscript"/>
        </w:rPr>
        <w:footnoteReference w:id="3"/>
      </w:r>
      <w:r w:rsidRPr="00020AAB">
        <w:t>,</w:t>
      </w:r>
    </w:p>
    <w:p w14:paraId="1273F858" w14:textId="77777777" w:rsidR="00EA22F5" w:rsidRPr="00020AAB" w:rsidRDefault="00EA22F5" w:rsidP="00EA22F5">
      <w:pPr>
        <w:spacing w:after="240"/>
        <w:ind w:left="567" w:hanging="567"/>
      </w:pPr>
      <w:r w:rsidRPr="00020AAB">
        <w:t>–</w:t>
      </w:r>
      <w:r w:rsidRPr="00020AAB">
        <w:tab/>
        <w:t>uwzględniając poświadczenie wiarygodności</w:t>
      </w:r>
      <w:r w:rsidRPr="00020AAB">
        <w:rPr>
          <w:vertAlign w:val="superscript"/>
        </w:rPr>
        <w:footnoteReference w:id="4"/>
      </w:r>
      <w:r w:rsidRPr="00020AAB">
        <w:t xml:space="preserve"> rachunków, jak również legalności i prawidłowości operacji leżących u ich podstaw przedłożone przez Trybunał Obrachunkowy za rok budżetowy 2023 zgodnie z art. 287 Traktatu o funkcjonowaniu Unii Europejskiej,</w:t>
      </w:r>
    </w:p>
    <w:p w14:paraId="060AF7C7" w14:textId="77777777" w:rsidR="00EA22F5" w:rsidRPr="00020AAB" w:rsidRDefault="00EA22F5" w:rsidP="00EA22F5">
      <w:pPr>
        <w:spacing w:after="240"/>
        <w:ind w:left="567" w:hanging="567"/>
      </w:pPr>
      <w:r w:rsidRPr="00020AAB">
        <w:t>–</w:t>
      </w:r>
      <w:r w:rsidRPr="00020AAB">
        <w:tab/>
        <w:t>uwzględniając art. 314 ust. 10 oraz art. 317, 318 i 319 Traktatu o funkcjonowaniu Unii Europejskiej,</w:t>
      </w:r>
    </w:p>
    <w:p w14:paraId="6DD03C6C" w14:textId="77777777" w:rsidR="00EA22F5" w:rsidRPr="00020AAB" w:rsidRDefault="00EA22F5" w:rsidP="00EA22F5">
      <w:pPr>
        <w:spacing w:after="240"/>
        <w:ind w:left="567" w:hanging="567"/>
      </w:pPr>
      <w:r w:rsidRPr="00020AAB">
        <w:t>–</w:t>
      </w:r>
      <w:r w:rsidRPr="00020AAB">
        <w:tab/>
        <w:t xml:space="preserve">uwzględniając rozporządzenie Parlamentu Europejskiego i Rady (UE, </w:t>
      </w:r>
      <w:proofErr w:type="spellStart"/>
      <w:r w:rsidRPr="00020AAB">
        <w:t>Euratom</w:t>
      </w:r>
      <w:proofErr w:type="spellEnd"/>
      <w:r w:rsidRPr="00020AAB">
        <w:t xml:space="preserve">) 2018/1046 z 18 lipca 2018 r. w sprawie zasad finansowych mających zastosowanie do </w:t>
      </w:r>
      <w:r w:rsidRPr="00020AAB">
        <w:lastRenderedPageBreak/>
        <w:t xml:space="preserve">budżetu ogólnego Unii, zmieniające rozporządzenia (UE) nr 1296/2013, (UE) nr 1301/2013, (UE) nr 1303/2013, (UE) nr 1304/2013, (UE) nr 1309/2013, (UE) nr 1316/2013, (UE) nr 223/2014 i (UE) nr 283/2014 oraz decyzję nr 541/2014/UE, a także uchylające rozporządzenie (UE, </w:t>
      </w:r>
      <w:proofErr w:type="spellStart"/>
      <w:r w:rsidRPr="00020AAB">
        <w:t>Euratom</w:t>
      </w:r>
      <w:proofErr w:type="spellEnd"/>
      <w:r w:rsidRPr="00020AAB">
        <w:t>) nr 966/2012</w:t>
      </w:r>
      <w:r w:rsidRPr="00020AAB">
        <w:rPr>
          <w:vertAlign w:val="superscript"/>
        </w:rPr>
        <w:footnoteReference w:id="5"/>
      </w:r>
      <w:r w:rsidRPr="00020AAB">
        <w:t>, w szczególności jego art. 59, 118, 260, 261 i 262,</w:t>
      </w:r>
    </w:p>
    <w:p w14:paraId="68AADEBD" w14:textId="77777777" w:rsidR="00EA22F5" w:rsidRPr="00020AAB" w:rsidRDefault="00EA22F5" w:rsidP="00EA22F5">
      <w:pPr>
        <w:spacing w:after="240"/>
        <w:ind w:left="567" w:hanging="567"/>
      </w:pPr>
      <w:r w:rsidRPr="00020AAB">
        <w:t>–</w:t>
      </w:r>
      <w:r w:rsidRPr="00020AAB">
        <w:tab/>
        <w:t xml:space="preserve">uwzględniając </w:t>
      </w:r>
      <w:r w:rsidRPr="00020AAB">
        <w:rPr>
          <w:color w:val="333333"/>
          <w:shd w:val="clear" w:color="auto" w:fill="FFFFFF"/>
        </w:rPr>
        <w:t xml:space="preserve">rozporządzenie Parlamentu Europejskiego i Rady (UE, </w:t>
      </w:r>
      <w:proofErr w:type="spellStart"/>
      <w:r w:rsidRPr="00020AAB">
        <w:rPr>
          <w:color w:val="333333"/>
          <w:shd w:val="clear" w:color="auto" w:fill="FFFFFF"/>
        </w:rPr>
        <w:t>Euratom</w:t>
      </w:r>
      <w:proofErr w:type="spellEnd"/>
      <w:r w:rsidRPr="00020AAB">
        <w:rPr>
          <w:color w:val="333333"/>
          <w:shd w:val="clear" w:color="auto" w:fill="FFFFFF"/>
        </w:rPr>
        <w:t>) 2024/2509 z 23 września 2024 r. w sprawie zasad finansowych mających zastosowanie do budżetu ogólnego Unii</w:t>
      </w:r>
      <w:r w:rsidRPr="00020AAB">
        <w:rPr>
          <w:bCs/>
          <w:color w:val="333333"/>
          <w:shd w:val="clear" w:color="auto" w:fill="FFFFFF"/>
          <w:vertAlign w:val="superscript"/>
        </w:rPr>
        <w:footnoteReference w:id="6"/>
      </w:r>
      <w:r w:rsidRPr="00020AAB">
        <w:rPr>
          <w:color w:val="333333"/>
          <w:shd w:val="clear" w:color="auto" w:fill="FFFFFF"/>
        </w:rPr>
        <w:t>, w szczególności jego art. 59, 118, 266, 267 i 268</w:t>
      </w:r>
      <w:r w:rsidRPr="00020AAB">
        <w:t>,</w:t>
      </w:r>
    </w:p>
    <w:p w14:paraId="7E2FDAE3" w14:textId="77777777" w:rsidR="00EA22F5" w:rsidRPr="00020AAB" w:rsidRDefault="00EA22F5" w:rsidP="00EA22F5">
      <w:pPr>
        <w:spacing w:after="240"/>
        <w:ind w:left="567" w:hanging="567"/>
      </w:pPr>
      <w:r w:rsidRPr="00020AAB">
        <w:t>–</w:t>
      </w:r>
      <w:r w:rsidRPr="00020AAB">
        <w:tab/>
        <w:t>uwzględniając art. 102 Regulaminu i załącznik V do Regulaminu,</w:t>
      </w:r>
    </w:p>
    <w:p w14:paraId="0CED3BB1" w14:textId="77777777" w:rsidR="00EA22F5" w:rsidRPr="00020AAB" w:rsidRDefault="00EA22F5" w:rsidP="00EA22F5">
      <w:pPr>
        <w:spacing w:after="240"/>
        <w:ind w:left="567" w:hanging="567"/>
      </w:pPr>
      <w:r w:rsidRPr="00020AAB">
        <w:t>–</w:t>
      </w:r>
      <w:r w:rsidRPr="00020AAB">
        <w:tab/>
        <w:t>uwzględniając sprawozdanie Komisji Kontroli Budżetowej (A10-0054/2025),</w:t>
      </w:r>
    </w:p>
    <w:p w14:paraId="0417A748" w14:textId="77777777" w:rsidR="00EA22F5" w:rsidRPr="00020AAB" w:rsidRDefault="00EA22F5" w:rsidP="00EA22F5">
      <w:pPr>
        <w:spacing w:after="240"/>
        <w:ind w:left="567" w:hanging="567"/>
      </w:pPr>
      <w:r w:rsidRPr="00020AAB">
        <w:t>1.</w:t>
      </w:r>
      <w:r w:rsidRPr="00020AAB">
        <w:tab/>
        <w:t>udziela sekretarz generalnej Europejskiego Komitetu Ekonomiczno-Społecznego absolutorium z wykonania budżetu Europejskiego Komitetu Ekonomiczno-Społecznego za rok budżetowy 2023;</w:t>
      </w:r>
    </w:p>
    <w:p w14:paraId="1A792E8E" w14:textId="77777777" w:rsidR="00EA22F5" w:rsidRPr="00020AAB" w:rsidRDefault="00EA22F5" w:rsidP="00EA22F5">
      <w:pPr>
        <w:spacing w:after="240"/>
        <w:ind w:left="567" w:hanging="567"/>
      </w:pPr>
      <w:r w:rsidRPr="00020AAB">
        <w:t>2.</w:t>
      </w:r>
      <w:r w:rsidRPr="00020AAB">
        <w:tab/>
        <w:t>przedstawia swoje uwagi w poniższej rezolucji;</w:t>
      </w:r>
    </w:p>
    <w:p w14:paraId="35FBB64F" w14:textId="77777777" w:rsidR="00EA22F5" w:rsidRPr="00020AAB" w:rsidRDefault="00EA22F5" w:rsidP="00EA22F5">
      <w:pPr>
        <w:spacing w:after="240"/>
        <w:ind w:left="567" w:hanging="567"/>
      </w:pPr>
      <w:r w:rsidRPr="00020AAB">
        <w:t>3.</w:t>
      </w:r>
      <w:r w:rsidRPr="00020AAB">
        <w:tab/>
        <w:t xml:space="preserve">zobowiązuje swoją przewodniczącą do przekazania niniejszej decyzji wraz z rezolucją, która stanowi jej integralną część, Europejskiemu Komitetowi Ekonomiczno-Społecznemu, Radzie, Komisji i Trybunałowi Obrachunkowemu oraz do zarządzenia jej publikacji w </w:t>
      </w:r>
      <w:r w:rsidRPr="00020AAB">
        <w:rPr>
          <w:i/>
        </w:rPr>
        <w:t>Dzienniku Urzędowym Unii Europejskiej</w:t>
      </w:r>
      <w:r w:rsidRPr="00020AAB">
        <w:t xml:space="preserve"> (seria L).</w:t>
      </w:r>
    </w:p>
    <w:p w14:paraId="148DBB6F" w14:textId="77777777" w:rsidR="00EA22F5" w:rsidRPr="004D77E4" w:rsidRDefault="00EA22F5" w:rsidP="00EA22F5">
      <w:pPr>
        <w:sectPr w:rsidR="00EA22F5" w:rsidRPr="004D77E4" w:rsidSect="00EA22F5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C5C56C9" w14:textId="77777777" w:rsidR="00EA22F5" w:rsidRPr="00020AAB" w:rsidRDefault="00EA22F5" w:rsidP="00EA22F5">
      <w:pPr>
        <w:pStyle w:val="ATHeading3"/>
      </w:pPr>
      <w:r w:rsidRPr="00020AAB">
        <w:lastRenderedPageBreak/>
        <w:t>2. Rezolucja Parlamentu Europejskiego z dnia 7 maja 2025 r. zawierająca uwagi stanowiące integralną część decyzji w sprawie absolutorium z wykonania budżetu ogólnego Unii Europejskiej za rok budżetowy 2023, sekcja VI – Europejski Komitet Ekonomiczno-Społeczny (2024/2025(DEC))</w:t>
      </w:r>
    </w:p>
    <w:p w14:paraId="1D7A1F1C" w14:textId="2F0E3E47" w:rsidR="00EA22F5" w:rsidRPr="00EA22F5" w:rsidRDefault="00EA22F5" w:rsidP="00EA22F5">
      <w:pPr>
        <w:spacing w:before="480" w:after="240"/>
        <w:rPr>
          <w:i/>
        </w:rPr>
      </w:pPr>
      <w:r w:rsidRPr="00EA22F5">
        <w:rPr>
          <w:i/>
        </w:rPr>
        <w:t xml:space="preserve">Parlament </w:t>
      </w:r>
      <w:r>
        <w:rPr>
          <w:i/>
        </w:rPr>
        <w:t>E</w:t>
      </w:r>
      <w:r w:rsidRPr="00EA22F5">
        <w:rPr>
          <w:i/>
        </w:rPr>
        <w:t>uropejski,</w:t>
      </w:r>
    </w:p>
    <w:p w14:paraId="71083096" w14:textId="00F09A6D" w:rsidR="00EA22F5" w:rsidRPr="00020AAB" w:rsidRDefault="00030512" w:rsidP="00EA22F5">
      <w:pPr>
        <w:spacing w:after="240"/>
        <w:ind w:left="567" w:hanging="567"/>
      </w:pPr>
      <w:r>
        <w:t>–</w:t>
      </w:r>
      <w:r w:rsidR="00EA22F5" w:rsidRPr="00020AAB">
        <w:tab/>
        <w:t>uwzględniając swoją decyzję w sprawie absolutorium z wykonania budżetu ogólnego Unii Europejskiej za rok budżetowy 2023, sekcja VI – Europejski Komitet Ekonomiczno-Społeczny,</w:t>
      </w:r>
    </w:p>
    <w:p w14:paraId="623CEC44" w14:textId="09A7595F" w:rsidR="00EA22F5" w:rsidRPr="00020AAB" w:rsidRDefault="00030512" w:rsidP="00EA22F5">
      <w:pPr>
        <w:spacing w:after="240"/>
        <w:ind w:left="567" w:hanging="567"/>
      </w:pPr>
      <w:r>
        <w:t>–</w:t>
      </w:r>
      <w:r w:rsidR="00EA22F5" w:rsidRPr="00020AAB">
        <w:tab/>
        <w:t>uwzględniając art. 102 Regulaminu i załącznik V do Regulaminu,</w:t>
      </w:r>
    </w:p>
    <w:p w14:paraId="5640DD9E" w14:textId="0B755EF3" w:rsidR="00EA22F5" w:rsidRPr="00020AAB" w:rsidRDefault="00030512" w:rsidP="00EA22F5">
      <w:pPr>
        <w:spacing w:after="240"/>
        <w:ind w:left="567" w:hanging="567"/>
      </w:pPr>
      <w:r>
        <w:t>–</w:t>
      </w:r>
      <w:r w:rsidR="00EA22F5" w:rsidRPr="00020AAB">
        <w:tab/>
        <w:t>uwzględniając sprawozdanie Komisji Kontroli Budżetowej (A10-0054/2025),</w:t>
      </w:r>
    </w:p>
    <w:p w14:paraId="1182EC57" w14:textId="77777777" w:rsidR="00EA22F5" w:rsidRPr="00020AAB" w:rsidRDefault="00EA22F5" w:rsidP="00EA22F5">
      <w:pPr>
        <w:spacing w:after="240"/>
        <w:ind w:left="567" w:hanging="567"/>
      </w:pPr>
      <w:r w:rsidRPr="00020AAB">
        <w:t>A.</w:t>
      </w:r>
      <w:r w:rsidRPr="00020AAB">
        <w:tab/>
        <w:t>mając na uwadze, że w ramach procedury udzielania absolutorium organ udzielający absolutorium pragnie podkreślić szczególne znaczenie dalszego wzmacniania legitymacji demokratycznej instytucji Unii dzięki zwiększaniu przejrzystości i rozliczalności oraz wdrażaniu koncepcji budżetowania celowego i właściwego zarządzania zasobami ludzkimi;</w:t>
      </w:r>
    </w:p>
    <w:p w14:paraId="66B17555" w14:textId="77777777" w:rsidR="00EA22F5" w:rsidRPr="00020AAB" w:rsidRDefault="00EA22F5" w:rsidP="00EA22F5">
      <w:pPr>
        <w:spacing w:after="240"/>
        <w:ind w:left="567" w:hanging="567"/>
      </w:pPr>
      <w:r w:rsidRPr="00020AAB">
        <w:t>B.</w:t>
      </w:r>
      <w:r w:rsidRPr="00020AAB">
        <w:tab/>
        <w:t>mając na uwadze, że Europejski Komitet Ekonomiczno-Społeczny („Komitet”) jest organem doradczym Unii stanowiącym forum konsultacji, dialogu i konsensusu między przedstawicielami różnych gospodarczych, społecznych i obywatelskich komponentów zorganizowanego społeczeństwa obywatelskiego z państw członkowskich;</w:t>
      </w:r>
    </w:p>
    <w:p w14:paraId="40EF32C4" w14:textId="77777777" w:rsidR="00EA22F5" w:rsidRPr="00020AAB" w:rsidRDefault="00EA22F5" w:rsidP="00EA22F5">
      <w:pPr>
        <w:spacing w:after="240"/>
        <w:ind w:left="567" w:hanging="567"/>
      </w:pPr>
      <w:r w:rsidRPr="00020AAB">
        <w:t>C.</w:t>
      </w:r>
      <w:r w:rsidRPr="00020AAB">
        <w:tab/>
        <w:t>mając na uwadze, że Komitet uczestniczy w unijnym procesie decyzyjnym oraz – przekładając politykę Unii na sytuację gospodarczą, społeczną i obywatelską – realizuje swoją misję lepszego stanowienia prawa, oddolnej demokracji uczestniczącej i propagowania wartości europejskich;</w:t>
      </w:r>
    </w:p>
    <w:p w14:paraId="337B70D4" w14:textId="77777777" w:rsidR="00EA22F5" w:rsidRPr="00020AAB" w:rsidRDefault="00EA22F5" w:rsidP="00EA22F5">
      <w:pPr>
        <w:spacing w:after="240"/>
        <w:ind w:left="567" w:hanging="567"/>
      </w:pPr>
      <w:r w:rsidRPr="00020AAB">
        <w:t>D.</w:t>
      </w:r>
      <w:r w:rsidRPr="00020AAB">
        <w:tab/>
        <w:t xml:space="preserve">mając na uwadze, że w niektórych przypadkach Komisja lub Rada mają obowiązek zasięgnąć opinii Komitetu, ale Komitet może również przyjmować opinie z własnej inicjatywy, korzystając z szerokiego zakresu uprawnień do konsultacji, określonego w Jednolitym akcie europejskim, traktacie z </w:t>
      </w:r>
      <w:proofErr w:type="spellStart"/>
      <w:r w:rsidRPr="00020AAB">
        <w:t>Maastricht</w:t>
      </w:r>
      <w:proofErr w:type="spellEnd"/>
      <w:r w:rsidRPr="00020AAB">
        <w:t xml:space="preserve"> i traktacie z Amsterdamu, co umożliwia Parlamentowi zasięganie jego opinii;</w:t>
      </w:r>
    </w:p>
    <w:p w14:paraId="21A456E0" w14:textId="77777777" w:rsidR="00EA22F5" w:rsidRPr="00020AAB" w:rsidRDefault="00EA22F5" w:rsidP="00EA22F5">
      <w:pPr>
        <w:spacing w:after="240"/>
        <w:ind w:left="567" w:hanging="567"/>
      </w:pPr>
      <w:r w:rsidRPr="00020AAB">
        <w:t>E.</w:t>
      </w:r>
      <w:r w:rsidRPr="00020AAB">
        <w:tab/>
        <w:t>mając na uwadze, że Komisja Spraw Finansowych i Budżetowych (CAF) Komitetu jest jego organem kontrolnym w zakresie wszystkich procedur budżetowych, a w szczególności w kwestii sporządzania preliminarza budżetowego, wykonania budżetu, rocznego sprawozdania z działalności, uzyskiwania absolutorium i działań następczych podejmowanych w związku ze sprawozdaniem rocznym Trybunału Obrachunkowego („Trybunał”);</w:t>
      </w:r>
    </w:p>
    <w:p w14:paraId="38A58B65" w14:textId="77777777" w:rsidR="00EA22F5" w:rsidRPr="00020AAB" w:rsidRDefault="00EA22F5" w:rsidP="00EA22F5">
      <w:pPr>
        <w:spacing w:after="240"/>
        <w:ind w:left="567" w:hanging="567"/>
      </w:pPr>
      <w:r w:rsidRPr="00020AAB">
        <w:t>F.</w:t>
      </w:r>
      <w:r w:rsidRPr="00020AAB">
        <w:tab/>
        <w:t>mając na uwadze, że w ostatnich latach Komitet podjął inicjatywy mające na celu przyciągnięcie i zatrzymanie wykwalifikowanych pracowników, optymalizację swojej struktury organizacyjnej i metod pracy oraz promowanie przyjaznego środowiska pracy w kontekście ograniczonego budżetu;</w:t>
      </w:r>
    </w:p>
    <w:p w14:paraId="41E16820" w14:textId="77777777" w:rsidR="00EA22F5" w:rsidRPr="00020AAB" w:rsidRDefault="00EA22F5" w:rsidP="00EA22F5">
      <w:pPr>
        <w:spacing w:after="240"/>
        <w:ind w:left="567" w:hanging="567"/>
      </w:pPr>
      <w:r w:rsidRPr="00020AAB">
        <w:t>1.</w:t>
      </w:r>
      <w:r w:rsidRPr="00020AAB">
        <w:tab/>
        <w:t xml:space="preserve">zauważa, że budżet Komitetu wchodzi w zakres działu 7 WRF „Europejska </w:t>
      </w:r>
      <w:r w:rsidRPr="00020AAB">
        <w:lastRenderedPageBreak/>
        <w:t>administracja publiczna”, który w 2023 r. wyniósł łącznie 12,3 mld EUR, tj. 6,4 % wydatków z budżetu UE; zauważa, że w 2023 r. budżet Komitetu stanowił 1,29 % środków działu 7 WRF;</w:t>
      </w:r>
    </w:p>
    <w:p w14:paraId="7F646392" w14:textId="77777777" w:rsidR="00EA22F5" w:rsidRPr="00020AAB" w:rsidRDefault="00EA22F5" w:rsidP="00EA22F5">
      <w:pPr>
        <w:spacing w:after="240"/>
        <w:ind w:left="567" w:hanging="567"/>
      </w:pPr>
      <w:r w:rsidRPr="00020AAB">
        <w:t>2.</w:t>
      </w:r>
      <w:r w:rsidRPr="00020AAB">
        <w:tab/>
        <w:t>zauważa, że Trybunał w swoim sprawozdaniu rocznym za rok budżetowy 2023 („sprawozdanie roczne”) zbadał próbę 70 transakcji w dziale 7, z czego 21 (30 %) zawierało błędy; zauważa ponadto, że w przypadku pięciu z tych błędów, które zostały skwantyfikowane przez Trybunał, Trybunał oszacował poziom błędu poniżej progu istotności;</w:t>
      </w:r>
    </w:p>
    <w:p w14:paraId="494CD0F9" w14:textId="77777777" w:rsidR="00EA22F5" w:rsidRPr="00020AAB" w:rsidRDefault="00EA22F5" w:rsidP="00EA22F5">
      <w:pPr>
        <w:spacing w:after="240"/>
        <w:ind w:left="567" w:hanging="567"/>
      </w:pPr>
      <w:r w:rsidRPr="00020AAB">
        <w:t>3.</w:t>
      </w:r>
      <w:r w:rsidRPr="00020AAB">
        <w:tab/>
        <w:t>na podstawie sprawozdania Trybunału zauważa, że wydatki administracyjne obejmują wydatki na zasoby kadrowe, w tym emerytury, które w 2023 r. stanowiły około 70 % łącznych wydatków administracyjnych, oraz wydatki na budynki, wyposażenie, energię, telekomunikację i informatykę; z zadowoleniem przyjmuje fakt, że Trybunał stwierdził, podobnie jak w poprzednich latach, że ogólnie wydatki administracyjne są obarczone niskim ryzykiem; zauważa, że w 2023 r. Trybunał nie wskazał żadnego konkretnego problemu dotyczącego Komitetu;</w:t>
      </w:r>
    </w:p>
    <w:p w14:paraId="22F9C0E4" w14:textId="77777777" w:rsidR="00EA22F5" w:rsidRPr="00EA22F5" w:rsidRDefault="00EA22F5" w:rsidP="00EA22F5">
      <w:pPr>
        <w:spacing w:after="240"/>
        <w:ind w:left="567" w:hanging="567"/>
        <w:rPr>
          <w:b/>
          <w:i/>
        </w:rPr>
      </w:pPr>
      <w:r w:rsidRPr="00EA22F5">
        <w:rPr>
          <w:b/>
          <w:i/>
        </w:rPr>
        <w:t>Zarządzanie budżetem i finansami</w:t>
      </w:r>
    </w:p>
    <w:p w14:paraId="6269BBE6" w14:textId="77777777" w:rsidR="00EA22F5" w:rsidRPr="00020AAB" w:rsidRDefault="00EA22F5" w:rsidP="00EA22F5">
      <w:pPr>
        <w:spacing w:after="240"/>
        <w:ind w:left="567" w:hanging="567"/>
      </w:pPr>
      <w:r w:rsidRPr="00020AAB">
        <w:t>4.</w:t>
      </w:r>
      <w:r w:rsidRPr="00020AAB">
        <w:tab/>
        <w:t>zauważa, że w 2023 r. ostateczny budżet Komitetu wyniósł 158 767 970 EUR, co stanowi ogólny wzrost o 4,1 % w porównaniu z rokiem 2022; na podstawie odpowiedzi Komitetu na pytania zawarte w kwestionariuszu przedłożonym przez Komisję Kontroli Budżetowej w celu udzielenia absolutorium z wykonania budżetu za 2023 r. („kwestionariusz”) i rocznego sprawozdania z działalności Komitetu za 2023 r. („sprawozdanie roczne”) zauważa, że linia budżetowa dotycząca wynagrodzeń i dodatków (wydatki związane z pracownikami i członkami) wzrosła w latach 2022–2023 o 8,4 % ze względu na inflację; na podstawie kwestionariusza zauważa, że budżet na pomoc zewnętrzną związaną z działaniem, opracowywaniem i utrzymywaniem systemów komputerowych wzrósł w latach 2022–2023 o 33,70 % ze względu na fakt, że Komitet uznał wdrożenie strategii cyfrowej na lata 2024–2026 za priorytet w 2023 r.; zauważa, że jeśli chodzi o pozostałe linie budżetowe, podział środków w budżecie Komitetu na 2023 r. pozostał porównywalny z podziałem środków z poprzednich lat;</w:t>
      </w:r>
    </w:p>
    <w:p w14:paraId="0D5A54ED" w14:textId="77777777" w:rsidR="00EA22F5" w:rsidRPr="00020AAB" w:rsidRDefault="00EA22F5" w:rsidP="00EA22F5">
      <w:pPr>
        <w:spacing w:after="240"/>
        <w:ind w:left="567" w:hanging="567"/>
      </w:pPr>
      <w:r w:rsidRPr="00020AAB">
        <w:t>5.</w:t>
      </w:r>
      <w:r w:rsidRPr="00020AAB">
        <w:tab/>
        <w:t>zauważa z zadowoleniem, że w odniesieniu do środków na zobowiązania Komitetu na bieżący rok wskaźnik wykonania budżetu wzrósł jeszcze bardziej z 96,12 % w 2022 r. do 98,70 % w 2023 r., po serii niższych wskaźników wykonania budżetu odnotowywanych w poprzednich latach ze względu na pandemię COVID-19 i związane z nią ograniczenia w podróżowaniu; zauważa ponadto, że wskaźnik wykonania w odniesieniu do środków na płatności na bieżący rok wzrósł z 88,12 % w 2022 r. do 90,67 % w 2023 r.; zauważa, że średni czas płatności w 2023 r. wyniósł 20,14 dnia, czyli więcej niż w 2022 r. (tj. 18,34 dnia);</w:t>
      </w:r>
    </w:p>
    <w:p w14:paraId="5D78D0ED" w14:textId="77777777" w:rsidR="00EA22F5" w:rsidRPr="00020AAB" w:rsidRDefault="00EA22F5" w:rsidP="00EA22F5">
      <w:pPr>
        <w:spacing w:after="240"/>
        <w:ind w:left="567" w:hanging="567"/>
      </w:pPr>
      <w:r w:rsidRPr="00020AAB">
        <w:t>6.</w:t>
      </w:r>
      <w:r w:rsidRPr="00020AAB">
        <w:tab/>
        <w:t>zauważa, że środki przeniesione z 2023 r. na 2024 r. wyniosły 13 827 713 EUR (tj. ok. 8,70 % budżetu Komitetu na 2023 r.), co stanowi spadek w stosunku do poziomu z poprzedniego roku wynoszącego 20 162 518 EUR (tj. ok. 13 % budżetu Komitetu na 2022 r.); zauważa ponadto z uznaniem, że wskaźnik wykonania środków przeniesionych z 2022 r. na 2023 r. wyniósł 86,76 % w 2023 r. w porównaniu z 76,91 % w 2022 r.; zachęca Komitet do dalszego efektywnego wykorzystywania przyznanych funduszy;</w:t>
      </w:r>
    </w:p>
    <w:p w14:paraId="7EF40336" w14:textId="77777777" w:rsidR="00EA22F5" w:rsidRPr="00020AAB" w:rsidRDefault="00EA22F5" w:rsidP="00EA22F5">
      <w:pPr>
        <w:spacing w:after="240"/>
        <w:ind w:left="567" w:hanging="567"/>
      </w:pPr>
      <w:r w:rsidRPr="00020AAB">
        <w:lastRenderedPageBreak/>
        <w:t>7.</w:t>
      </w:r>
      <w:r w:rsidRPr="00020AAB">
        <w:tab/>
        <w:t>zauważa, że w 2022 r. służby własne Komitetu uruchomiły 12 procedur negocjacyjnych na kwotę poniżej 60 000 EUR, głównie na potrzeby studiów przypadków, badań i wsparcia logistycznego; zauważa, że Komitet rozpoczął również sześć postępowań o udzielenie zamówienia z udziałem służb wspólnych z Europejskim Komitetem Regionów (KR-em), głównie w dziedzinie logistyki i utrzymania;</w:t>
      </w:r>
    </w:p>
    <w:p w14:paraId="722C3D21" w14:textId="77777777" w:rsidR="00EA22F5" w:rsidRPr="00020AAB" w:rsidRDefault="00EA22F5" w:rsidP="00EA22F5">
      <w:pPr>
        <w:spacing w:after="240"/>
        <w:ind w:left="567" w:hanging="567"/>
      </w:pPr>
      <w:r w:rsidRPr="00020AAB">
        <w:t>8.</w:t>
      </w:r>
      <w:r w:rsidRPr="00020AAB">
        <w:tab/>
        <w:t>zauważa, że w 2023 r. Komitet nadal poprawiał efektywność kosztową swoich działań, w tym poprzez pracę hybrydową, zwiększoną telepracę, pełną dematerializację obiegu środków finansowych i mniejsze zużycie energii; na podstawie kwestionariusza zauważa, że w 2023 r. Komitet osiągnął oszczędności finansowe w wysokości 65 000 EUR ze względu na zmniejszenie zużycia energii; wyraża uznanie dla Komitetu za podpisanie nowej umowy ramowej na badania lekarskie, która przewiduje niższe ceny, większą elastyczność i ogólnie lepsze usługi niż poprzednia umowa; dostrzega znaczne oszczędności budżetowe i administracyjne osiągnięte przez Komitet dzięki współpracy międzyinstytucjonalnej, w szczególności dzięki służbom wspólnym z KR-em i zlecaniu Komisji (umowy o gwarantowanym poziomie usług) określonych usług zarządzania zasobami ludzkimi i korzystania z narzędzi informatycznych do zarządzania finansami i zasobami ludzkimi, a także dzięki udziałowi w międzyinstytucjonalnych procedurach udzielenia zamówień prowadzonych przez inne instytucje; na podstawie kwestionariusza zauważa, że całkowity koszt poniesiony przez Komitet w związku ze zlecaniem Komisji określonych usług wzrósł z 743 600 EUR w 2022 r. do 793 000 EUR w 2023 r.;</w:t>
      </w:r>
    </w:p>
    <w:p w14:paraId="26320769" w14:textId="77777777" w:rsidR="00EA22F5" w:rsidRPr="00020AAB" w:rsidRDefault="00EA22F5" w:rsidP="00EA22F5">
      <w:pPr>
        <w:spacing w:after="240"/>
        <w:ind w:left="567" w:hanging="567"/>
      </w:pPr>
      <w:r w:rsidRPr="00020AAB">
        <w:t>9.</w:t>
      </w:r>
      <w:r w:rsidRPr="00020AAB">
        <w:tab/>
        <w:t>przypomina, że w decyzji Rady z 25 maja 2023 r. dietę za zdalny udział członków Komitetu w posiedzeniach pozastatutowych ustalono na 145 EUR dziennie za każde posiedzenie zdalne, co stanowi 50 % diety dziennej za fizyczną obecność w 2023 r.; uważa, że chociaż udział zdalny jest ważnym instrumentem dla nowoczesnych instytucji, ponieważ m.in. zmniejsza koszty posiedzeń i umożliwia szerszy udział, przyznanie dodatku za zdalny udział w posiedzeniach, nawet ograniczonego i przeznaczonego tylko na niektóre rodzaje wydarzeń, jest trudne do zrozumienia dla opinii publicznej, tym bardziej, jeśli wziąć pod uwagę różnicę wypłacaną członkom Komitetu i członkom KR-u za zdalny udział; na podstawie sprawozdania z działań następczych Komitetu w związku z rezolucją Parlamentu w sprawie wykonania budżetu Komitetu za rok 2022 („sprawozdanie uzupełniające”) zauważa z zadowoleniem, że zastosowanie tej decyzji przyniosło już oszczędności budżetowe w wysokości 1 677 000 EUR ze względu na niższe koszty podróży i wypłacone diety, a także oszczędności środowiskowe w postaci około 553,66 ton CO</w:t>
      </w:r>
      <w:r w:rsidRPr="00020AAB">
        <w:rPr>
          <w:vertAlign w:val="subscript"/>
        </w:rPr>
        <w:t>2</w:t>
      </w:r>
      <w:r w:rsidRPr="00020AAB">
        <w:t xml:space="preserve"> ze względu na mniejszą liczbę podróży w 2023 r.; na podstawie sprawozdania rocznego zauważa, że liczba dni posiedzeń ze zdalnym udziałem podlegającym zwrotowi kosztów wyniosła 2006 (6259 w 2022 r.) oraz że średni czas trwania posiedzeń wynosił trzy godziny, a całkowity koszt w 2023 r. wyniósł 294 930 EUR (922 925 EUR w 2022 r.); z zadowoleniem przyjmuje liczne kontrole przeprowadzane przez Komitet w celu udowodnienia zdalnego uczestnictwa członków przed wypłatą diety;</w:t>
      </w:r>
    </w:p>
    <w:p w14:paraId="68531AB0" w14:textId="77777777" w:rsidR="00EA22F5" w:rsidRPr="00020AAB" w:rsidRDefault="00EA22F5" w:rsidP="00EA22F5">
      <w:pPr>
        <w:spacing w:after="240"/>
        <w:ind w:left="567" w:hanging="567"/>
      </w:pPr>
      <w:r w:rsidRPr="00020AAB">
        <w:t>10.</w:t>
      </w:r>
      <w:r w:rsidRPr="00020AAB">
        <w:tab/>
        <w:t xml:space="preserve">zauważa, że wpływ rosyjskiej wojny napastniczej przeciwko Ukrainie nadal wywierał presję na budżet Komitetu w 2023 r. poprzez rosnącą inflację i dostosowania wynagrodzeń, wyzwania związane z projektami budowlanymi ze względu na opóźnienia i wyższe ceny surowców, indeksację umów najmu (+10,3 % w 2023 r. w porównaniu z 2022 r.), a także indeksację umów o świadczenie usług w zakresie utrzymania i ochrony (+13,50 % w 2023 r. w porównaniu z 2021 r.); zauważa w szczególności, że koszty energii w latach 2021–2022 wzrosły z 726 000 EUR do </w:t>
      </w:r>
      <w:r w:rsidRPr="00020AAB">
        <w:lastRenderedPageBreak/>
        <w:t>3 125 000 EUR, a następnie zmniejszyły się do 1 923 391 EUR w 2023 r.; przyjmuje do wiadomości pułap wzrostu wynoszący 2 % w przypadku wydatków niezwiązanych z wynagrodzeniami; w tym kontekście pochwala inicjatywę Komitetu dotyczącą sprostania wyzwaniom na poziomie budżetowym, na przykład poprzez wdrożenie strategii oszczędności energii za pomocą środków krótkoterminowych, a także średnio- i długoterminowych, które nie wymagały budżetu korygującego w 2023 r.;</w:t>
      </w:r>
    </w:p>
    <w:p w14:paraId="5733C015" w14:textId="77777777" w:rsidR="00EA22F5" w:rsidRPr="00020AAB" w:rsidRDefault="00EA22F5" w:rsidP="00EA22F5">
      <w:pPr>
        <w:spacing w:after="240"/>
        <w:ind w:left="567" w:hanging="567"/>
      </w:pPr>
      <w:r w:rsidRPr="00020AAB">
        <w:t>11.</w:t>
      </w:r>
      <w:r w:rsidRPr="00020AAB">
        <w:tab/>
        <w:t>odnotowuje zmniejszenie środków na bieżący rok w linii budżetowej 1 0 0 4 (wydatki na podróże posłów, w tym diety za pobyt i udział w posiedzeniach) z 19,790 mln EUR w 2022 r. (z czego wypłacono 15,895 mln EUR) do 19,761 mln EUR w 2023 r. (z czego wypłacono 18,344 mln UE); z zadowoleniem odnotowuje poprawę wskaźnika wykonania tych środków z 80,31 % w 2022 r. do 92,83 % w 2023 r.; zauważa, że przewodniczący Komitetu uczestniczył w 35 wyjazdach na łączną kwotę 71 926 EUR w 2023 r. w porównaniu z 26 wyjazdami w 2022 r. na łączną kwotę 38 042 EUR;</w:t>
      </w:r>
    </w:p>
    <w:p w14:paraId="775CBFEA" w14:textId="77777777" w:rsidR="00EA22F5" w:rsidRPr="00020AAB" w:rsidRDefault="00EA22F5" w:rsidP="00EA22F5">
      <w:pPr>
        <w:spacing w:after="240"/>
        <w:ind w:left="567" w:hanging="567"/>
      </w:pPr>
      <w:r w:rsidRPr="00020AAB">
        <w:t>12.</w:t>
      </w:r>
      <w:r w:rsidRPr="00020AAB">
        <w:tab/>
        <w:t xml:space="preserve">na podstawie kwestionariusza zauważa, że Wspólna Dyrekcja ds. Innowacji i Technologii Informacyjnych Komitetu i KR przeznacza około 3 % swojego budżetu informatycznego na </w:t>
      </w:r>
      <w:proofErr w:type="spellStart"/>
      <w:r w:rsidRPr="00020AAB">
        <w:t>cyberbezpieczeństwo</w:t>
      </w:r>
      <w:proofErr w:type="spellEnd"/>
      <w:r w:rsidRPr="00020AAB">
        <w:t xml:space="preserve">, co jest dalekie od celu 10 % przewidzianego w odpowiednich przepisach; apeluje do </w:t>
      </w:r>
      <w:proofErr w:type="spellStart"/>
      <w:r w:rsidRPr="00020AAB">
        <w:t>współprawodawców</w:t>
      </w:r>
      <w:proofErr w:type="spellEnd"/>
      <w:r w:rsidRPr="00020AAB">
        <w:t xml:space="preserve"> i Komisji o uwzględnienie tego faktu w ramach rocznej procedury budżetowej;</w:t>
      </w:r>
    </w:p>
    <w:p w14:paraId="3C3B6F7D" w14:textId="77777777" w:rsidR="00EA22F5" w:rsidRPr="00EA22F5" w:rsidRDefault="00EA22F5" w:rsidP="00EA22F5">
      <w:pPr>
        <w:spacing w:after="240"/>
        <w:ind w:left="567" w:hanging="567"/>
        <w:rPr>
          <w:i/>
        </w:rPr>
      </w:pPr>
      <w:r w:rsidRPr="00EA22F5">
        <w:rPr>
          <w:b/>
          <w:i/>
        </w:rPr>
        <w:t>Zarządzanie wewnętrzne, wyniki i kontrola wewnętrzna</w:t>
      </w:r>
    </w:p>
    <w:p w14:paraId="4F30F570" w14:textId="77777777" w:rsidR="00EA22F5" w:rsidRPr="00020AAB" w:rsidRDefault="00EA22F5" w:rsidP="00EA22F5">
      <w:pPr>
        <w:spacing w:after="240"/>
        <w:ind w:left="567" w:hanging="567"/>
      </w:pPr>
      <w:r w:rsidRPr="00020AAB">
        <w:t>13.</w:t>
      </w:r>
      <w:r w:rsidRPr="00020AAB">
        <w:tab/>
        <w:t>na podstawie sprawozdania rocznego zauważa, że w ramach rocznego programu prac na 2023 r. Komitet ustanowił łącznie 31 celów ukierunkowanych na wszystkie działy administracji, a w ramach strategii Sekretariatu Generalnego na lata 2021–2025 Komitet określił pięć podstawowych wartości i pięć kluczowych celów strategicznych; na podstawie kwestionariusza zauważa, że kluczowymi wskaźnikami służącymi do pomiaru wyników działania Komitetu są liczba sporządzonych opinii i udział w posiedzeniach wysokiego szczebla; na podstawie kwestionariusza zauważa, że Komitet dysponuje wskaźnikami wyników działania w różnych obszarach, takich jak informatyka, zasoby ludzkie, tłumaczenia pisemne i komunikacja; zwraca się do Komitetu o uwzględnienie w przyszłych sprawozdaniach wykazu wszystkich kluczowych wskaźników wyników działania i celów dotyczących tych wyników w podziale na działania, a także celu (%) wyznaczonego do ich osiągnięcia oraz poziomu ich osiągnięcia (%);</w:t>
      </w:r>
    </w:p>
    <w:p w14:paraId="24449A2A" w14:textId="77777777" w:rsidR="00EA22F5" w:rsidRPr="00020AAB" w:rsidRDefault="00EA22F5" w:rsidP="00EA22F5">
      <w:pPr>
        <w:spacing w:after="240"/>
        <w:ind w:left="567" w:hanging="567"/>
      </w:pPr>
      <w:r w:rsidRPr="00020AAB">
        <w:t>14.</w:t>
      </w:r>
      <w:r w:rsidRPr="00020AAB">
        <w:tab/>
        <w:t xml:space="preserve">zauważa, że Komitet wypełnia swoje główne zadanie za pomocą opinii, które odnoszą się do wniosków ustawodawczych Komisji (wnioski o wydanie opinii), opinii z własnej inicjatywy wzywających instytucje Unii do podjęcia działań oraz opinii rozpoznawczych, które stanowią wkład w prace Komisji nad jej planowanymi inicjatywami, a także że stanowisko Komitetu może być wskazywane w rezolucjach lub włączane do raportów z oceny i raportów informacyjnych; wyraża uznanie dla Komitetu za uzyskane wyniki we wspieraniu Parlamentu, Rady i Komisji w cyklu legislacyjnym w 2023 r.; zauważa w tym kontekście, że w 2023 r. Komitet przyjął 213 opinii i sprawozdań, co stanowi wzrost z 202 w 2022 r., oraz zorganizował 146 </w:t>
      </w:r>
      <w:proofErr w:type="spellStart"/>
      <w:r w:rsidRPr="00020AAB">
        <w:t>wysłuchań</w:t>
      </w:r>
      <w:proofErr w:type="spellEnd"/>
      <w:r w:rsidRPr="00020AAB">
        <w:t xml:space="preserve"> i 23 konferencje w porównaniu z odpowiednio 116 i 29 w 2022 r.; zauważa, że w 2023 r. członkowie Komitetu uczestniczyli w 429 posiedzeniach, szczytach i konferencjach wysokiego szczebla w porównaniu z 345 w 2022 r.;</w:t>
      </w:r>
    </w:p>
    <w:p w14:paraId="76DAF3E1" w14:textId="77777777" w:rsidR="00EA22F5" w:rsidRPr="00020AAB" w:rsidRDefault="00EA22F5" w:rsidP="00EA22F5">
      <w:pPr>
        <w:spacing w:after="240"/>
        <w:ind w:left="567" w:hanging="567"/>
      </w:pPr>
      <w:r w:rsidRPr="00020AAB">
        <w:t>15.</w:t>
      </w:r>
      <w:r w:rsidRPr="00020AAB">
        <w:tab/>
        <w:t xml:space="preserve">docenia, że w 2023 r. Komitet podjął kroki w celu poprawy widoczności i wpływu </w:t>
      </w:r>
      <w:r w:rsidRPr="00020AAB">
        <w:lastRenderedPageBreak/>
        <w:t>swoich prac dotyczące formatu opinii, metodyki sporządzania opinii następczych, współpracy z Parlamentem i Komisją oraz innych projektów o charakterze przekrojowym, a także innowacyjnych inicjatyw, takich jak m.in. test wpływu polityki UE na młodzież, inicjatywa na rzecz członka-obserwatora z kraju kandydującego i europejska platforma zainteresowanych stron gospodarki o obiegu zamkniętym;</w:t>
      </w:r>
    </w:p>
    <w:p w14:paraId="48CAE889" w14:textId="77777777" w:rsidR="00EA22F5" w:rsidRPr="00020AAB" w:rsidRDefault="00EA22F5" w:rsidP="00EA22F5">
      <w:pPr>
        <w:spacing w:after="240"/>
        <w:ind w:left="567" w:hanging="567"/>
      </w:pPr>
      <w:r w:rsidRPr="00020AAB">
        <w:t>16.</w:t>
      </w:r>
      <w:r w:rsidRPr="00020AAB">
        <w:rPr>
          <w:b/>
          <w:i/>
        </w:rPr>
        <w:tab/>
      </w:r>
      <w:r w:rsidRPr="00020AAB">
        <w:t>pochwala podejmowane przez Komitet inicjatywy służące wspieraniu aktywnego zaangażowania młodzieży w proces kształtowania polityki;</w:t>
      </w:r>
    </w:p>
    <w:p w14:paraId="2B47BBE5" w14:textId="77777777" w:rsidR="00EA22F5" w:rsidRPr="00020AAB" w:rsidRDefault="00EA22F5" w:rsidP="00EA22F5">
      <w:pPr>
        <w:spacing w:after="240"/>
        <w:ind w:left="567" w:hanging="567"/>
      </w:pPr>
      <w:r w:rsidRPr="00020AAB">
        <w:t>17.</w:t>
      </w:r>
      <w:r w:rsidRPr="00020AAB">
        <w:tab/>
        <w:t>z zadowoleniem przyjmuje projekt pilotażowy realizowany od września 2022 r. do kwietnia 2023 r. w celu wzmocnienia działań następczych w związku z wybranymi opiniami w odniesieniu do wszystkich instytucji, biorąc pod uwagę, że w ramach tego projektu wybrano 19 opinii do wzmocnionych działań następczych; na podstawie kwestionariusza odnotowuje ogólne pozytywne wyniki projektu pilotażowego, takie jak wzmocnienie zdolności Komitetu do podejmowania działań następczych, lepsze ustalanie priorytetów prac Komitetu oraz zwiększenie zasięgu i wpływu wybranych opinii;</w:t>
      </w:r>
    </w:p>
    <w:p w14:paraId="79FFF7C9" w14:textId="77777777" w:rsidR="00EA22F5" w:rsidRPr="00020AAB" w:rsidRDefault="00EA22F5" w:rsidP="00EA22F5">
      <w:pPr>
        <w:spacing w:after="240"/>
        <w:ind w:left="567" w:hanging="567"/>
      </w:pPr>
      <w:r w:rsidRPr="00020AAB">
        <w:t>18.</w:t>
      </w:r>
      <w:r w:rsidRPr="00020AAB">
        <w:tab/>
        <w:t>podkreśla, że skuteczne zarządzanie ograniczonymi zasobami pozostało głównym wyzwaniem przez cały 2023 r. ze względu na ograniczenia kadrowe, spotęgowane przez wzmożoną działalność w ramach stałej stabilnej polityki kadrowej; odnotowuje zamiar przyjęcia przez Komitet nowego podejścia do strategicznego planowania zatrudnienia i przydziału pracowników poprzez pozyskiwanie bardziej kompleksowych danych na temat umiejętności pracowników, czynne zasięganie opinii w całej organizacji i refleksje organów politycznych Komitetu na temat priorytetów strategicznych; zwraca się do Komitetu o informowanie Parlamentu o wynikach tego nowego planu, ponieważ mógłby on zainspirować inne instytucje borykające się z podobnymi powtarzającymi się wyzwaniami w dziedzinie zasobów;</w:t>
      </w:r>
    </w:p>
    <w:p w14:paraId="6BD1D1AD" w14:textId="77777777" w:rsidR="00EA22F5" w:rsidRPr="00020AAB" w:rsidRDefault="00EA22F5" w:rsidP="00EA22F5">
      <w:pPr>
        <w:spacing w:after="240"/>
        <w:ind w:left="567" w:hanging="567"/>
      </w:pPr>
      <w:r w:rsidRPr="00020AAB">
        <w:t>19.</w:t>
      </w:r>
      <w:r w:rsidRPr="00020AAB">
        <w:tab/>
        <w:t>zauważa w odniesieniu do standardów kontroli wewnętrznej, że analiza zgodności z 2023 r. wykazała poprawę w porównaniu z 2022 r.; zauważa w tym kontekście, że zgodność, a mianowicie stopień wdrożenia wymogów 16 standardów kontroli wewnętrznej, wzrosła z 80,30 % w 2022 r. do 87,40 % w 2023 r., natomiast skuteczność, tj. stopień, w jakim wdrożenie tych wymogów przebiega zgodnie z założeniami, wzrosła z 74 % w 2022 r. do 78,10 % w 2023 r.; zauważa ponadto, że roczna ocena ryzyka za 2023 r. wykazała, że stosowanie kontroli wewnętrznych zmniejszyło ryzyko nieodłączne (w kategoriach „krytyczne” i „bardzo ważne”) o 53 % w 2023 r., tj. z 40 do 19;</w:t>
      </w:r>
    </w:p>
    <w:p w14:paraId="6B65DD32" w14:textId="77777777" w:rsidR="00EA22F5" w:rsidRPr="00020AAB" w:rsidRDefault="00EA22F5" w:rsidP="00EA22F5">
      <w:pPr>
        <w:spacing w:after="240"/>
        <w:ind w:left="567" w:hanging="567"/>
      </w:pPr>
      <w:r w:rsidRPr="00020AAB">
        <w:t>20.</w:t>
      </w:r>
      <w:r w:rsidRPr="00020AAB">
        <w:rPr>
          <w:b/>
          <w:i/>
        </w:rPr>
        <w:tab/>
      </w:r>
      <w:r w:rsidRPr="00020AAB">
        <w:t>zauważa, że w 2023 r. przeprowadzono restrukturyzację Służby Audytu Wewnętrznego (IAS), która zwiększyła jej zgodność z międzynarodowymi standardami audytu oraz pozwoliła na usprawnienie i udokumentowanie wszystkich jej procesów;</w:t>
      </w:r>
    </w:p>
    <w:p w14:paraId="3DE3B10A" w14:textId="77777777" w:rsidR="00EA22F5" w:rsidRPr="00020AAB" w:rsidRDefault="00EA22F5" w:rsidP="00EA22F5">
      <w:pPr>
        <w:spacing w:after="240"/>
        <w:ind w:left="567" w:hanging="567"/>
      </w:pPr>
      <w:r w:rsidRPr="00020AAB">
        <w:t>21.</w:t>
      </w:r>
      <w:r w:rsidRPr="00020AAB">
        <w:tab/>
        <w:t>zauważa, że w obszarze transakcji finansowych Służba Audytu Wewnętrznego Komitetu przyjęła na początku 2023 r. nową decyzję w sprawie oceny ryzyka związanego z wdrożeniem procedury uproszczonej; zauważa ponadto, że w 2023 r. Prezydium Komitetu przyjęło nową kartę audytu wewnętrznego i kartę Komitetu ds. Audytu zawierającą przepisy proceduralne;</w:t>
      </w:r>
    </w:p>
    <w:p w14:paraId="630B996F" w14:textId="77777777" w:rsidR="00EA22F5" w:rsidRPr="00020AAB" w:rsidRDefault="00EA22F5" w:rsidP="00EA22F5">
      <w:pPr>
        <w:spacing w:after="240"/>
        <w:ind w:left="567" w:hanging="567"/>
      </w:pPr>
      <w:r w:rsidRPr="00020AAB">
        <w:t>22.</w:t>
      </w:r>
      <w:r w:rsidRPr="00020AAB">
        <w:tab/>
        <w:t xml:space="preserve">na podstawie sprawozdania rocznego i kwestionariusza zauważa, że w 2023 r. Służba Audytu Wewnętrznego rozpoczęła cztery audyty, które dotyczyły zezwoleń na </w:t>
      </w:r>
      <w:r w:rsidRPr="00020AAB">
        <w:lastRenderedPageBreak/>
        <w:t>posiedzenia, wyboru delegatów do Komisji Konsultacyjnej ds. Przemian w Przemyśle, cyklu strategicznego oraz dodatków związanych z czasem trwania podróży i odległością dla członków Komitetu; wzywa Komitet do informowania organu udzielającego absolutorium o wynikach tych audytów oraz do wdrożenia wszystkich otwartych zaleceń wynikających z poprzednich audytów (dotyczących terminów instytucjonalnych, interpretacji, weryfikacji, etyki i uczciwości, praw ustawowych i terminów płatności);</w:t>
      </w:r>
    </w:p>
    <w:p w14:paraId="4F0A1822" w14:textId="77777777" w:rsidR="00EA22F5" w:rsidRPr="00EA22F5" w:rsidRDefault="00EA22F5" w:rsidP="00EA22F5">
      <w:pPr>
        <w:spacing w:after="240"/>
        <w:ind w:left="567" w:hanging="567"/>
        <w:rPr>
          <w:b/>
          <w:i/>
        </w:rPr>
      </w:pPr>
      <w:r w:rsidRPr="00EA22F5">
        <w:rPr>
          <w:b/>
          <w:i/>
        </w:rPr>
        <w:t>Zasoby ludzkie, równość i dobrostan pracowników</w:t>
      </w:r>
    </w:p>
    <w:p w14:paraId="514C9DE7" w14:textId="77777777" w:rsidR="00EA22F5" w:rsidRPr="00020AAB" w:rsidRDefault="00EA22F5" w:rsidP="00EA22F5">
      <w:pPr>
        <w:spacing w:after="240"/>
        <w:ind w:left="567" w:hanging="567"/>
      </w:pPr>
      <w:r w:rsidRPr="00020AAB">
        <w:t>23.</w:t>
      </w:r>
      <w:r w:rsidRPr="00020AAB">
        <w:tab/>
        <w:t>zauważa, że na koniec 2023 r. Komitet zatrudniał ogółem 707 pracowników, podczas gdy w 2022 r. było ich 706; zauważa ponadto, że w 2023 r. zatrudnionych było 49 pracowników kontraktowych i 130 pracowników zatrudnionych na czas określony (z czego 52 zatrudniono w 2023 r.) (podczas gdy w 2022 r. pracowników kontraktowych było 50, a pracowników zatrudnionych na czas określony 128); zauważa ponadto, że Komitet zatrudniał 12 pracowników tymczasowych i 10 pracowników zewnętrznych pracujących na miejscu, z wyłączeniem zewnętrznych usługodawców w dziedzinie logistyki i IT; zauważa, że wskaźnik obsadzenia stanowisk wyniósł 95,50 % w 2023 r., podczas gdy w 2022 r. wynosił 95,10 %, a wskaźnik rotacji pracowników w 2023 r. wyniósł 7 %;</w:t>
      </w:r>
    </w:p>
    <w:p w14:paraId="035280B0" w14:textId="77777777" w:rsidR="00EA22F5" w:rsidRPr="00020AAB" w:rsidRDefault="00EA22F5" w:rsidP="00EA22F5">
      <w:pPr>
        <w:spacing w:after="240"/>
        <w:ind w:left="567" w:hanging="567"/>
      </w:pPr>
      <w:r w:rsidRPr="00020AAB">
        <w:t>24.</w:t>
      </w:r>
      <w:r w:rsidRPr="00020AAB">
        <w:tab/>
        <w:t>z zadowoleniem przyjmuje ciągłe dążenie Komitetu do ulepszenia ram kadrowych, aby stać się atrakcyjnym pracodawcą i miejscem pracy, w którym każda osoba jest ceniona i może w pełni rozwijać swój potencjał; zauważa, że w ramach wdrażania strategii kadrowej na lata 2023–2025 Komitet zrealizował w 2023 r. kilka kluczowych etapów, przyjmując nowe decyzje dotyczące m.in. warunków pracy (praca hybrydowa, nadgodziny, urlopy okolicznościowe), strategii i planu działania na rzecz różnorodności i włączenia społecznego na lata 2023–2027, mobilności pracowników i metodyki dotyczącej newralgicznych stanowisk, a także systemu oceny pracowników i awansu; z zadowoleniem odnotowuje opublikowane w maju 2023 r. pozytywne wyniki ankiety dotyczącej zadowolenia pracowników, w której zarówno pracownicy, jak i kadra kierownicza wyrazili wysoki poziom zadowolenia w odniesieniu do różnych kwestii kadrowych, w szczególności organizacji pracy – obszaru, w którym wydaje się, iż Komitet wypracował doskonałą równowagę;</w:t>
      </w:r>
    </w:p>
    <w:p w14:paraId="0F1F8448" w14:textId="77777777" w:rsidR="00EA22F5" w:rsidRPr="00020AAB" w:rsidRDefault="00EA22F5" w:rsidP="00EA22F5">
      <w:pPr>
        <w:spacing w:after="240"/>
        <w:ind w:left="567" w:hanging="567"/>
      </w:pPr>
      <w:r w:rsidRPr="00020AAB">
        <w:t>25.</w:t>
      </w:r>
      <w:r w:rsidRPr="00020AAB">
        <w:tab/>
        <w:t>zauważa, że drugi rok z rzędu Komitet stał się importerem netto talentów (z innych instytucji) w wyniku wdrożenia ukierunkowanego planu podnoszenia atrakcyjności zatrudnienia i zatrzymywania talentów; dostrzega jednak utrzymujące się wyzwania wynikające z polegania na pracownikach zatrudnionych na czas określony w związku z niedoborami kandydatów na listach rezerwowych EPSO (Europejskiego Urzędu Doboru Kadr), co stwarza ryzyko zastoju wiedzy fachowej; podkreśla znaczenie stałego personelu dla utrzymania umiejętności, ciągłości i produktywnego środowiska pracy; zaleca Komitetowi podjęcie inicjatyw mających na celu sprostanie tym wyzwaniom, na przykład przez organizację konkursów wewnętrznych;</w:t>
      </w:r>
    </w:p>
    <w:p w14:paraId="4722754E" w14:textId="77777777" w:rsidR="00EA22F5" w:rsidRPr="00020AAB" w:rsidRDefault="00EA22F5" w:rsidP="00EA22F5">
      <w:pPr>
        <w:spacing w:after="240"/>
        <w:ind w:left="567" w:hanging="567"/>
      </w:pPr>
      <w:r w:rsidRPr="00020AAB">
        <w:t>26.</w:t>
      </w:r>
      <w:r w:rsidRPr="00020AAB">
        <w:tab/>
        <w:t xml:space="preserve">zauważa, że aby lepiej rozdysponować ograniczone zasoby, w 2023 r. zakończono zewnętrzny audyt mapowania zasobów ludzkich, zlecony przez Komitet; z zaniepokojeniem zauważa, że wyniki tego audytu potwierdziły duże obciążenie pracą w wielu różnych służbach Komitetu, zagrażające realizacji przez Komitet jego misji i obowiązków; wzywa Komitet do wdrożenia zaleceń z tego audytu, w tym przeglądu systemu oceny i wyników do 2025 r., przyjęcia nowej decyzji w sprawie warunków </w:t>
      </w:r>
      <w:r w:rsidRPr="00020AAB">
        <w:lastRenderedPageBreak/>
        <w:t>pracy oraz regularnego monitorowania zaangażowania pracowników; podkreśla znaczenie strategicznego planowania zatrudnienia dla optymalnej alokacji zasobów, zapewnienia zgodności z priorytetami wysokiego szczebla określonymi przez władze polityczne oraz dalszego podejmowania wysiłków na rzecz efektywności kosztowej i optymalizacji;</w:t>
      </w:r>
    </w:p>
    <w:p w14:paraId="0FFB1631" w14:textId="77777777" w:rsidR="00EA22F5" w:rsidRPr="00020AAB" w:rsidRDefault="00EA22F5" w:rsidP="00EA22F5">
      <w:pPr>
        <w:spacing w:after="240"/>
        <w:ind w:left="567" w:hanging="567"/>
      </w:pPr>
      <w:r w:rsidRPr="00020AAB">
        <w:t>27.</w:t>
      </w:r>
      <w:r w:rsidRPr="00020AAB">
        <w:tab/>
        <w:t>zauważa, że w 2023 r. nadal utrzymywały się zapoczątkowane w 2022 r. pozytywne trendy, jeżeli chodzi o rekrutację pracowników; wyraża uznanie dla Komitetu za działania podjęte w tej dziedzinie, takie jak m.in. dostosowanie publikacji ogłoszeń o wolnych stanowiskach do publikacji nowych list rezerwowych EPSO lub publikowanie informacji o możliwościach zatrudnienia na stronie internetowej Komitetu i na LinkedIn; zwraca się do Komitetu o informowanie Parlamentu o wynikach projektu pilotażowego dotyczącego budowania marki pracodawcy; podkreśla, że wdrażanie nowych pracowników do pracy w instytucji stanowi ważny czynnik dostosowania strategicznego, gdyż gwarantuje, że pracownicy zostają poinformowani o zasadach i strategiach obowiązujących w danej instytucji; pochwala Komitet za wzmocnienie procesu integracji nowych pracowników w 2023 r. dzięki zaktualizowanej broszurze i pismu powitalnemu, pakietowi powitalnemu obejmującemu przyjazne środowisku gadżety, a także dzięki informacjom zwrotnym na temat doświadczeń związanych z integracją w nowej pracy, lepszym terminom sesji powitalnych, zmodernizowanemu kącikowi dla nowych pracowników oraz wskazówkom dla kadry kierowniczej dotyczącym integracji nowych pracowników;</w:t>
      </w:r>
    </w:p>
    <w:p w14:paraId="2E8F1C03" w14:textId="77777777" w:rsidR="00EA22F5" w:rsidRPr="00020AAB" w:rsidRDefault="00EA22F5" w:rsidP="00EA22F5">
      <w:pPr>
        <w:spacing w:after="240"/>
        <w:ind w:left="567" w:hanging="567"/>
      </w:pPr>
      <w:r w:rsidRPr="00020AAB">
        <w:t>28.</w:t>
      </w:r>
      <w:r w:rsidRPr="00020AAB">
        <w:tab/>
        <w:t>przypomina, że Komitet przyjął decyzję 282/23 A, która weszła w życie 1 stycznia 2024 r., ustanawiającą elastyczną, opartą na zaufaniu politykę pracy hybrydowej przy jednoczesnym zapewnieniu pracownikom lepszej równowagi między życiem zawodowym a prywatnym oraz zwiększeniu zdolności adaptacyjnych i efektywności; zwraca się do Komitetu o terminowe informowanie organu udzielającego absolutorium o wszelkich nowych wydarzeniach dotyczących tej sprawy;</w:t>
      </w:r>
    </w:p>
    <w:p w14:paraId="43325A22" w14:textId="77777777" w:rsidR="00EA22F5" w:rsidRPr="00020AAB" w:rsidRDefault="00EA22F5" w:rsidP="00EA22F5">
      <w:pPr>
        <w:spacing w:after="240"/>
        <w:ind w:left="567" w:hanging="567"/>
      </w:pPr>
      <w:r w:rsidRPr="00020AAB">
        <w:t>29.</w:t>
      </w:r>
      <w:r w:rsidRPr="00020AAB">
        <w:tab/>
        <w:t>z zadowoleniem przyjmuje mianowanie kobiety na stanowisko sekretarza generalnego w styczniu 2024 r. jako pozytywny krok w kierunku osiągnięcia równowagi płci; ubolewa jednak, że odsetek kobiet wśród kadry kierowniczej wyższego szczebla pozostał niski w 2023 r., przy czym tylko dwa z siedmiu stanowisk kierowniczych wyższego szczebla zajmują obecnie kobiety; z zadowoleniem przyjmuje jednak fakt, że Komitet uznaje równowagę płci wśród swoich pracowników, a w szczególności wśród kadry kierowniczej wyższego szczebla, za ważny czynnik, i zwraca się do Komitetu o szybką poprawę sytuacji na najwyższym szczeblu Komitetu przez zapewnienie zrównoważonej reprezentacji zgodnie z zobowiązaniami Komitetu na rzecz różnorodności i włączenia społecznego;</w:t>
      </w:r>
    </w:p>
    <w:p w14:paraId="7DB8A948" w14:textId="77777777" w:rsidR="00EA22F5" w:rsidRPr="00020AAB" w:rsidRDefault="00EA22F5" w:rsidP="00EA22F5">
      <w:pPr>
        <w:spacing w:after="240"/>
        <w:ind w:left="567" w:hanging="567"/>
      </w:pPr>
      <w:r w:rsidRPr="00020AAB">
        <w:t>30.</w:t>
      </w:r>
      <w:r w:rsidRPr="00020AAB">
        <w:tab/>
        <w:t xml:space="preserve">ubolewa, że Komitet nie był w stanie dostarczyć danych na temat przypadków wypalenia zawodowego w 2023 r., i nie zgadza się z poglądem wyrażonym przez Komitet w jego sprawozdaniu z działań następczych, zgodnie z którym wypalenie zawodowe jako takie nie jest uznaną diagnozą medyczną i że przyczyny wypalenia zawodowego mogą być wielorakie; przypomina o znaczeniu danych statystycznych dotyczących wypalenia zawodowego w celu ułatwienia podejmowania decyzji dotyczących dobrostanu pracowników, co powinno być także oparte na wnioskach wyciągniętych z dotychczasowych bardzo niefortunnych doświadczeń oraz na zewnętrznych ocenach obecnych ram; dostrzega ograniczenia w zakresie ochrony danych, ale podkreśla znaczenie zanonimizowanych danych statystycznych dla </w:t>
      </w:r>
      <w:r w:rsidRPr="00020AAB">
        <w:lastRenderedPageBreak/>
        <w:t>świadomych decyzji zarządczych; z zaniepokojeniem odnotowuje ustalenia wskazujące na duże obciążenie pracą w kilku służbach ze względu na ograniczone zasoby ludzkie; z zadowoleniem przyjmuje przyjęcie nowych ustaleń roboczych, które stanowią krok w dobrym kierunku, ale zachęca Komitet do podjęcia dalszych działań w celu zapewnienia publikacji zanonimizowanych danych dotyczących przypadków wypalenia zawodowego;</w:t>
      </w:r>
    </w:p>
    <w:p w14:paraId="304334AE" w14:textId="77777777" w:rsidR="00EA22F5" w:rsidRPr="00020AAB" w:rsidRDefault="00EA22F5" w:rsidP="00EA22F5">
      <w:pPr>
        <w:spacing w:after="240"/>
        <w:ind w:left="567" w:hanging="567"/>
      </w:pPr>
      <w:r w:rsidRPr="00020AAB">
        <w:t>31.</w:t>
      </w:r>
      <w:r w:rsidRPr="00020AAB">
        <w:tab/>
        <w:t>zauważa, że w 2023 r. Komitet zatrudniał pracowników z wszystkich państw członkowskich, przy czym niektóre państwa były nadmiernie reprezentowane (np. Belgia, Włochy); zauważa, że w 2023 r. 24 % kadry kierowniczej Komitetu pochodziło z 13 państw członkowskich, które przystąpiły do Unii po 2004 r., co stanowi nieznaczny wzrost w porównaniu z 21 % w 2022 r. i 19 % w 2021 r.; ponownie zachęca Komitet, by nadal podejmował działania służące osiągnięciu zrównoważonego rozkładu geograficznego pochodzenia pracowników, ze szczególnym uwzględnieniem szczebla kierowniczego;</w:t>
      </w:r>
    </w:p>
    <w:p w14:paraId="1D48C510" w14:textId="77777777" w:rsidR="00EA22F5" w:rsidRPr="00020AAB" w:rsidRDefault="00EA22F5" w:rsidP="00EA22F5">
      <w:pPr>
        <w:spacing w:after="240"/>
        <w:ind w:left="567" w:hanging="567"/>
      </w:pPr>
      <w:r w:rsidRPr="00020AAB">
        <w:t>32.</w:t>
      </w:r>
      <w:r w:rsidRPr="00020AAB">
        <w:tab/>
        <w:t>z zadowoleniem przyjmuje wysiłki Komitetu na rzecz stworzenia zdrowego środowiska pracy dla pracowników; pochwala w szczególności przywiązywanie przez Komitet wagi do zdrowia psychicznego i fizycznego pracowników oraz wysiłki podejmowane w zakresie podnoszenia świadomości na temat kwestii związanych ze zdrowiem; odnotowuje podjęte przez Komitet środki dotyczące zarządzania zwolnieniami chorobowymi, takie jak niepełny wymiar czasu pracy z powodów zdrowotnych i rozszerzona praca zdalna, dzięki którym zapewnia się pracownikom długoterminowo nieobecnym z powodu choroby powrót do pracy w odpowiednim czasie oraz dzięki którym odsetek pracowników bez nieobecności wzrósł z 27 % w 2022 r. do 30 % w 2023 r.; z zadowoleniem zauważa, że Komitet zorganizował bezpłatną kampanię badań przesiewowych w kierunku raka skóry w siedzibie Komitetu, w ramach której w 2023 r. zewnętrzni dermatolodzy zbadali w czasie czterodniowej kampanii 104 pracowników;</w:t>
      </w:r>
    </w:p>
    <w:p w14:paraId="0BBCC617" w14:textId="77777777" w:rsidR="00EA22F5" w:rsidRPr="00EA22F5" w:rsidRDefault="00EA22F5" w:rsidP="00EA22F5">
      <w:pPr>
        <w:spacing w:after="240"/>
        <w:ind w:left="567" w:hanging="567"/>
        <w:rPr>
          <w:b/>
          <w:i/>
        </w:rPr>
      </w:pPr>
      <w:r w:rsidRPr="00EA22F5">
        <w:rPr>
          <w:b/>
          <w:i/>
        </w:rPr>
        <w:t>Ramy etyczne i przejrzystość</w:t>
      </w:r>
    </w:p>
    <w:p w14:paraId="64081A93" w14:textId="77777777" w:rsidR="00EA22F5" w:rsidRPr="00020AAB" w:rsidRDefault="00EA22F5" w:rsidP="00EA22F5">
      <w:pPr>
        <w:spacing w:after="240"/>
        <w:ind w:left="567" w:hanging="567"/>
      </w:pPr>
      <w:r w:rsidRPr="00020AAB">
        <w:t>33.</w:t>
      </w:r>
      <w:r w:rsidRPr="00020AAB">
        <w:tab/>
        <w:t xml:space="preserve">z zadowoleniem przyjmuje przyjęcie nowej strategii w zakresie różnorodności i </w:t>
      </w:r>
      <w:proofErr w:type="spellStart"/>
      <w:r w:rsidRPr="00020AAB">
        <w:t>inkluzywności</w:t>
      </w:r>
      <w:proofErr w:type="spellEnd"/>
      <w:r w:rsidRPr="00020AAB">
        <w:t xml:space="preserve">, która będzie obowiązywać do 2027 r.; pochwala konkretne działania uświadamiające na temat niepełnosprawności podjęte na początku 2024 r.; z zadowoleniem zauważa, że szkolenia w zakresie różnorodności i </w:t>
      </w:r>
      <w:proofErr w:type="spellStart"/>
      <w:r w:rsidRPr="00020AAB">
        <w:t>inkluzywności</w:t>
      </w:r>
      <w:proofErr w:type="spellEnd"/>
      <w:r w:rsidRPr="00020AAB">
        <w:t xml:space="preserve"> pozostają obowiązkowe dla kadry kierowniczej i są zalecane pracownikom; uznaje zdecydowane zaangażowanie Komitetu na rzecz wspierania w pełni </w:t>
      </w:r>
      <w:proofErr w:type="spellStart"/>
      <w:r w:rsidRPr="00020AAB">
        <w:t>inkluzywnego</w:t>
      </w:r>
      <w:proofErr w:type="spellEnd"/>
      <w:r w:rsidRPr="00020AAB">
        <w:t xml:space="preserve"> miejsca pracy; zachęca Komitet do podjęcia dalszych kroków w celu monitorowania reprezentacji pracowników z niepełnosprawnościami oraz do zapewnienia publikacji zanonimizowanych danych w tym zakresie;</w:t>
      </w:r>
    </w:p>
    <w:p w14:paraId="25F0586A" w14:textId="77777777" w:rsidR="00EA22F5" w:rsidRPr="00020AAB" w:rsidRDefault="00EA22F5" w:rsidP="00EA22F5">
      <w:pPr>
        <w:spacing w:after="240"/>
        <w:ind w:left="567" w:hanging="567"/>
      </w:pPr>
      <w:r w:rsidRPr="00020AAB">
        <w:t>34.</w:t>
      </w:r>
      <w:r w:rsidRPr="00020AAB">
        <w:tab/>
        <w:t>zauważa, że Komitet kontynuował wewnętrzny proces reform i przyjął w 2023 r. decyzję w sprawie ogólnych przepisów wykonawczych dotyczących dochodzeń administracyjnych i przepisów wykonawczych dotyczących postępowań dyscyplinarnych; wyraża uznanie dla Komitetu za zrealizowanie tego ostatniego etapu niezbędnego do pełnego wdrożenia środków na rzecz wzmocnionych ram etycznych Komitetu; na podstawie sprawozdania z działań następczych zauważa, że Komitet i audytor wewnętrzny uzgodnili plan działania dotyczący kontroli etyki i uczciwości Komitetu; w ramach tego planu wdrożono i zamknięto osiem zaleceń, natomiast dwa zalecenia nadal pozostają do wdrożenia do marca 2025 r.; wzywa Komitet, aby informował organ udzielający absolutorium o postępach poczynionych w tej sprawie;</w:t>
      </w:r>
    </w:p>
    <w:p w14:paraId="107C9A46" w14:textId="77777777" w:rsidR="00EA22F5" w:rsidRPr="00020AAB" w:rsidRDefault="00EA22F5" w:rsidP="00EA22F5">
      <w:pPr>
        <w:spacing w:after="240"/>
        <w:ind w:left="567" w:hanging="567"/>
      </w:pPr>
      <w:r w:rsidRPr="00020AAB">
        <w:lastRenderedPageBreak/>
        <w:t>35.</w:t>
      </w:r>
      <w:r w:rsidRPr="00020AAB">
        <w:tab/>
        <w:t>zauważa, że w 2023 r. Komitet nadal szkolił pracowników i podnosił świadomość na tematy związane ze zgłaszaniem nieprawidłowości, konfliktami interesów i innymi kwestiami etycznymi: w tym kontekście z zadowoleniem odnotowuje wyniki przeprowadzonej w 2023 r. ankiety dotyczącej zaangażowania pracowników, które wskazują na wysoką świadomość pracowników w kwestii ram etycznych Komitetu, w szczególności sieci zaufanych doradców (93 %) i doradców ds. etyki (83 %); zauważa, że w 2023 r. Komitet zorganizował 12 sesji szkoleniowych poświęconych tym kwestiom, a uczestniczyło w nich łącznie 79 pracowników; wyraża uznanie dla Komitetu za organizację obowiązkowych szkoleń na temat szacunku i godności w pracy, adresowanych do wszystkich pracowników, w tym kadry kierowniczej;</w:t>
      </w:r>
    </w:p>
    <w:p w14:paraId="17373903" w14:textId="77777777" w:rsidR="00EA22F5" w:rsidRPr="00020AAB" w:rsidRDefault="00EA22F5" w:rsidP="00EA22F5">
      <w:pPr>
        <w:spacing w:after="240"/>
        <w:ind w:left="567" w:hanging="567"/>
      </w:pPr>
      <w:r w:rsidRPr="00020AAB">
        <w:t>36.</w:t>
      </w:r>
      <w:r w:rsidRPr="00020AAB">
        <w:tab/>
        <w:t xml:space="preserve">zauważa, że w 2023 r. zgłoszono jedną skargę dotyczącą molestowania, która została zamknięta w tym samym roku w wyniku dochodzenia i mediacji ze strony Komitetu, bez nałożenia sankcji; przypomina, że Komitet jest stroną cywilną w postępowaniu sądowym, które wszczęły belgijskie władze krajowe przeciwko byłemu członkowi oskarżonemu o popełnienie wykroczenia i które jest obecnie rozpatrywane przez belgijskie sądy; zwraca się do Komitetu, by informował Parlament o postępach w tym względzie; uważa, że promowanie kultury szacunku i godności, wspieranej przez politykę zerowej tolerancji wobec molestowania, ma kluczowe znaczenie dla zapobiegania zarzutom oraz dla zapewnienia bezpiecznego i </w:t>
      </w:r>
      <w:proofErr w:type="spellStart"/>
      <w:r w:rsidRPr="00020AAB">
        <w:t>inkluzywnego</w:t>
      </w:r>
      <w:proofErr w:type="spellEnd"/>
      <w:r w:rsidRPr="00020AAB">
        <w:t xml:space="preserve"> środowiska pracy w Komitecie;</w:t>
      </w:r>
    </w:p>
    <w:p w14:paraId="3C92E9CD" w14:textId="77777777" w:rsidR="00EA22F5" w:rsidRPr="00020AAB" w:rsidRDefault="00EA22F5" w:rsidP="00EA22F5">
      <w:pPr>
        <w:spacing w:after="240"/>
        <w:ind w:left="567" w:hanging="567"/>
      </w:pPr>
      <w:r w:rsidRPr="00020AAB">
        <w:t>37.</w:t>
      </w:r>
      <w:r w:rsidRPr="00020AAB">
        <w:tab/>
        <w:t>przypomina, że polityka zerowej tolerancji wobec molestowania jest konieczna, aby chronić dobrostan pracowników, i jest obowiązkiem każdego pracodawcy; przypomina, że przy rozpatrywaniu skarg dotyczących molestowania należy zastosować podejście oparte na wyciągniętych wnioskach, aby uniknąć ewentualnych nadużyć; nadal uważa, że zewnętrzne i niezależne dochodzenie w sprawie będącej obecnie przedmiotem postępowania sądowego byłoby korzystne, ponieważ ulepszyłoby sposób reakcji Komitetu na podobne sprawy;</w:t>
      </w:r>
    </w:p>
    <w:p w14:paraId="6B2042C6" w14:textId="77777777" w:rsidR="00EA22F5" w:rsidRPr="00020AAB" w:rsidRDefault="00EA22F5" w:rsidP="00EA22F5">
      <w:pPr>
        <w:spacing w:after="240"/>
        <w:ind w:left="567" w:hanging="567"/>
      </w:pPr>
      <w:r w:rsidRPr="00020AAB">
        <w:t>38.</w:t>
      </w:r>
      <w:r w:rsidRPr="00020AAB">
        <w:tab/>
        <w:t>docenia gotowość Komitetu do współpracy z organami dochodzeniowymi Unii, a mianowicie z Europejskim Urzędem ds. Zwalczania Nadużyć Finansowych (OLAF) oraz Prokuraturą Europejską (EPPO) i Rzecznikiem Praw Obywatelskich; zauważa, że w 2023 r. wszczęto dwie sprawy OLAF-u, z których obie zostały umorzone w tym samym roku: jedna dotyczyła braku wystarczających dowodów, a drugą skierowano do Komitetu w celu podjęcia działań następczych; wzywa Komitet, aby informował organ udzielający absolutorium o postępach poczynionych w tej drugiej sprawie; zauważa ponadto, że w 2023 r. Rzecznik wszczęła dochodzenie w sprawie zarządzania sprawą dotyczącą zarzutów molestowania; wzywa Komitet do poinformowania organu udzielającego absolutorium o wynikach tego dochodzenia;</w:t>
      </w:r>
    </w:p>
    <w:p w14:paraId="4FAE95F2" w14:textId="77777777" w:rsidR="00EA22F5" w:rsidRPr="00020AAB" w:rsidRDefault="00EA22F5" w:rsidP="00EA22F5">
      <w:pPr>
        <w:spacing w:after="240"/>
        <w:ind w:left="567" w:hanging="567"/>
      </w:pPr>
      <w:r w:rsidRPr="00020AAB">
        <w:t>39.</w:t>
      </w:r>
      <w:r w:rsidRPr="00020AAB">
        <w:tab/>
        <w:t xml:space="preserve">z zadowoleniem odnotowuje podjęte przez Komitet w 2023 r. prace na rzecz większej przejrzystości; zauważa w tym kontekście przyjęcie decyzji rozszerzającej wybór dokumentów dostępnych online za pośrednictwem rejestru służącego przejrzystości; dokumenty te obejmują m.in. protokoły posiedzeń Komitetu i listy obecności; odnotowuje także decyzję zobowiązującą członków Komitetu do spotykania się wyłącznie z zarejestrowanymi zainteresowanymi stronami, publikowania listy posiedzeń i załączania „śladu legislacyjnego” do swoich opinii; docenia, że Komitet publikuje w </w:t>
      </w:r>
      <w:proofErr w:type="spellStart"/>
      <w:r w:rsidRPr="00020AAB">
        <w:t>internecie</w:t>
      </w:r>
      <w:proofErr w:type="spellEnd"/>
      <w:r w:rsidRPr="00020AAB">
        <w:t xml:space="preserve"> informacje na temat swojego rocznego budżetu, wskaźników wykonania, wydatków lub zamówień publicznych; apeluje o publikowanie informacji o wszystkich spotkaniach członków EKES-u z osobami trzecimi;</w:t>
      </w:r>
    </w:p>
    <w:p w14:paraId="77BB5408" w14:textId="77777777" w:rsidR="00EA22F5" w:rsidRPr="00020AAB" w:rsidRDefault="00EA22F5" w:rsidP="00EA22F5">
      <w:pPr>
        <w:spacing w:after="240"/>
        <w:ind w:left="567" w:hanging="567"/>
      </w:pPr>
      <w:r w:rsidRPr="00020AAB">
        <w:lastRenderedPageBreak/>
        <w:t>40.</w:t>
      </w:r>
      <w:r w:rsidRPr="00020AAB">
        <w:tab/>
        <w:t>z zadowoleniem przyjmuje fakt, że Komitet wprowadził solidne zasady i procedury w celu zapobiegania konfliktom interesów i unikania efektu „drzwi obrotowych” w odniesieniu do pracowników zaangażowanych w działania zewnętrzne lub członków, którzy podejmują pracę po zakończeniu służby w Komitecie; zauważa w tym kontekście, że w 2023 r. Komitet wprowadził nowy formularz oświadczenia majątkowego; zauważa, że wypełniony formularz ma być przedkładany przez członków, delegatów, zastępców i doradców sprawujących funkcje zarówno odpłatnie, jak i nieodpłatnie lub prowadzących działalność, za którą otrzymują lub nie otrzymują wynagrodzenia; ponadto wyraża uznanie dla Komitetu za jego zaangażowanie w 2023 r. w negocjacje polityczne w sprawie utworzenia międzyinstytucjonalnego organu ds. etyki, którego zadaniem ma być ustanowienie norm etycznych w celu zwiększenia przejrzystości i uczciwości;</w:t>
      </w:r>
    </w:p>
    <w:p w14:paraId="68939F0E" w14:textId="77777777" w:rsidR="00EA22F5" w:rsidRPr="00020AAB" w:rsidRDefault="00EA22F5" w:rsidP="00EA22F5">
      <w:pPr>
        <w:spacing w:after="240"/>
        <w:ind w:left="567" w:hanging="567"/>
      </w:pPr>
      <w:r w:rsidRPr="00020AAB">
        <w:t>41.</w:t>
      </w:r>
      <w:r w:rsidRPr="00020AAB">
        <w:tab/>
        <w:t>zauważa, że 21 marca 2023 r. Prezydium Komitetu przyjęło szereg środków służących przejrzystości zgodnie z zasadami określonymi w odniesieniu do unijnego rejestru służącego przejrzystości, takich jak zalecenie, aby członkowie sprawujący urząd spotykali się wyłącznie z zarejestrowanymi zainteresowanymi stronami, obowiązek publikowania przez członków sprawujących urząd list posiedzeń oraz dobrowolny „ślad legislacyjny” dla sprawozdawców; zauważa, że podjęto szereg działań w celu wdrożenia decyzji Prezydium, w tym wydano notę służbową określającą praktyczne zasady wdrażania decyzji, zorganizowano kampanię informacyjną oraz przyjęto przepisy dotyczące wzorów komunikatów, które mają być zawarte w korespondencji między członkami Komitetu a zewnętrznymi zainteresowanymi podmiotami, z zachętą do przyłączenia się do unijnego rejestru służącego przejrzystości (w stosownych przypadkach);</w:t>
      </w:r>
    </w:p>
    <w:p w14:paraId="0249C883" w14:textId="77777777" w:rsidR="00EA22F5" w:rsidRPr="00020AAB" w:rsidRDefault="00EA22F5" w:rsidP="00EA22F5">
      <w:pPr>
        <w:spacing w:after="240"/>
        <w:ind w:left="567" w:hanging="567"/>
      </w:pPr>
      <w:r w:rsidRPr="00020AAB">
        <w:t>42.</w:t>
      </w:r>
      <w:r w:rsidRPr="00020AAB">
        <w:tab/>
        <w:t>wzywa EKES do wdrożenia monitorowania zgłaszanych konfliktów interesów w czasie rzeczywistym i zobowiązania wszystkich członków i pracowników wyższego szczebla do publicznego ujawniania co roku interesów finansowych, aktywów i powiązań zewnętrznych, aby zapobiec nadmiernemu wpływowi na proces decyzyjny;</w:t>
      </w:r>
    </w:p>
    <w:p w14:paraId="639DF6B2" w14:textId="77777777" w:rsidR="00EA22F5" w:rsidRPr="00020AAB" w:rsidRDefault="00EA22F5" w:rsidP="00EA22F5">
      <w:pPr>
        <w:spacing w:after="240"/>
        <w:ind w:left="567" w:hanging="567"/>
      </w:pPr>
      <w:r w:rsidRPr="00020AAB">
        <w:t>43.</w:t>
      </w:r>
      <w:r w:rsidRPr="00020AAB">
        <w:tab/>
        <w:t>zauważa, że w 2023 r. nie odnotowano przypadków nadużyć finansowych, konfliktów interesów i sygnalizowania nieprawidłowości; zauważa, że przeprowadzono przegląd skuteczności przyjętych przez Komitet środków służących zwalczaniu nadużyć finansowych w celu opracowania strategii zwalczania nadużyć finansowych, której nadal brakuje pomimo kilku wniosków Parlamentu zawartych w rezolucjach w sprawie udzielenia absolutorium o podjęcie działań w celu poprawy ogólnego systemu zwalczania nadużyć finansowych; przypomina o znaczeniu kompleksowej strategii zwalczania nadużyć finansowych i wzywa Komitet do informowania organu udzielającego absolutorium o wynikach wyżej wspomnianego przeglądu, który powinien był zakończyć się przyjęciem w 2024 r. strategii zwalczania nadużyć finansowych;</w:t>
      </w:r>
    </w:p>
    <w:p w14:paraId="3E0DF1D8" w14:textId="77777777" w:rsidR="00EA22F5" w:rsidRPr="00EA22F5" w:rsidRDefault="00EA22F5" w:rsidP="00EA22F5">
      <w:pPr>
        <w:spacing w:after="240"/>
        <w:ind w:left="567" w:hanging="567"/>
        <w:rPr>
          <w:b/>
          <w:i/>
        </w:rPr>
      </w:pPr>
      <w:r w:rsidRPr="00EA22F5">
        <w:rPr>
          <w:b/>
          <w:i/>
        </w:rPr>
        <w:t xml:space="preserve">Cyfryzacja, </w:t>
      </w:r>
      <w:proofErr w:type="spellStart"/>
      <w:r w:rsidRPr="00EA22F5">
        <w:rPr>
          <w:b/>
          <w:i/>
        </w:rPr>
        <w:t>cyberbezpieczeństwo</w:t>
      </w:r>
      <w:proofErr w:type="spellEnd"/>
      <w:r w:rsidRPr="00EA22F5">
        <w:rPr>
          <w:b/>
          <w:i/>
        </w:rPr>
        <w:t xml:space="preserve"> i ochrona danych</w:t>
      </w:r>
    </w:p>
    <w:p w14:paraId="3803BA85" w14:textId="77777777" w:rsidR="00EA22F5" w:rsidRPr="00020AAB" w:rsidRDefault="00EA22F5" w:rsidP="00EA22F5">
      <w:pPr>
        <w:spacing w:after="240"/>
        <w:ind w:left="567" w:hanging="567"/>
      </w:pPr>
      <w:r w:rsidRPr="00020AAB">
        <w:t>44.</w:t>
      </w:r>
      <w:r w:rsidRPr="00020AAB">
        <w:tab/>
        <w:t xml:space="preserve">zauważa, że łączny budżet IT Komitetu i KR-u wyniósł w 2023 r. 12 700 000 EUR – w porównaniu z 11 712 000 EUR w 2022 r., co oznacza wzrost o 8,4 %, przy czym 350 000 EUR z tego budżetu (czyli 3 %) wypłacono w 2023 r. na </w:t>
      </w:r>
      <w:proofErr w:type="spellStart"/>
      <w:r w:rsidRPr="00020AAB">
        <w:t>cyberbezpieczeństwo</w:t>
      </w:r>
      <w:proofErr w:type="spellEnd"/>
      <w:r w:rsidRPr="00020AAB">
        <w:t xml:space="preserve">; zauważa ponadto, że 6,24 % łącznego budżetu Komitetu na 2023 r. stanowiły wydatki na działania służące wdrożeniu nowej strategii cyfrowej na lata 2024–2026 (DS2026) przygotowanej przez wspólną Dyrekcję Innowacji i Technologii Informacyjnych </w:t>
      </w:r>
      <w:r w:rsidRPr="00020AAB">
        <w:lastRenderedPageBreak/>
        <w:t>Komitetu i KR-u (DIIT) w 2023 r.;</w:t>
      </w:r>
    </w:p>
    <w:p w14:paraId="02174C00" w14:textId="77777777" w:rsidR="00EA22F5" w:rsidRPr="00020AAB" w:rsidRDefault="00EA22F5" w:rsidP="00EA22F5">
      <w:pPr>
        <w:spacing w:after="240"/>
        <w:ind w:left="567" w:hanging="567"/>
      </w:pPr>
      <w:r w:rsidRPr="00020AAB">
        <w:t>45.</w:t>
      </w:r>
      <w:r w:rsidRPr="00020AAB">
        <w:tab/>
        <w:t xml:space="preserve">zauważa, że DS2026 zarysowuje wizję przyszłość, w której technologia łączy się z podstawową misją Komitetu, przy czym nacisk położony ma zostać na wydajność, szybkość i ciągłą ewolucję cyfrową, a w centrum transformacji cyfrowej umieszczona zostanie administracja i członkowie Komitetu, w dążeniu do poprawy świadczenia usług przez Komitet oraz wzmocnienia jego roli i zdolności adaptacyjnych; zauważa, że DS2026 opiera się na ośmiu celach, ośmiu kluczowych zasadach i czterech dużych projektach, takich jak przyjęcie Ares i </w:t>
      </w:r>
      <w:proofErr w:type="spellStart"/>
      <w:r w:rsidRPr="00020AAB">
        <w:t>EdiT</w:t>
      </w:r>
      <w:proofErr w:type="spellEnd"/>
      <w:r w:rsidRPr="00020AAB">
        <w:t>, które mają zostać wdrożone odpowiednio w 2026 r. i 2025 r.; na podstawie kwestionariusza z zadowoleniem odnotowuje postępy poczynione w 2023 r. przez DIIT we wdrażaniu DS2026, w tym m.in. przyjęcie adresowanych do pracowników wytycznych dotyczących sztucznej inteligencji, połączenie przepływu prac nad poprawkami z narzędziami tłumaczeniowymi oraz ustanowienie biura zarządzania projektami;</w:t>
      </w:r>
    </w:p>
    <w:p w14:paraId="52CB3AA5" w14:textId="77777777" w:rsidR="00EA22F5" w:rsidRPr="00020AAB" w:rsidRDefault="00EA22F5" w:rsidP="00EA22F5">
      <w:pPr>
        <w:spacing w:after="240"/>
        <w:ind w:left="567" w:hanging="567"/>
      </w:pPr>
      <w:r w:rsidRPr="00020AAB">
        <w:t>46.</w:t>
      </w:r>
      <w:r w:rsidRPr="00020AAB">
        <w:tab/>
        <w:t>na podstawie sprawozdania rocznego odnotowuje działania Komitetu w dziedzinie ochrony i przetwarzania danych osobowych; zauważa, że w 2023 r. Komitet stworzył nową internetową wersję rejestru oraz nowy wspólny rejestr zapisów z KR-em, przy czym na koniec 2023 r. pierwszy z tych rejestrów obejmował 121 zapisów, a drugi – 25; zauważa ponadto, że w 2023 r. Komitet przyjął nową procedurę postępowania w przypadku naruszeń ochrony danych, opublikował przewodnik dotyczący ochrony danych i wdrożył szereg inicjatyw uświadamiających adresowanych do pracowników i członków Komitetu; zauważa ponadto, że w 2023 r. Europejski Inspektor Ochrony Danych wszczął jedno postępowanie wyjaśniające dotyczące zarządzania audytem zewnętrznym i kontynuował starsze postępowanie wyjaśniające w sprawie korzystania z usług w chmurze w ramach umów „</w:t>
      </w:r>
      <w:proofErr w:type="spellStart"/>
      <w:r w:rsidRPr="00020AAB">
        <w:t>Cloud</w:t>
      </w:r>
      <w:proofErr w:type="spellEnd"/>
      <w:r w:rsidRPr="00020AAB">
        <w:t xml:space="preserve"> II” przez instytucje Unii, a ustalenia z tych dwóch postępowań nie są jeszcze dostępne; zwraca się do Komitetu o informowanie organu udzielającego absolutorium o dalszych działaniach w tych kwestiach;</w:t>
      </w:r>
    </w:p>
    <w:p w14:paraId="5995B0F2" w14:textId="77777777" w:rsidR="00EA22F5" w:rsidRPr="00020AAB" w:rsidRDefault="00EA22F5" w:rsidP="00EA22F5">
      <w:pPr>
        <w:spacing w:after="240"/>
        <w:ind w:left="567" w:hanging="567"/>
      </w:pPr>
      <w:r w:rsidRPr="00020AAB">
        <w:t>47.</w:t>
      </w:r>
      <w:r w:rsidRPr="00020AAB">
        <w:tab/>
        <w:t xml:space="preserve">zauważa, że w 2023 r. Komitet sfinalizował swój projekt instalacji wyposażania we wszystkich salach posiedzeń, a dodatkowo 14 </w:t>
      </w:r>
      <w:proofErr w:type="spellStart"/>
      <w:r w:rsidRPr="00020AAB">
        <w:t>sal</w:t>
      </w:r>
      <w:proofErr w:type="spellEnd"/>
      <w:r w:rsidRPr="00020AAB">
        <w:t xml:space="preserve"> zostało wyposażonych w technologie, dzięki którym są one w pełni gotowe do wykorzystania w trybie hybrydowym; docenia, że w 2023 r. Komitet przeprowadził wszystkie procedury udzielania zamówień o dużej wartości w sposób w pełni </w:t>
      </w:r>
      <w:proofErr w:type="spellStart"/>
      <w:r w:rsidRPr="00020AAB">
        <w:t>zdigitalizowany</w:t>
      </w:r>
      <w:proofErr w:type="spellEnd"/>
      <w:r w:rsidRPr="00020AAB">
        <w:t>, stosował kwalifikowany podpis elektroniczny w odniesieniu do wszelkiego rodzaju umów i zapewnił pracownikom szkolenia na temat przejścia na system narzędzi zarządzania zamówieniami publicznymi oraz na temat portalu o finansowaniu i przetargach;</w:t>
      </w:r>
    </w:p>
    <w:p w14:paraId="5EB21F0F" w14:textId="77777777" w:rsidR="00EA22F5" w:rsidRPr="00020AAB" w:rsidRDefault="00EA22F5" w:rsidP="00EA22F5">
      <w:pPr>
        <w:spacing w:after="240"/>
        <w:ind w:left="567" w:hanging="567"/>
      </w:pPr>
      <w:r w:rsidRPr="00020AAB">
        <w:t>48.</w:t>
      </w:r>
      <w:r w:rsidRPr="00020AAB">
        <w:tab/>
        <w:t>pochwala Komitet za konkretne podjęte w 2023 r. działania mające na celu dopilnowanie, by jego pracownicy zdobyli umiejętności cyfrowe niezbędne w coraz bardziej cyfrowym miejscu pracy; odnotowuje w tym kontekście działania, takie jak „</w:t>
      </w:r>
      <w:proofErr w:type="spellStart"/>
      <w:r w:rsidRPr="00020AAB">
        <w:t>minihakatony</w:t>
      </w:r>
      <w:proofErr w:type="spellEnd"/>
      <w:r w:rsidRPr="00020AAB">
        <w:t>” organizowane w ramach sieci partnerskiej ustanowionej z KR-em w celu promowania lepszego wykorzystania i zrozumienia narzędzi cyfrowych opartych na współpracy, a także partnerski coaching i wymianę doświadczeń; zauważa, że wyniki tych działań zostały włączone do oferty szkoleniowej Komitetu;</w:t>
      </w:r>
    </w:p>
    <w:p w14:paraId="725E78E8" w14:textId="77777777" w:rsidR="00EA22F5" w:rsidRPr="00020AAB" w:rsidRDefault="00EA22F5" w:rsidP="00EA22F5">
      <w:pPr>
        <w:spacing w:after="240"/>
        <w:ind w:left="567" w:hanging="567"/>
      </w:pPr>
      <w:r w:rsidRPr="00020AAB">
        <w:t>49.</w:t>
      </w:r>
      <w:r w:rsidRPr="00020AAB">
        <w:tab/>
        <w:t>zauważa, że w październiku 2023 r. przyjęto wytyczne dla personelu dotyczące wykorzystania sztucznej inteligencji (AI), zorganizowano sesję informacyjną dla wszystkich pracowników, w której podkreślono możliwości i wyzwania, a dalszą komunikację z personelem zapewniono za pośrednictwem opartych na wiedzy artykułów uświadamiających w intranecie Komitetu;</w:t>
      </w:r>
    </w:p>
    <w:p w14:paraId="2D516327" w14:textId="77777777" w:rsidR="00EA22F5" w:rsidRPr="00020AAB" w:rsidRDefault="00EA22F5" w:rsidP="00EA22F5">
      <w:pPr>
        <w:spacing w:after="240"/>
        <w:ind w:left="567" w:hanging="567"/>
      </w:pPr>
      <w:r w:rsidRPr="00020AAB">
        <w:lastRenderedPageBreak/>
        <w:t>50.</w:t>
      </w:r>
      <w:r w:rsidRPr="00020AAB">
        <w:tab/>
        <w:t xml:space="preserve">zauważa, że w 2023 r. kontynuowano prace nad przyjęciem i stosowaniem ram </w:t>
      </w:r>
      <w:proofErr w:type="spellStart"/>
      <w:r w:rsidRPr="00020AAB">
        <w:t>cyberbezpieczeństwa</w:t>
      </w:r>
      <w:proofErr w:type="spellEnd"/>
      <w:r w:rsidRPr="00020AAB">
        <w:t xml:space="preserve"> NIST zarówno w Komitecie, jak i w KR, podczas gdy działania podjęte w tym roku koncentrowały się na niektórych zasadach tych ram, tj. na zasadach ochrony i wykrywania; zauważa, że strategie łagodzące są wdrażane z wykorzystaniem ram </w:t>
      </w:r>
      <w:proofErr w:type="spellStart"/>
      <w:r w:rsidRPr="00020AAB">
        <w:t>cyberbezpieczeństwa</w:t>
      </w:r>
      <w:proofErr w:type="spellEnd"/>
      <w:r w:rsidRPr="00020AAB">
        <w:t xml:space="preserve"> „</w:t>
      </w:r>
      <w:proofErr w:type="spellStart"/>
      <w:r w:rsidRPr="00020AAB">
        <w:t>Essential</w:t>
      </w:r>
      <w:proofErr w:type="spellEnd"/>
      <w:r w:rsidRPr="00020AAB">
        <w:t xml:space="preserve"> </w:t>
      </w:r>
      <w:proofErr w:type="spellStart"/>
      <w:r w:rsidRPr="00020AAB">
        <w:t>Eight</w:t>
      </w:r>
      <w:proofErr w:type="spellEnd"/>
      <w:r w:rsidRPr="00020AAB">
        <w:t>”; zauważa ponadto, że w 2023 r. Komitet nie doświadczył żadnych cyberataków, ale pod koniec 2022 r. i na początku 2024 r. stał się celem krótkotrwałego ataku typu „odmowa usługi” wymierzonego w zewnętrzne strony korporacyjne Komitetu;</w:t>
      </w:r>
    </w:p>
    <w:p w14:paraId="2655A736" w14:textId="77777777" w:rsidR="00EA22F5" w:rsidRPr="00020AAB" w:rsidRDefault="00EA22F5" w:rsidP="00EA22F5">
      <w:pPr>
        <w:spacing w:after="240"/>
        <w:ind w:left="567" w:hanging="567"/>
      </w:pPr>
      <w:r w:rsidRPr="00020AAB">
        <w:t>51.</w:t>
      </w:r>
      <w:r w:rsidRPr="00020AAB">
        <w:tab/>
        <w:t xml:space="preserve">wzywa EKES do zwiększenia budżetu na </w:t>
      </w:r>
      <w:proofErr w:type="spellStart"/>
      <w:r w:rsidRPr="00020AAB">
        <w:t>cyberbezpieczeństwo</w:t>
      </w:r>
      <w:proofErr w:type="spellEnd"/>
      <w:r w:rsidRPr="00020AAB">
        <w:t xml:space="preserve"> do co najmniej 10 % całkowitych wydatków na IT zgodnie z dyrektywami UE w sprawie </w:t>
      </w:r>
      <w:proofErr w:type="spellStart"/>
      <w:r w:rsidRPr="00020AAB">
        <w:t>cyberbezpieczeństwa</w:t>
      </w:r>
      <w:proofErr w:type="spellEnd"/>
      <w:r w:rsidRPr="00020AAB">
        <w:t xml:space="preserve">, co zapewni lepszą ochronę przed </w:t>
      </w:r>
      <w:proofErr w:type="spellStart"/>
      <w:r w:rsidRPr="00020AAB">
        <w:t>cyberzagrożeniami</w:t>
      </w:r>
      <w:proofErr w:type="spellEnd"/>
      <w:r w:rsidRPr="00020AAB">
        <w:t>, zwłaszcza w odniesieniu do danych wrażliwych związanych z kwestiami politycznymi i budżetowymi;</w:t>
      </w:r>
    </w:p>
    <w:p w14:paraId="3EFC8681" w14:textId="77777777" w:rsidR="00EA22F5" w:rsidRPr="00EA22F5" w:rsidRDefault="00EA22F5" w:rsidP="00EA22F5">
      <w:pPr>
        <w:spacing w:after="240"/>
        <w:ind w:left="567" w:hanging="567"/>
        <w:rPr>
          <w:b/>
          <w:i/>
        </w:rPr>
      </w:pPr>
      <w:r w:rsidRPr="00EA22F5">
        <w:rPr>
          <w:b/>
          <w:i/>
        </w:rPr>
        <w:t>Budynki</w:t>
      </w:r>
    </w:p>
    <w:p w14:paraId="78C0CC11" w14:textId="77777777" w:rsidR="00EA22F5" w:rsidRPr="00020AAB" w:rsidRDefault="00EA22F5" w:rsidP="00EA22F5">
      <w:pPr>
        <w:spacing w:after="240"/>
        <w:ind w:left="567" w:hanging="567"/>
      </w:pPr>
      <w:r w:rsidRPr="00020AAB">
        <w:t>52.</w:t>
      </w:r>
      <w:r w:rsidRPr="00020AAB">
        <w:tab/>
        <w:t>z zadowoleniem przyjmuje sprawozdanie Komitetu z 3 czerwca 2024 r. informujące organ udzielający absolutorium o polityce Komitetu w zakresie nieruchomości, zgodnie z art. 266 ust. 1 rozporządzenia finansowego Unii; na podstawie tego sprawozdania zauważa z zadowoleniem, że Komitet wraz z KR-em osiągnął jeden z głównych priorytetów swojej strategii w zakresie nieruchomości z 2017 r., tj. „geograficzną koncentrację budynków”; zauważa ponadto, że osiągnięcie to przyniosło już oszczędności ze względu na niższe koszty wynajmu całego budynku VMA w porównaniu z trzema wcześniej wynajmowanymi budynkami; rozumie, że oszczędności te wynoszą ok. 1,8 mln EUR, co – zgodnie z tym sprawozdaniem – odpowiada czynszowi płaconemu za budynek B100; zauważa, że Komitet pracuje obecnie nad aktualizacją swojej długoterminowej strategii w zakresie nieruchomości z 2017 r. oraz że prace te powinny zakończyć się do końca 2025 r.; wzywa Komitet do informowania organu udzielającego absolutorium o wynikach tego procesu;</w:t>
      </w:r>
    </w:p>
    <w:p w14:paraId="176193C7" w14:textId="77777777" w:rsidR="00EA22F5" w:rsidRPr="00020AAB" w:rsidRDefault="00EA22F5" w:rsidP="00EA22F5">
      <w:pPr>
        <w:spacing w:after="240"/>
        <w:ind w:left="567" w:hanging="567"/>
      </w:pPr>
      <w:r w:rsidRPr="00020AAB">
        <w:t>53.</w:t>
      </w:r>
      <w:r w:rsidRPr="00020AAB">
        <w:tab/>
        <w:t>z zadowoleniem przyjmuje zakończenie renowacji (tj. prac wykończeniowych) nowo nabytego budynku VMA, które obejmowały instalację inteligentnych technologii energooszczędnych; popiera planowane przez Komitet przeprowadzenie audytów technicznych i środowiskowych wszystkich budynków, gdyż wyniki tych audytów powinny umożliwić identyfikację wszystkich instalacji technicznych i elementów budynków, które należy poddać pełnej lub częściowej renowacji, a także tych, które należy zachować w obecnym stanie, z myślą o dostosowaniu budynków do celów Europejskiego Zielonego Ładu; zwraca się do Komitetu o przekazanie organowi udzielającemu absolutorium aktualnych informacji na temat wyników tych audytów i działań następczych;</w:t>
      </w:r>
    </w:p>
    <w:p w14:paraId="156EE67A" w14:textId="77777777" w:rsidR="00EA22F5" w:rsidRPr="00020AAB" w:rsidRDefault="00EA22F5" w:rsidP="00EA22F5">
      <w:pPr>
        <w:spacing w:after="240"/>
        <w:ind w:left="567" w:hanging="567"/>
      </w:pPr>
      <w:r w:rsidRPr="00020AAB">
        <w:t>54.</w:t>
      </w:r>
      <w:r w:rsidRPr="00020AAB">
        <w:tab/>
        <w:t>zauważa, że ustanowiona w 2022 r. grupa zadaniowa ds. nowych sposobów pracy opublikowała pierwsze sprawozdanie prospekcyjne w 2023 r., koncentrujące się na dostępnych przestrzeniach biurowych i możliwych wariantach optymalizacji; odnotowuje, że Komitet planuje kontynuować ten proces w ramach partycypacyjnego procesu z udziałem pracowników w celu wspólnego projektowania przyszłych przestrzeni roboczych; zwraca się do Komitetu, by informował organ udzielający absolutorium o postępach poczynionych w tej sprawie;</w:t>
      </w:r>
    </w:p>
    <w:p w14:paraId="5A8C9E1A" w14:textId="77777777" w:rsidR="00EA22F5" w:rsidRPr="00020AAB" w:rsidRDefault="00EA22F5" w:rsidP="00EA22F5">
      <w:pPr>
        <w:spacing w:after="240"/>
        <w:ind w:left="567" w:hanging="567"/>
      </w:pPr>
      <w:r w:rsidRPr="00020AAB">
        <w:t>55.</w:t>
      </w:r>
      <w:r w:rsidRPr="00020AAB">
        <w:tab/>
        <w:t xml:space="preserve">z zadowoleniem przyjmuje zobowiązanie Komitetu i KR-u do systematycznego </w:t>
      </w:r>
      <w:r w:rsidRPr="00020AAB">
        <w:lastRenderedPageBreak/>
        <w:t>stosowania zasady „projektowania dla wszystkich” w odniesieniu do ich infrastruktury, a także do zapewnienia dostępności budynków już na etapie projektowania; zauważa, że w 2023 r. oba komitety podjęły szereg różnych środków w celu zapewnienia dostępności swoich budynków dla osób z różnymi rodzajami niepełnosprawności, w tym dokonując modernizacji wind w budynku JDE;</w:t>
      </w:r>
    </w:p>
    <w:p w14:paraId="5F9A25BB" w14:textId="77777777" w:rsidR="00EA22F5" w:rsidRPr="00EA22F5" w:rsidRDefault="00EA22F5" w:rsidP="00EA22F5">
      <w:pPr>
        <w:spacing w:after="240"/>
        <w:ind w:left="567" w:hanging="567"/>
        <w:rPr>
          <w:b/>
          <w:i/>
        </w:rPr>
      </w:pPr>
      <w:r w:rsidRPr="00EA22F5">
        <w:rPr>
          <w:b/>
          <w:i/>
        </w:rPr>
        <w:t>Środowisko i zrównoważony rozwój</w:t>
      </w:r>
    </w:p>
    <w:p w14:paraId="37A6726B" w14:textId="77777777" w:rsidR="00EA22F5" w:rsidRPr="00020AAB" w:rsidRDefault="00EA22F5" w:rsidP="00EA22F5">
      <w:pPr>
        <w:spacing w:after="240"/>
        <w:ind w:left="567" w:hanging="567"/>
      </w:pPr>
      <w:r w:rsidRPr="00020AAB">
        <w:t>56.</w:t>
      </w:r>
      <w:r w:rsidRPr="00020AAB">
        <w:tab/>
        <w:t>z zadowoleniem przyjmuje ekologiczne praktyki Komitetu i pochwala stwierdzone w działalności Komitetu w 2023 r. dalsze ograniczenie (w porównaniu z 2019 r.) zużycia gazu, energii elektrycznej i wody oraz emisji dwutlenku węgla, a także zwiększenie współczynnika recyklingu; zauważa nieznaczne pogorszenie sytuacji, jeżeli chodzi o ilość odpadów w porównaniu z poziomami z 2019 r., ilość odpadów wzrosła z -66 % w 2022 r. do -56 % w 2023 r. ze względu na większą obecność pracowników w biurach;</w:t>
      </w:r>
    </w:p>
    <w:p w14:paraId="0780338A" w14:textId="77777777" w:rsidR="00EA22F5" w:rsidRPr="00020AAB" w:rsidRDefault="00EA22F5" w:rsidP="00EA22F5">
      <w:pPr>
        <w:spacing w:after="240"/>
        <w:ind w:left="567" w:hanging="567"/>
      </w:pPr>
      <w:r w:rsidRPr="00020AAB">
        <w:t>57.</w:t>
      </w:r>
      <w:r w:rsidRPr="00020AAB">
        <w:tab/>
        <w:t>zauważa, że efektywność energetyczną i redukcję emisji osiągnięto dzięki inwestycjom w innowacyjne energooszczędne instalacje w budynkach, w tym dzięki inteligentnym technologiom energooszczędnym zainstalowanym w budynku VMA, zakupowi 100 % zielonej energii elektrycznej, wprowadzeniu (spersonalizowanych) kryteriów środowiskowych we wszystkich procedurach przetargowych o wartości co najmniej 60 000 EUR, stosowaniu elektronicznego obiegu dokumentów, a także dzięki innym środkom, takim jak skrócenie czasu działania oświetlenia, obniżenie zimowej temperatury referencyjnej we wszystkich budynkach do 19 °C lub zamknięcie budynków w okresach niskiej obecności pracowników; zauważa, że Komitet zmniejszył zużycie energii o 3,4 %, co odpowiada zyskowi finansowemu w wysokości 65 395 EUR;</w:t>
      </w:r>
    </w:p>
    <w:p w14:paraId="5C45DF3E" w14:textId="77777777" w:rsidR="00EA22F5" w:rsidRPr="00020AAB" w:rsidRDefault="00EA22F5" w:rsidP="00EA22F5">
      <w:pPr>
        <w:spacing w:after="240"/>
        <w:ind w:left="567" w:hanging="567"/>
      </w:pPr>
      <w:r w:rsidRPr="00020AAB">
        <w:t>58.</w:t>
      </w:r>
      <w:r w:rsidRPr="00020AAB">
        <w:tab/>
        <w:t>na podstawie sprawozdania uzupełniającego zauważa, że inteligentne technologie energooszczędne zainstalowane w niedawno wyremontowanym budynku VMA przyczyniły się do zmniejszenia przez Komitet zużycia energii (gazu i energii elektrycznej) o 20–30 % w 2023 r.; ponownie jednak wzywa Komitet, aby przedstawił Parlamentowi aktualne informacje o zwrocie z inwestycji w odniesieniu do tych instalacji technologicznych;</w:t>
      </w:r>
    </w:p>
    <w:p w14:paraId="7F922A82" w14:textId="77777777" w:rsidR="00EA22F5" w:rsidRPr="00020AAB" w:rsidRDefault="00EA22F5" w:rsidP="00EA22F5">
      <w:pPr>
        <w:spacing w:after="240"/>
        <w:ind w:left="567" w:hanging="567"/>
      </w:pPr>
      <w:r w:rsidRPr="00020AAB">
        <w:t>59.</w:t>
      </w:r>
      <w:r w:rsidRPr="00020AAB">
        <w:tab/>
        <w:t>z zadowoleniem zauważa, że Komitet przyjął strategię oszczędności energii obejmującą środki krótko-, średnio- i długoterminowe; zauważa w tym kontekście, że Komitet rozpoczął audyt środowiskowy wszystkich swoich budynków, aby określić m.in., w jakim stopniu zadowalająca jest charakterystyka energetyczna obecnych konstrukcji i urządzeń, a także oszacować środowiskowy zwrot z niezbędnych inwestycji w porównaniu z ogólnymi kosztami (utrzymanie, zużycie itp.) w okresie 30 lat; zauważa ponadto, że badania dotyczące środków w zakresie efektywności energetycznej zaplanowano na lata 2024 i 2025; wzywa Komitet, aby informował organ udzielający absolutorium o postępach poczynionych w tych kwestiach;</w:t>
      </w:r>
    </w:p>
    <w:p w14:paraId="2575A707" w14:textId="77777777" w:rsidR="00EA22F5" w:rsidRPr="00020AAB" w:rsidRDefault="00EA22F5" w:rsidP="00EA22F5">
      <w:pPr>
        <w:spacing w:after="240"/>
        <w:ind w:left="567" w:hanging="567"/>
      </w:pPr>
      <w:r w:rsidRPr="00020AAB">
        <w:t>60.</w:t>
      </w:r>
      <w:r w:rsidRPr="00020AAB">
        <w:tab/>
        <w:t>przypomina, że w 2022 r. energia elektryczna wytwarzana przez panele słoneczne Komitetu odpowiadała 15,5 MWH lub 0,25 % rocznego zużycia energii przez Komitet, podczas gdy w 2023 r. wartość ta spadła do 5,75 MWh; na podstawie kwestionariusza z zadowoleniem odnotowuje, że Komitet daje dobry przykład, jeżeli chodzi o środki i działania podejmowane na rzecz zrównoważonej mobilności;</w:t>
      </w:r>
    </w:p>
    <w:p w14:paraId="2D957D4D" w14:textId="77777777" w:rsidR="00EA22F5" w:rsidRPr="00EA22F5" w:rsidRDefault="00EA22F5" w:rsidP="00EA22F5">
      <w:pPr>
        <w:spacing w:after="240"/>
        <w:ind w:left="567" w:hanging="567"/>
        <w:rPr>
          <w:b/>
          <w:i/>
        </w:rPr>
      </w:pPr>
      <w:r w:rsidRPr="00EA22F5">
        <w:rPr>
          <w:b/>
          <w:i/>
        </w:rPr>
        <w:t>Współpraca międzyinstytucjonalna</w:t>
      </w:r>
    </w:p>
    <w:p w14:paraId="5AF4D0EE" w14:textId="77777777" w:rsidR="00EA22F5" w:rsidRPr="00020AAB" w:rsidRDefault="00EA22F5" w:rsidP="00EA22F5">
      <w:pPr>
        <w:spacing w:after="240"/>
        <w:ind w:left="567" w:hanging="567"/>
      </w:pPr>
      <w:r w:rsidRPr="00020AAB">
        <w:lastRenderedPageBreak/>
        <w:t>61.</w:t>
      </w:r>
      <w:r w:rsidRPr="00020AAB">
        <w:tab/>
        <w:t>pochwala ścisłą współpracę prowadzoną na szczeblu administracyjnym przez Komitet z KR-em dzięki nowej umowie o współpracy podpisanej w 2022 r., zgodnie z którą oba komitety korzystają ze wspólnych pomieszczeń i służb w obszarze tłumaczeń pisemnych, infrastruktury, logistyki, bezpieczeństwa, zamówień publicznych, zarządzania finansami i IT, zachowując przy tym pełną autonomię instytucjonalną; z zadowoleniem przyjmuje pozytywne zmiany, jakie miały miejsce w 2023 r., kiedy oba komitety uzgodniły dalszy rozwój i finansowanie współdzielonej strefy komunikacji ze wspólną infrastrukturą audiowizualną w budynku JDE; zwraca się do Komitetu o wskazanie oszczędności budżetowych osiągniętych w pierwszym roku wdrażania tego porozumienia w obszarze audiowizualnym i o poinformowanie o nich Parlamentu; ponownie apeluje do Komitetu o kontynuowanie i rozszerzanie tej współpracy w innych obszarach, aby uniknąć powielania działań i jeszcze bardziej racjonalizować koszty operacyjne usług dostępnych w pomieszczeniach współdzielonych przez Komitet i KR; zachęca Komitet i KR do zbadania możliwości utworzenia jednej administracji dla ich służb wspólnych, z zachowaniem oddzielnych dyrekcji lub działów dla służb zajmujących się sprawami związanymi z ich szczególnymi i niezależnymi mandatami; zachęca Komitet i KR do kontynuowania wysiłków na rzecz dalszego rozwijania współpracy i synergii;</w:t>
      </w:r>
    </w:p>
    <w:p w14:paraId="7D00321E" w14:textId="77777777" w:rsidR="00EA22F5" w:rsidRPr="00020AAB" w:rsidRDefault="00EA22F5" w:rsidP="00EA22F5">
      <w:pPr>
        <w:spacing w:after="240"/>
        <w:ind w:left="567" w:hanging="567"/>
      </w:pPr>
      <w:r w:rsidRPr="00020AAB">
        <w:t>62.</w:t>
      </w:r>
      <w:r w:rsidRPr="00020AAB">
        <w:tab/>
        <w:t>zauważa, że w 2023 r. nadal realizowane były oszczędności budżetowe i działania w zakresie poprawy wydajności dzięki aktywnej współpracy między Komitetem a innymi instytucjami Unii, w tym poprzez organizowanie sesji plenarnych Komitetu w budynkach Komisji i Parlamentu, w których pomieszczenia i powiązane usługi były zapewniane bezpłatnie lub po stawkach niższych niż zewnętrzne ceny rynkowe;</w:t>
      </w:r>
    </w:p>
    <w:p w14:paraId="0B8FAC2D" w14:textId="77777777" w:rsidR="00EA22F5" w:rsidRPr="00020AAB" w:rsidRDefault="00EA22F5" w:rsidP="00EA22F5">
      <w:pPr>
        <w:spacing w:after="240"/>
        <w:ind w:left="567" w:hanging="567"/>
      </w:pPr>
      <w:r w:rsidRPr="00020AAB">
        <w:t>63.</w:t>
      </w:r>
      <w:r w:rsidRPr="00020AAB">
        <w:tab/>
        <w:t xml:space="preserve">zauważa z zadowoleniem, że w 2023 r. Komitet i Parlament ponownie wynegocjowały, a następnie w 2024 r. podpisały porozumienie międzyinstytucjonalne, a porozumienie to ma na celu zapewnienie bardziej adekwatnych i terminowo przekazywanych uwag w całym cyklu legislacyjnym oraz wzmocnienie współpracy dwustronnej; z zadowoleniem przyjmuje fakt, że nowy protokół o współpracy Komitetu z Komisją, podpisany w 2022 r., przyczynił się już do poprawy wpływu Komitetu, na przykład na etapie </w:t>
      </w:r>
      <w:proofErr w:type="spellStart"/>
      <w:r w:rsidRPr="00020AAB">
        <w:t>przedlegislacyjnym</w:t>
      </w:r>
      <w:proofErr w:type="spellEnd"/>
      <w:r w:rsidRPr="00020AAB">
        <w:t>, w drodze opinii rozpoznawczych; zachęca do dalszego wzmacniania synergii politycznej, ustawodawczej i komunikacyjnej między Komitetem a Parlamentem, zwłaszcza w kontekście europejskiej inicjatywy obywatelskiej i europejskiego semestru;</w:t>
      </w:r>
    </w:p>
    <w:p w14:paraId="21CCF6D1" w14:textId="77777777" w:rsidR="00EA22F5" w:rsidRPr="00020AAB" w:rsidRDefault="00EA22F5" w:rsidP="00EA22F5">
      <w:pPr>
        <w:spacing w:after="240"/>
        <w:ind w:left="567" w:hanging="567"/>
      </w:pPr>
      <w:r w:rsidRPr="00020AAB">
        <w:t>64.</w:t>
      </w:r>
      <w:r w:rsidRPr="00020AAB">
        <w:tab/>
        <w:t>ponownie wyraża uznanie dla outsourcingu (umowy o gwarantowanym poziomie usług) konkretnych usług powierzanych Komisji w zakresie zarządzania zasobami ludzkimi oraz stosowania narzędzi IT w zarządzaniu finansami i zasobami ludzkimi, a także wyraża uznanie dla Komitetu w związku z jego udziałem w międzyinstytucjonalnych postępowaniach o udzielenie zamówienia prowadzonych przez inne instytucje, dzięki któremu w 2023 r. Komitet nadal korzystał z synergii w dziedzinie IT, podróży służbowych, ubezpieczeń, transportu, tłumaczeń i sprzętu audiowizualnego;</w:t>
      </w:r>
    </w:p>
    <w:p w14:paraId="4F2579CE" w14:textId="77777777" w:rsidR="00EA22F5" w:rsidRPr="00020AAB" w:rsidRDefault="00EA22F5" w:rsidP="00EA22F5">
      <w:pPr>
        <w:spacing w:after="240"/>
        <w:ind w:left="567" w:hanging="567"/>
      </w:pPr>
      <w:r w:rsidRPr="00020AAB">
        <w:t>65.</w:t>
      </w:r>
      <w:r w:rsidRPr="00020AAB">
        <w:tab/>
        <w:t xml:space="preserve">zauważa rolę, jaką Komitet odgrywa w umacnianiu powiązań z krajowymi radami gospodarczo-społecznymi (KRSG) i pomiędzy nimi; na podstawie kwestionariusza odnotowuje środki, które Komitet podjął w celu wzmocnienia sieci krajowych rad społeczno-gospodarczych i skupionej wokół nich społeczności internetowej – tj. środki takie jak ustanowienie wspólnych grup roboczych i programów wymiany, praca nad informatyczną platformą współpracy oraz udział we wspólnych wydarzeniach; apeluje o dalszą współpracę w kwestiach będących przedmiotem wspólnego zainteresowania oraz </w:t>
      </w:r>
      <w:r w:rsidRPr="00020AAB">
        <w:lastRenderedPageBreak/>
        <w:t>o wymianę dobrych praktyk, podkreślając kluczową rolę społeczeństwa obywatelskiego w stawianiu czoła wyzwaniom, przed którymi stoi Unia;</w:t>
      </w:r>
    </w:p>
    <w:p w14:paraId="6BBEB16B" w14:textId="77777777" w:rsidR="00EA22F5" w:rsidRPr="00EA22F5" w:rsidRDefault="00EA22F5" w:rsidP="00EA22F5">
      <w:pPr>
        <w:spacing w:after="240"/>
        <w:ind w:left="567" w:hanging="567"/>
        <w:rPr>
          <w:b/>
          <w:i/>
        </w:rPr>
      </w:pPr>
      <w:r w:rsidRPr="00EA22F5">
        <w:rPr>
          <w:b/>
          <w:i/>
        </w:rPr>
        <w:t>Komunikacja</w:t>
      </w:r>
    </w:p>
    <w:p w14:paraId="0DA9510E" w14:textId="77777777" w:rsidR="00EA22F5" w:rsidRPr="00020AAB" w:rsidRDefault="00EA22F5" w:rsidP="00EA22F5">
      <w:pPr>
        <w:spacing w:after="240"/>
        <w:ind w:left="567" w:hanging="567"/>
      </w:pPr>
      <w:r w:rsidRPr="00020AAB">
        <w:t>66.</w:t>
      </w:r>
      <w:r w:rsidRPr="00020AAB">
        <w:tab/>
        <w:t>zauważa, że całkowity budżet Komitetu na komunikację w 2023 r. wyniósł 2,15 mln EUR, co stanowi wzrost w porównaniu z 2022 r., kiedy budżet ten wyniósł 1,5 mln EUR; zauważa, że budżet ten został przeznaczony przede wszystkim na cztery sztandarowe wydarzenia zorganizowane w 2023 r. (europejska inicjatywa obywatelska, impreza skierowana do młodzieży. „Twoja Europa – twoje zdanie!”, konkurs o nagrody ekologiczne UE i 14 edycja konkursu o nagrodę dla Społeczeństwa Obywatelskiego), a także na poprawę lub reorganizację mediów społecznościowych Komitetu, na zewnętrzną stronę internetową i produkcję audiowizualną, a także publikacje medialne i prasowe; wyraża uznanie dla Komitetu za działania komunikacyjne służące realizacji priorytetów komunikacyjnych na 2023 r., jak m.in. inicjatywa „Niebieski Ład”, COP28, rezolucja w sprawie demokracji oraz 65. rocznica utworzenia Komitetu;</w:t>
      </w:r>
    </w:p>
    <w:p w14:paraId="3397513D" w14:textId="77777777" w:rsidR="00EA22F5" w:rsidRPr="00020AAB" w:rsidRDefault="00EA22F5" w:rsidP="00EA22F5">
      <w:pPr>
        <w:spacing w:after="240"/>
        <w:ind w:left="567" w:hanging="567"/>
      </w:pPr>
      <w:r w:rsidRPr="00020AAB">
        <w:t>67.</w:t>
      </w:r>
      <w:r w:rsidRPr="00020AAB">
        <w:tab/>
        <w:t xml:space="preserve">pochwala działania Komitetu związane z jego strategiczną komunikacją w 2023 r.; zauważa, że Komitet przyjął nową strategię komunikacyjną mającą na celu wzmocnienie jego wizerunku i zasięgu oddziaływania; zauważa, że w ramach tej strategii Komitet transmitował swoje główne wydarzenia na żywo w </w:t>
      </w:r>
      <w:proofErr w:type="spellStart"/>
      <w:r w:rsidRPr="00020AAB">
        <w:t>internecie</w:t>
      </w:r>
      <w:proofErr w:type="spellEnd"/>
      <w:r w:rsidRPr="00020AAB">
        <w:t>, przeważnie we wszystkich językach Unii, wprowadził nowe narzędzia komunikacji, takie jak seria materiałów wideo „Sprawozdania z sesji plenarnej”, skoncentrował swoje zasoby komunikacyjne na sztandarowych wydarzeniach Komitetu w 2023 r. i podjął szczególne wysiłki w celu poszerzenia grupy odbiorców w mediach społecznościowych;</w:t>
      </w:r>
    </w:p>
    <w:p w14:paraId="4F14721E" w14:textId="77777777" w:rsidR="00EA22F5" w:rsidRPr="00020AAB" w:rsidRDefault="00EA22F5" w:rsidP="00EA22F5">
      <w:pPr>
        <w:spacing w:after="240"/>
        <w:ind w:left="567" w:hanging="567"/>
      </w:pPr>
      <w:r w:rsidRPr="00020AAB">
        <w:t>68.</w:t>
      </w:r>
      <w:r w:rsidRPr="00020AAB">
        <w:tab/>
        <w:t>wzywa EKES, aby wzmocnił monitorowanie i sprawozdawczość w zakresie praw pracowniczych, włączenia społecznego i naruszeń praw człowieka w ramach programów finansowanych przez UE, co zapewni większą rozliczalność funkcji doradczych i zaleceń politycznych;</w:t>
      </w:r>
    </w:p>
    <w:p w14:paraId="5E6AC462" w14:textId="77777777" w:rsidR="00EA22F5" w:rsidRPr="00020AAB" w:rsidRDefault="00EA22F5" w:rsidP="00EA22F5">
      <w:pPr>
        <w:spacing w:after="240"/>
        <w:ind w:left="567" w:hanging="567"/>
      </w:pPr>
      <w:r w:rsidRPr="00020AAB">
        <w:t>69.</w:t>
      </w:r>
      <w:r w:rsidRPr="00020AAB">
        <w:tab/>
        <w:t>zauważa, że w 2023 r. liczba obserwujących media społecznościowe Komitetu na jego platformach korporacyjnych znacznie wzrosła (o 25 000); zauważa, że do końca 2023 r. Komitet zgromadził 61 416 obserwujących na X, co stanowi wzrost o 5 % w porównaniu z 2022 r., 61 761 obserwujących na LinkedIn, co oznacza wzrost o 30 % w porównaniu z 2022 r., 46 868 obserwujących na Facebooku, co stanowi wzrost o 5,3 % w porównaniu z 2022 r. i 17 428 obserwujących na Instagramie, co stanowi wzrost o 45 % w porównaniu z 2022 r.;</w:t>
      </w:r>
    </w:p>
    <w:p w14:paraId="306ACF07" w14:textId="46121510" w:rsidR="00E365E1" w:rsidRPr="00A24E1F" w:rsidRDefault="00EA22F5" w:rsidP="00EA22F5">
      <w:pPr>
        <w:spacing w:after="240"/>
        <w:ind w:left="567" w:hanging="567"/>
      </w:pPr>
      <w:r w:rsidRPr="00020AAB">
        <w:t>70.</w:t>
      </w:r>
      <w:r w:rsidRPr="00020AAB">
        <w:tab/>
        <w:t xml:space="preserve">z zadowoleniem przyjmuje pozytywne podejście Komitetu do stosowania rozwiązań w zakresie otwartego oprogramowania w komunikacji internetowej; zauważa, że w lipcu 2023 r. Komitet otworzył swoje pierwsze konto na EU Voice </w:t>
      </w:r>
      <w:proofErr w:type="spellStart"/>
      <w:r w:rsidRPr="00020AAB">
        <w:t>Mastodon</w:t>
      </w:r>
      <w:proofErr w:type="spellEnd"/>
      <w:r w:rsidRPr="00020AAB">
        <w:t xml:space="preserve">, zdecentralizowanej i wykorzystującej bezpłatne i otwarte sieci mediów społecznościowych platformie, która łączy użytkowników w środowisku dbającym o prywatność i wolnym od reklam; zauważa, że w drugiej połowie 2023 r. Komitet aktywnie zamieszczał informację na koncie </w:t>
      </w:r>
      <w:proofErr w:type="spellStart"/>
      <w:r w:rsidRPr="00020AAB">
        <w:t>Mastodon</w:t>
      </w:r>
      <w:proofErr w:type="spellEnd"/>
      <w:r w:rsidRPr="00020AAB">
        <w:t>, publikując w każdym dniu roboczym posty na temat swoich działań i priorytetów i podnosząc w ten sposób świadomość na temat Unii; przyjmuje do wiadomości decyzję Komitetu o wycofaniu się z tej platformy od 2024 r.</w:t>
      </w:r>
    </w:p>
    <w:sectPr w:rsidR="00E365E1" w:rsidRPr="00A24E1F" w:rsidSect="00A24E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48EF2" w14:textId="77777777" w:rsidR="003B44A8" w:rsidRPr="00A24E1F" w:rsidRDefault="003B44A8">
      <w:r w:rsidRPr="00A24E1F">
        <w:separator/>
      </w:r>
    </w:p>
  </w:endnote>
  <w:endnote w:type="continuationSeparator" w:id="0">
    <w:p w14:paraId="6E732EBA" w14:textId="77777777" w:rsidR="003B44A8" w:rsidRPr="00A24E1F" w:rsidRDefault="003B44A8">
      <w:r w:rsidRPr="00A24E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A9C22" w14:textId="77777777" w:rsidR="00064002" w:rsidRPr="00A24E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71F92" w14:textId="77777777" w:rsidR="00064002" w:rsidRPr="00A24E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169BC" w14:textId="77777777" w:rsidR="00064002" w:rsidRPr="00A24E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52396" w14:textId="77777777" w:rsidR="003B44A8" w:rsidRPr="00A24E1F" w:rsidRDefault="003B44A8">
      <w:r w:rsidRPr="00A24E1F">
        <w:separator/>
      </w:r>
    </w:p>
  </w:footnote>
  <w:footnote w:type="continuationSeparator" w:id="0">
    <w:p w14:paraId="57F23EB2" w14:textId="77777777" w:rsidR="003B44A8" w:rsidRPr="00A24E1F" w:rsidRDefault="003B44A8">
      <w:r w:rsidRPr="00A24E1F">
        <w:continuationSeparator/>
      </w:r>
    </w:p>
  </w:footnote>
  <w:footnote w:id="1">
    <w:p w14:paraId="7E732019" w14:textId="77777777" w:rsidR="00EA22F5" w:rsidRPr="00821B4D" w:rsidRDefault="00EA22F5" w:rsidP="00EA22F5">
      <w:pPr>
        <w:pStyle w:val="FootnoteText"/>
        <w:ind w:left="567" w:hanging="567"/>
        <w:rPr>
          <w:sz w:val="24"/>
          <w:lang w:val="pl-PL"/>
        </w:rPr>
      </w:pPr>
      <w:r w:rsidRPr="00821B4D">
        <w:rPr>
          <w:rStyle w:val="FootnoteReference"/>
          <w:sz w:val="24"/>
          <w:lang w:val="pl-PL"/>
        </w:rPr>
        <w:footnoteRef/>
      </w:r>
      <w:r w:rsidRPr="00821B4D">
        <w:rPr>
          <w:sz w:val="24"/>
          <w:lang w:val="pl-PL"/>
        </w:rPr>
        <w:t xml:space="preserve"> </w:t>
      </w:r>
      <w:r w:rsidRPr="00020AAB">
        <w:rPr>
          <w:sz w:val="24"/>
          <w:lang w:val="pl-PL"/>
        </w:rPr>
        <w:tab/>
        <w:t xml:space="preserve">Dz.U. L 58 z </w:t>
      </w:r>
      <w:proofErr w:type="gramStart"/>
      <w:r w:rsidRPr="00020AAB">
        <w:rPr>
          <w:sz w:val="24"/>
          <w:lang w:val="pl-PL"/>
        </w:rPr>
        <w:t>23.2.2023</w:t>
      </w:r>
      <w:proofErr w:type="gramEnd"/>
      <w:r w:rsidRPr="00020AAB">
        <w:rPr>
          <w:sz w:val="24"/>
          <w:lang w:val="pl-PL"/>
        </w:rPr>
        <w:t xml:space="preserve">, s. 1, ELI: </w:t>
      </w:r>
      <w:hyperlink r:id="rId1" w:tooltip="Dostęp do dokumentu poprzez ELI URI." w:history="1">
        <w:r w:rsidRPr="00EA22F5">
          <w:rPr>
            <w:rStyle w:val="Hyperlink1"/>
            <w:shd w:val="clear" w:color="auto" w:fill="FFFFFF"/>
            <w:lang w:val="pl-PL"/>
          </w:rPr>
          <w:t>http://data.europa.eu/eli/budget/2023/1/oj</w:t>
        </w:r>
      </w:hyperlink>
      <w:r w:rsidRPr="00020AAB">
        <w:rPr>
          <w:sz w:val="24"/>
          <w:shd w:val="clear" w:color="auto" w:fill="FFFFFF"/>
          <w:lang w:val="pl-PL"/>
        </w:rPr>
        <w:t>.</w:t>
      </w:r>
    </w:p>
  </w:footnote>
  <w:footnote w:id="2">
    <w:p w14:paraId="21A35638" w14:textId="77777777" w:rsidR="00EA22F5" w:rsidRPr="00821B4D" w:rsidRDefault="00EA22F5" w:rsidP="00EA22F5">
      <w:pPr>
        <w:pStyle w:val="FootnoteText"/>
        <w:ind w:left="567" w:hanging="567"/>
        <w:rPr>
          <w:sz w:val="24"/>
          <w:lang w:val="fi-FI"/>
        </w:rPr>
      </w:pPr>
      <w:r w:rsidRPr="00821B4D">
        <w:rPr>
          <w:rStyle w:val="FootnoteReference"/>
          <w:sz w:val="24"/>
          <w:lang w:val="pl-PL"/>
        </w:rPr>
        <w:footnoteRef/>
      </w:r>
      <w:r w:rsidRPr="00821B4D">
        <w:rPr>
          <w:sz w:val="24"/>
          <w:lang w:val="fi-FI"/>
        </w:rPr>
        <w:t xml:space="preserve"> </w:t>
      </w:r>
      <w:r w:rsidRPr="00020AAB">
        <w:rPr>
          <w:sz w:val="24"/>
          <w:lang w:val="fi-FI"/>
        </w:rPr>
        <w:tab/>
      </w:r>
      <w:proofErr w:type="spellStart"/>
      <w:r w:rsidRPr="00020AAB">
        <w:rPr>
          <w:sz w:val="24"/>
          <w:lang w:val="fi-FI"/>
        </w:rPr>
        <w:t>Dz.U</w:t>
      </w:r>
      <w:proofErr w:type="spellEnd"/>
      <w:r w:rsidRPr="00020AAB">
        <w:rPr>
          <w:sz w:val="24"/>
          <w:lang w:val="fi-FI"/>
        </w:rPr>
        <w:t xml:space="preserve">. C, C/2024/5462, 10.10.2024, ELI: </w:t>
      </w:r>
      <w:r w:rsidR="00030512">
        <w:fldChar w:fldCharType="begin"/>
      </w:r>
      <w:r w:rsidR="00030512" w:rsidRPr="00030512">
        <w:rPr>
          <w:lang w:val="fi-FI"/>
        </w:rPr>
        <w:instrText>HYPERLINK "http://data.europa.eu/eli/C/2024/5462/oj"</w:instrText>
      </w:r>
      <w:r w:rsidR="00030512">
        <w:fldChar w:fldCharType="separate"/>
      </w:r>
      <w:r w:rsidRPr="00020AAB">
        <w:rPr>
          <w:rStyle w:val="Hyperlink1"/>
          <w:lang w:val="fi-FI"/>
        </w:rPr>
        <w:t>http://data.europa.eu/eli/C/2024/5462/oj</w:t>
      </w:r>
      <w:r w:rsidR="00030512">
        <w:rPr>
          <w:rStyle w:val="Hyperlink1"/>
          <w:lang w:val="fi-FI"/>
        </w:rPr>
        <w:fldChar w:fldCharType="end"/>
      </w:r>
      <w:r w:rsidRPr="00020AAB">
        <w:rPr>
          <w:sz w:val="24"/>
          <w:shd w:val="clear" w:color="auto" w:fill="FFFFFF"/>
          <w:lang w:val="fi-FI"/>
        </w:rPr>
        <w:t>.</w:t>
      </w:r>
    </w:p>
  </w:footnote>
  <w:footnote w:id="3">
    <w:p w14:paraId="122F74FE" w14:textId="77777777" w:rsidR="00EA22F5" w:rsidRPr="00821B4D" w:rsidRDefault="00EA22F5" w:rsidP="00EA22F5">
      <w:pPr>
        <w:pStyle w:val="FootnoteText"/>
        <w:ind w:left="567" w:hanging="567"/>
        <w:rPr>
          <w:sz w:val="24"/>
          <w:lang w:val="fi-FI"/>
        </w:rPr>
      </w:pPr>
      <w:r w:rsidRPr="00821B4D">
        <w:rPr>
          <w:rStyle w:val="FootnoteReference"/>
          <w:sz w:val="24"/>
          <w:lang w:val="pl-PL"/>
        </w:rPr>
        <w:footnoteRef/>
      </w:r>
      <w:r w:rsidRPr="00821B4D">
        <w:rPr>
          <w:sz w:val="24"/>
          <w:lang w:val="fi-FI"/>
        </w:rPr>
        <w:t xml:space="preserve"> </w:t>
      </w:r>
      <w:r w:rsidRPr="00020AAB">
        <w:rPr>
          <w:sz w:val="24"/>
          <w:lang w:val="fi-FI"/>
        </w:rPr>
        <w:tab/>
      </w:r>
      <w:proofErr w:type="spellStart"/>
      <w:r w:rsidRPr="00020AAB">
        <w:rPr>
          <w:sz w:val="24"/>
          <w:lang w:val="fi-FI"/>
        </w:rPr>
        <w:t>Dz.U</w:t>
      </w:r>
      <w:proofErr w:type="spellEnd"/>
      <w:r w:rsidRPr="00020AAB">
        <w:rPr>
          <w:sz w:val="24"/>
          <w:lang w:val="fi-FI"/>
        </w:rPr>
        <w:t xml:space="preserve">. C, C/2024/5882, 9.10.2024, ELI: </w:t>
      </w:r>
      <w:r w:rsidR="00030512">
        <w:fldChar w:fldCharType="begin"/>
      </w:r>
      <w:r w:rsidR="00030512" w:rsidRPr="00030512">
        <w:rPr>
          <w:lang w:val="fi-FI"/>
        </w:rPr>
        <w:instrText>HYPERLINK "http://data.europa.eu/eli/C/2024/5882/oj"</w:instrText>
      </w:r>
      <w:r w:rsidR="00030512">
        <w:fldChar w:fldCharType="separate"/>
      </w:r>
      <w:r w:rsidRPr="00020AAB">
        <w:rPr>
          <w:rStyle w:val="Hyperlink1"/>
          <w:lang w:val="fi-FI"/>
        </w:rPr>
        <w:t>http://data.europa.eu/eli/C/2024/5882/oj</w:t>
      </w:r>
      <w:r w:rsidR="00030512">
        <w:rPr>
          <w:rStyle w:val="Hyperlink1"/>
          <w:lang w:val="fi-FI"/>
        </w:rPr>
        <w:fldChar w:fldCharType="end"/>
      </w:r>
      <w:r w:rsidRPr="00020AAB">
        <w:rPr>
          <w:sz w:val="24"/>
          <w:shd w:val="clear" w:color="auto" w:fill="FFFFFF"/>
          <w:lang w:val="fi-FI"/>
        </w:rPr>
        <w:t>.</w:t>
      </w:r>
    </w:p>
  </w:footnote>
  <w:footnote w:id="4">
    <w:p w14:paraId="41A7F529" w14:textId="77777777" w:rsidR="00EA22F5" w:rsidRPr="00821B4D" w:rsidRDefault="00EA22F5" w:rsidP="00EA22F5">
      <w:pPr>
        <w:pStyle w:val="FootnoteText"/>
        <w:ind w:left="567" w:hanging="567"/>
        <w:rPr>
          <w:sz w:val="24"/>
          <w:lang w:val="fi-FI"/>
        </w:rPr>
      </w:pPr>
      <w:r w:rsidRPr="00821B4D">
        <w:rPr>
          <w:rStyle w:val="FootnoteReference"/>
          <w:sz w:val="24"/>
          <w:lang w:val="pl-PL"/>
        </w:rPr>
        <w:footnoteRef/>
      </w:r>
      <w:r w:rsidRPr="00821B4D">
        <w:rPr>
          <w:sz w:val="24"/>
          <w:lang w:val="fi-FI"/>
        </w:rPr>
        <w:t xml:space="preserve"> </w:t>
      </w:r>
      <w:r w:rsidRPr="00020AAB">
        <w:rPr>
          <w:sz w:val="24"/>
          <w:lang w:val="fi-FI"/>
        </w:rPr>
        <w:tab/>
      </w:r>
      <w:proofErr w:type="spellStart"/>
      <w:r w:rsidRPr="00020AAB">
        <w:rPr>
          <w:sz w:val="24"/>
          <w:lang w:val="fi-FI"/>
        </w:rPr>
        <w:t>Dz.U</w:t>
      </w:r>
      <w:proofErr w:type="spellEnd"/>
      <w:r w:rsidRPr="00020AAB">
        <w:rPr>
          <w:sz w:val="24"/>
          <w:lang w:val="fi-FI"/>
        </w:rPr>
        <w:t xml:space="preserve">. C, C/2024/6041, 10.10.2024, ELI: </w:t>
      </w:r>
      <w:r w:rsidR="00030512">
        <w:fldChar w:fldCharType="begin"/>
      </w:r>
      <w:r w:rsidR="00030512" w:rsidRPr="00030512">
        <w:rPr>
          <w:lang w:val="fi-FI"/>
        </w:rPr>
        <w:instrText>HYPERLINK "http://data.europa.eu/eli/C/2024/6041/oj"</w:instrText>
      </w:r>
      <w:r w:rsidR="00030512">
        <w:fldChar w:fldCharType="separate"/>
      </w:r>
      <w:r w:rsidRPr="00020AAB">
        <w:rPr>
          <w:rStyle w:val="Hyperlink1"/>
          <w:lang w:val="fi-FI"/>
        </w:rPr>
        <w:t>http://data.europa.eu/eli/C/2024/6041/oj</w:t>
      </w:r>
      <w:r w:rsidR="00030512">
        <w:rPr>
          <w:rStyle w:val="Hyperlink1"/>
          <w:lang w:val="fi-FI"/>
        </w:rPr>
        <w:fldChar w:fldCharType="end"/>
      </w:r>
      <w:r w:rsidRPr="00020AAB">
        <w:rPr>
          <w:sz w:val="24"/>
          <w:shd w:val="clear" w:color="auto" w:fill="FFFFFF"/>
          <w:lang w:val="fi-FI"/>
        </w:rPr>
        <w:t>.</w:t>
      </w:r>
    </w:p>
  </w:footnote>
  <w:footnote w:id="5">
    <w:p w14:paraId="63750B45" w14:textId="77777777" w:rsidR="00EA22F5" w:rsidRPr="00821B4D" w:rsidRDefault="00EA22F5" w:rsidP="00EA22F5">
      <w:pPr>
        <w:pStyle w:val="FootnoteText"/>
        <w:ind w:left="567" w:hanging="567"/>
        <w:rPr>
          <w:sz w:val="24"/>
          <w:lang w:val="pl-PL"/>
        </w:rPr>
      </w:pPr>
      <w:r w:rsidRPr="00821B4D">
        <w:rPr>
          <w:rStyle w:val="FootnoteReference"/>
          <w:sz w:val="24"/>
          <w:lang w:val="pl-PL"/>
        </w:rPr>
        <w:footnoteRef/>
      </w:r>
      <w:r w:rsidRPr="00821B4D">
        <w:rPr>
          <w:sz w:val="24"/>
          <w:lang w:val="pl-PL"/>
        </w:rPr>
        <w:t xml:space="preserve"> </w:t>
      </w:r>
      <w:r w:rsidRPr="00020AAB">
        <w:rPr>
          <w:sz w:val="24"/>
          <w:lang w:val="pl-PL"/>
        </w:rPr>
        <w:tab/>
        <w:t xml:space="preserve">Dz.U. L 193 z </w:t>
      </w:r>
      <w:proofErr w:type="gramStart"/>
      <w:r w:rsidRPr="00020AAB">
        <w:rPr>
          <w:sz w:val="24"/>
          <w:lang w:val="pl-PL"/>
        </w:rPr>
        <w:t>30.7.2018</w:t>
      </w:r>
      <w:proofErr w:type="gramEnd"/>
      <w:r w:rsidRPr="00020AAB">
        <w:rPr>
          <w:sz w:val="24"/>
          <w:lang w:val="pl-PL"/>
        </w:rPr>
        <w:t xml:space="preserve">, s. 1, ELI: </w:t>
      </w:r>
      <w:hyperlink r:id="rId2" w:history="1">
        <w:r w:rsidRPr="00EA22F5">
          <w:rPr>
            <w:rStyle w:val="Hyperlink1"/>
            <w:lang w:val="pl-PL"/>
          </w:rPr>
          <w:t>http://data.europa.eu/eli/reg/2018/1046/oj</w:t>
        </w:r>
      </w:hyperlink>
      <w:r w:rsidRPr="00020AAB">
        <w:rPr>
          <w:sz w:val="24"/>
          <w:lang w:val="pl-PL"/>
        </w:rPr>
        <w:t>.</w:t>
      </w:r>
    </w:p>
  </w:footnote>
  <w:footnote w:id="6">
    <w:p w14:paraId="1C3E4D0E" w14:textId="77777777" w:rsidR="00EA22F5" w:rsidRPr="00821B4D" w:rsidRDefault="00EA22F5" w:rsidP="00EA22F5">
      <w:pPr>
        <w:pStyle w:val="FootnoteText"/>
        <w:ind w:left="567" w:hanging="567"/>
        <w:rPr>
          <w:sz w:val="24"/>
          <w:lang w:val="fi-FI"/>
        </w:rPr>
      </w:pPr>
      <w:r w:rsidRPr="00821B4D">
        <w:rPr>
          <w:rStyle w:val="FootnoteReference"/>
          <w:sz w:val="24"/>
          <w:lang w:val="pl-PL"/>
        </w:rPr>
        <w:footnoteRef/>
      </w:r>
      <w:r w:rsidRPr="00821B4D">
        <w:rPr>
          <w:sz w:val="24"/>
          <w:lang w:val="fi-FI"/>
        </w:rPr>
        <w:t xml:space="preserve"> </w:t>
      </w:r>
      <w:r w:rsidRPr="00020AAB">
        <w:rPr>
          <w:sz w:val="24"/>
          <w:lang w:val="fi-FI"/>
        </w:rPr>
        <w:tab/>
      </w:r>
      <w:proofErr w:type="spellStart"/>
      <w:r w:rsidRPr="00020AAB">
        <w:rPr>
          <w:sz w:val="24"/>
          <w:lang w:val="fi-FI"/>
        </w:rPr>
        <w:t>Dz.U</w:t>
      </w:r>
      <w:proofErr w:type="spellEnd"/>
      <w:r w:rsidRPr="00020AAB">
        <w:rPr>
          <w:sz w:val="24"/>
          <w:lang w:val="fi-FI"/>
        </w:rPr>
        <w:t xml:space="preserve">. L, 2024/2509, 26.9.2024, ELI: </w:t>
      </w:r>
      <w:r w:rsidR="00030512">
        <w:fldChar w:fldCharType="begin"/>
      </w:r>
      <w:r w:rsidR="00030512" w:rsidRPr="00030512">
        <w:rPr>
          <w:lang w:val="fi-FI"/>
        </w:rPr>
        <w:instrText>HYPERLINK "http://data.europa.eu/eli/reg/2024/2509/oj" \o "Umożliwia dostęp do tego dokumentu za pośrednictwem URI w systemie ELI."</w:instrText>
      </w:r>
      <w:r w:rsidR="00030512">
        <w:fldChar w:fldCharType="separate"/>
      </w:r>
      <w:r w:rsidRPr="004D77E4">
        <w:rPr>
          <w:rStyle w:val="Hyperlink"/>
          <w:sz w:val="24"/>
          <w:szCs w:val="24"/>
          <w:lang w:val="fi-FI"/>
        </w:rPr>
        <w:t>http://data.europa.eu/eli/reg/2024/2509/oj</w:t>
      </w:r>
      <w:r w:rsidR="00030512">
        <w:rPr>
          <w:rStyle w:val="Hyperlink"/>
          <w:sz w:val="24"/>
          <w:szCs w:val="24"/>
          <w:lang w:val="fi-FI"/>
        </w:rPr>
        <w:fldChar w:fldCharType="end"/>
      </w:r>
      <w:r w:rsidRPr="00020AAB">
        <w:rPr>
          <w:sz w:val="24"/>
          <w:szCs w:val="24"/>
          <w:shd w:val="clear" w:color="auto" w:fill="FFFFFF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DF017" w14:textId="77777777" w:rsidR="00064002" w:rsidRPr="00A24E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DAC97" w14:textId="77777777" w:rsidR="00064002" w:rsidRPr="00A24E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8237F" w14:textId="77777777" w:rsidR="00064002" w:rsidRPr="00A24E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7848881">
    <w:abstractNumId w:val="9"/>
  </w:num>
  <w:num w:numId="2" w16cid:durableId="1374698530">
    <w:abstractNumId w:val="9"/>
  </w:num>
  <w:num w:numId="3" w16cid:durableId="1530991459">
    <w:abstractNumId w:val="7"/>
  </w:num>
  <w:num w:numId="4" w16cid:durableId="292562328">
    <w:abstractNumId w:val="7"/>
  </w:num>
  <w:num w:numId="5" w16cid:durableId="1527645192">
    <w:abstractNumId w:val="6"/>
  </w:num>
  <w:num w:numId="6" w16cid:durableId="1896237283">
    <w:abstractNumId w:val="6"/>
  </w:num>
  <w:num w:numId="7" w16cid:durableId="1517496168">
    <w:abstractNumId w:val="5"/>
  </w:num>
  <w:num w:numId="8" w16cid:durableId="1861859">
    <w:abstractNumId w:val="5"/>
  </w:num>
  <w:num w:numId="9" w16cid:durableId="674382759">
    <w:abstractNumId w:val="4"/>
  </w:num>
  <w:num w:numId="10" w16cid:durableId="889997292">
    <w:abstractNumId w:val="4"/>
  </w:num>
  <w:num w:numId="11" w16cid:durableId="623005773">
    <w:abstractNumId w:val="8"/>
  </w:num>
  <w:num w:numId="12" w16cid:durableId="2132286923">
    <w:abstractNumId w:val="8"/>
  </w:num>
  <w:num w:numId="13" w16cid:durableId="622418909">
    <w:abstractNumId w:val="3"/>
  </w:num>
  <w:num w:numId="14" w16cid:durableId="1393310532">
    <w:abstractNumId w:val="3"/>
  </w:num>
  <w:num w:numId="15" w16cid:durableId="1667048878">
    <w:abstractNumId w:val="2"/>
  </w:num>
  <w:num w:numId="16" w16cid:durableId="1847013434">
    <w:abstractNumId w:val="2"/>
  </w:num>
  <w:num w:numId="17" w16cid:durableId="1114835521">
    <w:abstractNumId w:val="1"/>
  </w:num>
  <w:num w:numId="18" w16cid:durableId="733240978">
    <w:abstractNumId w:val="1"/>
  </w:num>
  <w:num w:numId="19" w16cid:durableId="544872366">
    <w:abstractNumId w:val="0"/>
  </w:num>
  <w:num w:numId="20" w16cid:durableId="573315290">
    <w:abstractNumId w:val="0"/>
  </w:num>
  <w:num w:numId="21" w16cid:durableId="1029642981">
    <w:abstractNumId w:val="9"/>
  </w:num>
  <w:num w:numId="22" w16cid:durableId="1893348096">
    <w:abstractNumId w:val="7"/>
  </w:num>
  <w:num w:numId="23" w16cid:durableId="545067265">
    <w:abstractNumId w:val="6"/>
  </w:num>
  <w:num w:numId="24" w16cid:durableId="19089345">
    <w:abstractNumId w:val="5"/>
  </w:num>
  <w:num w:numId="25" w16cid:durableId="983240064">
    <w:abstractNumId w:val="4"/>
  </w:num>
  <w:num w:numId="26" w16cid:durableId="1015153897">
    <w:abstractNumId w:val="8"/>
  </w:num>
  <w:num w:numId="27" w16cid:durableId="1555503468">
    <w:abstractNumId w:val="3"/>
  </w:num>
  <w:num w:numId="28" w16cid:durableId="329214093">
    <w:abstractNumId w:val="2"/>
  </w:num>
  <w:num w:numId="29" w16cid:durableId="915631240">
    <w:abstractNumId w:val="1"/>
  </w:num>
  <w:num w:numId="30" w16cid:durableId="1201672209">
    <w:abstractNumId w:val="0"/>
  </w:num>
  <w:num w:numId="31" w16cid:durableId="1904293975">
    <w:abstractNumId w:val="9"/>
  </w:num>
  <w:num w:numId="32" w16cid:durableId="613245197">
    <w:abstractNumId w:val="7"/>
  </w:num>
  <w:num w:numId="33" w16cid:durableId="1628047707">
    <w:abstractNumId w:val="6"/>
  </w:num>
  <w:num w:numId="34" w16cid:durableId="295183791">
    <w:abstractNumId w:val="5"/>
  </w:num>
  <w:num w:numId="35" w16cid:durableId="985209125">
    <w:abstractNumId w:val="4"/>
  </w:num>
  <w:num w:numId="36" w16cid:durableId="2121289728">
    <w:abstractNumId w:val="8"/>
  </w:num>
  <w:num w:numId="37" w16cid:durableId="340199672">
    <w:abstractNumId w:val="3"/>
  </w:num>
  <w:num w:numId="38" w16cid:durableId="379669140">
    <w:abstractNumId w:val="2"/>
  </w:num>
  <w:num w:numId="39" w16cid:durableId="1773361147">
    <w:abstractNumId w:val="1"/>
  </w:num>
  <w:num w:numId="40" w16cid:durableId="611133347">
    <w:abstractNumId w:val="0"/>
  </w:num>
  <w:num w:numId="41" w16cid:durableId="1547714966">
    <w:abstractNumId w:val="10"/>
  </w:num>
  <w:num w:numId="42" w16cid:durableId="115949454">
    <w:abstractNumId w:val="10"/>
  </w:num>
  <w:num w:numId="43" w16cid:durableId="1502235244">
    <w:abstractNumId w:val="10"/>
  </w:num>
  <w:num w:numId="44" w16cid:durableId="315383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4/2025"/>
    <w:docVar w:name="dvlangue" w:val="PL"/>
    <w:docVar w:name="dvnumam" w:val="0"/>
    <w:docVar w:name="dvpe" w:val="764.993"/>
    <w:docVar w:name="dvrapporteur" w:val="Sprawozdawca: "/>
    <w:docVar w:name="dvstar" w:val="??"/>
    <w:docVar w:name="dvtitre" w:val="Decyzja Parlamentu Europejskiego z dnia  2025 r. w sprawie absolutorium z wykonania budżetu ogólnego Unii Europejskiej za rok budżetowy 2023, sekcja VI – Europejski Komitet Ekonomiczno-Społeczny(2024/2025(DEC))"/>
  </w:docVars>
  <w:rsids>
    <w:rsidRoot w:val="003B44A8"/>
    <w:rsid w:val="00002272"/>
    <w:rsid w:val="0003051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44A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1FA"/>
    <w:rsid w:val="00560270"/>
    <w:rsid w:val="005C2568"/>
    <w:rsid w:val="005F1B17"/>
    <w:rsid w:val="006037C0"/>
    <w:rsid w:val="006631B6"/>
    <w:rsid w:val="00680577"/>
    <w:rsid w:val="006A2D4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E1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946"/>
    <w:rsid w:val="00CC2357"/>
    <w:rsid w:val="00CF071A"/>
    <w:rsid w:val="00D058B8"/>
    <w:rsid w:val="00D30697"/>
    <w:rsid w:val="00D56C11"/>
    <w:rsid w:val="00D834A0"/>
    <w:rsid w:val="00D872DF"/>
    <w:rsid w:val="00D91E21"/>
    <w:rsid w:val="00DA7FCD"/>
    <w:rsid w:val="00E365E1"/>
    <w:rsid w:val="00E80331"/>
    <w:rsid w:val="00E820A4"/>
    <w:rsid w:val="00EA22F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31226"/>
  <w15:chartTrackingRefBased/>
  <w15:docId w15:val="{807345A5-7CBA-46A2-B26F-52CDF4C4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D42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D4279"/>
    <w:pPr>
      <w:spacing w:before="480" w:after="240"/>
    </w:pPr>
  </w:style>
  <w:style w:type="paragraph" w:customStyle="1" w:styleId="PageHeading">
    <w:name w:val="PageHeading"/>
    <w:basedOn w:val="Normal"/>
    <w:rsid w:val="00FD427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D4279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FD427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D42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D4279"/>
    <w:rPr>
      <w:sz w:val="24"/>
      <w:lang w:val="pl-PL"/>
    </w:rPr>
  </w:style>
  <w:style w:type="paragraph" w:customStyle="1" w:styleId="EPFooter">
    <w:name w:val="EPFooter"/>
    <w:basedOn w:val="Normal"/>
    <w:rsid w:val="00FD42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FD427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FD4279"/>
    <w:rPr>
      <w:sz w:val="24"/>
      <w:lang w:val="pl-PL"/>
    </w:rPr>
  </w:style>
  <w:style w:type="paragraph" w:customStyle="1" w:styleId="Normal6a">
    <w:name w:val="Normal6a"/>
    <w:basedOn w:val="Normal"/>
    <w:rsid w:val="00FD4279"/>
    <w:pPr>
      <w:spacing w:after="120"/>
    </w:pPr>
  </w:style>
  <w:style w:type="character" w:customStyle="1" w:styleId="Hyperlink1">
    <w:name w:val="Hyperlink1"/>
    <w:basedOn w:val="DefaultParagraphFont"/>
    <w:rsid w:val="00EA22F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8/1046/oj" TargetMode="External"/><Relationship Id="rId1" Type="http://schemas.openxmlformats.org/officeDocument/2006/relationships/hyperlink" Target="http://data.europa.eu/eli/budget/2023/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7B21B-DFED-4FF3-A0BC-FA2AE0CC5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7212</Words>
  <Characters>46103</Characters>
  <Application>Microsoft Office Word</Application>
  <DocSecurity>0</DocSecurity>
  <Lines>384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2025-12-04T14:20:00Z</dcterms:created>
  <dcterms:modified xsi:type="dcterms:W3CDTF">2025-12-04T14:20:00Z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P10_TA(2025)0082_</vt:lpwstr>
  </property>
  <property fmtid="{D5CDD505-2E9C-101B-9397-08002B2CF9AE}" pid="4" name="&lt;Type&gt;">
    <vt:lpwstr>RR</vt:lpwstr>
  </property>
</Properties>
</file>