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C08" w14:paraId="0D8950F1" w14:textId="77777777" w:rsidTr="0010095E">
        <w:trPr>
          <w:trHeight w:hRule="exact" w:val="1418"/>
        </w:trPr>
        <w:tc>
          <w:tcPr>
            <w:tcW w:w="6804" w:type="dxa"/>
            <w:shd w:val="clear" w:color="auto" w:fill="auto"/>
            <w:vAlign w:val="center"/>
          </w:tcPr>
          <w:p w14:paraId="07E0BFA1" w14:textId="77777777" w:rsidR="00751A4A" w:rsidRPr="001E0C08" w:rsidRDefault="003815D1" w:rsidP="0010095E">
            <w:pPr>
              <w:pStyle w:val="EPName"/>
            </w:pPr>
            <w:r w:rsidRPr="001E0C08">
              <w:t>Parlamentul European</w:t>
            </w:r>
          </w:p>
          <w:p w14:paraId="54244127" w14:textId="77777777" w:rsidR="00751A4A" w:rsidRPr="001E0C08" w:rsidRDefault="005F1B17" w:rsidP="005F1B17">
            <w:pPr>
              <w:pStyle w:val="EPTerm"/>
              <w:rPr>
                <w:rStyle w:val="HideTWBExt"/>
                <w:noProof w:val="0"/>
                <w:vanish w:val="0"/>
                <w:color w:val="auto"/>
              </w:rPr>
            </w:pPr>
            <w:r w:rsidRPr="001E0C08">
              <w:t>2024</w:t>
            </w:r>
            <w:r w:rsidR="00817416" w:rsidRPr="001E0C08">
              <w:t>-202</w:t>
            </w:r>
            <w:r w:rsidRPr="001E0C08">
              <w:t>9</w:t>
            </w:r>
          </w:p>
        </w:tc>
        <w:tc>
          <w:tcPr>
            <w:tcW w:w="2268" w:type="dxa"/>
            <w:shd w:val="clear" w:color="auto" w:fill="auto"/>
          </w:tcPr>
          <w:p w14:paraId="0DE461D1" w14:textId="77777777" w:rsidR="00751A4A" w:rsidRPr="001E0C08" w:rsidRDefault="00187494" w:rsidP="0010095E">
            <w:pPr>
              <w:pStyle w:val="EPLogo"/>
            </w:pPr>
            <w:r w:rsidRPr="001E0C08">
              <w:rPr>
                <w:noProof/>
                <w:lang w:eastAsia="ro-RO"/>
              </w:rPr>
              <w:drawing>
                <wp:inline distT="0" distB="0" distL="0" distR="0" wp14:anchorId="70782B6A" wp14:editId="4D2672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F2E200" w14:textId="77777777" w:rsidR="00D058B8" w:rsidRPr="001E0C08" w:rsidRDefault="00D058B8" w:rsidP="004C5D52">
      <w:pPr>
        <w:pStyle w:val="LineTop"/>
      </w:pPr>
    </w:p>
    <w:p w14:paraId="6BD4F988" w14:textId="77777777" w:rsidR="00680577" w:rsidRPr="001E0C08" w:rsidRDefault="003815D1" w:rsidP="00680577">
      <w:pPr>
        <w:pStyle w:val="EPBodyTA1"/>
      </w:pPr>
      <w:r w:rsidRPr="001E0C08">
        <w:t>TEXTE ADOPTATE</w:t>
      </w:r>
    </w:p>
    <w:p w14:paraId="6475C6F2" w14:textId="77777777" w:rsidR="00D058B8" w:rsidRPr="001E0C08" w:rsidRDefault="00D058B8" w:rsidP="00D058B8">
      <w:pPr>
        <w:pStyle w:val="LineBottom"/>
      </w:pPr>
    </w:p>
    <w:p w14:paraId="155E2B87" w14:textId="77777777" w:rsidR="003815D1" w:rsidRPr="001E0C08" w:rsidRDefault="003815D1" w:rsidP="003815D1">
      <w:pPr>
        <w:pStyle w:val="ATHeading1"/>
      </w:pPr>
      <w:bookmarkStart w:id="0" w:name="TANumber"/>
      <w:r w:rsidRPr="001E0C08">
        <w:t>P10_TA(2025)00</w:t>
      </w:r>
      <w:bookmarkEnd w:id="0"/>
      <w:r w:rsidR="001E0C08" w:rsidRPr="001E0C08">
        <w:t>82</w:t>
      </w:r>
    </w:p>
    <w:p w14:paraId="58B885F3" w14:textId="77777777" w:rsidR="003815D1" w:rsidRPr="001E0C08" w:rsidRDefault="003815D1" w:rsidP="003815D1">
      <w:pPr>
        <w:pStyle w:val="ATHeading2"/>
      </w:pPr>
      <w:bookmarkStart w:id="1" w:name="title"/>
      <w:r w:rsidRPr="001E0C08">
        <w:t>Descărcarea de gestiune 2023: Bugetul general al UE - Comitetul Economic și Social European</w:t>
      </w:r>
      <w:bookmarkEnd w:id="1"/>
    </w:p>
    <w:p w14:paraId="39F7A60D" w14:textId="77777777" w:rsidR="003815D1" w:rsidRPr="001E0C08" w:rsidRDefault="003815D1" w:rsidP="003815D1">
      <w:pPr>
        <w:rPr>
          <w:i/>
          <w:vanish/>
        </w:rPr>
      </w:pPr>
      <w:r w:rsidRPr="001E0C08">
        <w:rPr>
          <w:i/>
        </w:rPr>
        <w:fldChar w:fldCharType="begin"/>
      </w:r>
      <w:r w:rsidRPr="001E0C08">
        <w:rPr>
          <w:i/>
        </w:rPr>
        <w:instrText xml:space="preserve"> TC"(</w:instrText>
      </w:r>
      <w:bookmarkStart w:id="2" w:name="DocNumber"/>
      <w:r w:rsidRPr="001E0C08">
        <w:rPr>
          <w:i/>
        </w:rPr>
        <w:instrText>A10-0054/2025</w:instrText>
      </w:r>
      <w:bookmarkEnd w:id="2"/>
      <w:r w:rsidRPr="001E0C08">
        <w:rPr>
          <w:i/>
        </w:rPr>
        <w:instrText xml:space="preserve"> - Raportor: Joachim </w:instrText>
      </w:r>
      <w:proofErr w:type="spellStart"/>
      <w:r w:rsidRPr="001E0C08">
        <w:rPr>
          <w:i/>
        </w:rPr>
        <w:instrText>Stanisław</w:instrText>
      </w:r>
      <w:proofErr w:type="spellEnd"/>
      <w:r w:rsidRPr="001E0C08">
        <w:rPr>
          <w:i/>
        </w:rPr>
        <w:instrText xml:space="preserve"> </w:instrText>
      </w:r>
      <w:proofErr w:type="spellStart"/>
      <w:r w:rsidRPr="001E0C08">
        <w:rPr>
          <w:i/>
        </w:rPr>
        <w:instrText>Brudziński</w:instrText>
      </w:r>
      <w:proofErr w:type="spellEnd"/>
      <w:r w:rsidRPr="001E0C08">
        <w:rPr>
          <w:i/>
        </w:rPr>
        <w:instrText xml:space="preserve">)"\l3 \n&gt; \* MERGEFORMAT </w:instrText>
      </w:r>
      <w:r w:rsidRPr="001E0C08">
        <w:rPr>
          <w:i/>
        </w:rPr>
        <w:fldChar w:fldCharType="end"/>
      </w:r>
    </w:p>
    <w:p w14:paraId="52FBE563" w14:textId="77777777" w:rsidR="00A94F31" w:rsidRDefault="003815D1" w:rsidP="00A94F31">
      <w:pPr>
        <w:rPr>
          <w:vanish/>
        </w:rPr>
      </w:pPr>
      <w:bookmarkStart w:id="3" w:name="Commission"/>
      <w:r w:rsidRPr="001E0C08">
        <w:rPr>
          <w:vanish/>
        </w:rPr>
        <w:t>Comisia pentru control bugetar</w:t>
      </w:r>
      <w:bookmarkStart w:id="4" w:name="PE"/>
      <w:bookmarkEnd w:id="3"/>
    </w:p>
    <w:p w14:paraId="53DB42B8" w14:textId="0D856EE4" w:rsidR="003815D1" w:rsidRPr="00A94F31" w:rsidRDefault="003815D1" w:rsidP="00A94F31">
      <w:pPr>
        <w:rPr>
          <w:vanish/>
        </w:rPr>
      </w:pPr>
      <w:r w:rsidRPr="001E0C08">
        <w:t>PE764.993</w:t>
      </w:r>
      <w:bookmarkEnd w:id="4"/>
    </w:p>
    <w:p w14:paraId="54807564" w14:textId="77777777" w:rsidR="00A94F31" w:rsidRPr="00A94F31" w:rsidRDefault="00A94F31" w:rsidP="00A94F31">
      <w:pPr>
        <w:pStyle w:val="ATHeading3"/>
      </w:pPr>
      <w:r w:rsidRPr="00A94F31">
        <w:t>1. Decizia Parlamentului European din 7 mai 2025 privind descărcarea de gestiune pentru execuția bugetului general al Uniunii Europene aferent exercițiului financiar 2023, secțiunea VI – Comitetul Economic și Social European (2024/2025(DEC))</w:t>
      </w:r>
    </w:p>
    <w:p w14:paraId="5F245777" w14:textId="4AAEED30" w:rsidR="00A94F31" w:rsidRPr="00A94F31" w:rsidRDefault="007048CD" w:rsidP="00A94F31">
      <w:pPr>
        <w:spacing w:before="480" w:after="240"/>
        <w:rPr>
          <w:i/>
          <w:kern w:val="2"/>
          <w14:ligatures w14:val="standardContextual"/>
        </w:rPr>
      </w:pPr>
      <w:r w:rsidRPr="007048CD">
        <w:rPr>
          <w:i/>
          <w:kern w:val="2"/>
          <w14:ligatures w14:val="standardContextual"/>
        </w:rPr>
        <w:t>Parlamentul European,</w:t>
      </w:r>
    </w:p>
    <w:p w14:paraId="103C5DC7" w14:textId="26DC3F51"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bugetul general al Uniunii Europene aferent exercițiului financiar 2023 </w:t>
      </w:r>
      <w:r w:rsidR="00A94F31" w:rsidRPr="00A94F31">
        <w:rPr>
          <w:rFonts w:eastAsia="Aptos"/>
          <w:szCs w:val="24"/>
          <w:vertAlign w:val="superscript"/>
        </w:rPr>
        <w:footnoteReference w:id="1"/>
      </w:r>
      <w:r w:rsidR="00A94F31" w:rsidRPr="00A94F31">
        <w:rPr>
          <w:rFonts w:eastAsia="Aptos"/>
          <w:szCs w:val="24"/>
        </w:rPr>
        <w:t>,</w:t>
      </w:r>
    </w:p>
    <w:p w14:paraId="76E66432" w14:textId="6A75DC4B"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 xml:space="preserve">având în vedere conturile anuale consolidate ale Uniunii Europene pentru exercițiul financiar 2023 </w:t>
      </w:r>
      <w:r>
        <w:rPr>
          <w:rFonts w:eastAsia="Aptos"/>
          <w:szCs w:val="24"/>
        </w:rPr>
        <w:t>(</w:t>
      </w:r>
      <w:r w:rsidR="00A94F31" w:rsidRPr="00A94F31">
        <w:rPr>
          <w:rFonts w:eastAsia="Aptos"/>
          <w:szCs w:val="24"/>
        </w:rPr>
        <w:t>COM(2024)0272 – C10-0073/2024</w:t>
      </w:r>
      <w:r>
        <w:rPr>
          <w:rFonts w:eastAsia="Aptos"/>
          <w:szCs w:val="24"/>
        </w:rPr>
        <w:t>)</w:t>
      </w:r>
      <w:r w:rsidR="00A94F31" w:rsidRPr="00A94F31">
        <w:rPr>
          <w:rFonts w:eastAsia="Aptos"/>
          <w:szCs w:val="24"/>
        </w:rPr>
        <w:t> </w:t>
      </w:r>
      <w:r w:rsidR="00A94F31" w:rsidRPr="00A94F31">
        <w:rPr>
          <w:rFonts w:eastAsia="Aptos"/>
          <w:szCs w:val="24"/>
          <w:vertAlign w:val="superscript"/>
        </w:rPr>
        <w:footnoteReference w:id="2"/>
      </w:r>
      <w:r w:rsidR="00A94F31" w:rsidRPr="00A94F31">
        <w:rPr>
          <w:rFonts w:eastAsia="Aptos"/>
          <w:szCs w:val="24"/>
        </w:rPr>
        <w:t>,</w:t>
      </w:r>
    </w:p>
    <w:p w14:paraId="7F9EC83F" w14:textId="4691093B"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Raportul anual de activitate al Comitetului Economic și Social European pe 2023,</w:t>
      </w:r>
    </w:p>
    <w:p w14:paraId="09752348" w14:textId="451BEA0F"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Raportul anual al Curții de Conturi referitor la execuția bugetului privind exercițiul financiar 2023, însoțit de răspunsurile instituțiilor </w:t>
      </w:r>
      <w:r w:rsidR="00A94F31" w:rsidRPr="00A94F31">
        <w:rPr>
          <w:rFonts w:eastAsia="Aptos"/>
          <w:szCs w:val="24"/>
          <w:vertAlign w:val="superscript"/>
        </w:rPr>
        <w:footnoteReference w:id="3"/>
      </w:r>
      <w:r w:rsidR="00A94F31" w:rsidRPr="00A94F31">
        <w:rPr>
          <w:rFonts w:eastAsia="Aptos"/>
          <w:szCs w:val="24"/>
        </w:rPr>
        <w:t>,</w:t>
      </w:r>
    </w:p>
    <w:p w14:paraId="6DD74783" w14:textId="5AEF222E"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declarația de asigurare </w:t>
      </w:r>
      <w:r w:rsidR="00A94F31" w:rsidRPr="00A94F31">
        <w:rPr>
          <w:rFonts w:eastAsia="Aptos"/>
          <w:szCs w:val="24"/>
          <w:vertAlign w:val="superscript"/>
        </w:rPr>
        <w:footnoteReference w:id="4"/>
      </w:r>
      <w:r w:rsidR="00A94F31" w:rsidRPr="00A94F31">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76DF5BEE" w14:textId="22FF2BA9"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articolul 314 alineatul (10) și articolele 317, 318 și 319 din Tratatul privind funcționarea Uniunii Europene,</w:t>
      </w:r>
    </w:p>
    <w:p w14:paraId="71D6B6AA" w14:textId="323AA9EB"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w:t>
      </w:r>
      <w:r w:rsidR="00A94F31" w:rsidRPr="00A94F31">
        <w:rPr>
          <w:rFonts w:eastAsia="Aptos"/>
          <w:szCs w:val="24"/>
        </w:rPr>
        <w:lastRenderedPageBreak/>
        <w:t>nr. 1303/2013, (UE) nr. 1304/2013, (UE) nr. 1309/2013, (UE) nr. 1316/2013, (UE) nr. 223/2014, (UE) nr. 283/2014 și a Deciziei nr. 541/2014/UE și de abrogare a Regulamentului (UE, Euratom) nr. 966/2012 </w:t>
      </w:r>
      <w:r w:rsidR="00A94F31" w:rsidRPr="00A94F31">
        <w:rPr>
          <w:rFonts w:eastAsia="Aptos"/>
          <w:szCs w:val="24"/>
          <w:vertAlign w:val="superscript"/>
        </w:rPr>
        <w:footnoteReference w:id="5"/>
      </w:r>
      <w:r w:rsidR="00A94F31" w:rsidRPr="00A94F31">
        <w:rPr>
          <w:rFonts w:eastAsia="Aptos"/>
          <w:szCs w:val="24"/>
        </w:rPr>
        <w:t>, în special articolele 59, 118, 260, 261 și 262,</w:t>
      </w:r>
    </w:p>
    <w:p w14:paraId="552A85AD" w14:textId="0F9566B4"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 xml:space="preserve">având în vedere </w:t>
      </w:r>
      <w:r w:rsidR="00A94F31" w:rsidRPr="00A94F31">
        <w:rPr>
          <w:rFonts w:eastAsia="Aptos"/>
          <w:szCs w:val="24"/>
          <w:shd w:val="clear" w:color="auto" w:fill="FFFFFF"/>
        </w:rPr>
        <w:t>Regulamentul (UE, Euratom) 2024/2509 al Parlamentului European și al Consiliului din 23 septembrie 2024 privind normele financiare aplicabile bugetului general al Uniunii </w:t>
      </w:r>
      <w:r w:rsidR="00A94F31" w:rsidRPr="00A94F31">
        <w:rPr>
          <w:rFonts w:eastAsia="Aptos"/>
          <w:bCs/>
          <w:szCs w:val="24"/>
          <w:shd w:val="clear" w:color="auto" w:fill="FFFFFF"/>
          <w:vertAlign w:val="superscript"/>
        </w:rPr>
        <w:footnoteReference w:id="6"/>
      </w:r>
      <w:r w:rsidR="00A94F31" w:rsidRPr="00A94F31">
        <w:rPr>
          <w:rFonts w:eastAsia="Aptos"/>
          <w:szCs w:val="24"/>
          <w:shd w:val="clear" w:color="auto" w:fill="FFFFFF"/>
        </w:rPr>
        <w:t>, în special articolele 59, 118, 266, 267 și 268</w:t>
      </w:r>
      <w:r w:rsidR="00A94F31" w:rsidRPr="00A94F31">
        <w:rPr>
          <w:rFonts w:eastAsia="Aptos"/>
          <w:szCs w:val="24"/>
        </w:rPr>
        <w:t>,</w:t>
      </w:r>
    </w:p>
    <w:p w14:paraId="5B5729AB" w14:textId="7191C20F"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articolul 102 și anexa V la Regulamentul său de procedură,</w:t>
      </w:r>
    </w:p>
    <w:p w14:paraId="39E66D92" w14:textId="7FCE9BE7" w:rsidR="00A94F31" w:rsidRPr="00A94F31" w:rsidRDefault="00C52EB3" w:rsidP="007048CD">
      <w:pPr>
        <w:widowControl/>
        <w:spacing w:after="240"/>
        <w:ind w:left="567" w:hanging="567"/>
        <w:jc w:val="both"/>
        <w:rPr>
          <w:rFonts w:eastAsia="Aptos"/>
          <w:szCs w:val="24"/>
        </w:rPr>
      </w:pPr>
      <w:r>
        <w:rPr>
          <w:rFonts w:eastAsia="Aptos"/>
          <w:szCs w:val="24"/>
        </w:rPr>
        <w:t>–</w:t>
      </w:r>
      <w:r w:rsidR="00A94F31" w:rsidRPr="00A94F31">
        <w:rPr>
          <w:rFonts w:eastAsia="Aptos"/>
          <w:szCs w:val="24"/>
        </w:rPr>
        <w:tab/>
        <w:t>având în vedere raportul Comisiei pentru control bugetar (A10-0054/2025),</w:t>
      </w:r>
    </w:p>
    <w:p w14:paraId="58065BD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w:t>
      </w:r>
      <w:r w:rsidRPr="00A94F31">
        <w:rPr>
          <w:kern w:val="2"/>
          <w14:ligatures w14:val="standardContextual"/>
        </w:rPr>
        <w:tab/>
        <w:t>acordă secretarei generale a Comitetului Economic și Social European descărcarea de gestiune pentru execuția bugetului Comitetului Economic și Social European aferent exercițiului financiar 2023;</w:t>
      </w:r>
    </w:p>
    <w:p w14:paraId="06FD62B5"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w:t>
      </w:r>
      <w:r w:rsidRPr="00A94F31">
        <w:rPr>
          <w:kern w:val="2"/>
          <w14:ligatures w14:val="standardContextual"/>
        </w:rPr>
        <w:tab/>
        <w:t>își prezintă observațiile în cadrul rezoluției de mai jos;</w:t>
      </w:r>
    </w:p>
    <w:p w14:paraId="41C05DF2" w14:textId="712FBDAB" w:rsidR="00A94F31" w:rsidRDefault="00A94F31" w:rsidP="007048CD">
      <w:pPr>
        <w:spacing w:after="240"/>
        <w:ind w:left="567" w:hanging="567"/>
        <w:rPr>
          <w:kern w:val="2"/>
          <w14:ligatures w14:val="standardContextual"/>
        </w:rPr>
      </w:pPr>
      <w:r w:rsidRPr="00A94F31">
        <w:rPr>
          <w:kern w:val="2"/>
          <w14:ligatures w14:val="standardContextual"/>
        </w:rPr>
        <w:t>3.</w:t>
      </w:r>
      <w:r w:rsidRPr="00A94F31">
        <w:rPr>
          <w:kern w:val="2"/>
          <w14:ligatures w14:val="standardContextual"/>
        </w:rPr>
        <w:tab/>
        <w:t xml:space="preserve">încredințează </w:t>
      </w:r>
      <w:r w:rsidR="00C52EB3">
        <w:rPr>
          <w:kern w:val="2"/>
          <w14:ligatures w14:val="standardContextual"/>
        </w:rPr>
        <w:t>P</w:t>
      </w:r>
      <w:r w:rsidRPr="00A94F31">
        <w:rPr>
          <w:kern w:val="2"/>
          <w14:ligatures w14:val="standardContextual"/>
        </w:rPr>
        <w:t xml:space="preserve">reședintei sarcina de a transmite prezenta decizie împreună cu rezoluția Parlamentului, ca parte integrantă a acesteia, Comitetului Economic și Social European, Consiliului, Comisiei și Curții de Conturi și de a asigura publicarea acestora în </w:t>
      </w:r>
      <w:r w:rsidRPr="00A94F31">
        <w:rPr>
          <w:i/>
          <w:kern w:val="2"/>
          <w14:ligatures w14:val="standardContextual"/>
        </w:rPr>
        <w:t>Jurnalul Oficial al Uniunii Europene</w:t>
      </w:r>
      <w:r w:rsidRPr="00A94F31">
        <w:rPr>
          <w:kern w:val="2"/>
          <w14:ligatures w14:val="standardContextual"/>
        </w:rPr>
        <w:t xml:space="preserve"> (seria L).</w:t>
      </w:r>
    </w:p>
    <w:p w14:paraId="6BF24BDD" w14:textId="77777777" w:rsidR="00A94F31" w:rsidRPr="00A94F31" w:rsidRDefault="00A94F31" w:rsidP="007048CD">
      <w:pPr>
        <w:spacing w:after="240"/>
        <w:ind w:left="567" w:hanging="567"/>
        <w:rPr>
          <w:kern w:val="2"/>
          <w14:ligatures w14:val="standardContextual"/>
        </w:rPr>
      </w:pPr>
    </w:p>
    <w:p w14:paraId="0BE0DC7E" w14:textId="77777777" w:rsidR="00A94F31" w:rsidRPr="00A94F31" w:rsidRDefault="00A94F31" w:rsidP="00A94F31">
      <w:pPr>
        <w:widowControl/>
        <w:jc w:val="both"/>
        <w:rPr>
          <w:rFonts w:eastAsia="Aptos"/>
          <w:kern w:val="2"/>
          <w:szCs w:val="24"/>
          <w:lang w:eastAsia="en-US"/>
          <w14:ligatures w14:val="standardContextual"/>
        </w:rPr>
        <w:sectPr w:rsidR="00A94F31" w:rsidRPr="00A94F31" w:rsidSect="00C52EB3">
          <w:footnotePr>
            <w:numRestart w:val="eachSect"/>
          </w:footnotePr>
          <w:pgSz w:w="11906" w:h="16838"/>
          <w:pgMar w:top="1134" w:right="1418" w:bottom="1418" w:left="1418" w:header="709" w:footer="709" w:gutter="0"/>
          <w:cols w:space="708"/>
          <w:docGrid w:linePitch="360"/>
        </w:sectPr>
      </w:pPr>
    </w:p>
    <w:p w14:paraId="4C777D81" w14:textId="77777777" w:rsidR="00A94F31" w:rsidRPr="00A94F31" w:rsidRDefault="00A94F31" w:rsidP="00A94F31">
      <w:pPr>
        <w:pStyle w:val="ATHeading3"/>
      </w:pPr>
      <w:r w:rsidRPr="00A94F31">
        <w:lastRenderedPageBreak/>
        <w:t>2. Rezoluția Parlamentului European din 7 mai 2025 conținând observațiile care fac parte integrantă din decizia privind descărcarea de gestiune pentru execuția bugetului general al Uniunii Europene aferent exercițiului financiar 2023, secțiunea VI – Comitetul Economic și Social European (2024/2025(DEC))</w:t>
      </w:r>
    </w:p>
    <w:p w14:paraId="1F168C64" w14:textId="32C9529A" w:rsidR="00A94F31" w:rsidRPr="00A94F31" w:rsidRDefault="007048CD" w:rsidP="00A94F31">
      <w:pPr>
        <w:spacing w:before="480" w:after="240"/>
        <w:rPr>
          <w:i/>
          <w:kern w:val="2"/>
          <w14:ligatures w14:val="standardContextual"/>
        </w:rPr>
      </w:pPr>
      <w:r w:rsidRPr="007048CD">
        <w:rPr>
          <w:i/>
          <w:kern w:val="2"/>
          <w14:ligatures w14:val="standardContextual"/>
        </w:rPr>
        <w:t>Parlamentul European,</w:t>
      </w:r>
    </w:p>
    <w:p w14:paraId="3F149997" w14:textId="4F8C3159" w:rsidR="00A94F31" w:rsidRPr="00A94F31" w:rsidRDefault="00C52EB3" w:rsidP="007048CD">
      <w:pPr>
        <w:spacing w:after="240"/>
        <w:ind w:left="567" w:hanging="567"/>
        <w:rPr>
          <w:kern w:val="2"/>
          <w14:ligatures w14:val="standardContextual"/>
        </w:rPr>
      </w:pPr>
      <w:r>
        <w:rPr>
          <w:kern w:val="2"/>
          <w14:ligatures w14:val="standardContextual"/>
        </w:rPr>
        <w:t>–</w:t>
      </w:r>
      <w:r w:rsidR="00A94F31" w:rsidRPr="00A94F31">
        <w:rPr>
          <w:kern w:val="2"/>
          <w14:ligatures w14:val="standardContextual"/>
        </w:rPr>
        <w:tab/>
        <w:t>având în vedere decizia sa privind descărcarea de gestiune pentru execuția bugetului general al Uniunii Europene aferent exercițiului financiar 2023, secțiunea VI – Comitetul Economic și Social European,</w:t>
      </w:r>
    </w:p>
    <w:p w14:paraId="145517B7" w14:textId="504DF048" w:rsidR="00A94F31" w:rsidRPr="00A94F31" w:rsidRDefault="00C52EB3" w:rsidP="007048CD">
      <w:pPr>
        <w:spacing w:after="240"/>
        <w:ind w:left="567" w:hanging="567"/>
        <w:rPr>
          <w:kern w:val="2"/>
          <w14:ligatures w14:val="standardContextual"/>
        </w:rPr>
      </w:pPr>
      <w:r>
        <w:rPr>
          <w:kern w:val="2"/>
          <w14:ligatures w14:val="standardContextual"/>
        </w:rPr>
        <w:t>–</w:t>
      </w:r>
      <w:r w:rsidR="00A94F31" w:rsidRPr="00A94F31">
        <w:rPr>
          <w:kern w:val="2"/>
          <w14:ligatures w14:val="standardContextual"/>
        </w:rPr>
        <w:tab/>
        <w:t>având în vedere articolul 102 și anexa V la Regulamentul său de procedură,</w:t>
      </w:r>
    </w:p>
    <w:p w14:paraId="1F7B8380" w14:textId="5907E8E6" w:rsidR="00A94F31" w:rsidRPr="00A94F31" w:rsidRDefault="00C52EB3" w:rsidP="007048CD">
      <w:pPr>
        <w:spacing w:after="240"/>
        <w:ind w:left="567" w:hanging="567"/>
        <w:rPr>
          <w:kern w:val="2"/>
          <w14:ligatures w14:val="standardContextual"/>
        </w:rPr>
      </w:pPr>
      <w:r>
        <w:rPr>
          <w:kern w:val="2"/>
          <w14:ligatures w14:val="standardContextual"/>
        </w:rPr>
        <w:t>–</w:t>
      </w:r>
      <w:r w:rsidR="00A94F31" w:rsidRPr="00A94F31">
        <w:rPr>
          <w:kern w:val="2"/>
          <w14:ligatures w14:val="standardContextual"/>
        </w:rPr>
        <w:tab/>
        <w:t>având în vedere raportul Comisiei pentru control bugetar (A10-0054/2025),</w:t>
      </w:r>
    </w:p>
    <w:p w14:paraId="60708BE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A.</w:t>
      </w:r>
      <w:r w:rsidRPr="00A94F31">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58B51FC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B.</w:t>
      </w:r>
      <w:r w:rsidRPr="00A94F31">
        <w:rPr>
          <w:kern w:val="2"/>
          <w14:ligatures w14:val="standardContextual"/>
        </w:rPr>
        <w:tab/>
        <w:t>întrucât Comitetul Economic și Social European (denumit în continuare „Comitetul”) este un organ consultativ al Uniunii care oferă un forum de consultare, dialog și consens între reprezentanții diferitelor componente economice, sociale și civile ale societății civile organizate din statele membre;</w:t>
      </w:r>
    </w:p>
    <w:p w14:paraId="3790C18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C.</w:t>
      </w:r>
      <w:r w:rsidRPr="00A94F31">
        <w:rPr>
          <w:kern w:val="2"/>
          <w14:ligatures w14:val="standardContextual"/>
        </w:rPr>
        <w:tab/>
        <w:t>întrucât Comitetul contribuie la procesul decizional al Uniunii și, prin asigurarea legăturii dintre politicile Uniunii și circumstanțele economice, sociale și civice, își îndeplinește misiunile de îmbunătățire a legiferării, democrație participativă de jos în sus și de promovare a valorilor europene;</w:t>
      </w:r>
    </w:p>
    <w:p w14:paraId="475C2BC8"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D.</w:t>
      </w:r>
      <w:r w:rsidRPr="00A94F31">
        <w:rPr>
          <w:kern w:val="2"/>
          <w14:ligatures w14:val="standardContextual"/>
        </w:rPr>
        <w:tab/>
        <w:t>întrucât consultarea Comitetului de către Comisie sau Consiliu este obligatorie în anumite cazuri, iar Comitetul poate adopta, de asemenea, avize din proprie inițiativă, beneficiind în același timp de o marjă largă de sesizare, astfel cum este definită în Actul Unic European, în Tratatul de la Maastricht și în Tratatul de la Amsterdam, ceea ce îi permite să fie consultat de Parlament;</w:t>
      </w:r>
    </w:p>
    <w:p w14:paraId="36088128"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E.</w:t>
      </w:r>
      <w:r w:rsidRPr="00A94F31">
        <w:rPr>
          <w:kern w:val="2"/>
          <w14:ligatures w14:val="standardContextual"/>
        </w:rPr>
        <w:tab/>
        <w:t>întrucât Comisia pentru afaceri financiare și bugetare (CAF) a Comitetului este organismul său de supraveghere pentru toate procedurile bugetare și, în special, întocmirea estimărilor bugetare, execuția bugetară, raportul anual de activitate, descărcarea de gestiune și acțiunile întreprinse ca urmare a raportului anual al Curții de Conturi (denumită în continuare „Curtea”);</w:t>
      </w:r>
    </w:p>
    <w:p w14:paraId="7F4FABC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F.</w:t>
      </w:r>
      <w:r w:rsidRPr="00A94F31">
        <w:rPr>
          <w:kern w:val="2"/>
          <w14:ligatures w14:val="standardContextual"/>
        </w:rPr>
        <w:tab/>
        <w:t>întrucât, în ultimii ani, Comitetul a luat inițiative pentru a atrage și a păstra personal calificat, pentru a-și optimiza structura organizațională și metodele de lucru și pentru a promova un mediu de lucru respectuos, în contextul unui buget limitat,</w:t>
      </w:r>
    </w:p>
    <w:p w14:paraId="2E7DDFBD"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w:t>
      </w:r>
      <w:r w:rsidRPr="00A94F31">
        <w:rPr>
          <w:kern w:val="2"/>
          <w14:ligatures w14:val="standardContextual"/>
        </w:rPr>
        <w:tab/>
        <w:t xml:space="preserve">constată că bugetul Comitetului se încadrează la rubrica 7 din CFM, „Administrația publică europeană”, care a avut un cuantum total de 12,3 miliarde EUR, adică 6,4 % din cheltuielile de la bugetul Uniunii în 2023; constată că, în 2023, bugetul </w:t>
      </w:r>
      <w:r w:rsidRPr="00A94F31">
        <w:rPr>
          <w:color w:val="000000"/>
          <w:kern w:val="2"/>
          <w14:ligatures w14:val="standardContextual"/>
        </w:rPr>
        <w:t>Comitetului</w:t>
      </w:r>
      <w:r w:rsidRPr="00A94F31">
        <w:rPr>
          <w:kern w:val="2"/>
          <w14:ligatures w14:val="standardContextual"/>
        </w:rPr>
        <w:t xml:space="preserve"> a reprezentat 1,29 % din creditele de la rubrica 7 din CFM;</w:t>
      </w:r>
    </w:p>
    <w:p w14:paraId="2DFD259C"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lastRenderedPageBreak/>
        <w:t>2.</w:t>
      </w:r>
      <w:r w:rsidRPr="00A94F31">
        <w:rPr>
          <w:kern w:val="2"/>
          <w14:ligatures w14:val="standardContextual"/>
        </w:rPr>
        <w:tab/>
        <w:t>constată că, în raportul său anual pentru exercițiul financiar 2023 (raportul Curții), Curtea a examinat un eșantion de 70 de operațiuni de la rubrica 7, din care 21 (30 %) conțineau erori; constată, de asemenea, că, pentru cinci dintre aceste erori care au fost cuantificate de Curte, Curtea a estimat un nivel de eroare sub pragul de semnificație;</w:t>
      </w:r>
    </w:p>
    <w:p w14:paraId="6398A43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w:t>
      </w:r>
      <w:r w:rsidRPr="00A94F31">
        <w:rPr>
          <w:kern w:val="2"/>
          <w14:ligatures w14:val="standardContextual"/>
        </w:rPr>
        <w:tab/>
        <w:t>constată, pe baza raportului Curții, că cheltuielile administrative cuprind cheltuielile cu resursele umane, inclusiv pensiile, care, în 2023, au constituit aproximativ 70 % din totalul cheltuielilor administrative, precum și cheltuielile legate de clădiri, echipamente, energie, comunicații și tehnologia informației; salută concluzia Curții, aceeași ca în anii precedenți, că, în general, cheltuielile administrative prezintă un risc scăzut; observă că Curtea nu a identificat nicio problemă specifică referitoare la Comitet în 2023;</w:t>
      </w:r>
    </w:p>
    <w:p w14:paraId="71E1BECE" w14:textId="77777777" w:rsidR="00A94F31" w:rsidRPr="00A94F31" w:rsidRDefault="00A94F31" w:rsidP="007048CD">
      <w:pPr>
        <w:spacing w:after="240"/>
        <w:ind w:left="567" w:hanging="567"/>
        <w:rPr>
          <w:b/>
          <w:i/>
          <w:kern w:val="2"/>
          <w14:ligatures w14:val="standardContextual"/>
        </w:rPr>
      </w:pPr>
      <w:bookmarkStart w:id="5" w:name="_Hlk215758847"/>
      <w:r w:rsidRPr="00A94F31">
        <w:rPr>
          <w:b/>
          <w:i/>
          <w:kern w:val="2"/>
          <w14:ligatures w14:val="standardContextual"/>
        </w:rPr>
        <w:t>Gestiunea bugetară și financiară</w:t>
      </w:r>
    </w:p>
    <w:bookmarkEnd w:id="5"/>
    <w:p w14:paraId="7C61CE55"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w:t>
      </w:r>
      <w:r w:rsidRPr="00A94F31">
        <w:rPr>
          <w:kern w:val="2"/>
          <w14:ligatures w14:val="standardContextual"/>
        </w:rPr>
        <w:tab/>
        <w:t>constată că bugetul final adoptat al Comitetului s-a ridicat la 158 767 970 EUR în 2023, reprezentând o creștere cu 4,1 % față de 2022; constată, pe baza răspunsurilor Comitetului la chestionarul prezentat de Comisia pentru control bugetar în descărcarea de gestiune pentru exercițiul financiar 2023 (denumit în continuare „chestionarul”) și a raportului anual de activitate al Comitetului pentru 2023 („Raportul anual”), că linia bugetară pentru remunerații și indemnizații (cheltuieli cu personalul și membrii Comitetului) a crescut cu 8,4 % între 2022 și 2023 din cauza inflației; constată, pe baza chestionarului, că bugetul de asistență externă pentru operarea, dezvoltarea și întreținerea sistemelor informatice a crescut cu 33,70 % între 2022 și 2023, deoarece, în 2023, Comitetul a tratat ca o prioritate implementarea strategiei sale digitale pentru perioada 2024-2026; observă că, de altfel, repartizarea creditelor între alte linii bugetare în bugetul pentru 2023 a rămas comparabilă cu repartizarea din exercițiile financiare anterioare;</w:t>
      </w:r>
    </w:p>
    <w:p w14:paraId="4F35897D"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w:t>
      </w:r>
      <w:r w:rsidRPr="00A94F31">
        <w:rPr>
          <w:kern w:val="2"/>
          <w14:ligatures w14:val="standardContextual"/>
        </w:rPr>
        <w:tab/>
        <w:t>constată cu satisfacție că rata de execuție bugetară a Comitetului pentru creditele de angajament din anul curent a crescut și mai mult, de la 96,12 % în 2022 la 98,70 % în 2023, lăsând în urmă execuția bugetară mai scăzută din anii precedenți din cauza pandemiei de COVID-19 și a restricțiilor de călătorie aferente; constată, de asemenea, că rata de execuție a creditelor de plată din anul curent a crescut de la 88,12 % în 2022 la 90,67 % în 2023; constată că termenul mediu de plată în 2023 a fost de 20,14 zile, mai mare decât în 2022 (adică 18,34 zile);</w:t>
      </w:r>
    </w:p>
    <w:p w14:paraId="53E86EE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w:t>
      </w:r>
      <w:r w:rsidRPr="00A94F31">
        <w:rPr>
          <w:kern w:val="2"/>
          <w14:ligatures w14:val="standardContextual"/>
        </w:rPr>
        <w:tab/>
        <w:t>constată că creditele reportate din 2023 în 2024 s-au ridicat la 13 827 713 EUR (adică aproximativ 8,70 % din bugetul Comitetului pentru 2023), ceea ce reprezintă o scădere de 20 162 518 EUR față de nivelul din exercițiul precedent (adică aproximativ 13 % din bugetul Comitetului pentru 2022); constată cu satisfacție și că rata de execuție a creditelor reportate din 2022 în 2023 a fost de 86,76 % în 2023, comparativ cu 76,91 % în 2022; încurajează Comitetul să continue să utilizeze eficient fondurile furnizate;</w:t>
      </w:r>
    </w:p>
    <w:p w14:paraId="16F4773B"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7.</w:t>
      </w:r>
      <w:r w:rsidRPr="00A94F31">
        <w:rPr>
          <w:kern w:val="2"/>
          <w14:ligatures w14:val="standardContextual"/>
        </w:rPr>
        <w:tab/>
        <w:t>constată că serviciile proprii ale Comitetului au lansat 12 proceduri de negociere cu o valoare sub 60 000 EUR în 2022, în special pentru studii de caz, studii și sprijin logistic; observă că Comitetul a lansat, de asemenea, șase proceduri de achiziții publice împreună cu serviciile comune partajate de Comitetul European al Regiunilor („</w:t>
      </w:r>
      <w:proofErr w:type="spellStart"/>
      <w:r w:rsidRPr="00A94F31">
        <w:rPr>
          <w:kern w:val="2"/>
          <w14:ligatures w14:val="standardContextual"/>
        </w:rPr>
        <w:t>CoR</w:t>
      </w:r>
      <w:proofErr w:type="spellEnd"/>
      <w:r w:rsidRPr="00A94F31">
        <w:rPr>
          <w:kern w:val="2"/>
          <w14:ligatures w14:val="standardContextual"/>
        </w:rPr>
        <w:t>”), în principal în domeniul logisticii și al întreținerii;</w:t>
      </w:r>
    </w:p>
    <w:p w14:paraId="3B8ED2F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8.</w:t>
      </w:r>
      <w:r w:rsidRPr="00A94F31">
        <w:rPr>
          <w:kern w:val="2"/>
          <w14:ligatures w14:val="standardContextual"/>
        </w:rPr>
        <w:tab/>
        <w:t xml:space="preserve">constată că, în 2023, Comitetul a continuat să își îmbunătățească eficacitatea metodelor de lucru la nivel de costuri, mai ales grație muncii hibride, creșterii </w:t>
      </w:r>
      <w:proofErr w:type="spellStart"/>
      <w:r w:rsidRPr="00A94F31">
        <w:rPr>
          <w:kern w:val="2"/>
          <w14:ligatures w14:val="standardContextual"/>
        </w:rPr>
        <w:t>telemuncii</w:t>
      </w:r>
      <w:proofErr w:type="spellEnd"/>
      <w:r w:rsidRPr="00A94F31">
        <w:rPr>
          <w:kern w:val="2"/>
          <w14:ligatures w14:val="standardContextual"/>
        </w:rPr>
        <w:t xml:space="preserve">, dematerializării complete a circuitelor financiare și reducerii consumului de energie; </w:t>
      </w:r>
      <w:r w:rsidRPr="00A94F31">
        <w:rPr>
          <w:kern w:val="2"/>
          <w14:ligatures w14:val="standardContextual"/>
        </w:rPr>
        <w:lastRenderedPageBreak/>
        <w:t xml:space="preserve">constată, pe baza chestionarului, că, în 2023, Comitetul a realizat economii financiare de 65 000 EUR datorită reducerii consumului de energie; felicită Comitetul pentru semnarea unui nou contract-cadru pentru controale medicale, care prevede prețuri mai mici, o flexibilitate sporită și servicii, în general, mai bune decât contractul anterior; recunoaște economiile importante bugetare și administrative realizate de Comitet datorită cooperării interinstituționale, mai ales prin serviciile comune cu </w:t>
      </w:r>
      <w:proofErr w:type="spellStart"/>
      <w:r w:rsidRPr="00A94F31">
        <w:rPr>
          <w:kern w:val="2"/>
          <w14:ligatures w14:val="standardContextual"/>
        </w:rPr>
        <w:t>CoR</w:t>
      </w:r>
      <w:proofErr w:type="spellEnd"/>
      <w:r w:rsidRPr="00A94F31">
        <w:rPr>
          <w:kern w:val="2"/>
          <w14:ligatures w14:val="standardContextual"/>
        </w:rPr>
        <w:t xml:space="preserve"> și prin externalizarea anumitor servicii către Comisie (acorduri privind nivelul serviciilor) pentru gestionarea aspectelor legate de resursele umane și utilizarea instrumentelor informatice de gestiune financiară și resurse umane, dar și prin participarea la proceduri de achiziții interinstituționale conduse de alte instituții; constată, pe baza chestionarului, că, pentru externalizarea unor servicii specifice către Comisie, costul total suportat de Comitet a crescut de la 743 600 EUR în 2022 la 793 000 EUR în 2023;</w:t>
      </w:r>
    </w:p>
    <w:p w14:paraId="713F76D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9.</w:t>
      </w:r>
      <w:r w:rsidRPr="00A94F31">
        <w:rPr>
          <w:kern w:val="2"/>
          <w14:ligatures w14:val="standardContextual"/>
        </w:rPr>
        <w:tab/>
        <w:t xml:space="preserve">reamintește că decizia Consiliului din 25 mai 2023 a stabilit indemnizația pentru participarea de la distanță a membrilor Comitetului la reuniunile nestatutare la 145 EUR pe zi pe reuniune la distanță, ceea ce reprezintă 50 % din indemnizația zilnică pentru participarea fizică în 2023; consideră că, deși participarea de la distanță este un instrument important pentru instituțiile moderne, având în vedere, printre altele, că reduce costurile ședințelor și permite o participare mai largă, alocarea unei indemnizații pentru participarea de la distanță la ședințe, chiar dacă este redusă și destinată doar anumitor tipuri de evenimente, este dificil de înțeles pentru public, cu atât mai mult atunci când se ia în considerare diferența plătită membrilor Comitetului și membrilor </w:t>
      </w:r>
      <w:proofErr w:type="spellStart"/>
      <w:r w:rsidRPr="00A94F31">
        <w:rPr>
          <w:kern w:val="2"/>
          <w14:ligatures w14:val="standardContextual"/>
        </w:rPr>
        <w:t>CoR</w:t>
      </w:r>
      <w:proofErr w:type="spellEnd"/>
      <w:r w:rsidRPr="00A94F31">
        <w:rPr>
          <w:kern w:val="2"/>
          <w14:ligatures w14:val="standardContextual"/>
        </w:rPr>
        <w:t xml:space="preserve"> pentru participarea de la distanță; constată cu satisfacție din raportul de monitorizare al Comitetului la Rezoluția Parlamentului referitoare la execuția bugetului Comitetului pentru 2022 (denumit în continuare „raportul de monitorizare”) că aplicarea acestei decizii a generat deja economii bugetare în valoare de 1 677 000 EUR din cauza reducerii cheltuielilor de deplasare și a indemnizațiilor plătite, precum și economii de mediu de aproximativ 553,66 tone de CO</w:t>
      </w:r>
      <w:r w:rsidRPr="00A94F31">
        <w:rPr>
          <w:kern w:val="2"/>
          <w:vertAlign w:val="subscript"/>
          <w14:ligatures w14:val="standardContextual"/>
        </w:rPr>
        <w:t>2</w:t>
      </w:r>
      <w:r w:rsidRPr="00A94F31">
        <w:rPr>
          <w:kern w:val="2"/>
          <w14:ligatures w14:val="standardContextual"/>
        </w:rPr>
        <w:t>, din cauza scăderii numărului de deplasări în 2023; constată, pe baza raportului anual, că numărul zilelor de reuniuni rambursate la distanță a fost de 2006 (6 259 în 2022), cu o durată medie de 3 ore per reuniune, cu un cost total de 294 930 EUR în 2023 (922 925 EUR în 2022); salută controalele multiple efectuate de Comitet pentru a dovedi participarea de la distanță a membrilor înainte de plata indemnizației;</w:t>
      </w:r>
    </w:p>
    <w:p w14:paraId="2ABDEECB"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10.</w:t>
      </w:r>
      <w:r w:rsidRPr="00A94F31">
        <w:rPr>
          <w:kern w:val="2"/>
          <w14:ligatures w14:val="standardContextual"/>
        </w:rPr>
        <w:tab/>
        <w:t>constată că impactul războiului de agresiune al Rusiei împotriva Ucrainei a continuat să exercite presiuni asupra bugetului Comitetului în 2023, prin creșterea inflației și a ajustărilor salariale, prin dificultățile provocate de întârzierile proiectelor imobiliare și de creșterea prețurilor materiilor prime, prin indexarea contractelor de închiriere (+ 10,3 % în 2023, comparativ cu 2022) și prin indexarea contractelor de întreținere și de servicii de securitate (+ 13,50 % în 2023, comparativ cu 2021); observă mai ales că, în perioada 2021-2022, costurile cu energia au crescut de la 726 000 EUR la 3 125 000 EUR, înainte să scadă la 1 923 391 EUR în 2023; ia act de plafonul de 2 % pentru cheltuielile nesalariale; salută, în acest context, inițiativa Comitetului pentru abordarea problemelor la nivel bugetar, de exemplu prin implementarea unor strategii de economisire a energiei pe termen scurt, precum și prin măsuri pe termen mediu și lung, nenecesitând astfel un buget rectificativ în 2023;</w:t>
      </w:r>
    </w:p>
    <w:p w14:paraId="537EA48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11.</w:t>
      </w:r>
      <w:r w:rsidRPr="00A94F31">
        <w:rPr>
          <w:kern w:val="2"/>
          <w14:ligatures w14:val="standardContextual"/>
        </w:rPr>
        <w:tab/>
        <w:t xml:space="preserve">constată o scădere a creditelor din exercițiul curent pentru linia bugetară 1 0 0 4 (cheltuieli pentru deplasările membrilor, inclusiv diurnele și indemnizațiile de ședință) de la 19,790 milioane EUR în 2022 (din care au fost plătite 15,895 milioane EUR) la 19,761 milioane EUR în 2023 (din care au fost plătite 18,344 milioane EUR); constată cu satisfacție o îmbunătățire a ratei de execuție a acestor credite de la 80,31 % în 2022 </w:t>
      </w:r>
      <w:r w:rsidRPr="00A94F31">
        <w:rPr>
          <w:kern w:val="2"/>
          <w14:ligatures w14:val="standardContextual"/>
        </w:rPr>
        <w:lastRenderedPageBreak/>
        <w:t>la 92,83 % în 2023; observă că președintele Comitetului a participat la 35 de misiuni în valoare totală de 71 926 EUR în 2023, față de 26 de misiuni în valoare totală de 38 042 EUR în 2022;</w:t>
      </w:r>
    </w:p>
    <w:p w14:paraId="3C79E2F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12.</w:t>
      </w:r>
      <w:r w:rsidRPr="00A94F31">
        <w:rPr>
          <w:kern w:val="2"/>
          <w14:ligatures w14:val="standardContextual"/>
        </w:rPr>
        <w:tab/>
        <w:t xml:space="preserve">constată, pe baza chestionarului, că Direcția comună pentru inovare și tehnologia informației a Comitetului și a </w:t>
      </w:r>
      <w:proofErr w:type="spellStart"/>
      <w:r w:rsidRPr="00A94F31">
        <w:rPr>
          <w:kern w:val="2"/>
          <w14:ligatures w14:val="standardContextual"/>
        </w:rPr>
        <w:t>CoR</w:t>
      </w:r>
      <w:proofErr w:type="spellEnd"/>
      <w:r w:rsidRPr="00A94F31">
        <w:rPr>
          <w:kern w:val="2"/>
          <w14:ligatures w14:val="standardContextual"/>
        </w:rPr>
        <w:t xml:space="preserve"> alocă aproximativ 3 % din bugetul său IT securității cibernetice, ceea ce este departe de obiectivul de 10 % prevăzut în legislația relevantă; le cere </w:t>
      </w:r>
      <w:proofErr w:type="spellStart"/>
      <w:r w:rsidRPr="00A94F31">
        <w:rPr>
          <w:kern w:val="2"/>
          <w14:ligatures w14:val="standardContextual"/>
        </w:rPr>
        <w:t>colegiutorilor</w:t>
      </w:r>
      <w:proofErr w:type="spellEnd"/>
      <w:r w:rsidRPr="00A94F31">
        <w:rPr>
          <w:kern w:val="2"/>
          <w14:ligatures w14:val="standardContextual"/>
        </w:rPr>
        <w:t xml:space="preserve"> și Comisiei să țină seama de acest lucru în cadrul procedurii bugetare anuale;</w:t>
      </w:r>
    </w:p>
    <w:p w14:paraId="2B062D53" w14:textId="77777777" w:rsidR="00A94F31" w:rsidRPr="00A94F31" w:rsidRDefault="00A94F31" w:rsidP="007048CD">
      <w:pPr>
        <w:spacing w:after="240"/>
        <w:ind w:left="567" w:hanging="567"/>
        <w:rPr>
          <w:i/>
          <w:kern w:val="2"/>
          <w14:ligatures w14:val="standardContextual"/>
        </w:rPr>
      </w:pPr>
      <w:r w:rsidRPr="00A94F31">
        <w:rPr>
          <w:b/>
          <w:i/>
          <w:kern w:val="2"/>
          <w14:ligatures w14:val="standardContextual"/>
        </w:rPr>
        <w:t>Gestiunea internă, performanța și controlul intern</w:t>
      </w:r>
    </w:p>
    <w:p w14:paraId="27059714"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13.</w:t>
      </w:r>
      <w:r w:rsidRPr="00A94F31">
        <w:rPr>
          <w:kern w:val="2"/>
          <w14:ligatures w14:val="standardContextual"/>
        </w:rPr>
        <w:tab/>
        <w:t>constată, pe baza raportului anual, că, în cadrul programului său anual de lucru pentru 2023, Comitetul a avut în total 31 de obiective concepute pentru toate entitățile administrației sale și, ca parte a strategiei Secretariatului General pentru perioada 2021-2025, Comitetul are cinci valori fundamentale și cinci obiective strategice esențiale; constată, pe baza chestionarului, că numărul de avize elaborate și de participări la reuniuni la nivel înalt sunt indicatori-cheie pentru măsurarea performanței Comitetului; observă, pe baza chestionarului, că Comitetul dispune de indicatori de performanță în diverse domenii, cum ar fi IT, resurse umane, traducere și comunicare; solicită Comitetului să includă în rapoartele sale viitoare o listă a tuturor indicatorilor-cheie de performanță și a obiectivelor pentru fiecare activitate, precum și ținta (în procente) stabilită pentru atingerea acestora și nivelul (în procente) de realizare a acestora;</w:t>
      </w:r>
    </w:p>
    <w:p w14:paraId="1C81B08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14.</w:t>
      </w:r>
      <w:r w:rsidRPr="00A94F31">
        <w:rPr>
          <w:kern w:val="2"/>
          <w14:ligatures w14:val="standardContextual"/>
        </w:rPr>
        <w:tab/>
        <w:t xml:space="preserve">constată că Comitetul își realizează misiunea prin avize care se referă la propunerile legislative formulate de Comisie (sesizări), avize din proprie inițiativă, care invită instituțiile Uniunii să ia măsuri, și avize exploratorii, care contribuie la activitatea Comisiei privind inițiativele sale planificate, și că pozițiile Comitetului pot fi evidențiate în rezoluții sau pot fi incluse în rapoarte de evaluare și informare; felicită Comitetul pentru cât de bine a sprijinit Parlamentul, Consiliul și Comisia în ciclul legislativ din 2023; observă, în acest context, că, în 2023, Comitetul a adoptat 213 avize și rapoarte, o creștere față de 202 în 2022, și a organizat 146 de audieri și 23 de conferințe, comparativ cu 116 și, respectiv, 29 în 2022; ia act de faptul că membrii Comitetului au participat la 429 de reuniuni la nivel înalt, </w:t>
      </w:r>
      <w:proofErr w:type="spellStart"/>
      <w:r w:rsidRPr="00A94F31">
        <w:rPr>
          <w:kern w:val="2"/>
          <w14:ligatures w14:val="standardContextual"/>
        </w:rPr>
        <w:t>summituri</w:t>
      </w:r>
      <w:proofErr w:type="spellEnd"/>
      <w:r w:rsidRPr="00A94F31">
        <w:rPr>
          <w:kern w:val="2"/>
          <w14:ligatures w14:val="standardContextual"/>
        </w:rPr>
        <w:t xml:space="preserve"> și conferințe în 2023, comparativ cu 345 în 2022;</w:t>
      </w:r>
    </w:p>
    <w:p w14:paraId="365D47B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15.</w:t>
      </w:r>
      <w:r w:rsidRPr="00A94F31">
        <w:rPr>
          <w:kern w:val="2"/>
          <w14:ligatures w14:val="standardContextual"/>
        </w:rPr>
        <w:tab/>
        <w:t>apreciază faptul că, în 2023, Comitetul a luat măsuri pentru a îmbunătăți vizibilitatea și impactul activității sale în ceea ce privește formatul avizelor, metodologia de monitorizare a avizelor, cooperarea cu Parlamentul și Comisia și alte proiecte cu caracter transversal, precum și inițiativele inovatoare, cum ar fi testul UE pentru tineret, inițiativa privind membrii din țările candidate la extindere și Platforma europeană a părților interesate privind economia circulară, printre altele;</w:t>
      </w:r>
    </w:p>
    <w:p w14:paraId="33940A5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16.</w:t>
      </w:r>
      <w:r w:rsidRPr="00A94F31">
        <w:rPr>
          <w:b/>
          <w:i/>
          <w:kern w:val="2"/>
          <w14:ligatures w14:val="standardContextual"/>
        </w:rPr>
        <w:tab/>
      </w:r>
      <w:r w:rsidRPr="00A94F31">
        <w:rPr>
          <w:kern w:val="2"/>
          <w14:ligatures w14:val="standardContextual"/>
        </w:rPr>
        <w:t>salută inițiativele întreprinse de Comitet care vizează promovarea implicării active a tinerilor în procesul de elaborare a politicilor;</w:t>
      </w:r>
    </w:p>
    <w:p w14:paraId="515CCE65"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17.</w:t>
      </w:r>
      <w:r w:rsidRPr="00A94F31">
        <w:rPr>
          <w:kern w:val="2"/>
          <w14:ligatures w14:val="standardContextual"/>
        </w:rPr>
        <w:tab/>
        <w:t xml:space="preserve">salută proiectul-pilot pus în aplicare în perioada septembrie 2022-aprilie 2023 cu scopul de a consolida monitorizarea avizelor selectate referitoare la toate instituțiile, 19 avize fiind selectate pentru o monitorizare consolidată în cadrul proiectului respectiv; ia act, pe baza chestionarului, de rezultatele generale pozitive ale acestui proiect-pilot, cum ar fi îmbunătățirea capacității Comitetului de a întreprinde acțiuni de monitorizare, stabilirea mai eficientă de priorități în activitatea Comitetului și creșterea diseminării și </w:t>
      </w:r>
      <w:r w:rsidRPr="00A94F31">
        <w:rPr>
          <w:kern w:val="2"/>
          <w14:ligatures w14:val="standardContextual"/>
        </w:rPr>
        <w:lastRenderedPageBreak/>
        <w:t>a impactului avizelor selectate;</w:t>
      </w:r>
    </w:p>
    <w:p w14:paraId="7066D40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18.</w:t>
      </w:r>
      <w:r w:rsidRPr="00A94F31">
        <w:rPr>
          <w:kern w:val="2"/>
          <w14:ligatures w14:val="standardContextual"/>
        </w:rPr>
        <w:tab/>
        <w:t>subliniază că gestionarea eficientă a resurselor limitate a rămas o problemă majoră pe parcursul anului 2023, din cauza constrângerilor de personal, agravate de intensificarea activităților în cadrul unei politici stabile și continue de personal; ia act de planul Comitetului de a introduce o nouă abordare în ceea ce privește planificarea strategică a forței de muncă și alocarea personalului, valorificând colectarea de date privind competențele personalului, ascultarea activă în cadrul organizației și reflecțiile asupra priorităților strategice ale organismelor politice ale Comitetului; invită Comitetul să informeze Parlamentul cu privire la rezultatul acestui nou plan, deoarece acest lucru ar putea inspira alte instituții care se confruntă cu dificultăți similare și recurente în ceea ce privește resursele;</w:t>
      </w:r>
    </w:p>
    <w:p w14:paraId="33E0FA7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19.</w:t>
      </w:r>
      <w:r w:rsidRPr="00A94F31">
        <w:rPr>
          <w:kern w:val="2"/>
          <w14:ligatures w14:val="standardContextual"/>
        </w:rPr>
        <w:tab/>
        <w:t>constată, în ceea ce privește standardele de control intern (SCI), că exercițiul de conformitate din 2023 a arătat îmbunătățiri față de 2022; observă, în acest context, că gradul de conformitate, și anume măsura în care sunt puse în aplicare cerințele celor 16 SCI, a crescut de la 80,30 % în 2022 la 87,40 % în 2023, în timp ce eficacitatea, și anume măsura în care aplicarea măsurilor funcționează conform intențiilor, a crescut de la 74 % în 2022 la 78,10 % în 2023; remarcă, de asemenea, că exercițiul anual de evaluare a riscurilor din 2023 a arătat că aplicarea controalelor interne a redus riscurile inerente (la categoria „critic” și „foarte important”) cu 53 %, de la 40 la 19, în 2023;</w:t>
      </w:r>
    </w:p>
    <w:p w14:paraId="58F6879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20.</w:t>
      </w:r>
      <w:r w:rsidRPr="00A94F31">
        <w:rPr>
          <w:b/>
          <w:i/>
          <w:kern w:val="2"/>
          <w14:ligatures w14:val="standardContextual"/>
        </w:rPr>
        <w:tab/>
      </w:r>
      <w:r w:rsidRPr="00A94F31">
        <w:rPr>
          <w:kern w:val="2"/>
          <w14:ligatures w14:val="standardContextual"/>
        </w:rPr>
        <w:t>ia act de faptul că, în 2023, a avut loc o restructurare a Serviciului de Audit Intern (IAS), întărind conformitatea acestuia cu standardele internaționale de audit și raționalizând și documentând întregul său proces;</w:t>
      </w:r>
    </w:p>
    <w:p w14:paraId="04BD9C0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21.</w:t>
      </w:r>
      <w:r w:rsidRPr="00A94F31">
        <w:rPr>
          <w:kern w:val="2"/>
          <w14:ligatures w14:val="standardContextual"/>
        </w:rPr>
        <w:tab/>
        <w:t>constată că, în domeniul tranzacțiilor financiare, Serviciul de Audit Intern (SAI) al Comitetului a adoptat o nouă decizie privind evaluarea riscurilor pentru implementarea unei proceduri simplificate la începutul anului 2023; observă, de asemenea, că Biroul Comitetului a adoptat în 2023 o nouă cartă de audit intern și o cartă a comitetului de audit care include norme procedurale;</w:t>
      </w:r>
    </w:p>
    <w:p w14:paraId="79188EE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22.</w:t>
      </w:r>
      <w:r w:rsidRPr="00A94F31">
        <w:rPr>
          <w:kern w:val="2"/>
          <w14:ligatures w14:val="standardContextual"/>
        </w:rPr>
        <w:tab/>
        <w:t>constată, pe baza raportului anual și a chestionarului, că, în 2023, SAI a lansat patru audituri, și anume privind autorizarea reuniunilor, selectarea Comisiei consultative pentru mutații industriale, ciclul strategic și indemnizațiile de durată și de distanță pentru membrii Comitetului; invită Comitetul să informeze autoritatea care acordă descărcarea de gestiune despre rezultatul acestor audituri și să implementeze toate recomandările deschise rezultate din auditurile anterioare (privind termenele instituționale, interpretarea, verificarea, etica și integritatea, drepturile statutare și termenele de plată);</w:t>
      </w:r>
    </w:p>
    <w:p w14:paraId="3E2E9772" w14:textId="77777777" w:rsidR="00A94F31" w:rsidRPr="00A94F31" w:rsidRDefault="00A94F31" w:rsidP="007048CD">
      <w:pPr>
        <w:spacing w:after="240"/>
        <w:ind w:left="567" w:hanging="567"/>
        <w:rPr>
          <w:b/>
          <w:i/>
          <w:kern w:val="2"/>
          <w14:ligatures w14:val="standardContextual"/>
        </w:rPr>
      </w:pPr>
      <w:r w:rsidRPr="00A94F31">
        <w:rPr>
          <w:b/>
          <w:i/>
          <w:kern w:val="2"/>
          <w14:ligatures w14:val="standardContextual"/>
        </w:rPr>
        <w:t>Resursele umane, egalitatea și starea de bine a personalului</w:t>
      </w:r>
    </w:p>
    <w:p w14:paraId="1C74C95B"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23.</w:t>
      </w:r>
      <w:r w:rsidRPr="00A94F31">
        <w:rPr>
          <w:kern w:val="2"/>
          <w14:ligatures w14:val="standardContextual"/>
        </w:rPr>
        <w:tab/>
        <w:t>constată că, la sfârșitul anului 2023, Comitetul avea în total 707 angajați, comparativ cu 706 în 2022; reține, de asemenea, că, în 2023, au fost angajați 49 de agenți contractuali și 130 de agenți temporari (din care 52 au fost recrutați în 2023), față de 50 de agenți contractuali și 128 de agenți temporari în 2022; constată, în plus, că Comitetul a angajat 12 agenți interimari și 10 angajați externi care lucrează la sediu, în afara furnizorilor externi de servicii din domeniul logisticii și al IT; ia act de faptul că rata de ocupare a fost de 95,50 % în 2023, comparativ cu 95,10 % în 2022, iar rata de rotație a personalului a fost de 7 % în 2023;</w:t>
      </w:r>
    </w:p>
    <w:p w14:paraId="475D72D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lastRenderedPageBreak/>
        <w:t>24.</w:t>
      </w:r>
      <w:r w:rsidRPr="00A94F31">
        <w:rPr>
          <w:kern w:val="2"/>
          <w14:ligatures w14:val="standardContextual"/>
        </w:rPr>
        <w:tab/>
        <w:t>salută eforturile continue ale Comitetului de a-și îmbunătăți cadrul privind resursele umane pentru a deveni un angajator atractiv ce oferă locuri de muncă unde fiecare persoană este apreciată și își poate dezvolta pe deplin potențialul; constată că, în cadrul implementării strategiei sale în materie de resurse umane pentru perioada 2023-2025, Comitetul a îndeplinit mai multe etape-cheie în 2023, adoptând noi decizii privind condițiile de muncă (munca hibridă, orele suplimentare, concediul special), strategia privind diversitatea și incluziunea și planul de acțiune pentru perioada 2023-2027, mobilitatea personalului și metodologia privind posturile sensibile, precum și privind sistemul de evaluare și promovare a personalului, printre altele; ia act cu satisfacție de rezultatele pozitive ale sondajului privind satisfacția personalului, publicat în mai 2023, în care atât angajații, cât și cadrele de conducere au exprimat niveluri ridicate de satisfacție privind diverse aspecte legate de resursele umane, în special de formulele de lucru, domeniu unde Comitetul pare să fi găsit echilibrul perfect;</w:t>
      </w:r>
    </w:p>
    <w:p w14:paraId="670B6038"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25.</w:t>
      </w:r>
      <w:r w:rsidRPr="00A94F31">
        <w:rPr>
          <w:kern w:val="2"/>
          <w14:ligatures w14:val="standardContextual"/>
        </w:rPr>
        <w:tab/>
        <w:t>observă că, pentru al doilea an consecutiv, Comitetul a devenit un importator net de talente (din alte instituții), ca urmare a introducerii unui plan specific de atractivitate a locului de muncă și de păstrare a angajaților; recunoaște, cu toate acestea, dificultățile persistente cauzate de dependența de agenți temporari în contextul unui deficit de liste de rezervă ale EPSO (Oficiul European pentru Selecția Personalului), ceea ce prezintă riscuri legate de păstrarea competențelor; subliniază importanța personalului permanent în menținerea competențelor, a continuității și a unui mediu de lucru productiv; recomandă Comitetului să pună în aplicare inițiative pentru a răspunde acestor dificultăți, de exemplu organizând concursuri interne;</w:t>
      </w:r>
    </w:p>
    <w:p w14:paraId="3A77347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26.</w:t>
      </w:r>
      <w:r w:rsidRPr="00A94F31">
        <w:rPr>
          <w:kern w:val="2"/>
          <w14:ligatures w14:val="standardContextual"/>
        </w:rPr>
        <w:tab/>
        <w:t>observă că, în vederea unei mai bune distribuiri a resurselor sale limitate, în 2023 a fost finalizat un audit extern de cartografiere a resurselor umane, comandat de Comitet; constată cu îngrijorare că rezultatele acestui audit au confirmat volumul mare de muncă al multor servicii diferite din Comitet, punând astfel în pericol îndeplinirea misiunii și a obligațiilor sale; invită Comitetul să pună în aplicare recomandările auditului, inclusiv să revizuiască sistemul de evaluare și performanță până în 2025, să adopte noua decizie privind condițiile de muncă și să monitorizeze periodic angajamentul personalului; subliniază importanța planificării strategice a forței de muncă pentru a optimiza alocarea resurselor, pentru a asigura alinierea la prioritățile la nivel înalt stabilite de autoritățile politice și pentru a-și continua eforturile de eficiență din punctul de vedere al costurilor și de optimizare;</w:t>
      </w:r>
    </w:p>
    <w:p w14:paraId="0A237C5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27.</w:t>
      </w:r>
      <w:r w:rsidRPr="00A94F31">
        <w:rPr>
          <w:kern w:val="2"/>
          <w14:ligatures w14:val="standardContextual"/>
        </w:rPr>
        <w:tab/>
        <w:t xml:space="preserve">constată că, în 2023, au continuat tendințele pozitive inițiate în 2022 în ceea ce privește recrutarea de personal; felicită Comitetul pentru acțiunile întreprinse în acest domeniu, cum ar fi alinierea publicării posturilor vacante la publicarea noilor liste de rezervă EPSO sau publicarea oportunităților de angajare pe site-ul internet al Comitetului și pe </w:t>
      </w:r>
      <w:proofErr w:type="spellStart"/>
      <w:r w:rsidRPr="00A94F31">
        <w:rPr>
          <w:kern w:val="2"/>
          <w14:ligatures w14:val="standardContextual"/>
        </w:rPr>
        <w:t>LinkedIn</w:t>
      </w:r>
      <w:proofErr w:type="spellEnd"/>
      <w:r w:rsidRPr="00A94F31">
        <w:rPr>
          <w:kern w:val="2"/>
          <w14:ligatures w14:val="standardContextual"/>
        </w:rPr>
        <w:t>, printre altele; solicită Comitetului să informeze Parlamentul despre rezultatul proiectului-pilot privind activitățile de promovare a imaginii sale ca angajator; subliniază că integrarea noilor angajați constituie un factor important al alinierii strategice, garantând faptul că personalul este informat cu privire la normele și strategiile adoptate în cadrul unei instituții; felicită Comitetul pentru consolidarea integrării noilor angajați în 2023 prin intermediul unei broșuri de bun venit actualizate și al unei scrisori de informare, al unui pachet de bun venit cu cadouri ecologice, al unui circuit de feedback privind experiența de integrare, al unui calendar îmbunătățit al sesiunilor de primire, al unui spațiu reamenajat pentru colegii nou-veniți și al unor sfaturi de integrare pentru manageri;</w:t>
      </w:r>
    </w:p>
    <w:p w14:paraId="0E65CC4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28.</w:t>
      </w:r>
      <w:r w:rsidRPr="00A94F31">
        <w:rPr>
          <w:kern w:val="2"/>
          <w14:ligatures w14:val="standardContextual"/>
        </w:rPr>
        <w:tab/>
        <w:t xml:space="preserve">reamintește că Comitetul a adoptat Decizia 282/23A, cu efect de la 1 ianuarie 2024, care </w:t>
      </w:r>
      <w:r w:rsidRPr="00A94F31">
        <w:rPr>
          <w:kern w:val="2"/>
          <w14:ligatures w14:val="standardContextual"/>
        </w:rPr>
        <w:lastRenderedPageBreak/>
        <w:t>stabilește o politică de muncă hibridă flexibilă, bazată pe încredere, oferind în același timp personalului un echilibru mai bun între viața profesională și cea privată și îmbunătățind adaptabilitatea și eficiența; solicită Comitetului să informeze în timp util autoritatea care acordă descărcarea de gestiune cu privire la evoluțiile în acest caz;</w:t>
      </w:r>
    </w:p>
    <w:p w14:paraId="725B96BD"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29.</w:t>
      </w:r>
      <w:r w:rsidRPr="00A94F31">
        <w:rPr>
          <w:kern w:val="2"/>
          <w14:ligatures w14:val="standardContextual"/>
        </w:rPr>
        <w:tab/>
        <w:t>salută numirea unei femei în funcția de secretar general în ianuarie 2024, ca o evoluție pozitivă în direcția realizării echilibrului de gen; regretă, cu toate acestea, că procentul femeilor în posturi de conducere de nivel superior a continuat să fie scăzut în 2023, doar două din șapte posturi de conducere de nivel superior fiind ocupate în prezent de femei; salută, cu toate acestea, faptul că Comitetul consideră că echilibrul de gen în rândul personalului său și, în special, la nivelul conducerii superioare, este un factor important și invită Comitetul să îmbunătățească rapid situația la cele mai înalte niveluri ale sale, asigurând o reprezentare echilibrată în conformitate cu angajamentele pe care le-a luat privind diversitatea și incluziunea;</w:t>
      </w:r>
    </w:p>
    <w:p w14:paraId="3EB2B8A9"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30.</w:t>
      </w:r>
      <w:r w:rsidRPr="00A94F31">
        <w:rPr>
          <w:kern w:val="2"/>
          <w14:ligatures w14:val="standardContextual"/>
        </w:rPr>
        <w:tab/>
        <w:t>regretă că Comitetul nu a fost în măsură să furnizeze date privind cazurile de epuizare profesională în 2023 și respinge poziția sa exprimată în raportul său de monitorizare, potrivit căreia epuizarea profesională ca atare nu este un diagnostic medical recunoscut și că motivele epuizării profesionale pot fi multiple; reamintește importanța datelor statistice privind epuizarea profesională, cu scopul de a contribui la luarea deciziilor privind starea de bine a personalului, care ar trebui să se bazeze, de asemenea, pe lecțiile învățate din experiențele negative din trecut, precum și pe evaluările externe ale cadrului actual; recunoaște constrângerile în materie de protecție a datelor, dar subliniază valoarea datelor statistice anonimizate pentru a sprijini deciziile manageriale în cunoștință de cauză; ia act cu îngrijorare de constatările care evidențiază volumul mare de muncă în mai multe servicii din cauza resurselor umane limitate; salută adoptarea unor noi modalități de lucru ca o evoluție pozitivă, dar încurajează Comitetul să ia măsuri suplimentare pentru a asigura publicarea datelor anonimizate privind cazurile de extenuare;</w:t>
      </w:r>
    </w:p>
    <w:p w14:paraId="696309BA"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31.</w:t>
      </w:r>
      <w:r w:rsidRPr="00A94F31">
        <w:rPr>
          <w:kern w:val="2"/>
          <w14:ligatures w14:val="standardContextual"/>
        </w:rPr>
        <w:tab/>
        <w:t>constată că, în 2023, Comitetul avea personal din toate statele membre, unele fiind suprareprezentate (de exemplu Belgia, Italia); observă că, în 2023, 24 % din cadrele de conducere angajate de Comitet proveneau din cele 13 state membre care au aderat la Uniune după 2004, ceea ce reprezintă o ușoară creștere în comparație cu 21 % în 2022 și 19 % în 2021; încurajează din nou Comitetul să continue măsurile pentru a asigura un echilibru geografic adecvat în rândul personalului său, cu un accent deosebit la nivelul conducerii;</w:t>
      </w:r>
    </w:p>
    <w:p w14:paraId="177918B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32.</w:t>
      </w:r>
      <w:r w:rsidRPr="00A94F31">
        <w:rPr>
          <w:kern w:val="2"/>
          <w14:ligatures w14:val="standardContextual"/>
        </w:rPr>
        <w:tab/>
        <w:t>salută eforturile Comitetului de a crea un mediu de lucru sănătos pentru angajați; salută, în special, accentul pus de Comitet pe sănătatea mintală și fizică a personalului, precum și eforturile depuse în ceea ce privește sensibilizarea cu privire la aspectele legate de sănătate; ia act de măsurile Comitetului privind gestionarea concediului medical, programul de lucru medical cu fracțiune de normă și munca la distanță prelungită, pentru a se asigura că personalul aflat în concediu de boală pe termen lung se întoarce la locul de muncă în ritmul potrivit, precum și o creștere a procentului de personal fără absențe, de la 27 % în 2022 la 30 % în 2023; observă cu satisfacție că, în 2023, Comitetul a organizat o campanie gratuită de screening pentru cancerul de piele la sediul Comitetului, în cadrul căreia 104 angajați au fost consultați de dermatologi externi pe parcursul a patru zile;</w:t>
      </w:r>
    </w:p>
    <w:p w14:paraId="1BB5C66D" w14:textId="77777777" w:rsidR="00A94F31" w:rsidRPr="00A94F31" w:rsidRDefault="00A94F31" w:rsidP="007048CD">
      <w:pPr>
        <w:spacing w:after="240"/>
        <w:ind w:left="567" w:hanging="567"/>
        <w:rPr>
          <w:b/>
          <w:i/>
          <w:kern w:val="2"/>
          <w14:ligatures w14:val="standardContextual"/>
        </w:rPr>
      </w:pPr>
      <w:r w:rsidRPr="00A94F31">
        <w:rPr>
          <w:b/>
          <w:i/>
          <w:kern w:val="2"/>
          <w14:ligatures w14:val="standardContextual"/>
        </w:rPr>
        <w:t>Cadrul etic și transparența</w:t>
      </w:r>
    </w:p>
    <w:p w14:paraId="278A01F1"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lastRenderedPageBreak/>
        <w:t>33.</w:t>
      </w:r>
      <w:r w:rsidRPr="00A94F31">
        <w:rPr>
          <w:kern w:val="2"/>
          <w14:ligatures w14:val="standardContextual"/>
        </w:rPr>
        <w:tab/>
        <w:t>salută adoptarea noii strategii privind diversitatea și incluziunea, care este în vigoare până în 2027; salută acțiunile specifice de sensibilizare cu privire la dizabilități întreprinse la începutul anului 2024; constată cu satisfacție că formarea în materie de diversitate și incluziune rămâne obligatorie pentru manageri și recomandată pentru personal; recunoaște angajamentul ferm al Comitetului de a promova un loc de muncă pe deplin incluziv; încurajează Comitetul să ia măsuri suplimentare pentru a monitoriza reprezentarea angajaților cu dizabilități și pentru a asigura publicarea datelor anonimizate în acest sens;</w:t>
      </w:r>
    </w:p>
    <w:p w14:paraId="747932D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34.</w:t>
      </w:r>
      <w:r w:rsidRPr="00A94F31">
        <w:rPr>
          <w:kern w:val="2"/>
          <w14:ligatures w14:val="standardContextual"/>
        </w:rPr>
        <w:tab/>
        <w:t>constată că Comitetul și-a continuat procesul de reformă internă prin adoptarea, în 2023, a unei decizii referitoare la dispozițiile generale de punere în aplicare privind anchetele administrative și normele de punere în aplicare a procedurilor disciplinare; felicită Comitetul pentru că a făcut acest ultim pas necesar pentru a pune pe deplin în aplicare măsurile vizând consolidarea unui cadru etic al Comitetului; constată, pe baza raportului de monitorizare, că Comitetul și auditorul intern au convenit asupra unui plan de acțiune referitor la auditul eticii și integrității Comitetului, opt recomandări fiind implementate și închise, iar două recomandări fiind încă deschise pentru a fi implementate până în martie 2025; solicită Comitetului să informeze în permanență autoritatea care acordă descărcarea de gestiune despre progresele înregistrate în această chestiune;</w:t>
      </w:r>
    </w:p>
    <w:p w14:paraId="689F8BF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35.</w:t>
      </w:r>
      <w:r w:rsidRPr="00A94F31">
        <w:rPr>
          <w:kern w:val="2"/>
          <w14:ligatures w14:val="standardContextual"/>
        </w:rPr>
        <w:tab/>
        <w:t>observă că, în 2023, Comitetul a continuat să formeze personalul și să crească gradul de conștientizare cu privire la subiecte legate de avertizarea în interes public, conflictele de interese și alte aspecte etice: ia act, în acest context, cu satisfacție de rezultatele sondajului efectuat în 2023 privind implicarea personalului, care arată o rată ridicată de conștientizare în rândul angajaților cu privire la cadrul etic al Comitetului, în special la rețelele de consilieri confidențiali (93 %) și de consilieri în materie de etică (83 %); observă că, în 2023, Comitetul a organizat 12 sesiuni de formare pe aceste teme, cu participarea totală a 79 de angajați; felicită Comitetul pentru organizarea cursurilor de formare obligatorii privind respectul și demnitatea la locul de muncă pentru întregul personal, inclusiv pentru cadrele de conducere;</w:t>
      </w:r>
    </w:p>
    <w:p w14:paraId="4BC8548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36.</w:t>
      </w:r>
      <w:r w:rsidRPr="00A94F31">
        <w:rPr>
          <w:kern w:val="2"/>
          <w14:ligatures w14:val="standardContextual"/>
        </w:rPr>
        <w:tab/>
        <w:t>observă că, în 2023, a fost raportată o plângere de hărțuire, care a fost închisă în același an, ca urmare a anchetei și medierii de către Comitet, fără a fi impuse sancțiuni; reamintește că Comitetul este parte civilă în procedura judiciară în curs inițiată de autoritățile naționale belgiene împotriva unui fost membru acuzat de abatere, aflată în prezent în fața instanței belgiene pentru pronunțarea unei hotărâri; invită Comitetul să informeze Parlamentul cu privire la evoluția acestui caz; consideră că promovarea unei culturi a respectului și a demnității, susținută de o politică de toleranță zero față de hărțuire, este esențială pentru a preveni acuzațiile viitoare și pentru a asigura un mediu de lucru sigur și incluziv în cadrul Comitetului;</w:t>
      </w:r>
    </w:p>
    <w:p w14:paraId="5F5F6674"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37.</w:t>
      </w:r>
      <w:r w:rsidRPr="00A94F31">
        <w:rPr>
          <w:kern w:val="2"/>
          <w14:ligatures w14:val="standardContextual"/>
        </w:rPr>
        <w:tab/>
        <w:t>reiterează că este necesară o politică de toleranță zero împotriva hărțuirii pentru a proteja starea de bine a personalului și că aceasta este o datorie a oricărui angajator; reamintește că, în ceea ce privește plângerile de hărțuire, ar trebui pusă în aplicare o abordare bazată pe lecțiile învățate pentru a evita orice posibile nereguli; consideră, în continuare, că o anchetă externă și independentă a cazului aflat în prezent în procedură judiciară ar fi benefică pentru îmbunătățirea reacției Comitetului la cazuri similare;</w:t>
      </w:r>
    </w:p>
    <w:p w14:paraId="69EA5EC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38.</w:t>
      </w:r>
      <w:r w:rsidRPr="00A94F31">
        <w:rPr>
          <w:kern w:val="2"/>
          <w14:ligatures w14:val="standardContextual"/>
        </w:rPr>
        <w:tab/>
        <w:t xml:space="preserve">apreciază disponibilitatea Comitetului de a coopera cu organele de anchetă ale Uniunii, și anume cu Oficiul European de Luptă Antifraudă (OLAF), cu Parchetul European (EPPO) și cu Ombudsmanul; observă că două cazuri ale OLAF au fost deschise în 2023, ambele fiind respinse în același an: unul pentru lipsa unor dovezi suficiente, iar celălalt </w:t>
      </w:r>
      <w:r w:rsidRPr="00A94F31">
        <w:rPr>
          <w:kern w:val="2"/>
          <w14:ligatures w14:val="standardContextual"/>
        </w:rPr>
        <w:lastRenderedPageBreak/>
        <w:t>a fost înaintat Comitetului pentru monitorizare; solicită Comitetului să informeze în permanență autoritatea care acordă descărcarea de gestiune despre progresele înregistrate în acest al doilea caz; constată și că Ombudsmanul a deschis o anchetă în 2023 în legătură cu gestionarea unui caz care implică acuzații de hărțuire; invită Comitetul să informeze autoritatea care acordă descărcarea de gestiune cu privire la rezultatul acestei anchete;</w:t>
      </w:r>
    </w:p>
    <w:p w14:paraId="5F440FE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39.</w:t>
      </w:r>
      <w:r w:rsidRPr="00A94F31">
        <w:rPr>
          <w:kern w:val="2"/>
          <w14:ligatures w14:val="standardContextual"/>
        </w:rPr>
        <w:tab/>
        <w:t>ia act cu satisfacție de activitatea Comitetului în vederea creșterii transparenței activităților sale în 2023; ia act, în acest context, de adoptarea unei decizii de extindere a gamei de documente disponibile online prin intermediul registrului de transparență, cum ar fi procesele-verbale ale reuniunilor Comitetului și listele de prezență, precum și a unei decizii prin care se solicită membrilor Comitetului să se întâlnească numai cu părțile interesate înregistrate, să își publice lista reuniunilor și să anexeze la avizele lor „amprenta lor legislativă”; apreciază faptul că Comitetul publică online informații privind bugetul său anual, indicatorii de performanță, cheltuielile sau achizițiile publice; solicită publicarea tuturor reuniunilor organizate de membrii CESE cu părți terțe;</w:t>
      </w:r>
    </w:p>
    <w:p w14:paraId="5122EF8D" w14:textId="77777777" w:rsidR="00A94F31" w:rsidRPr="00A94F31" w:rsidRDefault="00A94F31" w:rsidP="007048CD">
      <w:pPr>
        <w:spacing w:after="240"/>
        <w:ind w:left="567" w:hanging="567"/>
        <w:rPr>
          <w:kern w:val="2"/>
          <w:szCs w:val="24"/>
          <w14:ligatures w14:val="standardContextual"/>
        </w:rPr>
      </w:pPr>
      <w:r w:rsidRPr="00A94F31">
        <w:rPr>
          <w:kern w:val="2"/>
          <w14:ligatures w14:val="standardContextual"/>
        </w:rPr>
        <w:t>40.</w:t>
      </w:r>
      <w:r w:rsidRPr="00A94F31">
        <w:rPr>
          <w:kern w:val="2"/>
          <w14:ligatures w14:val="standardContextual"/>
        </w:rPr>
        <w:tab/>
        <w:t>constată cu satisfacție că Comitetul a instituit norme și proceduri solide pentru a preveni conflictele de interese și în scopul evitării practicii „ușilor turnante” pentru angajații care se implică în activități externe sau membrii care ocupă un loc de muncă după ce nu mai sunt membri ai Comitetului; constată, în acest context, că Comitetul a introdus un nou „Formular de declarație de interese financiare” în 2023; observă că formularul trebuie completat de membri, delegați, supleanți și consilieri, atât pentru posturile sau activitățile lor remunerate, cât și neremunerate, în afara Comitetului; felicită, de asemenea, Comitetul pentru implicarea sa în 2023 în negocierile politice pentru crearea organismului interinstituțional de etică însărcinat cu stabilirea unor standarde etice pentru a consolida transparența și integritatea;</w:t>
      </w:r>
    </w:p>
    <w:p w14:paraId="444CDDD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41.</w:t>
      </w:r>
      <w:r w:rsidRPr="00A94F31">
        <w:rPr>
          <w:kern w:val="2"/>
          <w14:ligatures w14:val="standardContextual"/>
        </w:rPr>
        <w:tab/>
        <w:t>constată că, la 21 martie 2023, Biroul Comitetului a adoptat mai multe măsuri în materie de transparență, în conformitate cu principiile prevăzute în ceea ce privește registrul de transparență al UE, precum o recomandare ca membrii în exercițiu să se întâlnească doar cu părți interesate înregistrate, obligația ca membrii în exercițiu să își publice listele de ședințe și o „amprentă legislativă” voluntară pentru raportori; ia act de faptul că au fost întreprinse mai multe acțiuni pentru a pune în aplicare decizia Biroului, inclusiv emiterea unei note de serviciu care să stabilească modalitățile practice de punere în aplicare a deciziei, o campanie de cursuri de sensibilizare și dispozițiile privind modelele de mesaje care urmează să fie incluse în corespondența dintre membrii Comitetului și părțile interesate externe care încurajează aderarea la Registrul de transparență al UE (dacă este cazul);</w:t>
      </w:r>
    </w:p>
    <w:p w14:paraId="53E8923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42.</w:t>
      </w:r>
      <w:r w:rsidRPr="00A94F31">
        <w:rPr>
          <w:kern w:val="2"/>
          <w14:ligatures w14:val="standardContextual"/>
        </w:rPr>
        <w:tab/>
        <w:t>îndeamnă CESE să pună în aplicare urmărirea în timp real a conflictelor de interese declarate, solicitând tuturor membrilor și personalului de conducere să facă publice anual interesele financiare, activele și afilierile externe, pentru a preveni influența nejustificată asupra procesului decizional;</w:t>
      </w:r>
    </w:p>
    <w:p w14:paraId="1C3D6E5E"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43.</w:t>
      </w:r>
      <w:r w:rsidRPr="00A94F31">
        <w:rPr>
          <w:kern w:val="2"/>
          <w14:ligatures w14:val="standardContextual"/>
        </w:rPr>
        <w:tab/>
        <w:t xml:space="preserve">constată absența cazurilor în domeniul fraudei, al conflictelor de interese și al avertizării în interes public în 2023; observă că s-a revizuit eficacitatea măsurilor antifraudă ale Comitetului cu scopul de a se elabora o strategie antifraudă care încă lipsește, deși Parlamentul a solicitat în mod repetat, în rezoluțiile sale de descărcare de gestiune, să se ia măsuri pentru a îmbunătăți sistemul general antifraudă; reamintește importanța unei strategii antifraudă cuprinzătoare și invită Comitetul să țină la curent autoritatea care acordă descărcarea de gestiune cu privire la rezultatul acestui exercițiu, care ar fi trebuit </w:t>
      </w:r>
      <w:r w:rsidRPr="00A94F31">
        <w:rPr>
          <w:kern w:val="2"/>
          <w14:ligatures w14:val="standardContextual"/>
        </w:rPr>
        <w:lastRenderedPageBreak/>
        <w:t>să conducă la adoptarea unei strategii antifraudă în 2024;</w:t>
      </w:r>
    </w:p>
    <w:p w14:paraId="7BBFDCB1" w14:textId="77777777" w:rsidR="00A94F31" w:rsidRPr="00A94F31" w:rsidRDefault="00A94F31" w:rsidP="007048CD">
      <w:pPr>
        <w:spacing w:after="240"/>
        <w:ind w:left="567" w:hanging="567"/>
        <w:rPr>
          <w:b/>
          <w:i/>
          <w:kern w:val="2"/>
          <w:szCs w:val="24"/>
          <w14:ligatures w14:val="standardContextual"/>
        </w:rPr>
      </w:pPr>
      <w:r w:rsidRPr="00A94F31">
        <w:rPr>
          <w:b/>
          <w:i/>
          <w:kern w:val="2"/>
          <w14:ligatures w14:val="standardContextual"/>
        </w:rPr>
        <w:t>Digitalizarea, securitatea cibernetică și protecția datelor</w:t>
      </w:r>
    </w:p>
    <w:p w14:paraId="0A827C9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44.</w:t>
      </w:r>
      <w:r w:rsidRPr="00A94F31">
        <w:rPr>
          <w:kern w:val="2"/>
          <w14:ligatures w14:val="standardContextual"/>
        </w:rPr>
        <w:tab/>
        <w:t xml:space="preserve">constată că bugetul combinat al Comitetului și al </w:t>
      </w:r>
      <w:proofErr w:type="spellStart"/>
      <w:r w:rsidRPr="00A94F31">
        <w:rPr>
          <w:kern w:val="2"/>
          <w14:ligatures w14:val="standardContextual"/>
        </w:rPr>
        <w:t>CoR</w:t>
      </w:r>
      <w:proofErr w:type="spellEnd"/>
      <w:r w:rsidRPr="00A94F31">
        <w:rPr>
          <w:kern w:val="2"/>
          <w14:ligatures w14:val="standardContextual"/>
        </w:rPr>
        <w:t xml:space="preserve"> pentru IT a fost de 12 700 000 milioane EUR în 2023, față de 11 712 000 milioane EUR în 2022, ceea ce constituie o creștere de 8,4 %, în timp ce 350 000 EUR din acest buget (sau 3 % din acesta) au fost plătiți pentru securitatea cibernetică în 2023; constată, de asemenea, că 6,24 % din bugetul total al Comitetului pentru 2023 a reprezentat cheltuieli pentru acțiuni de implementare a noii „Strategii digitale 2024-2026” (DS2026), pregătite de Direcția comună pentru inovare și tehnologia informației (DIIT) în 2023;</w:t>
      </w:r>
    </w:p>
    <w:p w14:paraId="4AF39F3A"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45.</w:t>
      </w:r>
      <w:r w:rsidRPr="00A94F31">
        <w:rPr>
          <w:kern w:val="2"/>
          <w14:ligatures w14:val="standardContextual"/>
        </w:rPr>
        <w:tab/>
        <w:t xml:space="preserve">observă că DS2026 preconizează un viitor în care tehnologia se integrează în misiunea principală a Comitetului, axându-se pe eficiență, viteză și evoluție digitală continuă, plasând atât administrația, cât și membrii în centrul transformării digitale și vizând îmbunătățirea furnizării de servicii, a capacitării și a adaptabilității; constată că DS2026 este structurată în jurul a opt obiective, opt principii-cheie și patru proiecte majore, cum ar fi adoptarea Ares și </w:t>
      </w:r>
      <w:proofErr w:type="spellStart"/>
      <w:r w:rsidRPr="00A94F31">
        <w:rPr>
          <w:kern w:val="2"/>
          <w14:ligatures w14:val="standardContextual"/>
        </w:rPr>
        <w:t>EdiT</w:t>
      </w:r>
      <w:proofErr w:type="spellEnd"/>
      <w:r w:rsidRPr="00A94F31">
        <w:rPr>
          <w:kern w:val="2"/>
          <w14:ligatures w14:val="standardContextual"/>
        </w:rPr>
        <w:t>, care se preconizează că vor fi introduse în 2026 și, respectiv, în 2025; ia act cu satisfacție, pe baza chestionarului, de progresele înregistrate de DIIT în implementarea DS2026 în 2023, datorită măsurilor întreprinse, cum ar fi adoptarea orientărilor personalului privind inteligența artificială, integrarea fluxurilor de lucru pentru amendamente cu instrumentele de traducere și înființarea unui birou de gestionare a proiectelor, printre multe altele;</w:t>
      </w:r>
    </w:p>
    <w:p w14:paraId="7F30482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46.</w:t>
      </w:r>
      <w:r w:rsidRPr="00A94F31">
        <w:rPr>
          <w:kern w:val="2"/>
          <w14:ligatures w14:val="standardContextual"/>
        </w:rPr>
        <w:tab/>
        <w:t xml:space="preserve">ia act, pe baza raportului anual, de acțiunile Comitetului în domeniul protecției datelor cu caracter personal și al prelucrării acestora; observă că, în 2023, Comitetul a creat o nouă versiune online a registrului său de evidențe și un nou registru comun de evidențe împreună cu </w:t>
      </w:r>
      <w:proofErr w:type="spellStart"/>
      <w:r w:rsidRPr="00A94F31">
        <w:rPr>
          <w:kern w:val="2"/>
          <w14:ligatures w14:val="standardContextual"/>
        </w:rPr>
        <w:t>CoR</w:t>
      </w:r>
      <w:proofErr w:type="spellEnd"/>
      <w:r w:rsidRPr="00A94F31">
        <w:rPr>
          <w:kern w:val="2"/>
          <w14:ligatures w14:val="standardContextual"/>
        </w:rPr>
        <w:t xml:space="preserve">, în timp ce prima avea 121 de evidențe, iar cea de a doua avea 25 de evidențe la sfârșitul anului 2023; constată și că, în 2023, Comitetul a adoptat o nouă procedură de tratare a încălcărilor securității datelor, a publicat un ghid privind protecția datelor și a desfășurat mai multe inițiative de sensibilizare a personalului și a membrilor săi; ia act, în fine, de faptul că Autoritatea Europeană pentru Protecția Datelor a lansat o anchetă în 2023 referitoare la gestionarea unui audit extern și a continuat o anchetă mai veche privind utilizarea de instituțiile Uniunii a serviciilor de </w:t>
      </w:r>
      <w:proofErr w:type="spellStart"/>
      <w:r w:rsidRPr="00A94F31">
        <w:rPr>
          <w:kern w:val="2"/>
          <w14:ligatures w14:val="standardContextual"/>
        </w:rPr>
        <w:t>cloud</w:t>
      </w:r>
      <w:proofErr w:type="spellEnd"/>
      <w:r w:rsidRPr="00A94F31">
        <w:rPr>
          <w:kern w:val="2"/>
          <w14:ligatures w14:val="standardContextual"/>
        </w:rPr>
        <w:t xml:space="preserve">, pe baza contractelor </w:t>
      </w:r>
      <w:proofErr w:type="spellStart"/>
      <w:r w:rsidRPr="00A94F31">
        <w:rPr>
          <w:kern w:val="2"/>
          <w14:ligatures w14:val="standardContextual"/>
        </w:rPr>
        <w:t>Cloud</w:t>
      </w:r>
      <w:proofErr w:type="spellEnd"/>
      <w:r w:rsidRPr="00A94F31">
        <w:rPr>
          <w:kern w:val="2"/>
          <w14:ligatures w14:val="standardContextual"/>
        </w:rPr>
        <w:t> II, în timp ce, pentru ambele anchete, concluziile sunt încă în așteptare; solicită Comitetului să informeze autoritatea care acordă descărcarea de gestiune cu privire la progresele înregistrate în aceste chestiuni;</w:t>
      </w:r>
    </w:p>
    <w:p w14:paraId="7A4C5F45"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47.</w:t>
      </w:r>
      <w:r w:rsidRPr="00A94F31">
        <w:rPr>
          <w:kern w:val="2"/>
          <w14:ligatures w14:val="standardContextual"/>
        </w:rPr>
        <w:tab/>
        <w:t>observă că, în 2023, Comitetul și-a finalizat proiectul de echipare a tuturor sălilor sale de reuniune, în timp ce alte 14 săli similare au fost echipate cu tehnologii care le fac pe deplin operaționale în format hibrid; apreciază faptul că, în 2023, Comitetul a desfășurat toate procedurile de achiziții pentru contracte cu valoare ridicată într-un format complet digitalizat, a utilizat semnătura electronică calificată pentru toate tipurile de acorduri contractuale și a oferit cursuri de formare personalului cu privire la tranziția către sistemul instrumentului de gestionare a achizițiilor publice și către Portalul de finanțare și licitații;</w:t>
      </w:r>
    </w:p>
    <w:p w14:paraId="5EEFE44F"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48.</w:t>
      </w:r>
      <w:r w:rsidRPr="00A94F31">
        <w:rPr>
          <w:kern w:val="2"/>
          <w14:ligatures w14:val="standardContextual"/>
        </w:rPr>
        <w:tab/>
        <w:t>felicită Comitetul pentru acțiunile sale concrete menite să asigure că personalul său dobândește competențele digitale necesare într-un loc de muncă din ce în ce mai digitalizat în 2023; ia act, în acest context, de activitățile, cum ar fi „mini-</w:t>
      </w:r>
      <w:proofErr w:type="spellStart"/>
      <w:r w:rsidRPr="00A94F31">
        <w:rPr>
          <w:kern w:val="2"/>
          <w14:ligatures w14:val="standardContextual"/>
        </w:rPr>
        <w:t>hackatons</w:t>
      </w:r>
      <w:proofErr w:type="spellEnd"/>
      <w:r w:rsidRPr="00A94F31">
        <w:rPr>
          <w:kern w:val="2"/>
          <w14:ligatures w14:val="standardContextual"/>
        </w:rPr>
        <w:t xml:space="preserve">”, organizate în cadrul unei rețele </w:t>
      </w:r>
      <w:r w:rsidRPr="00A94F31">
        <w:rPr>
          <w:i/>
          <w:iCs/>
          <w:kern w:val="2"/>
          <w14:ligatures w14:val="standardContextual"/>
        </w:rPr>
        <w:t>inter </w:t>
      </w:r>
      <w:proofErr w:type="spellStart"/>
      <w:r w:rsidRPr="00A94F31">
        <w:rPr>
          <w:i/>
          <w:iCs/>
          <w:kern w:val="2"/>
          <w14:ligatures w14:val="standardContextual"/>
        </w:rPr>
        <w:t>pares</w:t>
      </w:r>
      <w:proofErr w:type="spellEnd"/>
      <w:r w:rsidRPr="00A94F31">
        <w:rPr>
          <w:kern w:val="2"/>
          <w14:ligatures w14:val="standardContextual"/>
        </w:rPr>
        <w:t xml:space="preserve">, instituite împreună cu </w:t>
      </w:r>
      <w:proofErr w:type="spellStart"/>
      <w:r w:rsidRPr="00A94F31">
        <w:rPr>
          <w:kern w:val="2"/>
          <w14:ligatures w14:val="standardContextual"/>
        </w:rPr>
        <w:t>CoR</w:t>
      </w:r>
      <w:proofErr w:type="spellEnd"/>
      <w:r w:rsidRPr="00A94F31">
        <w:rPr>
          <w:kern w:val="2"/>
          <w14:ligatures w14:val="standardContextual"/>
        </w:rPr>
        <w:t xml:space="preserve">, pentru a promova o mai bună utilizare și înțelegere a instrumentelor digitale de colaborare, </w:t>
      </w:r>
      <w:r w:rsidRPr="00A94F31">
        <w:rPr>
          <w:kern w:val="2"/>
          <w14:ligatures w14:val="standardContextual"/>
        </w:rPr>
        <w:lastRenderedPageBreak/>
        <w:t xml:space="preserve">precum și îndrumare inter </w:t>
      </w:r>
      <w:proofErr w:type="spellStart"/>
      <w:r w:rsidRPr="00A94F31">
        <w:rPr>
          <w:kern w:val="2"/>
          <w14:ligatures w14:val="standardContextual"/>
        </w:rPr>
        <w:t>pares</w:t>
      </w:r>
      <w:proofErr w:type="spellEnd"/>
      <w:r w:rsidRPr="00A94F31">
        <w:rPr>
          <w:kern w:val="2"/>
          <w14:ligatures w14:val="standardContextual"/>
        </w:rPr>
        <w:t xml:space="preserve"> și schimburi de experiență; observă că rezultatul acestor activități a fost integrat în oferta de formare a Comitetului;</w:t>
      </w:r>
    </w:p>
    <w:p w14:paraId="3416897C"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49.</w:t>
      </w:r>
      <w:r w:rsidRPr="00A94F31">
        <w:rPr>
          <w:kern w:val="2"/>
          <w14:ligatures w14:val="standardContextual"/>
        </w:rPr>
        <w:tab/>
        <w:t>ia act de faptul că, în octombrie 2023, au fost adoptate orientări pentru membrii personalului privind utilizarea inteligenței artificiale (IA), că a fost prevăzută o sesiune de informare pentru toți membrii personalului, evidențiind oportunitățile și provocările, și că a fost asigurată o comunicare suplimentară cu membrii personalului prin intermediul unor articole bazate pe cunoaștere de pe intranetul Comitetului pentru a sensibiliza publicul;</w:t>
      </w:r>
    </w:p>
    <w:p w14:paraId="5FA52B44"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50.</w:t>
      </w:r>
      <w:r w:rsidRPr="00A94F31">
        <w:rPr>
          <w:kern w:val="2"/>
          <w14:ligatures w14:val="standardContextual"/>
        </w:rPr>
        <w:tab/>
        <w:t xml:space="preserve">constată că s-a continuat activitatea de adoptare și aplicare a cadrului de securitate cibernetică NIST atât la Comitet, cât și la </w:t>
      </w:r>
      <w:proofErr w:type="spellStart"/>
      <w:r w:rsidRPr="00A94F31">
        <w:rPr>
          <w:kern w:val="2"/>
          <w14:ligatures w14:val="standardContextual"/>
        </w:rPr>
        <w:t>CoR</w:t>
      </w:r>
      <w:proofErr w:type="spellEnd"/>
      <w:r w:rsidRPr="00A94F31">
        <w:rPr>
          <w:kern w:val="2"/>
          <w14:ligatures w14:val="standardContextual"/>
        </w:rPr>
        <w:t xml:space="preserve"> în 2023, iar acțiunile întreprinse anul respectiv s-au axat pe unele dintre principiile acestui cadru, și anume protejarea și detectarea principiilor; observă că strategiile de atenuare sunt implementate utilizându-se cadrul de securitate cibernetică axat pe cele opt strategii esențiale; constată, de asemenea, că, în 2023, Comitetul nu s-a confruntat cu niciun atac cibernetic, dar la sfârșitul anului 2022 și începutul anului 2024 s-a confruntat cu scurte atacuri de tip </w:t>
      </w:r>
      <w:proofErr w:type="spellStart"/>
      <w:r w:rsidRPr="00A94F31">
        <w:rPr>
          <w:kern w:val="2"/>
          <w14:ligatures w14:val="standardContextual"/>
        </w:rPr>
        <w:t>Denial</w:t>
      </w:r>
      <w:proofErr w:type="spellEnd"/>
      <w:r w:rsidRPr="00A94F31">
        <w:rPr>
          <w:kern w:val="2"/>
          <w14:ligatures w14:val="standardContextual"/>
        </w:rPr>
        <w:t xml:space="preserve"> of Service (</w:t>
      </w:r>
      <w:proofErr w:type="spellStart"/>
      <w:r w:rsidRPr="00A94F31">
        <w:rPr>
          <w:kern w:val="2"/>
          <w14:ligatures w14:val="standardContextual"/>
        </w:rPr>
        <w:t>DoS</w:t>
      </w:r>
      <w:proofErr w:type="spellEnd"/>
      <w:r w:rsidRPr="00A94F31">
        <w:rPr>
          <w:kern w:val="2"/>
          <w14:ligatures w14:val="standardContextual"/>
        </w:rPr>
        <w:t>) împotriva site-urilor web ale Comitetului găzduite extern;</w:t>
      </w:r>
    </w:p>
    <w:p w14:paraId="5E79CC0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51.</w:t>
      </w:r>
      <w:r w:rsidRPr="00A94F31">
        <w:rPr>
          <w:kern w:val="2"/>
          <w14:ligatures w14:val="standardContextual"/>
        </w:rPr>
        <w:tab/>
        <w:t>îndeamnă CESE să își majoreze bugetul pentru securitate cibernetică la cel puțin 10 % din totalul cheltuielilor sale informatice, în conformitate cu directivele UE privind securitatea cibernetică, asigurând o protecție mai mare împotriva amenințărilor cibernetice, în special a datelor sensibile legate de chestiuni politice și bugetare;</w:t>
      </w:r>
    </w:p>
    <w:p w14:paraId="01944FAF" w14:textId="77777777" w:rsidR="00A94F31" w:rsidRPr="00A94F31" w:rsidRDefault="00A94F31" w:rsidP="007048CD">
      <w:pPr>
        <w:spacing w:after="240"/>
        <w:ind w:left="567" w:hanging="567"/>
        <w:rPr>
          <w:b/>
          <w:i/>
          <w:kern w:val="2"/>
          <w14:ligatures w14:val="standardContextual"/>
        </w:rPr>
      </w:pPr>
      <w:r w:rsidRPr="00A94F31">
        <w:rPr>
          <w:b/>
          <w:i/>
          <w:kern w:val="2"/>
          <w14:ligatures w14:val="standardContextual"/>
        </w:rPr>
        <w:t>Clădiri</w:t>
      </w:r>
    </w:p>
    <w:p w14:paraId="31C18FB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52.</w:t>
      </w:r>
      <w:r w:rsidRPr="00A94F31">
        <w:rPr>
          <w:kern w:val="2"/>
          <w14:ligatures w14:val="standardContextual"/>
        </w:rPr>
        <w:tab/>
        <w:t xml:space="preserve">confirmă primirea raportului Comitetului din 3 iunie 2024 de informare a autorității care acordă descărcarea de gestiune cu privire la politica imobiliară a Comitetului, în conformitate cu articolul 266 alineatul (1) din Regulamentul financiar al Uniunii; constată cu satisfacție, pe baza acestui raport, că, alături de </w:t>
      </w:r>
      <w:proofErr w:type="spellStart"/>
      <w:r w:rsidRPr="00A94F31">
        <w:rPr>
          <w:kern w:val="2"/>
          <w14:ligatures w14:val="standardContextual"/>
        </w:rPr>
        <w:t>CoR</w:t>
      </w:r>
      <w:proofErr w:type="spellEnd"/>
      <w:r w:rsidRPr="00A94F31">
        <w:rPr>
          <w:kern w:val="2"/>
          <w14:ligatures w14:val="standardContextual"/>
        </w:rPr>
        <w:t>, Comitetul a realizat una dintre prioritățile majore ale strategiei sale imobiliare din 2017, și anume „concentrarea geografică a clădirilor”; observă și că această realizare a adus deja economii din cauza costului mai mic al închirierii întregului VMA, în comparație cu cele trei clădiri închiriate anterior; înțelege că aceste economii sunt de aproximativ 1,8 milioane EUR, ceea ce, potrivit raportului respectiv, este echivalent cu chiria plătită pentru clădirea B100; ia act de faptul că Comitetul lucrează în prezent la actualizarea strategiei sale imobiliare pe termen lung din 2017 și că aceste lucrări ar trebui finalizate până la sfârșitul anului 2025; invită Comitetul să țină la curent autoritatea care acordă descărcarea de gestiune cu privire la rezultatul acestui exercițiu;</w:t>
      </w:r>
    </w:p>
    <w:p w14:paraId="69B34096" w14:textId="77777777" w:rsidR="00A94F31" w:rsidRPr="00A94F31" w:rsidRDefault="00A94F31" w:rsidP="007048CD">
      <w:pPr>
        <w:spacing w:after="240"/>
        <w:ind w:left="567" w:hanging="567"/>
        <w:rPr>
          <w:kern w:val="2"/>
          <w:szCs w:val="24"/>
          <w14:ligatures w14:val="standardContextual"/>
        </w:rPr>
      </w:pPr>
      <w:r w:rsidRPr="00A94F31">
        <w:rPr>
          <w:kern w:val="2"/>
          <w14:ligatures w14:val="standardContextual"/>
        </w:rPr>
        <w:t>53.</w:t>
      </w:r>
      <w:r w:rsidRPr="00A94F31">
        <w:rPr>
          <w:kern w:val="2"/>
          <w14:ligatures w14:val="standardContextual"/>
        </w:rPr>
        <w:tab/>
        <w:t>salută finalizarea renovărilor (adică a lucrărilor de amenajare) ale nou-achiziționatei clădiri VMA, care au inclus instalarea de tehnologii inteligente de economisire a energiei; sprijină planul Comitetului de a efectua audituri tehnice și de mediu ale tuturor clădirilor sale, întrucât rezultatul acestor audituri ar trebui să permită identificarea tuturor instalațiilor tehnice și a componentelor clădirilor care trebuie renovate sau păstrate integral sau parțial, aliniindu-se astfel la obiectivele Pactului verde european; invită Comitetul să informeze autoritatea care acordă descărcarea de gestiune cu privire la rezultatele acestor audituri și la acțiunile întreprinse în urma acestora;</w:t>
      </w:r>
    </w:p>
    <w:p w14:paraId="1CC1AF6C" w14:textId="77777777" w:rsidR="00A94F31" w:rsidRPr="00A94F31" w:rsidRDefault="00A94F31" w:rsidP="007048CD">
      <w:pPr>
        <w:spacing w:after="240"/>
        <w:ind w:left="567" w:hanging="567"/>
        <w:rPr>
          <w:kern w:val="2"/>
          <w:szCs w:val="24"/>
          <w14:ligatures w14:val="standardContextual"/>
        </w:rPr>
      </w:pPr>
      <w:r w:rsidRPr="00A94F31">
        <w:rPr>
          <w:kern w:val="2"/>
          <w14:ligatures w14:val="standardContextual"/>
        </w:rPr>
        <w:t>54.</w:t>
      </w:r>
      <w:r w:rsidRPr="00A94F31">
        <w:rPr>
          <w:kern w:val="2"/>
          <w14:ligatures w14:val="standardContextual"/>
        </w:rPr>
        <w:tab/>
        <w:t xml:space="preserve">constată că grupul operativ privind „noile modalități de lucru”, înființat în 2022, a publicat un prim raport prospectiv în 2023, axat pe spațiile de birouri disponibile și pe posibilele opțiuni de optimizare; ia act de planul Comitetului de a continua acest </w:t>
      </w:r>
      <w:r w:rsidRPr="00A94F31">
        <w:rPr>
          <w:kern w:val="2"/>
          <w14:ligatures w14:val="standardContextual"/>
        </w:rPr>
        <w:lastRenderedPageBreak/>
        <w:t>exercițiu, în cadrul unui proces la care vor participa angajații, pentru a concepe în comun viitoarele spații de lucru; invită Comitetul să informeze în permanență autoritatea care acordă descărcarea de gestiune despre progresele înregistrate în acest sens;</w:t>
      </w:r>
    </w:p>
    <w:p w14:paraId="4D7373D6" w14:textId="77777777" w:rsidR="00A94F31" w:rsidRPr="00A94F31" w:rsidRDefault="00A94F31" w:rsidP="007048CD">
      <w:pPr>
        <w:spacing w:after="240"/>
        <w:ind w:left="567" w:hanging="567"/>
        <w:rPr>
          <w:kern w:val="2"/>
          <w:szCs w:val="24"/>
          <w14:ligatures w14:val="standardContextual"/>
        </w:rPr>
      </w:pPr>
      <w:r w:rsidRPr="00A94F31">
        <w:rPr>
          <w:kern w:val="2"/>
          <w14:ligatures w14:val="standardContextual"/>
        </w:rPr>
        <w:t>55.</w:t>
      </w:r>
      <w:r w:rsidRPr="00A94F31">
        <w:rPr>
          <w:kern w:val="2"/>
          <w14:ligatures w14:val="standardContextual"/>
        </w:rPr>
        <w:tab/>
        <w:t xml:space="preserve">salută angajamentul Comitetului și al </w:t>
      </w:r>
      <w:proofErr w:type="spellStart"/>
      <w:r w:rsidRPr="00A94F31">
        <w:rPr>
          <w:kern w:val="2"/>
          <w14:ligatures w14:val="standardContextual"/>
        </w:rPr>
        <w:t>CoR</w:t>
      </w:r>
      <w:proofErr w:type="spellEnd"/>
      <w:r w:rsidRPr="00A94F31">
        <w:rPr>
          <w:kern w:val="2"/>
          <w14:ligatures w14:val="standardContextual"/>
        </w:rPr>
        <w:t xml:space="preserve"> de a aplica în mod sistematic principiul proiectării universale în infrastructura lor, asigurând accesibilitatea clădirilor lor încă din faza de proiectare; ia act de faptul că cele două comitete au luat o serie de măsuri diferite pentru a asigura accesibilitatea clădirilor lor pentru persoanele cu diferite tipuri de dizabilități în 2023, inclusiv prin modernizarea ascensoarelor din clădirea JDE;</w:t>
      </w:r>
    </w:p>
    <w:p w14:paraId="612FBC05" w14:textId="77777777" w:rsidR="00A94F31" w:rsidRPr="00A94F31" w:rsidRDefault="00A94F31" w:rsidP="007048CD">
      <w:pPr>
        <w:spacing w:after="240"/>
        <w:ind w:left="567" w:hanging="567"/>
        <w:rPr>
          <w:b/>
          <w:i/>
          <w:kern w:val="2"/>
          <w:szCs w:val="24"/>
          <w14:ligatures w14:val="standardContextual"/>
        </w:rPr>
      </w:pPr>
      <w:r w:rsidRPr="00A94F31">
        <w:rPr>
          <w:b/>
          <w:i/>
          <w:kern w:val="2"/>
          <w14:ligatures w14:val="standardContextual"/>
        </w:rPr>
        <w:t>Mediu și sustenabilitate</w:t>
      </w:r>
    </w:p>
    <w:p w14:paraId="7F4CFF81"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56.</w:t>
      </w:r>
      <w:r w:rsidRPr="00A94F31">
        <w:rPr>
          <w:kern w:val="2"/>
          <w14:ligatures w14:val="standardContextual"/>
        </w:rPr>
        <w:tab/>
        <w:t>salută practicile ecologice ale Comitetului și reducerea în continuare a consumului de gaze, electricitate și apă și a emisiilor de carbon, precum și creșterea ratei de reciclare în legătură cu activitățile Comitetului în 2023, comparativ cu 2019; constată o ușoară deteriorare, comparativ cu nivelurile din 2019, a ratei volumului de deșeuri, de la -66 % în 2022 la -56 % în 2023 din cauza prezenței mai mari în birouri;</w:t>
      </w:r>
    </w:p>
    <w:p w14:paraId="47F2E31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57.</w:t>
      </w:r>
      <w:r w:rsidRPr="00A94F31">
        <w:rPr>
          <w:kern w:val="2"/>
          <w14:ligatures w14:val="standardContextual"/>
        </w:rPr>
        <w:tab/>
        <w:t>observă că eficiența energetică și reducerea emisiilor au fost realizate prin investiții în instalații de clădiri inovatoare și eficiente energetic, inclusiv prin tehnologii inteligente de economisire a energiei instalate în clădirea VMA, achiziționarea de energie electrică ecologică în proporție de 100 %, introducerea unor criterii de mediu (personalizate) în toate procedurile de licitație cu o valoare de minimum 60 000 EUR, utilizarea unor fluxuri de lucru fără hârtie și alte măsuri, cum ar fi reducerea orelor de funcționare pentru iluminat, reducerea temperaturii de referință pe timp de iarnă în toate clădirile la 19 grade sau închiderea clădirilor în perioade de prezență redusă a personalului, printre multe alte măsuri; constată că reducerea consumului de energie al Comitetului corespunde unei rate de 3,4 % și unui câștig financiar de 65 395 EUR;</w:t>
      </w:r>
    </w:p>
    <w:p w14:paraId="4BFE9A22"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58.</w:t>
      </w:r>
      <w:r w:rsidRPr="00A94F31">
        <w:rPr>
          <w:kern w:val="2"/>
          <w14:ligatures w14:val="standardContextual"/>
        </w:rPr>
        <w:tab/>
        <w:t>observă, pe baza raportului de monitorizare, că tehnologiile inteligente de economisire a energiei instalate în clădirea VMA recent renovată au contribuit la o reducere a consumului de energie (gaz și electricitate) cu 20 % până la 30 % în 2023; invită totuși din nou Comitetul să furnizeze Parlamentului informații actualizate cu privire la randamentul investițiilor în tehnologiile respective;</w:t>
      </w:r>
    </w:p>
    <w:p w14:paraId="016BEDB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59.</w:t>
      </w:r>
      <w:r w:rsidRPr="00A94F31">
        <w:rPr>
          <w:kern w:val="2"/>
          <w14:ligatures w14:val="standardContextual"/>
        </w:rPr>
        <w:tab/>
        <w:t>salută adoptarea de către Comitet a unei strategii de economisire a energiei, cu măsuri pe termen scurt, mediu și lung; constată, în acest context, că, pentru a identifica, printre altele, nivelul performanței energetice a structurilor și echipamentelor actuale, precum și pentru a estima randamentul de mediu al investițiilor necesare în comparație cu costurile totale (întreținere, consum etc.) pe o perioadă de 30 de ani, Comitetul a început un audit de mediu al tuturor clădirilor sale; constată, de asemenea, că sunt planificate studii privind măsurile de eficiență energetică pentru 2024 și 2025; invită Comitetul să informeze în permanență autoritatea care acordă descărcarea de gestiune despre progresele înregistrate în aceste chestiuni;</w:t>
      </w:r>
    </w:p>
    <w:p w14:paraId="248B0D0D"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60.</w:t>
      </w:r>
      <w:r w:rsidRPr="00A94F31">
        <w:rPr>
          <w:kern w:val="2"/>
          <w14:ligatures w14:val="standardContextual"/>
        </w:rPr>
        <w:tab/>
        <w:t>reamintește că, în 2022, energia electrică produsă de panourile solare ale Comitetului a fost de 15,5 MWH sau 0,25 % din consumul anual al Comitetului, în timp ce în 2023 aceeași cifră a scăzut la 5,75 MWh; constată cu satisfacție, pe baza chestionarului, că în ceea ce privește măsurile și acțiunile întreprinse în favoarea mobilității durabile, Comitetul conduce prin puterea exemplului;</w:t>
      </w:r>
    </w:p>
    <w:p w14:paraId="05806C77" w14:textId="77777777" w:rsidR="00A94F31" w:rsidRPr="00A94F31" w:rsidRDefault="00A94F31" w:rsidP="007048CD">
      <w:pPr>
        <w:spacing w:after="240"/>
        <w:ind w:left="567" w:hanging="567"/>
        <w:rPr>
          <w:b/>
          <w:i/>
          <w:kern w:val="2"/>
          <w14:ligatures w14:val="standardContextual"/>
        </w:rPr>
      </w:pPr>
      <w:r w:rsidRPr="00A94F31">
        <w:rPr>
          <w:b/>
          <w:i/>
          <w:kern w:val="2"/>
          <w14:ligatures w14:val="standardContextual"/>
        </w:rPr>
        <w:lastRenderedPageBreak/>
        <w:t>Cooperare interinstituțională</w:t>
      </w:r>
    </w:p>
    <w:p w14:paraId="2ACDCDD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61.</w:t>
      </w:r>
      <w:r w:rsidRPr="00A94F31">
        <w:rPr>
          <w:kern w:val="2"/>
          <w14:ligatures w14:val="standardContextual"/>
        </w:rPr>
        <w:tab/>
        <w:t xml:space="preserve">salută cooperarea strânsă dintre Comitet și </w:t>
      </w:r>
      <w:proofErr w:type="spellStart"/>
      <w:r w:rsidRPr="00A94F31">
        <w:rPr>
          <w:kern w:val="2"/>
          <w14:ligatures w14:val="standardContextual"/>
        </w:rPr>
        <w:t>CoR</w:t>
      </w:r>
      <w:proofErr w:type="spellEnd"/>
      <w:r w:rsidRPr="00A94F31">
        <w:rPr>
          <w:kern w:val="2"/>
          <w14:ligatures w14:val="standardContextual"/>
        </w:rPr>
        <w:t xml:space="preserve"> la nivel administrativ, prin noul acord de cooperare semnat în 2022, pe baza căruia cele două comitete împart sediul și serviciile comune în domeniile traducerii, infrastructurii, logisticii, securității, achizițiilor publice, gestiunii financiare și IT, menținându-și, în același timp, autonomia instituțională deplină; salută evoluția pozitivă din 2023, când cele două comitete au convenit, de asemenea, asupra dezvoltării și finanțării unei zone comune de comunicare, cu facilități audiovizuale comune în clădirea JDE; solicită Comitetului să identifice și să informeze Parlamentul despre economiile bugetare realizate în primul an de implementare a acordului respectiv în domeniul audiovizualului; își reiterează apelul adresat Comitetului de a susține și a extinde această cooperare și în alte domenii, pentru a evita suprapunerile și a raționaliza în continuare costurile de funcționare ale serviciilor disponibile în spațiile comune ale Comitetului și ale </w:t>
      </w:r>
      <w:proofErr w:type="spellStart"/>
      <w:r w:rsidRPr="00A94F31">
        <w:rPr>
          <w:kern w:val="2"/>
          <w14:ligatures w14:val="standardContextual"/>
        </w:rPr>
        <w:t>CoR</w:t>
      </w:r>
      <w:proofErr w:type="spellEnd"/>
      <w:r w:rsidRPr="00A94F31">
        <w:rPr>
          <w:kern w:val="2"/>
          <w14:ligatures w14:val="standardContextual"/>
        </w:rPr>
        <w:t xml:space="preserve">; invită Comitetul și </w:t>
      </w:r>
      <w:proofErr w:type="spellStart"/>
      <w:r w:rsidRPr="00A94F31">
        <w:rPr>
          <w:kern w:val="2"/>
          <w14:ligatures w14:val="standardContextual"/>
        </w:rPr>
        <w:t>CoR</w:t>
      </w:r>
      <w:proofErr w:type="spellEnd"/>
      <w:r w:rsidRPr="00A94F31">
        <w:rPr>
          <w:kern w:val="2"/>
          <w14:ligatures w14:val="standardContextual"/>
        </w:rPr>
        <w:t xml:space="preserve"> să analizeze posibilitatea de a crea o administrație unică pentru serviciile lor comune, cu direcții sau unități separate pentru serviciile care gestionează aspecte legate de mandatele lor specifice și independente; încurajează Comitetul și </w:t>
      </w:r>
      <w:proofErr w:type="spellStart"/>
      <w:r w:rsidRPr="00A94F31">
        <w:rPr>
          <w:kern w:val="2"/>
          <w14:ligatures w14:val="standardContextual"/>
        </w:rPr>
        <w:t>CoR</w:t>
      </w:r>
      <w:proofErr w:type="spellEnd"/>
      <w:r w:rsidRPr="00A94F31">
        <w:rPr>
          <w:kern w:val="2"/>
          <w14:ligatures w14:val="standardContextual"/>
        </w:rPr>
        <w:t xml:space="preserve"> să își continue eforturile de a dezvolta în continuare cooperarea și </w:t>
      </w:r>
      <w:proofErr w:type="spellStart"/>
      <w:r w:rsidRPr="00A94F31">
        <w:rPr>
          <w:kern w:val="2"/>
          <w14:ligatures w14:val="standardContextual"/>
        </w:rPr>
        <w:t>sinergiile</w:t>
      </w:r>
      <w:proofErr w:type="spellEnd"/>
      <w:r w:rsidRPr="00A94F31">
        <w:rPr>
          <w:kern w:val="2"/>
          <w14:ligatures w14:val="standardContextual"/>
        </w:rPr>
        <w:t>;</w:t>
      </w:r>
    </w:p>
    <w:p w14:paraId="345D65B7"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62.</w:t>
      </w:r>
      <w:r w:rsidRPr="00A94F31">
        <w:rPr>
          <w:kern w:val="2"/>
          <w14:ligatures w14:val="standardContextual"/>
        </w:rPr>
        <w:tab/>
        <w:t>observă că economiile bugetare și creșterea eficienței au continuat să fie realizate printr-o cooperare activă între Comitet și alte instituții ale Uniunii în 2023, inclusiv prin organizarea sesiunilor plenare ale Comitetului în clădirile Comisiei și ale Parlamentului, unde spațiile și serviciile conexe sunt furnizate fie gratuit, fie la prețuri mai mici decât prețurile pieței externe;</w:t>
      </w:r>
    </w:p>
    <w:p w14:paraId="7E13E1B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63.</w:t>
      </w:r>
      <w:r w:rsidRPr="00A94F31">
        <w:rPr>
          <w:kern w:val="2"/>
          <w14:ligatures w14:val="standardContextual"/>
        </w:rPr>
        <w:tab/>
        <w:t xml:space="preserve">constată cu satisfacție că, în 2023, Comitetul și Parlamentul au renegociat și, în 2024, au semnat acordul lor interinstituțional care are drept obiectiv să ofere contribuții mai relevante și în timp util pe parcursul întregului ciclu legislativ și să consolideze cooperarea bilaterală; salută faptul că noul protocol de cooperare al Comitetului cu Comisia, semnat în 2022, a adus deja îmbunătățiri impactului Comitetului, de exemplu în faza </w:t>
      </w:r>
      <w:proofErr w:type="spellStart"/>
      <w:r w:rsidRPr="00A94F31">
        <w:rPr>
          <w:kern w:val="2"/>
          <w14:ligatures w14:val="standardContextual"/>
        </w:rPr>
        <w:t>prelegislativă</w:t>
      </w:r>
      <w:proofErr w:type="spellEnd"/>
      <w:r w:rsidRPr="00A94F31">
        <w:rPr>
          <w:kern w:val="2"/>
          <w14:ligatures w14:val="standardContextual"/>
        </w:rPr>
        <w:t xml:space="preserve">, prin avize exploratorii; încurajează consolidarea în continuare a </w:t>
      </w:r>
      <w:proofErr w:type="spellStart"/>
      <w:r w:rsidRPr="00A94F31">
        <w:rPr>
          <w:kern w:val="2"/>
          <w14:ligatures w14:val="standardContextual"/>
        </w:rPr>
        <w:t>sinergiilor</w:t>
      </w:r>
      <w:proofErr w:type="spellEnd"/>
      <w:r w:rsidRPr="00A94F31">
        <w:rPr>
          <w:kern w:val="2"/>
          <w14:ligatures w14:val="standardContextual"/>
        </w:rPr>
        <w:t xml:space="preserve"> politice, legislative și de comunicare dintre Comitet și Parlament, în special în contextul inițiativei cetățenești europene și al semestrului european;</w:t>
      </w:r>
    </w:p>
    <w:p w14:paraId="5BC68BC5"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64.</w:t>
      </w:r>
      <w:r w:rsidRPr="00A94F31">
        <w:rPr>
          <w:kern w:val="2"/>
          <w14:ligatures w14:val="standardContextual"/>
        </w:rPr>
        <w:tab/>
        <w:t>își exprimă din nou aprecierea pentru externalizarea (acordurile privind nivelul serviciilor) serviciilor specifice către Comisie în ceea ce privește gestionarea resurselor umane și utilizarea instrumentelor informatice de gestionare financiară și a resurselor umane, precum și pentru participarea Comitetului la procedurile interinstituționale de achiziții conduse de alte instituții, care au permis Comitetului să beneficieze în continuare în 2023 de sinergii în domeniul IT, al deplasărilor în interes de serviciu, al asigurărilor, al transportului, al traducerilor și al echipamentelor audiovizuale;</w:t>
      </w:r>
    </w:p>
    <w:p w14:paraId="6AECF0D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65.</w:t>
      </w:r>
      <w:r w:rsidRPr="00A94F31">
        <w:rPr>
          <w:kern w:val="2"/>
          <w14:ligatures w14:val="standardContextual"/>
        </w:rPr>
        <w:tab/>
        <w:t>reține rolul Comitetului în consolidarea legăturilor cu consiliile economice și sociale naționale (CESN) din statele membre și între acestea; ia act, pe baza chestionarului, de măsurile luate de Comitet pentru a consolida rețeaua și comunitatea online cu CESN, cum ar fi înființarea unor grupuri de lucru comune și a unor programe de schimb, lucrul la platforma informatică de colaborare și participarea la evenimente comune, printre altele; solicită continuarea cooperării pe teme de interes comun și schimbul de bune practici, subliniind rolul vital al societății civile în abordarea provocărilor actuale ale Uniunii;</w:t>
      </w:r>
    </w:p>
    <w:p w14:paraId="1EE02DA4" w14:textId="77777777" w:rsidR="00A94F31" w:rsidRPr="00A94F31" w:rsidRDefault="00A94F31" w:rsidP="007048CD">
      <w:pPr>
        <w:spacing w:after="240"/>
        <w:ind w:left="567" w:hanging="567"/>
        <w:rPr>
          <w:b/>
          <w:i/>
          <w:kern w:val="2"/>
          <w14:ligatures w14:val="standardContextual"/>
        </w:rPr>
      </w:pPr>
      <w:r w:rsidRPr="00A94F31">
        <w:rPr>
          <w:b/>
          <w:i/>
          <w:kern w:val="2"/>
          <w14:ligatures w14:val="standardContextual"/>
        </w:rPr>
        <w:t>Comunicarea</w:t>
      </w:r>
    </w:p>
    <w:p w14:paraId="1943B5A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lastRenderedPageBreak/>
        <w:t>66.</w:t>
      </w:r>
      <w:r w:rsidRPr="00A94F31">
        <w:rPr>
          <w:kern w:val="2"/>
          <w14:ligatures w14:val="standardContextual"/>
        </w:rPr>
        <w:tab/>
        <w:t>constată că, în 2023, bugetul total al Comitetului pentru comunicare a fost de 2,15 milioane EUR, ceea ce reprezintă o creștere față de 1,5 milioane EUR în 2022; constată că acest buget a fost alocat în principal celor patru evenimente emblematice organizate în 2023 (inițiativa cetățenească europeană, Europa ta, părerea ta! Premiile pentru alimente ecologice și al 14-lea premiu pentru societatea civilă), îmbunătățirea și/sau modernizarea platformelor de comunicare socială ale Comitetului, a site-ului extern și a producției audiovizuale, precum și pentru mass-media și publicațiile de presă; felicită Comitetul pentru activitățile sale de comunicare care corespund priorităților de comunicare pentru 2023, cum ar fi inițiativa „Pactul albastru”, COP28, rezoluția privind democrația și cea de a 65-a aniversare a Comitetului, printre altele;</w:t>
      </w:r>
    </w:p>
    <w:p w14:paraId="559BE583"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67.</w:t>
      </w:r>
      <w:r w:rsidRPr="00A94F31">
        <w:rPr>
          <w:kern w:val="2"/>
          <w14:ligatures w14:val="standardContextual"/>
        </w:rPr>
        <w:tab/>
        <w:t>felicită Comitetul pentru eforturile depuse în legătură cu comunicarea sa strategică în 2023; ia act de adoptarea de către Comitet a unei noi strategii de comunicare cu scopul de a-și consolida imaginea și raza de acțiune; constată că, în cadrul acestei strategii, Comitetul a transmis în direct pe internet principalele sale evenimente, în principal în toate limbile Uniunii, a introdus noi instrumente de comunicare, cum ar fi seria video „Raportarea din sesiunea plenară”, și-a concentrat resursele de comunicare asupra evenimentelor emblematice ale sale din 2023 și a depus eforturi speciale pentru a-și spori audiența pe platformele de comunicare socială;</w:t>
      </w:r>
    </w:p>
    <w:p w14:paraId="58C0AE60"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68.</w:t>
      </w:r>
      <w:r w:rsidRPr="00A94F31">
        <w:rPr>
          <w:kern w:val="2"/>
          <w14:ligatures w14:val="standardContextual"/>
        </w:rPr>
        <w:tab/>
        <w:t>invită CESE să își consolideze monitorizarea și raportarea cu privire la drepturile lucrătorilor, incluziunea socială și încălcările drepturilor omului în cadrul programelor finanțate de UE, asigurând o mai mare responsabilitate în funcțiile sale consultative și în recomandările sale de politică;</w:t>
      </w:r>
    </w:p>
    <w:p w14:paraId="72EE8644"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69.</w:t>
      </w:r>
      <w:r w:rsidRPr="00A94F31">
        <w:rPr>
          <w:kern w:val="2"/>
          <w14:ligatures w14:val="standardContextual"/>
        </w:rPr>
        <w:tab/>
        <w:t xml:space="preserve">constată că numărul persoanelor care urmăresc platformele de comunicare socială ale Comitetului a crescut substanțial cu 25 000 în 2023; ia act de faptul că, până la sfârșitul anului 2023, Comitetul a ajuns la 61 416 urmăritori pe X, ceea ce reprezintă o creștere de 5 % față de 2022, 61 761 de urmăritori pe </w:t>
      </w:r>
      <w:proofErr w:type="spellStart"/>
      <w:r w:rsidRPr="00A94F31">
        <w:rPr>
          <w:kern w:val="2"/>
          <w14:ligatures w14:val="standardContextual"/>
        </w:rPr>
        <w:t>LinkedIn</w:t>
      </w:r>
      <w:proofErr w:type="spellEnd"/>
      <w:r w:rsidRPr="00A94F31">
        <w:rPr>
          <w:kern w:val="2"/>
          <w14:ligatures w14:val="standardContextual"/>
        </w:rPr>
        <w:t xml:space="preserve">, ceea ce reprezintă o creștere de 30 % față de 2022, 46 868 de urmăritori pe Facebook, ceea ce reprezintă o creștere de 5,3 % față de 2022 și 17 428 de urmăritori pe </w:t>
      </w:r>
      <w:proofErr w:type="spellStart"/>
      <w:r w:rsidRPr="00A94F31">
        <w:rPr>
          <w:kern w:val="2"/>
          <w14:ligatures w14:val="standardContextual"/>
        </w:rPr>
        <w:t>Instagram</w:t>
      </w:r>
      <w:proofErr w:type="spellEnd"/>
      <w:r w:rsidRPr="00A94F31">
        <w:rPr>
          <w:kern w:val="2"/>
          <w14:ligatures w14:val="standardContextual"/>
        </w:rPr>
        <w:t>, ceea ce reprezintă o creștere de 45 % față de 2022;</w:t>
      </w:r>
    </w:p>
    <w:p w14:paraId="43A1E666" w14:textId="77777777" w:rsidR="00A94F31" w:rsidRPr="00A94F31" w:rsidRDefault="00A94F31" w:rsidP="007048CD">
      <w:pPr>
        <w:spacing w:after="240"/>
        <w:ind w:left="567" w:hanging="567"/>
        <w:rPr>
          <w:kern w:val="2"/>
          <w14:ligatures w14:val="standardContextual"/>
        </w:rPr>
      </w:pPr>
      <w:r w:rsidRPr="00A94F31">
        <w:rPr>
          <w:kern w:val="2"/>
          <w14:ligatures w14:val="standardContextual"/>
        </w:rPr>
        <w:t>70.</w:t>
      </w:r>
      <w:r w:rsidRPr="00A94F31">
        <w:rPr>
          <w:kern w:val="2"/>
          <w14:ligatures w14:val="standardContextual"/>
        </w:rPr>
        <w:tab/>
        <w:t xml:space="preserve">salută abordarea pozitivă a Comitetului în ceea ce privește utilizarea soluțiilor cu sursă deschisă pentru comunicarea sa online; observă că, în iulie 2023, Comitetul și-a deschis primul cont pe platforma EU </w:t>
      </w:r>
      <w:proofErr w:type="spellStart"/>
      <w:r w:rsidRPr="00A94F31">
        <w:rPr>
          <w:kern w:val="2"/>
          <w14:ligatures w14:val="standardContextual"/>
        </w:rPr>
        <w:t>Voice</w:t>
      </w:r>
      <w:proofErr w:type="spellEnd"/>
      <w:r w:rsidRPr="00A94F31">
        <w:rPr>
          <w:kern w:val="2"/>
          <w14:ligatures w14:val="standardContextual"/>
        </w:rPr>
        <w:t xml:space="preserve"> </w:t>
      </w:r>
      <w:proofErr w:type="spellStart"/>
      <w:r w:rsidRPr="00A94F31">
        <w:rPr>
          <w:kern w:val="2"/>
          <w14:ligatures w14:val="standardContextual"/>
        </w:rPr>
        <w:t>Mastodon</w:t>
      </w:r>
      <w:proofErr w:type="spellEnd"/>
      <w:r w:rsidRPr="00A94F31">
        <w:rPr>
          <w:kern w:val="2"/>
          <w14:ligatures w14:val="standardContextual"/>
        </w:rPr>
        <w:t xml:space="preserve">, o rețea socială descentralizată, gratuită și cu sursă deschisă, care conectează utilizatorii într-un mediu orientat spre protecția datelor personale și fără publicitate; observă că, în a doua jumătate a anului 2023, Comitetul a comunicat activ pe contul </w:t>
      </w:r>
      <w:proofErr w:type="spellStart"/>
      <w:r w:rsidRPr="00A94F31">
        <w:rPr>
          <w:kern w:val="2"/>
          <w14:ligatures w14:val="standardContextual"/>
        </w:rPr>
        <w:t>Mastodon</w:t>
      </w:r>
      <w:proofErr w:type="spellEnd"/>
      <w:r w:rsidRPr="00A94F31">
        <w:rPr>
          <w:kern w:val="2"/>
          <w14:ligatures w14:val="standardContextual"/>
        </w:rPr>
        <w:t>, alimentându-l în fiecare zi lucrătoare cu postări despre activitățile și prioritățile sale și sensibilizând publicul cu privire la Uniune; ia act de decizia Comitetului de a-și întrerupe prezența pe această platformă începând din 2024.</w:t>
      </w:r>
    </w:p>
    <w:p w14:paraId="712340C1" w14:textId="77777777" w:rsidR="00D15D01" w:rsidRPr="001E0C08" w:rsidRDefault="00D15D01" w:rsidP="007048CD">
      <w:pPr>
        <w:pStyle w:val="NormalHanging12a"/>
      </w:pPr>
    </w:p>
    <w:sectPr w:rsidR="00D15D01" w:rsidRPr="001E0C08" w:rsidSect="00D15D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7B70A" w14:textId="77777777" w:rsidR="003815D1" w:rsidRPr="0037644D" w:rsidRDefault="003815D1">
      <w:r w:rsidRPr="0037644D">
        <w:separator/>
      </w:r>
    </w:p>
  </w:endnote>
  <w:endnote w:type="continuationSeparator" w:id="0">
    <w:p w14:paraId="55760D3E" w14:textId="77777777" w:rsidR="003815D1" w:rsidRPr="0037644D" w:rsidRDefault="003815D1">
      <w:r w:rsidRPr="003764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6D4B" w14:textId="77777777" w:rsidR="00064002" w:rsidRPr="003764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3F53" w14:textId="77777777" w:rsidR="00064002" w:rsidRPr="003764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C54D" w14:textId="77777777" w:rsidR="00064002" w:rsidRPr="003764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DE884" w14:textId="77777777" w:rsidR="003815D1" w:rsidRPr="0037644D" w:rsidRDefault="003815D1">
      <w:r w:rsidRPr="0037644D">
        <w:separator/>
      </w:r>
    </w:p>
  </w:footnote>
  <w:footnote w:type="continuationSeparator" w:id="0">
    <w:p w14:paraId="12587CB1" w14:textId="77777777" w:rsidR="003815D1" w:rsidRPr="0037644D" w:rsidRDefault="003815D1">
      <w:r w:rsidRPr="0037644D">
        <w:continuationSeparator/>
      </w:r>
    </w:p>
  </w:footnote>
  <w:footnote w:id="1">
    <w:p w14:paraId="234B1335"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t xml:space="preserve">JO L 58, 23.2.2023, p. 1, ELI: </w:t>
      </w:r>
      <w:hyperlink r:id="rId1" w:tooltip="Gives access to this document through its ELI URI." w:history="1">
        <w:r w:rsidRPr="00A94F31">
          <w:rPr>
            <w:rStyle w:val="Hyperlink1"/>
            <w:shd w:val="clear" w:color="auto" w:fill="FFFFFF"/>
            <w:lang w:val="fi-FI"/>
          </w:rPr>
          <w:t>http://data.europa.eu/eli/budget/2023/1/oj</w:t>
        </w:r>
      </w:hyperlink>
      <w:r w:rsidRPr="00A3383D">
        <w:rPr>
          <w:sz w:val="24"/>
          <w:shd w:val="clear" w:color="auto" w:fill="FFFFFF"/>
          <w:lang w:val="ro-RO"/>
        </w:rPr>
        <w:t>.</w:t>
      </w:r>
    </w:p>
  </w:footnote>
  <w:footnote w:id="2">
    <w:p w14:paraId="122CABCD"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r>
      <w:r w:rsidRPr="00A3383D">
        <w:rPr>
          <w:sz w:val="24"/>
          <w:lang w:val="ro-RO"/>
        </w:rPr>
        <w:t xml:space="preserve">JO C, C/2024/5462, 10.10.2024, ELI: </w:t>
      </w:r>
      <w:hyperlink r:id="rId2" w:history="1">
        <w:r w:rsidRPr="00A94F31">
          <w:rPr>
            <w:rStyle w:val="Hyperlink1"/>
            <w:lang w:val="fi-FI"/>
          </w:rPr>
          <w:t>http://data.europa.eu/eli/C/2024/5462/oj</w:t>
        </w:r>
      </w:hyperlink>
      <w:r w:rsidRPr="00A3383D">
        <w:rPr>
          <w:sz w:val="24"/>
          <w:shd w:val="clear" w:color="auto" w:fill="FFFFFF"/>
          <w:lang w:val="ro-RO"/>
        </w:rPr>
        <w:t>.</w:t>
      </w:r>
    </w:p>
  </w:footnote>
  <w:footnote w:id="3">
    <w:p w14:paraId="56C79F41"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r>
      <w:r w:rsidRPr="00A3383D">
        <w:rPr>
          <w:sz w:val="24"/>
          <w:lang w:val="ro-RO"/>
        </w:rPr>
        <w:t xml:space="preserve">JO C, C/2024/5882, 9.10.2024, ELI: </w:t>
      </w:r>
      <w:hyperlink r:id="rId3" w:history="1">
        <w:r w:rsidRPr="00A94F31">
          <w:rPr>
            <w:rStyle w:val="Hyperlink1"/>
            <w:lang w:val="fi-FI"/>
          </w:rPr>
          <w:t>http://data.europa.eu/eli/C/2024/5882/oj</w:t>
        </w:r>
      </w:hyperlink>
      <w:r w:rsidRPr="00A3383D">
        <w:rPr>
          <w:sz w:val="24"/>
          <w:shd w:val="clear" w:color="auto" w:fill="FFFFFF"/>
          <w:lang w:val="ro-RO"/>
        </w:rPr>
        <w:t>.</w:t>
      </w:r>
    </w:p>
  </w:footnote>
  <w:footnote w:id="4">
    <w:p w14:paraId="43355AE7"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r>
      <w:r w:rsidRPr="00A3383D">
        <w:rPr>
          <w:sz w:val="24"/>
          <w:lang w:val="ro-RO"/>
        </w:rPr>
        <w:t xml:space="preserve">JO C, C/2024/6041, 10.10.2024, ELI: </w:t>
      </w:r>
      <w:hyperlink r:id="rId4" w:history="1">
        <w:r w:rsidRPr="00A94F31">
          <w:rPr>
            <w:rStyle w:val="Hyperlink1"/>
            <w:lang w:val="fi-FI"/>
          </w:rPr>
          <w:t>http://data.europa.eu/eli/C/2024/6041/oj</w:t>
        </w:r>
      </w:hyperlink>
      <w:r w:rsidRPr="00A3383D">
        <w:rPr>
          <w:sz w:val="24"/>
          <w:shd w:val="clear" w:color="auto" w:fill="FFFFFF"/>
          <w:lang w:val="ro-RO"/>
        </w:rPr>
        <w:t>.</w:t>
      </w:r>
    </w:p>
  </w:footnote>
  <w:footnote w:id="5">
    <w:p w14:paraId="70ED2509"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r>
      <w:r w:rsidRPr="00A3383D">
        <w:rPr>
          <w:sz w:val="24"/>
          <w:lang w:val="ro-RO"/>
        </w:rPr>
        <w:t xml:space="preserve">JO L 193, 30.7.2018, p. 1, ELI: </w:t>
      </w:r>
      <w:hyperlink r:id="rId5" w:history="1">
        <w:r w:rsidRPr="00A94F31">
          <w:rPr>
            <w:rStyle w:val="Hyperlink1"/>
            <w:lang w:val="fi-FI"/>
          </w:rPr>
          <w:t>http://data.europa.eu/eli/reg/2018/1046/oj</w:t>
        </w:r>
      </w:hyperlink>
      <w:r w:rsidRPr="00A3383D">
        <w:rPr>
          <w:sz w:val="24"/>
          <w:lang w:val="ro-RO"/>
        </w:rPr>
        <w:t>.</w:t>
      </w:r>
    </w:p>
  </w:footnote>
  <w:footnote w:id="6">
    <w:p w14:paraId="54B2B14C" w14:textId="77777777" w:rsidR="00A94F31" w:rsidRPr="00C0660B" w:rsidRDefault="00A94F31" w:rsidP="00A94F31">
      <w:pPr>
        <w:pStyle w:val="FootnoteText"/>
        <w:ind w:left="567" w:hanging="567"/>
        <w:rPr>
          <w:sz w:val="24"/>
          <w:lang w:val="ro-RO"/>
        </w:rPr>
      </w:pPr>
      <w:r w:rsidRPr="00C0660B">
        <w:rPr>
          <w:rStyle w:val="FootnoteReference"/>
          <w:sz w:val="24"/>
          <w:lang w:val="ro-RO"/>
        </w:rPr>
        <w:footnoteRef/>
      </w:r>
      <w:r w:rsidRPr="00A3383D">
        <w:rPr>
          <w:sz w:val="24"/>
          <w:lang w:val="ro-RO"/>
        </w:rPr>
        <w:tab/>
      </w:r>
      <w:r w:rsidRPr="00A3383D">
        <w:rPr>
          <w:sz w:val="24"/>
          <w:lang w:val="ro-RO"/>
        </w:rPr>
        <w:t xml:space="preserve">JO L, 2024/2509, 26.9.2024, ELI: </w:t>
      </w:r>
      <w:hyperlink r:id="rId6" w:tooltip="Oferă acces la acest document prin intermediul URI-ului pentru ELI aferent." w:history="1">
        <w:r w:rsidRPr="00211CC3">
          <w:rPr>
            <w:rStyle w:val="Hyperlink"/>
            <w:sz w:val="24"/>
            <w:lang w:val="fi-FI"/>
          </w:rPr>
          <w:t>http://data.europa.eu/eli/reg/2024/2509/oj</w:t>
        </w:r>
      </w:hyperlink>
      <w:r w:rsidRPr="00A3383D">
        <w:rPr>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290A" w14:textId="77777777" w:rsidR="00064002" w:rsidRPr="003764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2BCF" w14:textId="77777777" w:rsidR="00064002" w:rsidRPr="003764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8E2B" w14:textId="77777777" w:rsidR="00064002" w:rsidRPr="003764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335305">
    <w:abstractNumId w:val="9"/>
  </w:num>
  <w:num w:numId="2" w16cid:durableId="1754618882">
    <w:abstractNumId w:val="9"/>
  </w:num>
  <w:num w:numId="3" w16cid:durableId="1518621788">
    <w:abstractNumId w:val="7"/>
  </w:num>
  <w:num w:numId="4" w16cid:durableId="151994778">
    <w:abstractNumId w:val="7"/>
  </w:num>
  <w:num w:numId="5" w16cid:durableId="1262027555">
    <w:abstractNumId w:val="6"/>
  </w:num>
  <w:num w:numId="6" w16cid:durableId="1102723680">
    <w:abstractNumId w:val="6"/>
  </w:num>
  <w:num w:numId="7" w16cid:durableId="1175220492">
    <w:abstractNumId w:val="5"/>
  </w:num>
  <w:num w:numId="8" w16cid:durableId="1045837516">
    <w:abstractNumId w:val="5"/>
  </w:num>
  <w:num w:numId="9" w16cid:durableId="950403296">
    <w:abstractNumId w:val="4"/>
  </w:num>
  <w:num w:numId="10" w16cid:durableId="1581862692">
    <w:abstractNumId w:val="4"/>
  </w:num>
  <w:num w:numId="11" w16cid:durableId="234584408">
    <w:abstractNumId w:val="8"/>
  </w:num>
  <w:num w:numId="12" w16cid:durableId="1008410219">
    <w:abstractNumId w:val="8"/>
  </w:num>
  <w:num w:numId="13" w16cid:durableId="1970165024">
    <w:abstractNumId w:val="3"/>
  </w:num>
  <w:num w:numId="14" w16cid:durableId="1256673899">
    <w:abstractNumId w:val="3"/>
  </w:num>
  <w:num w:numId="15" w16cid:durableId="1647276592">
    <w:abstractNumId w:val="2"/>
  </w:num>
  <w:num w:numId="16" w16cid:durableId="1501703252">
    <w:abstractNumId w:val="2"/>
  </w:num>
  <w:num w:numId="17" w16cid:durableId="498811923">
    <w:abstractNumId w:val="1"/>
  </w:num>
  <w:num w:numId="18" w16cid:durableId="2088071693">
    <w:abstractNumId w:val="1"/>
  </w:num>
  <w:num w:numId="19" w16cid:durableId="1959484347">
    <w:abstractNumId w:val="0"/>
  </w:num>
  <w:num w:numId="20" w16cid:durableId="575357097">
    <w:abstractNumId w:val="0"/>
  </w:num>
  <w:num w:numId="21" w16cid:durableId="163709870">
    <w:abstractNumId w:val="9"/>
  </w:num>
  <w:num w:numId="22" w16cid:durableId="2039235618">
    <w:abstractNumId w:val="7"/>
  </w:num>
  <w:num w:numId="23" w16cid:durableId="1410693794">
    <w:abstractNumId w:val="6"/>
  </w:num>
  <w:num w:numId="24" w16cid:durableId="966475854">
    <w:abstractNumId w:val="5"/>
  </w:num>
  <w:num w:numId="25" w16cid:durableId="1795832552">
    <w:abstractNumId w:val="4"/>
  </w:num>
  <w:num w:numId="26" w16cid:durableId="1054235470">
    <w:abstractNumId w:val="8"/>
  </w:num>
  <w:num w:numId="27" w16cid:durableId="1275362092">
    <w:abstractNumId w:val="3"/>
  </w:num>
  <w:num w:numId="28" w16cid:durableId="130757277">
    <w:abstractNumId w:val="2"/>
  </w:num>
  <w:num w:numId="29" w16cid:durableId="853765586">
    <w:abstractNumId w:val="1"/>
  </w:num>
  <w:num w:numId="30" w16cid:durableId="469056972">
    <w:abstractNumId w:val="0"/>
  </w:num>
  <w:num w:numId="31" w16cid:durableId="602035102">
    <w:abstractNumId w:val="9"/>
  </w:num>
  <w:num w:numId="32" w16cid:durableId="206382596">
    <w:abstractNumId w:val="7"/>
  </w:num>
  <w:num w:numId="33" w16cid:durableId="1852258856">
    <w:abstractNumId w:val="6"/>
  </w:num>
  <w:num w:numId="34" w16cid:durableId="397215190">
    <w:abstractNumId w:val="5"/>
  </w:num>
  <w:num w:numId="35" w16cid:durableId="493690652">
    <w:abstractNumId w:val="4"/>
  </w:num>
  <w:num w:numId="36" w16cid:durableId="955408447">
    <w:abstractNumId w:val="8"/>
  </w:num>
  <w:num w:numId="37" w16cid:durableId="1435900461">
    <w:abstractNumId w:val="3"/>
  </w:num>
  <w:num w:numId="38" w16cid:durableId="1810317403">
    <w:abstractNumId w:val="2"/>
  </w:num>
  <w:num w:numId="39" w16cid:durableId="1294630518">
    <w:abstractNumId w:val="1"/>
  </w:num>
  <w:num w:numId="40" w16cid:durableId="1797020535">
    <w:abstractNumId w:val="0"/>
  </w:num>
  <w:num w:numId="41" w16cid:durableId="273248317">
    <w:abstractNumId w:val="10"/>
  </w:num>
  <w:num w:numId="42" w16cid:durableId="218245009">
    <w:abstractNumId w:val="10"/>
  </w:num>
  <w:num w:numId="43" w16cid:durableId="174811160">
    <w:abstractNumId w:val="10"/>
  </w:num>
  <w:num w:numId="44" w16cid:durableId="1410496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RO"/>
    <w:docVar w:name="dvnumam" w:val="0"/>
    <w:docVar w:name="dvpe" w:val="764.993"/>
    <w:docVar w:name="dvrapporteur" w:val="Raportor: "/>
    <w:docVar w:name="dvtitre" w:val="Decizia Parlamentului European din 7 mai 2025 privind descărcarea de gestiune pentru execuția bugetului general al Uniunii Europene aferent exercițiului financiar 2023, secțiunea VI – Comitetul Economic și Social European(2024/2025(DEC))"/>
  </w:docVars>
  <w:rsids>
    <w:rsidRoot w:val="003815D1"/>
    <w:rsid w:val="00002272"/>
    <w:rsid w:val="00043096"/>
    <w:rsid w:val="00064002"/>
    <w:rsid w:val="000677B9"/>
    <w:rsid w:val="000831BA"/>
    <w:rsid w:val="000A42CC"/>
    <w:rsid w:val="000E7DD9"/>
    <w:rsid w:val="0010095E"/>
    <w:rsid w:val="00125B37"/>
    <w:rsid w:val="0013155C"/>
    <w:rsid w:val="00187494"/>
    <w:rsid w:val="001E0C08"/>
    <w:rsid w:val="001F32AE"/>
    <w:rsid w:val="002767FF"/>
    <w:rsid w:val="002B18FE"/>
    <w:rsid w:val="002B5493"/>
    <w:rsid w:val="00343214"/>
    <w:rsid w:val="00361C00"/>
    <w:rsid w:val="00365BF5"/>
    <w:rsid w:val="0037644D"/>
    <w:rsid w:val="003815D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B26"/>
    <w:rsid w:val="006631B6"/>
    <w:rsid w:val="00680577"/>
    <w:rsid w:val="006F74FA"/>
    <w:rsid w:val="007048CD"/>
    <w:rsid w:val="00731ADD"/>
    <w:rsid w:val="00734777"/>
    <w:rsid w:val="00747932"/>
    <w:rsid w:val="00751A4A"/>
    <w:rsid w:val="00756632"/>
    <w:rsid w:val="00762C74"/>
    <w:rsid w:val="00786EC0"/>
    <w:rsid w:val="007D1690"/>
    <w:rsid w:val="007E22AD"/>
    <w:rsid w:val="00817416"/>
    <w:rsid w:val="00842779"/>
    <w:rsid w:val="00857B1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F31"/>
    <w:rsid w:val="00AB441E"/>
    <w:rsid w:val="00AB6293"/>
    <w:rsid w:val="00AE0928"/>
    <w:rsid w:val="00AF3B82"/>
    <w:rsid w:val="00B12E95"/>
    <w:rsid w:val="00B22876"/>
    <w:rsid w:val="00B558F0"/>
    <w:rsid w:val="00B84BC0"/>
    <w:rsid w:val="00B9221D"/>
    <w:rsid w:val="00BD48FE"/>
    <w:rsid w:val="00BD7BD8"/>
    <w:rsid w:val="00BE6ADC"/>
    <w:rsid w:val="00C05BFE"/>
    <w:rsid w:val="00C23CD4"/>
    <w:rsid w:val="00C52EB3"/>
    <w:rsid w:val="00C61C0C"/>
    <w:rsid w:val="00C941CB"/>
    <w:rsid w:val="00CC2357"/>
    <w:rsid w:val="00CF071A"/>
    <w:rsid w:val="00D058B8"/>
    <w:rsid w:val="00D15D0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45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F2426"/>
  <w15:chartTrackingRefBased/>
  <w15:docId w15:val="{8E2E385F-ACBF-400C-81F1-07E476FD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A94F31"/>
    <w:pPr>
      <w:keepNext/>
      <w:keepLines/>
      <w:widowControl/>
      <w:spacing w:before="120" w:after="120"/>
      <w:outlineLvl w:val="2"/>
    </w:pPr>
    <w:rPr>
      <w:b/>
      <w:kern w:val="2"/>
      <w:lang w:eastAsia="fr-FR"/>
      <w14:ligatures w14:val="standardContextual"/>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34B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4B26"/>
    <w:pPr>
      <w:spacing w:before="480" w:after="240"/>
    </w:pPr>
  </w:style>
  <w:style w:type="paragraph" w:customStyle="1" w:styleId="PageHeading">
    <w:name w:val="PageHeading"/>
    <w:basedOn w:val="Normal"/>
    <w:rsid w:val="00634B26"/>
    <w:pPr>
      <w:keepNext/>
      <w:spacing w:after="480"/>
      <w:jc w:val="center"/>
    </w:pPr>
    <w:rPr>
      <w:rFonts w:ascii="Arial" w:hAnsi="Arial" w:cs="Arial"/>
      <w:b/>
    </w:rPr>
  </w:style>
  <w:style w:type="paragraph" w:customStyle="1" w:styleId="NormalBold">
    <w:name w:val="NormalBold"/>
    <w:basedOn w:val="Normal"/>
    <w:rsid w:val="00634B26"/>
    <w:rPr>
      <w:b/>
    </w:rPr>
  </w:style>
  <w:style w:type="paragraph" w:customStyle="1" w:styleId="NormalHanging12a">
    <w:name w:val="NormalHanging12a"/>
    <w:basedOn w:val="Normal"/>
    <w:link w:val="NormalHanging12aChar"/>
    <w:qFormat/>
    <w:rsid w:val="00634B26"/>
    <w:pPr>
      <w:spacing w:after="240"/>
      <w:ind w:left="567" w:hanging="567"/>
    </w:pPr>
  </w:style>
  <w:style w:type="paragraph" w:styleId="Header">
    <w:name w:val="header"/>
    <w:basedOn w:val="Normal"/>
    <w:link w:val="HeaderChar"/>
    <w:rsid w:val="00634B26"/>
    <w:pPr>
      <w:tabs>
        <w:tab w:val="center" w:pos="4513"/>
        <w:tab w:val="right" w:pos="9026"/>
      </w:tabs>
    </w:pPr>
  </w:style>
  <w:style w:type="character" w:customStyle="1" w:styleId="HeaderChar">
    <w:name w:val="Header Char"/>
    <w:basedOn w:val="DefaultParagraphFont"/>
    <w:link w:val="Header"/>
    <w:rsid w:val="00634B26"/>
    <w:rPr>
      <w:sz w:val="24"/>
      <w:lang w:val="ro-RO"/>
    </w:rPr>
  </w:style>
  <w:style w:type="paragraph" w:customStyle="1" w:styleId="EPFooter">
    <w:name w:val="EPFooter"/>
    <w:basedOn w:val="Normal"/>
    <w:rsid w:val="00634B26"/>
    <w:pPr>
      <w:tabs>
        <w:tab w:val="center" w:pos="4535"/>
        <w:tab w:val="right" w:pos="9071"/>
      </w:tabs>
      <w:spacing w:before="240" w:after="240"/>
    </w:pPr>
    <w:rPr>
      <w:color w:val="010000"/>
      <w:sz w:val="22"/>
    </w:rPr>
  </w:style>
  <w:style w:type="character" w:styleId="Hyperlink">
    <w:name w:val="Hyperlink"/>
    <w:basedOn w:val="DefaultParagraphFont"/>
    <w:uiPriority w:val="99"/>
    <w:rsid w:val="00634B26"/>
    <w:rPr>
      <w:color w:val="0563C1" w:themeColor="hyperlink"/>
      <w:u w:val="single"/>
    </w:rPr>
  </w:style>
  <w:style w:type="character" w:customStyle="1" w:styleId="NormalHanging12aChar">
    <w:name w:val="NormalHanging12a Char"/>
    <w:basedOn w:val="DefaultParagraphFont"/>
    <w:link w:val="NormalHanging12a"/>
    <w:locked/>
    <w:rsid w:val="00634B26"/>
    <w:rPr>
      <w:sz w:val="24"/>
      <w:lang w:val="ro-RO"/>
    </w:rPr>
  </w:style>
  <w:style w:type="paragraph" w:customStyle="1" w:styleId="Normal6a">
    <w:name w:val="Normal6a"/>
    <w:basedOn w:val="Normal"/>
    <w:rsid w:val="00634B26"/>
    <w:pPr>
      <w:spacing w:after="120"/>
    </w:pPr>
  </w:style>
  <w:style w:type="paragraph" w:customStyle="1" w:styleId="Normal24a">
    <w:name w:val="Normal24a"/>
    <w:basedOn w:val="Normal"/>
    <w:rsid w:val="00634B26"/>
    <w:pPr>
      <w:spacing w:after="480"/>
    </w:pPr>
  </w:style>
  <w:style w:type="paragraph" w:customStyle="1" w:styleId="Footprint12b">
    <w:name w:val="Footprint12b"/>
    <w:basedOn w:val="Normal"/>
    <w:rsid w:val="00634B26"/>
    <w:pPr>
      <w:spacing w:before="240"/>
    </w:pPr>
    <w:rPr>
      <w:szCs w:val="24"/>
    </w:rPr>
  </w:style>
  <w:style w:type="paragraph" w:customStyle="1" w:styleId="Normal12a">
    <w:name w:val="Normal12a"/>
    <w:basedOn w:val="Normal"/>
    <w:rsid w:val="00634B26"/>
    <w:pPr>
      <w:spacing w:after="240"/>
    </w:pPr>
  </w:style>
  <w:style w:type="paragraph" w:customStyle="1" w:styleId="RollCallVotes">
    <w:name w:val="RollCallVotes"/>
    <w:basedOn w:val="Normal"/>
    <w:rsid w:val="00634B26"/>
    <w:pPr>
      <w:spacing w:before="120" w:after="120"/>
      <w:jc w:val="center"/>
    </w:pPr>
    <w:rPr>
      <w:b/>
      <w:bCs/>
      <w:snapToGrid w:val="0"/>
      <w:sz w:val="16"/>
      <w:lang w:eastAsia="en-US"/>
    </w:rPr>
  </w:style>
  <w:style w:type="paragraph" w:customStyle="1" w:styleId="RollCallSymbols14pt">
    <w:name w:val="RollCallSymbols14pt"/>
    <w:basedOn w:val="Normal"/>
    <w:rsid w:val="00634B26"/>
    <w:pPr>
      <w:spacing w:before="120" w:after="120"/>
      <w:jc w:val="center"/>
    </w:pPr>
    <w:rPr>
      <w:rFonts w:ascii="Arial" w:hAnsi="Arial"/>
      <w:b/>
      <w:bCs/>
      <w:snapToGrid w:val="0"/>
      <w:sz w:val="28"/>
      <w:lang w:eastAsia="en-US"/>
    </w:rPr>
  </w:style>
  <w:style w:type="paragraph" w:customStyle="1" w:styleId="RollCallTable">
    <w:name w:val="RollCallTable"/>
    <w:basedOn w:val="Normal"/>
    <w:rsid w:val="00634B26"/>
    <w:pPr>
      <w:spacing w:before="120" w:after="120"/>
    </w:pPr>
    <w:rPr>
      <w:snapToGrid w:val="0"/>
      <w:sz w:val="16"/>
      <w:lang w:eastAsia="en-US"/>
    </w:rPr>
  </w:style>
  <w:style w:type="paragraph" w:customStyle="1" w:styleId="Normal12">
    <w:name w:val="Normal12"/>
    <w:basedOn w:val="Normal"/>
    <w:next w:val="Normal"/>
    <w:rsid w:val="00634B26"/>
    <w:pPr>
      <w:spacing w:after="240"/>
    </w:pPr>
    <w:rPr>
      <w:snapToGrid w:val="0"/>
      <w:lang w:eastAsia="en-US"/>
    </w:rPr>
  </w:style>
  <w:style w:type="paragraph" w:styleId="Footer">
    <w:name w:val="footer"/>
    <w:basedOn w:val="Normal"/>
    <w:link w:val="FooterChar"/>
    <w:rsid w:val="00D15D01"/>
    <w:pPr>
      <w:tabs>
        <w:tab w:val="center" w:pos="4513"/>
        <w:tab w:val="right" w:pos="9026"/>
      </w:tabs>
    </w:pPr>
  </w:style>
  <w:style w:type="character" w:customStyle="1" w:styleId="FooterChar">
    <w:name w:val="Footer Char"/>
    <w:basedOn w:val="DefaultParagraphFont"/>
    <w:link w:val="Footer"/>
    <w:rsid w:val="00D15D01"/>
    <w:rPr>
      <w:sz w:val="24"/>
      <w:lang w:val="ro-RO"/>
    </w:rPr>
  </w:style>
  <w:style w:type="character" w:customStyle="1" w:styleId="Hyperlink1">
    <w:name w:val="Hyperlink1"/>
    <w:basedOn w:val="DefaultParagraphFont"/>
    <w:rsid w:val="00A94F31"/>
    <w:rPr>
      <w:color w:val="0563C1"/>
      <w:u w:val="single"/>
    </w:rPr>
  </w:style>
  <w:style w:type="character" w:styleId="CommentReference">
    <w:name w:val="annotation reference"/>
    <w:basedOn w:val="DefaultParagraphFont"/>
    <w:uiPriority w:val="99"/>
    <w:unhideWhenUsed/>
    <w:rsid w:val="00A94F31"/>
    <w:rPr>
      <w:sz w:val="16"/>
      <w:szCs w:val="16"/>
    </w:rPr>
  </w:style>
  <w:style w:type="paragraph" w:styleId="CommentText">
    <w:name w:val="annotation text"/>
    <w:basedOn w:val="Normal"/>
    <w:link w:val="CommentTextChar"/>
    <w:uiPriority w:val="99"/>
    <w:unhideWhenUsed/>
    <w:rsid w:val="00A94F31"/>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A94F31"/>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84C3F-0744-439C-BF1E-8E789BC4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8060</Words>
  <Characters>46649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2025-12-05T11:45:00Z</dcterms:created>
  <dcterms:modified xsi:type="dcterms:W3CDTF">2025-12-05T11:45:00Z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P10_TA(2025)0082_</vt:lpwstr>
  </property>
  <property fmtid="{D5CDD505-2E9C-101B-9397-08002B2CF9AE}" pid="4" name="&lt;Type&gt;">
    <vt:lpwstr>RR</vt:lpwstr>
  </property>
</Properties>
</file>