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A4733" w14:paraId="1A95A227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9E3D01" w14:textId="77777777" w:rsidR="00EA4733" w:rsidRDefault="00F03286">
            <w:pPr>
              <w:pStyle w:val="EPName"/>
            </w:pPr>
            <w:r>
              <w:t>Európsky parlament</w:t>
            </w:r>
          </w:p>
          <w:p w14:paraId="7F970A1A" w14:textId="77777777" w:rsidR="00EA4733" w:rsidRDefault="00F0328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06B973B" w14:textId="77777777" w:rsidR="00EA4733" w:rsidRDefault="00F0328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134D7060" wp14:editId="1CDCDC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A8556" w14:textId="77777777" w:rsidR="00EA4733" w:rsidRDefault="00EA4733">
      <w:pPr>
        <w:pStyle w:val="LineTop"/>
      </w:pPr>
    </w:p>
    <w:p w14:paraId="6C5A25E8" w14:textId="77777777" w:rsidR="00EA4733" w:rsidRDefault="00F03286">
      <w:pPr>
        <w:pStyle w:val="EPBodyTA1"/>
      </w:pPr>
      <w:r>
        <w:t>PRIJATÉ TEXTY</w:t>
      </w:r>
    </w:p>
    <w:p w14:paraId="596D2440" w14:textId="77777777" w:rsidR="00EA4733" w:rsidRDefault="00EA4733">
      <w:pPr>
        <w:pStyle w:val="LineBottom"/>
      </w:pPr>
    </w:p>
    <w:p w14:paraId="4B14858A" w14:textId="77777777" w:rsidR="00EA4733" w:rsidRDefault="00F03286">
      <w:pPr>
        <w:pStyle w:val="ATHeading1"/>
      </w:pPr>
      <w:bookmarkStart w:id="0" w:name="TANumber"/>
      <w:r>
        <w:t>P10_TA(2025)0082</w:t>
      </w:r>
      <w:bookmarkEnd w:id="0"/>
    </w:p>
    <w:p w14:paraId="6D53D440" w14:textId="77777777" w:rsidR="00EA4733" w:rsidRDefault="00F03286">
      <w:pPr>
        <w:pStyle w:val="ATHeading2"/>
      </w:pPr>
      <w:bookmarkStart w:id="1" w:name="title"/>
      <w:r>
        <w:t>Absolutórium za rok 2023: všeobecný rozpočet EÚ – Európsky hospodársky a sociálny výbor</w:t>
      </w:r>
      <w:bookmarkEnd w:id="1"/>
    </w:p>
    <w:p w14:paraId="44028247" w14:textId="77777777" w:rsidR="00EA4733" w:rsidRDefault="00F0328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A10-0054/2025</w:instrText>
      </w:r>
      <w:bookmarkEnd w:id="2"/>
      <w:r>
        <w:rPr>
          <w:i/>
        </w:rPr>
        <w:instrText xml:space="preserve"> - Spravodajca: Joachim Stanisław Brudziński)"\l3 \n&gt; \* MERGEFORMAT </w:instrText>
      </w:r>
      <w:r>
        <w:rPr>
          <w:i/>
        </w:rPr>
        <w:fldChar w:fldCharType="end"/>
      </w:r>
    </w:p>
    <w:p w14:paraId="2F4CAE58" w14:textId="77777777" w:rsidR="00EA4733" w:rsidRDefault="00F03286">
      <w:pPr>
        <w:rPr>
          <w:vanish/>
        </w:rPr>
      </w:pPr>
      <w:bookmarkStart w:id="3" w:name="Commission"/>
      <w:r>
        <w:rPr>
          <w:vanish/>
        </w:rPr>
        <w:t>Výbor pre kontrolu rozpočtu</w:t>
      </w:r>
      <w:bookmarkEnd w:id="3"/>
    </w:p>
    <w:p w14:paraId="2BC92390" w14:textId="77777777" w:rsidR="00EA4733" w:rsidRDefault="00F03286">
      <w:pPr>
        <w:rPr>
          <w:vanish/>
        </w:rPr>
      </w:pPr>
      <w:bookmarkStart w:id="4" w:name="PE"/>
      <w:r>
        <w:rPr>
          <w:vanish/>
        </w:rPr>
        <w:t>PE764.993</w:t>
      </w:r>
      <w:bookmarkEnd w:id="4"/>
    </w:p>
    <w:p w14:paraId="5E660AA0" w14:textId="77777777" w:rsidR="00EA4733" w:rsidRDefault="00F03286">
      <w:pPr>
        <w:pStyle w:val="ATHeading3"/>
      </w:pPr>
      <w:bookmarkStart w:id="5" w:name="Sujet"/>
      <w:r>
        <w:t>1. Rozhodnutie Európskeho parlamentu zo 7. mája 2025 o absolutóriu za plnenie všeobecného rozpočtu Európskej únie za rozpočtový rok 2023, oddiel VI – Európsky hospodársky a sociálny výbor</w:t>
      </w:r>
      <w:bookmarkEnd w:id="5"/>
      <w:r>
        <w:t xml:space="preserve"> </w:t>
      </w:r>
      <w:bookmarkStart w:id="6" w:name="References"/>
      <w:r>
        <w:t>(2024/2025(DEC))</w:t>
      </w:r>
      <w:bookmarkEnd w:id="6"/>
    </w:p>
    <w:p w14:paraId="0BB288A0" w14:textId="77777777" w:rsidR="00EA4733" w:rsidRDefault="00F03286" w:rsidP="00F03286"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 w14:paraId="420A635D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všeobecný rozpočet Európskej únie na rozpočtový rok 2023</w:t>
      </w:r>
      <w:r w:rsidRPr="00F03286">
        <w:rPr>
          <w:kern w:val="2"/>
          <w:vertAlign w:val="superscript"/>
          <w14:ligatures w14:val="standardContextual"/>
        </w:rPr>
        <w:footnoteReference w:id="1"/>
      </w:r>
      <w:r w:rsidRPr="00F03286">
        <w:rPr>
          <w:kern w:val="2"/>
          <w14:ligatures w14:val="standardContextual"/>
        </w:rPr>
        <w:t>,</w:t>
      </w:r>
    </w:p>
    <w:p w14:paraId="2392B23D" w14:textId="299A7588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 xml:space="preserve">so zreteľom na konsolidovanú ročnú účtovnú závierku Európskej únie za rozpočtový rok 2023 </w:t>
      </w:r>
      <w:r>
        <w:rPr>
          <w:kern w:val="2"/>
          <w14:ligatures w14:val="standardContextual"/>
        </w:rPr>
        <w:t>(</w:t>
      </w:r>
      <w:r w:rsidRPr="00F03286">
        <w:rPr>
          <w:kern w:val="2"/>
          <w14:ligatures w14:val="standardContextual"/>
        </w:rPr>
        <w:t>COM(2024)0272 – C10</w:t>
      </w:r>
      <w:r w:rsidRPr="00F03286">
        <w:rPr>
          <w:kern w:val="2"/>
          <w14:ligatures w14:val="standardContextual"/>
        </w:rPr>
        <w:noBreakHyphen/>
        <w:t>0073/2024</w:t>
      </w:r>
      <w:r>
        <w:rPr>
          <w:kern w:val="2"/>
          <w14:ligatures w14:val="standardContextual"/>
        </w:rPr>
        <w:t>)</w:t>
      </w:r>
      <w:r w:rsidRPr="00F03286">
        <w:rPr>
          <w:kern w:val="2"/>
          <w:vertAlign w:val="superscript"/>
          <w14:ligatures w14:val="standardContextual"/>
        </w:rPr>
        <w:footnoteReference w:id="2"/>
      </w:r>
      <w:r w:rsidRPr="00F03286">
        <w:rPr>
          <w:kern w:val="2"/>
          <w14:ligatures w14:val="standardContextual"/>
        </w:rPr>
        <w:t>,</w:t>
      </w:r>
    </w:p>
    <w:p w14:paraId="4DCCA4A0" w14:textId="77777777" w:rsidR="00F03286" w:rsidRPr="00F03286" w:rsidRDefault="00F03286" w:rsidP="00F03286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výročnú správu o činnosti Európskeho hospodárskeho a sociálneho výboru za rok 2023,</w:t>
      </w:r>
    </w:p>
    <w:p w14:paraId="3ED47F7E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výročnú správu Dvora audítorov o plnení rozpočtu za rozpočtový rok 2023 spolu s odpoveďami inštitúcií</w:t>
      </w:r>
      <w:r w:rsidRPr="00F03286">
        <w:rPr>
          <w:kern w:val="2"/>
          <w:vertAlign w:val="superscript"/>
          <w14:ligatures w14:val="standardContextual"/>
        </w:rPr>
        <w:footnoteReference w:id="3"/>
      </w:r>
      <w:r w:rsidRPr="00F03286">
        <w:rPr>
          <w:kern w:val="2"/>
          <w14:ligatures w14:val="standardContextual"/>
        </w:rPr>
        <w:t>,</w:t>
      </w:r>
    </w:p>
    <w:p w14:paraId="792BD7CA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vyhlásenie o vierohodnosti</w:t>
      </w:r>
      <w:r w:rsidRPr="00F03286">
        <w:rPr>
          <w:kern w:val="2"/>
          <w:vertAlign w:val="superscript"/>
          <w14:ligatures w14:val="standardContextual"/>
        </w:rPr>
        <w:footnoteReference w:id="4"/>
      </w:r>
      <w:r w:rsidRPr="00F03286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 fungovaní Európskej únie,</w:t>
      </w:r>
    </w:p>
    <w:p w14:paraId="22026A7A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článok 314 ods. 10 a články 317, 318 a 319 Zmluvy o fungovaní Európskej únie,</w:t>
      </w:r>
    </w:p>
    <w:p w14:paraId="51BB9B2B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F03286">
        <w:rPr>
          <w:kern w:val="2"/>
          <w14:ligatures w14:val="standardContextual"/>
        </w:rPr>
        <w:t>Euratom</w:t>
      </w:r>
      <w:proofErr w:type="spellEnd"/>
      <w:r w:rsidRPr="00F03286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</w:t>
      </w:r>
      <w:r w:rsidRPr="00F03286">
        <w:rPr>
          <w:kern w:val="2"/>
          <w14:ligatures w14:val="standardContextual"/>
        </w:rPr>
        <w:lastRenderedPageBreak/>
        <w:t xml:space="preserve">(EÚ) č. 1304/2013, (EÚ) č. 1309/2013, (EÚ) č. 1316/2013, (EÚ) č. 223/2014, (EÚ) č. 283/2014 a rozhodnutia č. 541/2014/EÚ a o zrušení nariadenia (EÚ, </w:t>
      </w:r>
      <w:proofErr w:type="spellStart"/>
      <w:r w:rsidRPr="00F03286">
        <w:rPr>
          <w:kern w:val="2"/>
          <w14:ligatures w14:val="standardContextual"/>
        </w:rPr>
        <w:t>Euratom</w:t>
      </w:r>
      <w:proofErr w:type="spellEnd"/>
      <w:r w:rsidRPr="00F03286">
        <w:rPr>
          <w:kern w:val="2"/>
          <w14:ligatures w14:val="standardContextual"/>
        </w:rPr>
        <w:t>) č. 966/2012</w:t>
      </w:r>
      <w:r w:rsidRPr="00F03286">
        <w:rPr>
          <w:kern w:val="2"/>
          <w:vertAlign w:val="superscript"/>
          <w14:ligatures w14:val="standardContextual"/>
        </w:rPr>
        <w:footnoteReference w:id="5"/>
      </w:r>
      <w:r w:rsidRPr="00F03286">
        <w:rPr>
          <w:kern w:val="2"/>
          <w14:ligatures w14:val="standardContextual"/>
        </w:rPr>
        <w:t>, a najmä na jeho články 59, 118, 260, 261 a 262,</w:t>
      </w:r>
    </w:p>
    <w:p w14:paraId="253C9A16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 xml:space="preserve">so zreteľom na </w:t>
      </w:r>
      <w:r w:rsidRPr="00F03286">
        <w:rPr>
          <w:color w:val="333333"/>
          <w:kern w:val="2"/>
          <w:shd w:val="clear" w:color="auto" w:fill="FFFFFF"/>
          <w14:ligatures w14:val="standardContextual"/>
        </w:rPr>
        <w:t xml:space="preserve">nariadenie Európskeho parlamentu a Rady (EÚ, </w:t>
      </w:r>
      <w:proofErr w:type="spellStart"/>
      <w:r w:rsidRPr="00F03286">
        <w:rPr>
          <w:color w:val="333333"/>
          <w:kern w:val="2"/>
          <w:shd w:val="clear" w:color="auto" w:fill="FFFFFF"/>
          <w14:ligatures w14:val="standardContextual"/>
        </w:rPr>
        <w:t>Euratom</w:t>
      </w:r>
      <w:proofErr w:type="spellEnd"/>
      <w:r w:rsidRPr="00F03286">
        <w:rPr>
          <w:color w:val="333333"/>
          <w:kern w:val="2"/>
          <w:shd w:val="clear" w:color="auto" w:fill="FFFFFF"/>
          <w14:ligatures w14:val="standardContextual"/>
        </w:rPr>
        <w:t>) 2024/2509 z 23. septembra 2024 o rozpočtových pravidlách, ktoré sa vzťahujú na všeobecný rozpočet Únie</w:t>
      </w:r>
      <w:r w:rsidRPr="00F03286">
        <w:rPr>
          <w:bCs/>
          <w:color w:val="333333"/>
          <w:kern w:val="2"/>
          <w:szCs w:val="24"/>
          <w:shd w:val="clear" w:color="auto" w:fill="FFFFFF"/>
          <w:vertAlign w:val="superscript"/>
          <w14:ligatures w14:val="standardContextual"/>
        </w:rPr>
        <w:footnoteReference w:id="6"/>
      </w:r>
      <w:r w:rsidRPr="00F03286">
        <w:rPr>
          <w:color w:val="333333"/>
          <w:kern w:val="2"/>
          <w:shd w:val="clear" w:color="auto" w:fill="FFFFFF"/>
          <w14:ligatures w14:val="standardContextual"/>
        </w:rPr>
        <w:t>, a najmä na jeho články 59, 118, 266, 267 a 268</w:t>
      </w:r>
      <w:r w:rsidRPr="00F03286">
        <w:rPr>
          <w:kern w:val="2"/>
          <w14:ligatures w14:val="standardContextual"/>
        </w:rPr>
        <w:t>,</w:t>
      </w:r>
    </w:p>
    <w:p w14:paraId="20F01330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článok 102 a prílohu V k rokovaciemu poriadku,</w:t>
      </w:r>
    </w:p>
    <w:p w14:paraId="351CE012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–</w:t>
      </w:r>
      <w:r w:rsidRPr="00F03286">
        <w:rPr>
          <w:kern w:val="2"/>
          <w14:ligatures w14:val="standardContextual"/>
        </w:rPr>
        <w:tab/>
        <w:t>so zreteľom na správu Výboru pre kontrolu rozpočtu (A10-0054/2025),</w:t>
      </w:r>
    </w:p>
    <w:p w14:paraId="2FCCDEE4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1.</w:t>
      </w:r>
      <w:r w:rsidRPr="00F03286">
        <w:rPr>
          <w:kern w:val="2"/>
          <w14:ligatures w14:val="standardContextual"/>
        </w:rPr>
        <w:tab/>
        <w:t>udeľuje generálnej tajomníčke Európskeho hospodárskeho a sociálneho výboru absolutórium za plnenie rozpočtu Európskeho hospodárskeho a sociálneho výboru za rozpočtový rok 2023;</w:t>
      </w:r>
    </w:p>
    <w:p w14:paraId="618FAE30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2.</w:t>
      </w:r>
      <w:r w:rsidRPr="00F03286">
        <w:rPr>
          <w:kern w:val="2"/>
          <w14:ligatures w14:val="standardContextual"/>
        </w:rPr>
        <w:tab/>
        <w:t>uvádza svoje poznámky v priloženom uznesení;</w:t>
      </w:r>
    </w:p>
    <w:p w14:paraId="601A4DB7" w14:textId="77777777" w:rsidR="00F03286" w:rsidRPr="00F03286" w:rsidRDefault="00F03286" w:rsidP="00F03286">
      <w:pPr>
        <w:spacing w:after="240"/>
        <w:ind w:left="567" w:hanging="567"/>
        <w:rPr>
          <w:kern w:val="2"/>
          <w14:ligatures w14:val="standardContextual"/>
        </w:rPr>
      </w:pPr>
      <w:r w:rsidRPr="00F03286">
        <w:rPr>
          <w:kern w:val="2"/>
          <w14:ligatures w14:val="standardContextual"/>
        </w:rPr>
        <w:t>3.</w:t>
      </w:r>
      <w:r w:rsidRPr="00F03286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Európskemu hospodárskemu a sociálnemu výboru, Rade, Komisii a Dvoru audítorov a aby zabezpečila ich uverejnenie v </w:t>
      </w:r>
      <w:r w:rsidRPr="00F03286">
        <w:rPr>
          <w:i/>
          <w:iCs/>
          <w:kern w:val="2"/>
          <w14:ligatures w14:val="standardContextual"/>
        </w:rPr>
        <w:t>Úradnom vestníku Európskej únie</w:t>
      </w:r>
      <w:r w:rsidRPr="00F03286">
        <w:rPr>
          <w:kern w:val="2"/>
          <w14:ligatures w14:val="standardContextual"/>
        </w:rPr>
        <w:t xml:space="preserve"> (v sérii L).</w:t>
      </w:r>
    </w:p>
    <w:p w14:paraId="6C243CFF" w14:textId="77777777" w:rsidR="00F03286" w:rsidRPr="00F03286" w:rsidRDefault="00F03286" w:rsidP="00F03286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F03286" w:rsidRPr="00F03286" w:rsidSect="00F03286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44E278" w14:textId="77777777" w:rsidR="00F03286" w:rsidRPr="00F03286" w:rsidRDefault="00F03286" w:rsidP="00F03286">
      <w:pPr>
        <w:pStyle w:val="ATHeading3"/>
      </w:pPr>
      <w:r w:rsidRPr="00F03286">
        <w:lastRenderedPageBreak/>
        <w:t>2. Uznesenie Európskeho parlamentu zo 7. mája 2025 s poznámkami, ktoré je neoddeliteľnou súčasťou rozhodnutia o absolutóriu za plnenie všeobecného rozpočtu Európskej únie za rozpočtový rok 2023, oddiel VI – Európsky hospodársky a sociálny výbor (2024/2025(DEC))</w:t>
      </w:r>
    </w:p>
    <w:p w14:paraId="7EB0FBB8" w14:textId="1628F2C8" w:rsidR="00F03286" w:rsidRPr="00F03286" w:rsidRDefault="00F03286" w:rsidP="00F03286">
      <w:pPr>
        <w:spacing w:before="480" w:after="240"/>
        <w:rPr>
          <w:iCs/>
        </w:rPr>
      </w:pPr>
      <w:r>
        <w:rPr>
          <w:i/>
        </w:rPr>
        <w:t>Európsky parlament</w:t>
      </w:r>
      <w:r w:rsidRPr="00F03286">
        <w:rPr>
          <w:iCs/>
        </w:rPr>
        <w:t>,</w:t>
      </w:r>
    </w:p>
    <w:p w14:paraId="66B5B1C9" w14:textId="77777777" w:rsidR="00F03286" w:rsidRPr="00F03286" w:rsidRDefault="00F03286" w:rsidP="00F03286">
      <w:pPr>
        <w:spacing w:after="240"/>
        <w:ind w:left="567" w:hanging="567"/>
      </w:pPr>
      <w:r w:rsidRPr="00F03286">
        <w:t>–</w:t>
      </w:r>
      <w:r w:rsidRPr="00F03286">
        <w:tab/>
        <w:t>so zreteľom na svoje rozhodnutie o absolutóriu za plnenie všeobecného rozpočtu Európskej únie za rozpočtový rok 2023, oddiel VI – Európsky hospodársky a sociálny výbor,</w:t>
      </w:r>
    </w:p>
    <w:p w14:paraId="6372543E" w14:textId="77777777" w:rsidR="00F03286" w:rsidRPr="00F03286" w:rsidRDefault="00F03286" w:rsidP="00F03286">
      <w:pPr>
        <w:spacing w:after="240"/>
        <w:ind w:left="567" w:hanging="567"/>
      </w:pPr>
      <w:r w:rsidRPr="00F03286">
        <w:t>–</w:t>
      </w:r>
      <w:r w:rsidRPr="00F03286">
        <w:tab/>
        <w:t>so zreteľom na článok 102 a prílohu V k rokovaciemu poriadku,</w:t>
      </w:r>
    </w:p>
    <w:p w14:paraId="3416C1C4" w14:textId="77777777" w:rsidR="00F03286" w:rsidRPr="00F03286" w:rsidRDefault="00F03286" w:rsidP="00F03286">
      <w:pPr>
        <w:spacing w:after="240"/>
        <w:ind w:left="567" w:hanging="567"/>
      </w:pPr>
      <w:r w:rsidRPr="00F03286">
        <w:t>–</w:t>
      </w:r>
      <w:r w:rsidRPr="00F03286">
        <w:tab/>
        <w:t>so zreteľom na správu Výboru pre kontrolu rozpočtu (A10-0054/2025)),</w:t>
      </w:r>
    </w:p>
    <w:p w14:paraId="68143D9D" w14:textId="77777777" w:rsidR="00F03286" w:rsidRPr="00F03286" w:rsidRDefault="00F03286" w:rsidP="00F03286">
      <w:pPr>
        <w:spacing w:after="240"/>
        <w:ind w:left="567" w:hanging="567"/>
      </w:pPr>
      <w:r w:rsidRPr="00F03286">
        <w:t>A.</w:t>
      </w:r>
      <w:r w:rsidRPr="00F03286">
        <w:tab/>
        <w:t>keďže v súvislosti s postupom udelenia absolutória chce orgán udeľujúci absolutórium podčiarknuť mimoriadny význam ďalšieho posilňovania demokratickej legitimity inštitúcií Únie zvyšovaním transparentnosti a zodpovednosti a zavedením koncepcie zostavovania rozpočtu podľa výkonnosti a dobrého riadenia ľudských zdrojov;</w:t>
      </w:r>
    </w:p>
    <w:p w14:paraId="6B8C9FD3" w14:textId="77777777" w:rsidR="00F03286" w:rsidRPr="00F03286" w:rsidRDefault="00F03286" w:rsidP="00F03286">
      <w:pPr>
        <w:spacing w:after="240"/>
        <w:ind w:left="567" w:hanging="567"/>
      </w:pPr>
      <w:r w:rsidRPr="00F03286">
        <w:t>B.</w:t>
      </w:r>
      <w:r w:rsidRPr="00F03286">
        <w:tab/>
        <w:t>keďže Európsky hospodársky a sociálny výbor (ďalej len „výbor“) je poradným orgánom Únie, ktorý poskytuje fórum na konzultácie, dialóg a konsenzus medzi zástupcami rôznych hospodárskych, sociálnych a občianskych zložiek organizovanej občianskej spoločnosti z členských štátov;</w:t>
      </w:r>
    </w:p>
    <w:p w14:paraId="0CDC6228" w14:textId="77777777" w:rsidR="00F03286" w:rsidRPr="00F03286" w:rsidRDefault="00F03286" w:rsidP="00F03286">
      <w:pPr>
        <w:spacing w:after="240"/>
        <w:ind w:left="567" w:hanging="567"/>
      </w:pPr>
      <w:r w:rsidRPr="00F03286">
        <w:t>C.</w:t>
      </w:r>
      <w:r w:rsidRPr="00F03286">
        <w:tab/>
        <w:t xml:space="preserve">keďže výbor prispieva k rozhodovaciemu procesu Únie a tým, že zabezpečuje prepojenie medzi politikami Únie a hospodárskou, sociálnou a občianskou situáciou, plní svoje poslanie lepšej tvorby práva, </w:t>
      </w:r>
      <w:proofErr w:type="spellStart"/>
      <w:r w:rsidRPr="00F03286">
        <w:t>participatívnej</w:t>
      </w:r>
      <w:proofErr w:type="spellEnd"/>
      <w:r w:rsidRPr="00F03286">
        <w:t xml:space="preserve"> demokracie zdola nahor a presadzovania hodnôt Únie;</w:t>
      </w:r>
    </w:p>
    <w:p w14:paraId="7DAE5FC9" w14:textId="77777777" w:rsidR="00F03286" w:rsidRPr="00F03286" w:rsidRDefault="00F03286" w:rsidP="00F03286">
      <w:pPr>
        <w:spacing w:after="240"/>
        <w:ind w:left="567" w:hanging="567"/>
      </w:pPr>
      <w:r w:rsidRPr="00F03286">
        <w:t>D.</w:t>
      </w:r>
      <w:r w:rsidRPr="00F03286">
        <w:tab/>
        <w:t>keďže konzultácia Komisie alebo Rady s výborom je v určitých prípadoch povinná a výbor môže tiež prijímať stanoviská z vlastnej iniciatívy, pričom má široký priestor na ich postúpenie, ako je vymedzený v Jednotnom európskom akte, Maastrichtskej zmluve a Amsterdamskej zmluve, čo umožňuje, aby s ním Európsky parlament konzultoval;</w:t>
      </w:r>
    </w:p>
    <w:p w14:paraId="259D9842" w14:textId="77777777" w:rsidR="00F03286" w:rsidRPr="00F03286" w:rsidRDefault="00F03286" w:rsidP="00F03286">
      <w:pPr>
        <w:spacing w:after="240"/>
        <w:ind w:left="567" w:hanging="567"/>
      </w:pPr>
      <w:r w:rsidRPr="00F03286">
        <w:t>E.</w:t>
      </w:r>
      <w:r w:rsidRPr="00F03286">
        <w:tab/>
        <w:t>keďže komisia pre finančné a rozpočtové záležitosti (CAF) pôsobiaca pri výbore je dozorným orgánom výboru, pokiaľ ide o všetky rozpočtové postupy, a najmä o vypracovanie odhadov rozpočtu, plnenie rozpočtu, výročnú správu o činnosti, absolutórium a prijatie následných opatrení k výročnej správe Dvora audítorov;</w:t>
      </w:r>
    </w:p>
    <w:p w14:paraId="29E6E7BB" w14:textId="77777777" w:rsidR="00F03286" w:rsidRPr="00F03286" w:rsidRDefault="00F03286" w:rsidP="00F03286">
      <w:pPr>
        <w:spacing w:after="240"/>
        <w:ind w:left="567" w:hanging="567"/>
      </w:pPr>
      <w:r w:rsidRPr="00F03286">
        <w:t>F.</w:t>
      </w:r>
      <w:r w:rsidRPr="00F03286">
        <w:tab/>
        <w:t>keďže v posledných rokoch výbor prijal iniciatívy na prilákanie a udržanie kvalifikovaných pracovníkov, optimalizáciu svojej organizačnej štruktúry a pracovných metód a podporu ohľaduplného pracovného prostredia v kontexte obmedzeného rozpočtu;</w:t>
      </w:r>
    </w:p>
    <w:p w14:paraId="1A54BCEA" w14:textId="77777777" w:rsidR="00F03286" w:rsidRPr="00F03286" w:rsidRDefault="00F03286" w:rsidP="00F03286">
      <w:pPr>
        <w:spacing w:after="240"/>
        <w:ind w:left="567" w:hanging="567"/>
      </w:pPr>
      <w:r w:rsidRPr="00F03286">
        <w:t>1.</w:t>
      </w:r>
      <w:r w:rsidRPr="00F03286">
        <w:tab/>
        <w:t>poznamenáva, že rozpočet výboru patrí do okruhu 7 VFR „Európska verejná správa“, ktorý v roku 2023 predstavoval celkovo 12,3 miliardy EUR, t. j. 6,4 % rozpočtových výdavkov Únie; konštatuje, že rozpočet výboru v roku 2023 predstavoval 1,29 % rozpočtových prostriedkov okruhu 7 VFR;</w:t>
      </w:r>
    </w:p>
    <w:p w14:paraId="3FE01787" w14:textId="77777777" w:rsidR="00F03286" w:rsidRPr="00F03286" w:rsidRDefault="00F03286" w:rsidP="00F03286">
      <w:pPr>
        <w:spacing w:after="240"/>
        <w:ind w:left="567" w:hanging="567"/>
      </w:pPr>
      <w:r w:rsidRPr="00F03286">
        <w:t>2.</w:t>
      </w:r>
      <w:r w:rsidRPr="00F03286">
        <w:tab/>
        <w:t xml:space="preserve">poznamenáva, že Dvor audítorov vo svojej výročnej správe za rozpočtový rok 2023 </w:t>
      </w:r>
      <w:r w:rsidRPr="00F03286">
        <w:lastRenderedPageBreak/>
        <w:t>(ďalej len „správa Dvora audítorov“) preskúmal vzorku 70 operácií z okruhu 7, pričom v 21 z nich (30 %) sa vyskytovali chyby; ďalej konštatuje, že Dvor audítorov pri piatich z týchto chýb, ktoré vyčíslil, odhadol chybovosť pod prahovou hodnotnou významnosti;</w:t>
      </w:r>
    </w:p>
    <w:p w14:paraId="12F36A91" w14:textId="77777777" w:rsidR="00F03286" w:rsidRPr="00F03286" w:rsidRDefault="00F03286" w:rsidP="00F03286">
      <w:pPr>
        <w:spacing w:after="240"/>
        <w:ind w:left="567" w:hanging="567"/>
      </w:pPr>
      <w:r w:rsidRPr="00F03286">
        <w:t>3.</w:t>
      </w:r>
      <w:r w:rsidRPr="00F03286">
        <w:tab/>
        <w:t>na základe správy Dvora audítorov konštatuje, že administratívne výdavky zahŕňajú výdavky na ľudské zdroje vrátane dôchodkov, ktoré v roku 2023 predstavovali približne 70 % celkových administratívnych výdavkov, a výdavky na budovy, zariadenie, energiu, komunikáciu a informačné technológie; víta skutočnosť, že Dvor audítorov rovnako ako v predchádzajúcich rokoch dospel k záveru, že administratívne výdavky sú celkovo nízko rizikové; konštatuje, že Dvor audítorov v roku 2023 nezistil žiadny konkrétny problém týkajúci sa výboru;</w:t>
      </w:r>
    </w:p>
    <w:p w14:paraId="1F4BEBF5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r w:rsidRPr="00F03286">
        <w:rPr>
          <w:b/>
          <w:i/>
        </w:rPr>
        <w:t>Rozpočtové a finančné riadenie</w:t>
      </w:r>
    </w:p>
    <w:p w14:paraId="3EA7E115" w14:textId="77777777" w:rsidR="00F03286" w:rsidRPr="00F03286" w:rsidRDefault="00F03286" w:rsidP="00F03286">
      <w:pPr>
        <w:spacing w:after="240"/>
        <w:ind w:left="567" w:hanging="567"/>
      </w:pPr>
      <w:r w:rsidRPr="00F03286">
        <w:t>4.</w:t>
      </w:r>
      <w:r w:rsidRPr="00F03286">
        <w:tab/>
        <w:t>poznamenáva, že konečný schválený rozpočet výboru v roku 2023 bol 158 767 970 EUR, čo v porovnaní s rokom 2022 predstavovalo celkové zvýšenie o 4,1 %; na základe odpovedí výboru na dotazník Výboru pre kontrolu rozpočtu na účely rozpočtového absolutória za rok 2023 (ďalej len „dotazník“) a výročnej správy o činnosti výboru za rok 2023 (ďalej len „výročná správa“) konštatuje, že rozpočtový riadok týkajúci sa odmien a príspevkov (výdavky na zamestnancov a členov výboru) sa v rokoch 2022 až 2023 zvýšil o 8,4 % v dôsledku inflácie; na základe dotazníka konštatuje, že rozpočet na externú pomoc pri prevádzke, vývoji a údržbe softvérových systémov sa od roku 2022 do roku 2023 zvýšil o 33,70 %, pretože výbor v roku 2023 stanovil vykonávanie svojej digitálnej stratégie na roky 2024 – 2026 ako prioritu; konštatuje, že inak zostalo rozdelenie rozpočtových prostriedkov medzi ostatné rozpočtové riadky v rozpočte výboru na rok 2023 porovnateľné s rozdelením v predchádzajúcich rokoch;</w:t>
      </w:r>
    </w:p>
    <w:p w14:paraId="4972BC9E" w14:textId="77777777" w:rsidR="00F03286" w:rsidRPr="00F03286" w:rsidRDefault="00F03286" w:rsidP="00F03286">
      <w:pPr>
        <w:spacing w:after="240"/>
        <w:ind w:left="567" w:hanging="567"/>
      </w:pPr>
      <w:r w:rsidRPr="00F03286">
        <w:t>5.</w:t>
      </w:r>
      <w:r w:rsidRPr="00F03286">
        <w:tab/>
        <w:t>s uspokojením konštatuje, že miera plnenia rozpočtu výboru, pokiaľ ide o viazané rozpočtové prostriedky v bežnom roku, sa ďalej zvýšila z 96,12 % v roku 2022 na 98,70 % v roku 2023 a odpútala sa od nižšieho plnenia rozpočtu v predchádzajúcich rokoch v dôsledku pandémie ochorenia COVID-19 a súvisiacich cestovných obmedzení; ďalej konštatuje, že miera plnenia platobných rozpočtových prostriedkov v bežnom roku sa zvýšila z 88,12 % v roku 2022 na 90,67 % v roku 2023; konštatuje, že priemerný čas úhrady v roku 2023 bol 20,14 dňa, čo je viac ako v roku 2022 (t. j. 18,34 dňa);</w:t>
      </w:r>
    </w:p>
    <w:p w14:paraId="51BAD902" w14:textId="77777777" w:rsidR="00F03286" w:rsidRPr="00F03286" w:rsidRDefault="00F03286" w:rsidP="00F03286">
      <w:pPr>
        <w:spacing w:after="240"/>
        <w:ind w:left="567" w:hanging="567"/>
      </w:pPr>
      <w:r w:rsidRPr="00F03286">
        <w:t>6.</w:t>
      </w:r>
      <w:r w:rsidRPr="00F03286">
        <w:tab/>
        <w:t>konštatuje, že prenos rozpočtových prostriedkov z roku 2023 do roku 2024 predstavoval 13 827 713 EUR (t. j. približne 8,70 % rozpočtu výboru na rok 2023), čo predstavuje zníženie oproti úrovni 20 162 518 EUR z predchádzajúceho roka (t. j. približne 13 % rozpočtu výboru na rok 2022); ďalej s uznaním konštatuje, že miera plnenia rozpočtových prostriedkov prenesených z roku 2022 do roku 2023 bola 86,76 % v roku 2023 v porovnaní so 76,91 % v roku 2022; nabáda výbor, aby naďalej účinne využíval poskytnuté finančné prostriedky;</w:t>
      </w:r>
    </w:p>
    <w:p w14:paraId="0823F2E1" w14:textId="77777777" w:rsidR="00F03286" w:rsidRPr="00F03286" w:rsidRDefault="00F03286" w:rsidP="00F03286">
      <w:pPr>
        <w:spacing w:after="240"/>
        <w:ind w:left="567" w:hanging="567"/>
      </w:pPr>
      <w:r w:rsidRPr="00F03286">
        <w:t>7.</w:t>
      </w:r>
      <w:r w:rsidRPr="00F03286">
        <w:tab/>
        <w:t>konštatuje, že v roku 2022 začali vlastné útvary výboru 12 rokovacích konaní pod 60 000 EUR, najmä pokiaľ ide o odborné znalosti, štúdie a logistickú podporu; konštatuje, že výbor takisto začal šesť postupov verejného obstarávania so spoločnými službami, ktoré využíva aj Európsky výbor regiónov (ďalej len „VR“), najmä v oblasti logistiky a údržby;</w:t>
      </w:r>
    </w:p>
    <w:p w14:paraId="66294A59" w14:textId="77777777" w:rsidR="00F03286" w:rsidRPr="00F03286" w:rsidRDefault="00F03286" w:rsidP="00F03286">
      <w:pPr>
        <w:spacing w:after="240"/>
        <w:ind w:left="567" w:hanging="567"/>
      </w:pPr>
      <w:r w:rsidRPr="00F03286">
        <w:lastRenderedPageBreak/>
        <w:t>8.</w:t>
      </w:r>
      <w:r w:rsidRPr="00F03286">
        <w:tab/>
        <w:t xml:space="preserve">konštatuje, že v roku 2023 výbor pokračoval v zlepšovaní nákladovej účinnosti svojich činností, a to aj vďaka hybridnej práci, väčšej miere </w:t>
      </w:r>
      <w:proofErr w:type="spellStart"/>
      <w:r w:rsidRPr="00F03286">
        <w:t>telepráce</w:t>
      </w:r>
      <w:proofErr w:type="spellEnd"/>
      <w:r w:rsidRPr="00F03286">
        <w:t xml:space="preserve">, úplnej </w:t>
      </w:r>
      <w:proofErr w:type="spellStart"/>
      <w:r w:rsidRPr="00F03286">
        <w:t>dematerializácii</w:t>
      </w:r>
      <w:proofErr w:type="spellEnd"/>
      <w:r w:rsidRPr="00F03286">
        <w:t xml:space="preserve"> finančných postupov a zníženej spotrebe energie; na základe dotazníka konštatuje, že výbor dosiahol v roku 2023 finančné úspory vo výške 65 000 EUR v dôsledku zníženia spotreby energie; oceňuje, že výbor podpísal novú rámcovú zmluvu o lekárskych prehliadkach, v ktorej sa stanovujú nižšie ceny, väčšia flexibilita a celkovo lepšie služby ako v predchádzajúcej zmluve; ďalej berie na vedomie významné rozpočtové a administratívne úspory, ktoré výbor dosiahol </w:t>
      </w:r>
      <w:proofErr w:type="spellStart"/>
      <w:r w:rsidRPr="00F03286">
        <w:t>medziinštitucionálnou</w:t>
      </w:r>
      <w:proofErr w:type="spellEnd"/>
      <w:r w:rsidRPr="00F03286">
        <w:t xml:space="preserve"> spoluprácou, najmä prostredníctvom spoločných služieb s VR a outsourcingu (dohody o úrovni poskytovaných služieb) osobitných služieb na Komisiu v oblasti správy ľudských zdrojov a využívania rôznych IT nástrojov na finančné a personálne riadenie, ako aj prostredníctvom účasti na </w:t>
      </w:r>
      <w:proofErr w:type="spellStart"/>
      <w:r w:rsidRPr="00F03286">
        <w:t>medziinštitucionálnych</w:t>
      </w:r>
      <w:proofErr w:type="spellEnd"/>
      <w:r w:rsidRPr="00F03286">
        <w:t xml:space="preserve"> postupoch verejného obstarávania vedených inými inštitúciami; na základe dotazníka konštatuje, že celkové náklady, ktoré výboru vznikli v súvislosti s externým zabezpečovaním osobitných služieb Komisiou, sa zvýšili zo 743 600 EUR v roku 2022 na 793 000 EUR v roku 2023;</w:t>
      </w:r>
    </w:p>
    <w:p w14:paraId="59162367" w14:textId="77777777" w:rsidR="00F03286" w:rsidRPr="00F03286" w:rsidRDefault="00F03286" w:rsidP="00F03286">
      <w:pPr>
        <w:spacing w:after="240"/>
        <w:ind w:left="567" w:hanging="567"/>
      </w:pPr>
      <w:r w:rsidRPr="00F03286">
        <w:t>9.</w:t>
      </w:r>
      <w:r w:rsidRPr="00F03286">
        <w:tab/>
        <w:t>pripomína, že v rozhodnutí Rady z 25. mája 2023 sa stanovil príspevok za účasť členov výboru na diaľku na neštatutárnych schôdzach vo výške 145 EUR na deň za schôdzu na diaľku, čo predstavuje 50 % denného príspevku za fyzickú účasť v roku 2023; domnieva sa, že napriek tomu, že účasť na diaľku je dôležitým nástrojom pre moderné inštitúcie, pretože okrem iného znižuje náklady na schôdze a umožňuje širšiu účasť, prideľovanie príspevku za účasť na schôdzi na diaľku, aj keď je príspevok znížený a určený len na niektoré druhy podujatí, je pre verejnosť ťažko pochopiteľné, o to viac, keď sa vezme do úvahy rozdiel vyplácaný za takúto účasť členom výboru a členom Výboru regiónov; na základe správy výboru o následných opatreniach k uzneseniu Európskeho parlamentu o plnení rozpočtu výboru za rok 2022 (ďalej len „správa o následných opatreniach“) s uspokojením konštatuje, že uplatňovanie tohto rozhodnutia už prinieslo rozpočtové úspory vo výške 1 677 000 EUR v dôsledku nižších cestovných nákladov a vyplatených príspevkov, ako aj environmentálne úspory vo výške približne 553,66 tony CO</w:t>
      </w:r>
      <w:r w:rsidRPr="00F03286">
        <w:rPr>
          <w:vertAlign w:val="subscript"/>
        </w:rPr>
        <w:t>2</w:t>
      </w:r>
      <w:r w:rsidRPr="00F03286">
        <w:t xml:space="preserve"> v dôsledku menšieho počtu ciest v roku 2023; na základe výročnej správy konštatuje, že počet dní, za ktoré boli vyplatené príspevky za schôdze na diaľku, bol 2 006 (6 259 v roku 2022) s priemerným trvaním schôdze 3 hodiny a s celkovými nákladmi 294 930 EUR v roku 2023 (922 925 EUR v roku 2022); víta viacnásobné kontroly, ktoré výbor vykonal s cieľom preukázať účasť členov na diaľku pred vyplatením príspevku;</w:t>
      </w:r>
    </w:p>
    <w:p w14:paraId="415915E9" w14:textId="77777777" w:rsidR="00F03286" w:rsidRPr="00F03286" w:rsidRDefault="00F03286" w:rsidP="00F03286">
      <w:pPr>
        <w:spacing w:after="240"/>
        <w:ind w:left="567" w:hanging="567"/>
      </w:pPr>
      <w:r w:rsidRPr="00F03286">
        <w:t>10.</w:t>
      </w:r>
      <w:r w:rsidRPr="00F03286">
        <w:tab/>
        <w:t>konštatuje, že vplyv útočnej vojny Ruska proti Ukrajine v roku 2023 naďalej vyvíjal tlak na rozpočet výboru prostredníctvom rastúcej inflácie a úprav platov, výziev v oblasti stavebných projektov v dôsledku oneskorení a vyšších cien surovín, indexácie nájomných zmlúv (+ 10,3 % v roku 2023 v porovnaní s rokom 2022), ako aj indexácie zmlúv o údržbárskych a bezpečnostných službách (+ 13,50 % v roku 2023 v porovnaní s rokom 2021); upozorňuje najmä na to, že náklady na energiu sa medzi rokmi 2021 a 2022 zvýšili zo 726 000 EUR na 3 125 000 EUR, a v roku 2023 sa znížili na 1 923 391 EUR; berie na vedomie 2 % strop na výdavky nesúvisiace s platmi; v tejto súvislosti oceňuje iniciatívu výboru zameranú na riešenie výziev na rozpočtovej úrovni, napr. vykonávaním stratégií na úsporu energie prostredníctvom krátkodobých, ako aj stredno- a dlhodobých opatrení, vďaka čomu nebol potrebný opravný rozpočet v roku 2023;</w:t>
      </w:r>
    </w:p>
    <w:p w14:paraId="11AA7047" w14:textId="77777777" w:rsidR="00F03286" w:rsidRPr="00F03286" w:rsidRDefault="00F03286" w:rsidP="00F03286">
      <w:pPr>
        <w:spacing w:after="240"/>
        <w:ind w:left="567" w:hanging="567"/>
      </w:pPr>
      <w:r w:rsidRPr="00F03286">
        <w:t>11.</w:t>
      </w:r>
      <w:r w:rsidRPr="00F03286">
        <w:tab/>
        <w:t xml:space="preserve">konštatuje zníženie rozpočtových prostriedkov v bežnom roku v rozpočtovom riadku 1 0 0 4 (cestovné výdavky poslancov vrátane diét a príspevkov za účasť na schôdzach) </w:t>
      </w:r>
      <w:r w:rsidRPr="00F03286">
        <w:lastRenderedPageBreak/>
        <w:t>z 19,790 milióna EUR v roku 2022 (z toho 15,895 milióna EUR bolo vyplatených) na 19,761 milióna EUR v roku 2023 (z čoho bolo vyplatených 18,344 milióna EUR); s uspokojením berie na vedomie zlepšenie miery plnenia týchto rozpočtových prostriedkov z 80,31 % v roku 2022 na 92,83 % v roku 2023; konštatuje, že predsedovia výboru sa v roku 2023 zúčastnili na 35 služobných cestách s celkovými nákladmi 71 926 EUR, pričom v roku 2022 to bolo 26 služobných ciest s celkovými nákladmi 38 042 EUR;</w:t>
      </w:r>
    </w:p>
    <w:p w14:paraId="52A20518" w14:textId="77777777" w:rsidR="00F03286" w:rsidRPr="00F03286" w:rsidRDefault="00F03286" w:rsidP="00F03286">
      <w:pPr>
        <w:spacing w:after="240"/>
        <w:ind w:left="567" w:hanging="567"/>
      </w:pPr>
      <w:r w:rsidRPr="00F03286">
        <w:t>12.</w:t>
      </w:r>
      <w:r w:rsidRPr="00F03286">
        <w:tab/>
        <w:t xml:space="preserve">na základe dotazníka konštatuje, že spoločné riaditeľstvo pre inovácie a informačné technológie výboru a VR vyčleňuje približne 3 % svojho rozpočtu na IT na kybernetickú bezpečnosť, čo je ďaleko od cieľa 10 % stanoveného v príslušných právnych predpisoch; vyzýva </w:t>
      </w:r>
      <w:proofErr w:type="spellStart"/>
      <w:r w:rsidRPr="00F03286">
        <w:t>spoluzákonodarcov</w:t>
      </w:r>
      <w:proofErr w:type="spellEnd"/>
      <w:r w:rsidRPr="00F03286">
        <w:t xml:space="preserve"> a Komisiu, aby túto skutočnosť zohľadnili v rámci ročného rozpočtového postupu;</w:t>
      </w:r>
    </w:p>
    <w:p w14:paraId="2CAA577D" w14:textId="77777777" w:rsidR="00F03286" w:rsidRPr="00F03286" w:rsidRDefault="00F03286" w:rsidP="00F03286">
      <w:pPr>
        <w:spacing w:after="240"/>
        <w:ind w:left="567" w:hanging="567"/>
        <w:rPr>
          <w:i/>
        </w:rPr>
      </w:pPr>
      <w:r w:rsidRPr="00F03286">
        <w:rPr>
          <w:b/>
          <w:i/>
        </w:rPr>
        <w:t>Vnútorné riadenie, výkonnosť a vnútorná kontrola</w:t>
      </w:r>
    </w:p>
    <w:p w14:paraId="1DEB3439" w14:textId="77777777" w:rsidR="00F03286" w:rsidRPr="00F03286" w:rsidRDefault="00F03286" w:rsidP="00F03286">
      <w:pPr>
        <w:spacing w:after="240"/>
        <w:ind w:left="567" w:hanging="567"/>
      </w:pPr>
      <w:r w:rsidRPr="00F03286">
        <w:t>13.</w:t>
      </w:r>
      <w:r w:rsidRPr="00F03286">
        <w:tab/>
        <w:t>na základe výročnej správy konštatuje, že výbor mal v rámci svojho ročného pracovného programu na rok 2023 celkovo 31 cieľov určených pre všetky útvary svojej administratívy a že v rámci stratégie generálneho sekretariátu na roky 2021 – 2025 má výbor päť základných hodnôt a päť kľúčových strategických cieľov; na základe dotazníka konštatuje, že počet vypracovaných stanovísk a účasť na stretnutiach na vysokej úrovni sú kľúčovými ukazovateľmi pre meranie výkonnosti výboru; na základe dotazníka konštatuje, že výbor má ukazovatele výkonnosti v rôznych oblastiach, ako sú IT, ľudské zdroje, preklad a komunikácia; žiada výbor, aby do svojich budúcich správ zahrnul zoznam všetkých kľúčových ukazovateľov výkonnosti a cieľov podľa jednotlivých činností, ako aj cieľ (v %) stanovený na ich dosiahnutie a úroveň (v %) ich dosiahnutia;</w:t>
      </w:r>
    </w:p>
    <w:p w14:paraId="633F3211" w14:textId="77777777" w:rsidR="00F03286" w:rsidRPr="00F03286" w:rsidRDefault="00F03286" w:rsidP="00F03286">
      <w:pPr>
        <w:spacing w:after="240"/>
        <w:ind w:left="567" w:hanging="567"/>
      </w:pPr>
      <w:r w:rsidRPr="00F03286">
        <w:t>14.</w:t>
      </w:r>
      <w:r w:rsidRPr="00F03286">
        <w:tab/>
        <w:t>konštatuje, že výbor plní svoje poslanie prostredníctvom stanovísk, v ktorých sa odkazuje na legislatívne návrhy Komisie (žiadosti o vypracovanie stanoviska), a stanovísk z vlastnej iniciatívy, ktoré vyzývajú inštitúcie Únie, aby prijali opatrenia, ako aj prieskumných stanovísk, ktoré podporujú prácu Komisie na plánovaných iniciatívach, a že postoje výboru možno zdôrazňovať v uzneseniach alebo zahrnúť do hodnotiacich a informačných správ; oceňuje činnosť výboru pri poskytovaní pomoci Európskeho parlamentu, Rade a Komisii v legislatívnom cykle v roku 2023; v tejto súvislosti konštatuje, že v roku 2023 výbor prijal 213 stanovísk a správ, čo je nárast z 202 v roku 2022, a zorganizoval 146 vypočutí a 23 konferencií v porovnaní so 116 vypočutiami a 29 konferenciami v roku 2022; konštatuje, že členovia výboru sa v roku 2023 zúčastnili na 429 schôdzach na vysokej úrovni, samitoch a konferenciách v porovnaní s 345 podujatiami v roku 2022;</w:t>
      </w:r>
    </w:p>
    <w:p w14:paraId="0A709B55" w14:textId="77777777" w:rsidR="00F03286" w:rsidRPr="00F03286" w:rsidRDefault="00F03286" w:rsidP="00F03286">
      <w:pPr>
        <w:spacing w:after="240"/>
        <w:ind w:left="567" w:hanging="567"/>
      </w:pPr>
      <w:r w:rsidRPr="00F03286">
        <w:t>15.</w:t>
      </w:r>
      <w:r w:rsidRPr="00F03286">
        <w:tab/>
        <w:t>oceňuje, že výbor v roku 2023 prijal opatrenia na zlepšenie viditeľnosti a vplyvu svojej práce v súvislosti s formátom svojich stanovísk, metodikou následných stanovísk, spoluprácou s Európskym parlamentom a Komisiou a inými projektmi prierezovej povahy, ako aj inovačnými iniciatívami, ako sú okrem iného mládežnícky test EÚ, iniciatíva členov z kandidátskych krajín a Európska platforma pre obehové hospodárstvo;</w:t>
      </w:r>
    </w:p>
    <w:p w14:paraId="1D03C799" w14:textId="77777777" w:rsidR="00F03286" w:rsidRPr="00F03286" w:rsidRDefault="00F03286" w:rsidP="00F03286">
      <w:pPr>
        <w:spacing w:after="240"/>
        <w:ind w:left="567" w:hanging="567"/>
      </w:pPr>
      <w:r w:rsidRPr="00F03286">
        <w:t>16.</w:t>
      </w:r>
      <w:r w:rsidRPr="00F03286">
        <w:rPr>
          <w:b/>
          <w:i/>
        </w:rPr>
        <w:tab/>
      </w:r>
      <w:r w:rsidRPr="00F03286">
        <w:t>oceňuje iniciatívy, ktoré výbor podniká s cieľom podporovať aktívne zapojenie mládeže do procesu tvorby politík;</w:t>
      </w:r>
    </w:p>
    <w:p w14:paraId="350D0981" w14:textId="77777777" w:rsidR="00F03286" w:rsidRPr="00F03286" w:rsidRDefault="00F03286" w:rsidP="00F03286">
      <w:pPr>
        <w:spacing w:after="240"/>
        <w:ind w:left="567" w:hanging="567"/>
      </w:pPr>
      <w:r w:rsidRPr="00F03286">
        <w:lastRenderedPageBreak/>
        <w:t>17.</w:t>
      </w:r>
      <w:r w:rsidRPr="00F03286">
        <w:tab/>
        <w:t xml:space="preserve">víta pilotný projekt realizovaný od septembra 2022 do apríla 2023 s cieľom posilniť monitorovanie vybraných stanovísk vo vzťahu ku všetkým inštitúciám, pričom na posilnené monitorovanie v rámci tohto projektu bolo vybraných 19 stanovísk; na základe dotazníka berie na vedomie celkové pozitívne výsledky tohto pilotného projektu, ako je zlepšenie schopnosti výboru vykonávať následné opatrenia, zlepšenie </w:t>
      </w:r>
      <w:proofErr w:type="spellStart"/>
      <w:r w:rsidRPr="00F03286">
        <w:t>prioritizácie</w:t>
      </w:r>
      <w:proofErr w:type="spellEnd"/>
      <w:r w:rsidRPr="00F03286">
        <w:t xml:space="preserve"> práce výboru a zvýšenie dosahu a vplyvu vybraných stanovísk;</w:t>
      </w:r>
    </w:p>
    <w:p w14:paraId="50327A4C" w14:textId="77777777" w:rsidR="00F03286" w:rsidRPr="00F03286" w:rsidRDefault="00F03286" w:rsidP="00F03286">
      <w:pPr>
        <w:spacing w:after="240"/>
        <w:ind w:left="567" w:hanging="567"/>
      </w:pPr>
      <w:r w:rsidRPr="00F03286">
        <w:t>18.</w:t>
      </w:r>
      <w:r w:rsidRPr="00F03286">
        <w:tab/>
        <w:t>zdôrazňuje, že efektívne riadenie obmedzených zdrojov zostalo v roku 2023 kľúčovou výzvou z dôvodu personálnych obmedzení, ktoré sa ešte znásobili zvýšenými činnosťami v rámci nepretržitej stabilnej politiky personálneho obsadenia; berie na vedomie plán výboru zaviesť nový prístup k strategickému plánovaniu pracovnej sily a prideľovaniu zamestnancov, využívať zber údajov o zručnostiach zamestnancov a aktívne načúvať celej organizácii, ako aj úvahy o strategických prioritách zo strany politických orgánov výboru; vyzýva výbor, aby priebežne informoval Európsky parlament o výsledkoch tohto nového plánu, pretože by to mohlo inšpirovať ostatné inštitúcie, ktoré čelia podobným opakujúcim sa výzvam v oblasti zdrojov;</w:t>
      </w:r>
    </w:p>
    <w:p w14:paraId="3B8A86AF" w14:textId="77777777" w:rsidR="00F03286" w:rsidRPr="00F03286" w:rsidRDefault="00F03286" w:rsidP="00F03286">
      <w:pPr>
        <w:spacing w:after="240"/>
        <w:ind w:left="567" w:hanging="567"/>
      </w:pPr>
      <w:r w:rsidRPr="00F03286">
        <w:t>19.</w:t>
      </w:r>
      <w:r w:rsidRPr="00F03286">
        <w:tab/>
        <w:t>konštatuje, že pokiaľ ide o normy vnútornej kontroly, pri plnení súladu v roku 2023 sa v porovnaní s rokom 2022 dosiahli zlepšenia; v tejto súvislosti konštatuje, že súlad, konkrétne rozsah, v akom sa vykonávajú požiadavky 16 noriem vnútornej kontroly, sa zvýšil z 80,30 % v roku 2022 na 87,40 % v roku 2023, zatiaľ čo účinnosť, konkrétne rozsah, v akom vykonávanie týchto požiadaviek účinkuje tak, ako sa zamýšľalo, sa zvýšila zo 74 % v roku 2022 na 78,10 % v roku 2023; ďalej konštatuje, že z ročného posúdenia rizík za rok 2023 vyplynulo, že uplatňovanie vnútorných kontrol v roku 2023 znížilo inherentné riziká (v kategórii „kritické“ a „veľmi dôležité“) o 53 % zo 40 na 19;</w:t>
      </w:r>
    </w:p>
    <w:p w14:paraId="4C5DAF94" w14:textId="77777777" w:rsidR="00F03286" w:rsidRPr="00F03286" w:rsidRDefault="00F03286" w:rsidP="00F03286">
      <w:pPr>
        <w:spacing w:after="240"/>
        <w:ind w:left="567" w:hanging="567"/>
      </w:pPr>
      <w:r w:rsidRPr="00F03286">
        <w:t>20.</w:t>
      </w:r>
      <w:r w:rsidRPr="00F03286">
        <w:rPr>
          <w:b/>
          <w:i/>
        </w:rPr>
        <w:tab/>
      </w:r>
      <w:r w:rsidRPr="00F03286">
        <w:t>konštatuje, že v roku 2023 prebehla reštrukturalizácia Útvaru pre vnútorný audit, ktorou sa posilnilo jeho dodržiavanie medzinárodných audítorských štandardov a zracionalizovali a zdokumentovali všetky jeho procesy;</w:t>
      </w:r>
    </w:p>
    <w:p w14:paraId="4125AFF6" w14:textId="77777777" w:rsidR="00F03286" w:rsidRPr="00F03286" w:rsidRDefault="00F03286" w:rsidP="00F03286">
      <w:pPr>
        <w:spacing w:after="240"/>
        <w:ind w:left="567" w:hanging="567"/>
      </w:pPr>
      <w:r w:rsidRPr="00F03286">
        <w:t>21.</w:t>
      </w:r>
      <w:r w:rsidRPr="00F03286">
        <w:tab/>
        <w:t>konštatuje, že v oblasti finančných operácií prijal Útvar pre vnútorný audit (IAS) výboru začiatkom roka 2023 nové rozhodnutie o posúdení rizík pre vykonávanie zjednodušeného postupu; ďalej konštatuje, že predsedníctvo výboru prijalo v roku 2023 nový štatút vnútorného auditu a štatút výboru pre audit vrátane procesných pravidiel;</w:t>
      </w:r>
    </w:p>
    <w:p w14:paraId="5DDC391F" w14:textId="77777777" w:rsidR="00F03286" w:rsidRPr="00F03286" w:rsidRDefault="00F03286" w:rsidP="00F03286">
      <w:pPr>
        <w:spacing w:after="240"/>
        <w:ind w:left="567" w:hanging="567"/>
      </w:pPr>
      <w:r w:rsidRPr="00F03286">
        <w:t>22.</w:t>
      </w:r>
      <w:r w:rsidRPr="00F03286">
        <w:tab/>
        <w:t>na základe výročnej správy a dotazníka konštatuje, že v roku 2023 IAS začal štyri audity, konkrétne audity týkajúce sa schvaľovania schôdzí, výberu poradnej komisie pre priemyselné zmeny, strategického cyklu a príspevkov za dĺžku trvania cesty a za vzdialenosť pre členov výboru; vyzýva výbor, aby informoval orgán udeľujúci absolutórium o výsledku týchto auditov a vykonal všetky otvorené odporúčania vyplývajúce z predchádzajúcich auditov (o inštitucionálnych lehotách, tlmočení, overovaní, etike a integrite, štatutárnych právach a lehotách splatnosti);</w:t>
      </w:r>
    </w:p>
    <w:p w14:paraId="64884269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r w:rsidRPr="00F03286">
        <w:rPr>
          <w:b/>
          <w:i/>
        </w:rPr>
        <w:t>Ľudské zdroje, rovnosť a dobré pracovné podmienky zamestnancov</w:t>
      </w:r>
    </w:p>
    <w:p w14:paraId="5A68A26A" w14:textId="77777777" w:rsidR="00F03286" w:rsidRPr="00F03286" w:rsidRDefault="00F03286" w:rsidP="00F03286">
      <w:pPr>
        <w:spacing w:after="240"/>
        <w:ind w:left="567" w:hanging="567"/>
      </w:pPr>
      <w:r w:rsidRPr="00F03286">
        <w:t>23.</w:t>
      </w:r>
      <w:r w:rsidRPr="00F03286">
        <w:tab/>
        <w:t xml:space="preserve">konštatuje, že na konci roka 2023 mal výbor 707 zamestnancov v porovnaní so 706 v roku 2022; ďalej konštatuje, že v roku 2023 zamestnával 49 zmluvných zamestnancov a 130 dočasných zamestnancov (z toho 52 prijatých v roku 2023) (v porovnaní s 50 zmluvnými zamestnancami a 128 dočasnými zamestnancami v roku 2022); okrem toho konštatuje, že výbor zamestnával 12 dočasných zamestnancov a 10 externých zamestnancov pracujúcich v jeho priestoroch, a to okrem externých poskytovateľov </w:t>
      </w:r>
      <w:r w:rsidRPr="00F03286">
        <w:lastRenderedPageBreak/>
        <w:t>služieb v oblasti logistiky a IT; berie na vedomie, že miera obsadenia pracovných miest bola v roku 2023 na úrovni 95,50 % v porovnaní s 95,10 % v roku 2022 a miera fluktuácie zamestnancov bola v roku 2023 na úrovni 7 %;</w:t>
      </w:r>
    </w:p>
    <w:p w14:paraId="7B2BA867" w14:textId="77777777" w:rsidR="00F03286" w:rsidRPr="00F03286" w:rsidRDefault="00F03286" w:rsidP="00F03286">
      <w:pPr>
        <w:spacing w:after="240"/>
        <w:ind w:left="567" w:hanging="567"/>
      </w:pPr>
      <w:r w:rsidRPr="00F03286">
        <w:t>24.</w:t>
      </w:r>
      <w:r w:rsidRPr="00F03286">
        <w:tab/>
        <w:t>víta pokračujúce úsilie výboru o zlepšenie rámca ľudských zdrojov s cieľom stať sa atraktívnym zamestnávateľom a pracoviskom, kde je každý jednotlivec cenený a môže naplno rozvinúť svoj potenciál; konštatuje, že v rámci vykonávania svojej stratégie v oblasti ľudských zdrojov na roky 2023 – 2025 výbor v roku 2023 splnil niekoľko kľúčových míľnikov, pričom okrem iného prijal nové rozhodnutia o pracovných podmienkach (hybridná práca, nadčasy, mimoriadna dovolenka), stratégii rozmanitosti a začlenenia a akčnom pláne na roky 2023 – 2027, mobilite zamestnancov a metodike týkajúcej sa citlivých pracovných miest, ako aj o systéme hodnotenia a povyšovania zamestnancov; s uspokojením berie na vedomie pozitívne výsledky prieskumu spokojnosti zamestnancov uverejneného v máji 2023, v ktorom zamestnanci aj manažéri vyjadrili vysokú úroveň spokojnosti s rôznymi otázkami súvisiacimi s ľudskými zdrojmi, najmä pokiaľ ide o pracovné podmienky, čo je téma, v súvislosti s ktorou výbor našiel dokonalú rovnováhu;</w:t>
      </w:r>
    </w:p>
    <w:p w14:paraId="54E866D6" w14:textId="77777777" w:rsidR="00F03286" w:rsidRPr="00F03286" w:rsidRDefault="00F03286" w:rsidP="00F03286">
      <w:pPr>
        <w:spacing w:after="240"/>
        <w:ind w:left="567" w:hanging="567"/>
      </w:pPr>
      <w:r w:rsidRPr="00F03286">
        <w:t>25.</w:t>
      </w:r>
      <w:r w:rsidRPr="00F03286">
        <w:tab/>
        <w:t>konštatuje, že výbor sa druhý rok po sebe stal čistým dovozcom talentov (z iných inštitúcií) v dôsledku vykonávania cieleného plánu ich pritiahnutia a udržania; berie však na vedomie pretrvávajúce výzvy v dôsledku spoliehania sa na dočasných zamestnancov v dôsledku nedostatku rezervných zoznamov EPSO (Európsky úrad pre výber pracovníkov), čo predstavuje riziko pre udržanie odborných znalostí; zdôrazňuje význam stálych zamestnancov pri udržiavaní zručností, kontinuity a produktívneho pracovného prostredia; odporúča výboru, aby realizoval iniciatívy, ktoré by reagovali na tieto výzvy, napríklad organizovaním interných výberových konaní;</w:t>
      </w:r>
    </w:p>
    <w:p w14:paraId="72BDFD7A" w14:textId="77777777" w:rsidR="00F03286" w:rsidRPr="00F03286" w:rsidRDefault="00F03286" w:rsidP="00F03286">
      <w:pPr>
        <w:spacing w:after="240"/>
        <w:ind w:left="567" w:hanging="567"/>
      </w:pPr>
      <w:r w:rsidRPr="00F03286">
        <w:t>26.</w:t>
      </w:r>
      <w:r w:rsidRPr="00F03286">
        <w:tab/>
        <w:t>konštatuje, že v záujme lepšieho rozdelenia jeho obmedzených zdrojov bol v roku 2023 dokončený externý audit mapovania ľudských zdrojov, ktorý zadal výbor; konštatuje so znepokojením, že výsledky tohto auditu potvrdili veľké pracovné zaťaženie mnohých a rôznych útvarov v rámci výboru, čo ohrozuje plnenie poslania a povinností výboru; vyzýva výbor, aby vykonal odporúčania z tohto auditu, okrem iného aby do roku 2025 preskúmal systém hodnotenia a výkonnosti, prijal nové rozhodnutie o pracovných podmienkach, a pravidelne monitoroval zapojenie zamestnancov; zdôrazňuje význam strategického plánovania pracovných miest pre optimalizáciu prideľovania zdrojov, zabezpečenie súladu s prioritami na vysokej úrovni, ktoré stanovujú politické orgány, a pokračovanie v úsilí o nákladovú efektívnosť;</w:t>
      </w:r>
    </w:p>
    <w:p w14:paraId="7DB21413" w14:textId="77777777" w:rsidR="00F03286" w:rsidRPr="00F03286" w:rsidRDefault="00F03286" w:rsidP="00F03286">
      <w:pPr>
        <w:spacing w:after="240"/>
        <w:ind w:left="567" w:hanging="567"/>
      </w:pPr>
      <w:r w:rsidRPr="00F03286">
        <w:t>27.</w:t>
      </w:r>
      <w:r w:rsidRPr="00F03286">
        <w:tab/>
        <w:t xml:space="preserve">konštatuje, že v roku 2023 pokračovali pozitívne trendy iniciované v roku 2022 v súvislosti s prijímaním zamestnancov; vyjadruje výboru uznanie za opatrenia prijaté v tejto oblasti, ako je okrem iného zosúladenie uverejňovania voľných pracovných miest s uverejnením nových rezervných zoznamov EPSO alebo uverejňovanie pracovných príležitostí na internetovej stránke výboru a sieti LinkedIn; žiada výbor, aby priebežne informoval Európsky parlament o výsledkoch svojho pilotného projektu týkajúceho sa činností v oblasti budovania značky zamestnávateľa; zdôrazňuje, že začleňovanie nových zamestnancov predstavuje dôležitý faktor strategického zosúladenia tým, že zabezpečuje, aby boli zamestnanci informovaní o pravidlách a stratégiách zavedených v inštitúcii; vyjadruje výboru uznanie za to, že v roku 2023 posilnil integráciu nových zamestnancov prostredníctvom aktualizovanej uvítacej brožúry a listu, uvítacieho balíčka s ekologickými tovarmi, spätnej väzby o skúsenostiach s integráciou, lepšieho načasovania uvítacích seminárov, </w:t>
      </w:r>
      <w:r w:rsidRPr="00F03286">
        <w:lastRenderedPageBreak/>
        <w:t>prepracovaného kútika pre nováčikov a integračných tipov pre manažérov;</w:t>
      </w:r>
    </w:p>
    <w:p w14:paraId="33B90654" w14:textId="77777777" w:rsidR="00F03286" w:rsidRPr="00F03286" w:rsidRDefault="00F03286" w:rsidP="00F03286">
      <w:pPr>
        <w:spacing w:after="240"/>
        <w:ind w:left="567" w:hanging="567"/>
      </w:pPr>
      <w:r w:rsidRPr="00F03286">
        <w:t>28.</w:t>
      </w:r>
      <w:r w:rsidRPr="00F03286">
        <w:tab/>
        <w:t>pripomína, že výbor prijal rozhodnutie 282/23A s účinnosťou od 1. januára 2024, ktorým sa stanovuje flexibilná politika hybridnej práce založená na dôvere a ktoré zároveň poskytuje zamestnancom lepšiu rovnováhu medzi pracovným a súkromným životom a zvyšuje prispôsobivosť a efektívnosť; žiada výbor, aby včas informoval orgán udeľujúci absolutórium o vývoji v tomto smere;</w:t>
      </w:r>
    </w:p>
    <w:p w14:paraId="5C348DDE" w14:textId="77777777" w:rsidR="00F03286" w:rsidRPr="00F03286" w:rsidRDefault="00F03286" w:rsidP="00F03286">
      <w:pPr>
        <w:widowControl/>
        <w:spacing w:after="240"/>
        <w:ind w:left="567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F03286">
        <w:rPr>
          <w:rFonts w:eastAsia="Aptos"/>
          <w:kern w:val="2"/>
          <w:szCs w:val="24"/>
          <w:lang w:eastAsia="en-US"/>
          <w14:ligatures w14:val="standardContextual"/>
        </w:rPr>
        <w:t>29.</w:t>
      </w:r>
      <w:r w:rsidRPr="00F03286">
        <w:rPr>
          <w:rFonts w:eastAsia="Aptos"/>
          <w:kern w:val="2"/>
          <w:szCs w:val="24"/>
          <w:lang w:eastAsia="en-US"/>
          <w14:ligatures w14:val="standardContextual"/>
        </w:rPr>
        <w:tab/>
        <w:t>víta vymenovanie ženy do funkcie generálneho tajomníka v januári 2024 ako pozitívny krok pri dosahovaní rodovej vyváženosti; vyjadruje však poľutovanie nad tým, že percentuálny podiel žien vo vyššom manažmente zostal v roku 2023 nízky, pričom ženy v súčasnosti zastávajú len dve zo siedmich vyšších riadiacich pozícií; víta však, že výbor považuje rodovú rovnováhu medzi svojimi zamestnancami, a najmä vo vyššom manažmente, za dôležitý faktor, a vyzýva výbor, aby urýchlene zlepšil situáciu na najvyšších úrovniach výboru zabezpečením vyváženého zastúpenia v súlade so záväzkami výboru v oblasti rozmanitosti a začlenenia;</w:t>
      </w:r>
    </w:p>
    <w:p w14:paraId="6733772E" w14:textId="77777777" w:rsidR="00F03286" w:rsidRPr="00F03286" w:rsidRDefault="00F03286" w:rsidP="00F03286">
      <w:pPr>
        <w:spacing w:after="240"/>
        <w:ind w:left="567" w:hanging="567"/>
      </w:pPr>
      <w:r w:rsidRPr="00F03286">
        <w:t>30.</w:t>
      </w:r>
      <w:r w:rsidRPr="00F03286">
        <w:tab/>
        <w:t>vyjadruje poľutovanie nad tým, že výbor nebol schopný poskytnúť údaje o prípadoch vyhorenia v roku 2023, a odmieta stanovisko výboru vyjadrené v jeho nadväzujúcej správe, podľa ktorého vyhorenie ako také nie je uznanou lekárskou diagnózou a dôvody vyhorenia môžu byť rôzne; pripomína význam štatistických údajov o vyhorení, aby bolo možné pomôcť pri prijímaní rozhodnutí o blahu zamestnancov, ktoré by mali byť založené aj na ponaučeniach z veľmi nepríjemných skúseností v minulosti a na externých hodnoteniach súčasného rámca; berie na vedomie obmedzenia z dôvodu ochrany osobných údajov, zdôrazňuje však význam anonymizovaných štatistických údajov ako východiska informovaných rozhodnutí vedenia; so znepokojením berie na vedomie zistenia, ktoré poukazujú na vysokú pracovnú záťaž na viacerých útvaroch v dôsledku obmedzených ľudských zdrojov; víta prijatie nových pracovných opatrení ako pozitívny krok, nabáda však výbor, aby prijal ďalšie kroky s cieľom zabezpečiť zverejňovanie anonymizovaných údajov o prípadoch vyhorenia;</w:t>
      </w:r>
    </w:p>
    <w:p w14:paraId="3C701161" w14:textId="77777777" w:rsidR="00F03286" w:rsidRPr="00F03286" w:rsidRDefault="00F03286" w:rsidP="00F03286">
      <w:pPr>
        <w:spacing w:after="240"/>
        <w:ind w:left="567" w:hanging="567"/>
      </w:pPr>
      <w:r w:rsidRPr="00F03286">
        <w:t>31.</w:t>
      </w:r>
      <w:r w:rsidRPr="00F03286">
        <w:tab/>
        <w:t>konštatuje, že v roku 2023 výbor zamestnával zamestnancov zo všetkých členských štátov, pričom niektoré z nich boli nadmerne zastúpené (napr. Belgicko, Taliansko); konštatuje, že v roku 2023 bolo 24 % vedúcich pracovníkov výboru z 13 členských štátov, ktoré vstúpili do Únie od roku 2004, čo predstavuje mierny nárast v porovnaní s 21 % v roku 2022 a 19 % v roku 2021; opakovane povzbudzuje výbor k tomu, aby pokračoval v prijímaní opatrení na dosiahnutie skutočnej geografickej rovnováhy medzi svojimi zamestnancami s osobitným dôrazom na úroveň riadenia;</w:t>
      </w:r>
    </w:p>
    <w:p w14:paraId="32577EC5" w14:textId="77777777" w:rsidR="00F03286" w:rsidRPr="00F03286" w:rsidRDefault="00F03286" w:rsidP="00F03286">
      <w:pPr>
        <w:spacing w:after="240"/>
        <w:ind w:left="567" w:hanging="567"/>
      </w:pPr>
      <w:r w:rsidRPr="00F03286">
        <w:t>32.</w:t>
      </w:r>
      <w:r w:rsidRPr="00F03286">
        <w:tab/>
        <w:t>víta úsilie výboru o vytvorenie zdravého pracovného prostredia pre svojich zamestnancov; oceňuje najmä dôraz, ktorý výbor kladie na duševné a fyzické zdravie zamestnancov, a úsilie vynaložené na zvyšovanie povedomia o otázkach súvisiacich so zdravím; berie na vedomie opatrenia výboru týkajúce sa riadenia pracovného voľna zo zdravotných dôvodov, ako je práca na čiastočný úväzok zo zdravotných dôvodov a predĺžená práca na diaľku, s cieľom zabezpečiť, aby sa zamestnanci s dlhodobou pracovnou neschopnosťou včas vrátili do práce, ako aj zvýšenie percentuálneho podielu zamestnancov bez neprítomnosti z 27 % v roku 2022 na 30 % v roku 2023; s uspokojením konštatuje, že výbor zorganizoval vo svojich priestoroch bezplatný skríning rakoviny kože, v rámci ktorého 104 zamestnancov konzultovalo s externými dermatológmi počas štyroch dní v roku 2023;</w:t>
      </w:r>
    </w:p>
    <w:p w14:paraId="61A71ECF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r w:rsidRPr="00F03286">
        <w:rPr>
          <w:b/>
          <w:i/>
        </w:rPr>
        <w:lastRenderedPageBreak/>
        <w:t>Etický rámec a transparentnosť</w:t>
      </w:r>
    </w:p>
    <w:p w14:paraId="6355E3D5" w14:textId="77777777" w:rsidR="00F03286" w:rsidRPr="00F03286" w:rsidRDefault="00F03286" w:rsidP="00F03286">
      <w:pPr>
        <w:spacing w:after="240"/>
        <w:ind w:left="567" w:hanging="567"/>
      </w:pPr>
      <w:r w:rsidRPr="00F03286">
        <w:t>33.</w:t>
      </w:r>
      <w:r w:rsidRPr="00F03286">
        <w:tab/>
        <w:t>víta prijatie novej stratégie pre rozmanitosť a začlenenie platnej do roku 2027; oceňuje osobitné opatrenia na zvyšovanie informovanosti o zdravotnom postihnutí, ktoré sa uskutočnili na začiatku roka 2024; s uspokojením konštatuje, že odborná príprava zameraná na rozmanitosť a začlenenie je pre riadiacich pracovníkov stále povinná a zamestnancom sa odporúča; berie na vedomie silné odhodlanie výboru podporovať plne inkluzívne pracovisko; nabáda výbor, aby prijal ďalšie kroky na monitorovanie zastúpenia zamestnancov so zdravotným postihnutím a zabezpečil zverejňovanie anonymizovaných údajov v tejto súvislosti;</w:t>
      </w:r>
    </w:p>
    <w:p w14:paraId="71124D26" w14:textId="77777777" w:rsidR="00F03286" w:rsidRPr="00F03286" w:rsidRDefault="00F03286" w:rsidP="00F03286">
      <w:pPr>
        <w:spacing w:after="240"/>
        <w:ind w:left="567" w:hanging="567"/>
      </w:pPr>
      <w:r w:rsidRPr="00F03286">
        <w:t>34.</w:t>
      </w:r>
      <w:r w:rsidRPr="00F03286">
        <w:tab/>
        <w:t>konštatuje, že výbor pokračoval vo svojom procese vnútornej reformy prijatím rozhodnutia o všeobecných vykonávacích ustanoveniach o administratívnych vyšetrovaniach a rozhodnutia o vykonávacích pravidlách pre disciplinárne konania v roku 2023; oceňuje, že výbor podnikol tento posledný krok potrebný na úplné vykonávanie opatrení na posilnenie etického rámca výboru; na základe správy o následných opatreniach konštatuje, že výbor a vnútorný audítor sa dohodli na akčnom pláne týkajúcom sa auditu etiky a integrity výboru, pričom osem odporúčaní bolo vykonaných a uzavretých a dve odporúčania sa ešte majú vykonať do marca 2025; žiada výbor, aby priebežne informoval orgán udeľujúci absolutórium o pokroku dosiahnutom v tejto veci;</w:t>
      </w:r>
    </w:p>
    <w:p w14:paraId="6626A4C9" w14:textId="77777777" w:rsidR="00F03286" w:rsidRPr="00F03286" w:rsidRDefault="00F03286" w:rsidP="00F03286">
      <w:pPr>
        <w:spacing w:after="240"/>
        <w:ind w:left="567" w:hanging="567"/>
      </w:pPr>
      <w:r w:rsidRPr="00F03286">
        <w:t>35.</w:t>
      </w:r>
      <w:r w:rsidRPr="00F03286">
        <w:tab/>
        <w:t>konštatuje, že výbor v roku 2023 pokračoval v odbornej príprave zamestnancov a zvyšovaní informovanosti o témach týkajúcich sa oznamovania protispoločenskej činnosti, konfliktov záujmov a iných etických otázok; v tejto súvislosti s uspokojením berie na vedomie výsledky prieskumu zapojenia zamestnancov, ktorý sa uskutočnil v roku 2023, z ktorých vyplýva vysoká miera informovanosti zamestnancov, pokiaľ ide o etický rámec výboru, najmä pokiaľ ide o siete dôverných poradcov (93 %) a etických poradcov (83 %); konštatuje, že výbor v roku 2023 zorganizoval 12 školení na tieto témy s celkovou účasťou 79 zamestnancov; oceňuje, že výbor organizuje povinnú odbornú prípravu v oblasti rešpektu a dôstojnosti v práci pre všetkých zamestnancov vrátane riadiacich pracovníkov;</w:t>
      </w:r>
    </w:p>
    <w:p w14:paraId="738CA821" w14:textId="77777777" w:rsidR="00F03286" w:rsidRPr="00F03286" w:rsidRDefault="00F03286" w:rsidP="00F03286">
      <w:pPr>
        <w:spacing w:after="240"/>
        <w:ind w:left="567" w:hanging="567"/>
      </w:pPr>
      <w:r w:rsidRPr="00F03286">
        <w:t>36.</w:t>
      </w:r>
      <w:r w:rsidRPr="00F03286">
        <w:tab/>
        <w:t>konštatuje, že v roku 2023 bola nahlásená jedna sťažnosť na obťažovanie, ktorá bola uzavretá v tom istom roku v dôsledku vyšetrovania a mediácie zo strany výboru, a to bez uloženia sankcií; pripomína, že výbor je poškodenou stranou v súdnom konaní, ktoré začali belgické štátne orgány proti bývalému členovi obvinenému z pochybenia a ktoré v súčasnosti prebieha pred belgickými súdmi; žiada výbor, aby informoval Európsky parlament o vývoji tohto prípadu; domnieva sa, že posilnenie kultúry vzájomného rešpektu a dôstojnosti, ktorá sa opiera o politiku nulovej tolerancie obťažovania, má zásadný význam, aby sa predchádzalo obvineniam v budúcnosti a zaručilo bezpečné a inkluzívne pracovné prostredie vo výbore;</w:t>
      </w:r>
    </w:p>
    <w:p w14:paraId="761AF684" w14:textId="77777777" w:rsidR="00F03286" w:rsidRPr="00F03286" w:rsidRDefault="00F03286" w:rsidP="00F03286">
      <w:pPr>
        <w:spacing w:after="240"/>
        <w:ind w:left="567" w:hanging="567"/>
      </w:pPr>
      <w:r w:rsidRPr="00F03286">
        <w:t>37.</w:t>
      </w:r>
      <w:r w:rsidRPr="00F03286">
        <w:tab/>
        <w:t>pripomína, že politika nulovej tolerancie obťažovania je potrebná, aby bola chránená pohoda zamestnancov, a že každý zamestnávateľ je povinný mať takúto politiku; pripomína, že pri riešení sťažností na obťažovanie by sa mal zaviesť prístup založený na získaných ponaučeniach, aby sa predišlo akémukoľvek nesprávnemu konaniu; napriek tomu sa domnieva, že externé a nezávislé vyšetrenie vo veci, v ktorej sa v súčasnosti vedie súdne konanie, by prispelo k tomu, aby sa zlepšila reakcia výboru na podobné prípady;</w:t>
      </w:r>
    </w:p>
    <w:p w14:paraId="037021F7" w14:textId="77777777" w:rsidR="00F03286" w:rsidRPr="00F03286" w:rsidRDefault="00F03286" w:rsidP="00F03286">
      <w:pPr>
        <w:spacing w:after="240"/>
        <w:ind w:left="567" w:hanging="567"/>
      </w:pPr>
      <w:r w:rsidRPr="00F03286">
        <w:lastRenderedPageBreak/>
        <w:t>38.</w:t>
      </w:r>
      <w:r w:rsidRPr="00F03286">
        <w:tab/>
        <w:t>oceňuje pripravenosť výboru spolupracovať s vyšetrovacími orgánmi Únie, konkrétne s Európskym úradom pre boj proti podvodom (ďalej len „OLAF“) a Európskou prokuratúrou a ombudsmanom; konštatuje, že úrad OLAF otvoril v roku 2023 dva prípady, ktoré boli v tom istom roku zamietnuté: jeden z dôvodu nedostatku dôkazov a druhý bol postúpený výboru na prijatie následných opatrení; vyzýva výbor, aby priebežne informoval orgán udeľujúci absolutórium o pokroku dosiahnutom v druhom prípade; ďalej konštatuje, že ombudsmanka začala v roku 2023 vyšetrovanie v súvislosti s riadením prípadu týkajúceho sa obvinení z obťažovania; žiada výbor, aby informoval orgán udeľujúci absolutórium o výsledku tohto vyšetrovania;</w:t>
      </w:r>
    </w:p>
    <w:p w14:paraId="7FD3A584" w14:textId="77777777" w:rsidR="00F03286" w:rsidRPr="00F03286" w:rsidRDefault="00F03286" w:rsidP="00F03286">
      <w:pPr>
        <w:spacing w:after="240"/>
        <w:ind w:left="567" w:hanging="567"/>
      </w:pPr>
      <w:r w:rsidRPr="00F03286">
        <w:t>39.</w:t>
      </w:r>
      <w:r w:rsidRPr="00F03286">
        <w:tab/>
        <w:t>s uspokojením berie na vedomie prácu výboru na väčšej transparentnosti jeho činností v roku 2023; v tejto súvislosti berie na vedomie prijatie rozhodnutia, ktorým sa rozširuje škála dokumentov dostupných online prostredníctvom registra transparentnosti, ako sú zápisnice a prezenčné listiny zo schôdzí výboru, ako aj rozhodnutie, ktorým sa od členov výboru požaduje, aby sa stretávali len s registrovanými zainteresovanými stranami, zverejňovali zoznam svojich stretnutí a k svojim stanoviskám pripájali svoju legislatívnu stopu; oceňuje, že výbor zverejňuje online informácie o svojom ročnom rozpočte, ukazovateľoch výkonnosti, výdavkoch alebo verejnom obstarávaní; vyzýva na zverejňovanie všetkých stretnutí členov EHSV s tretími stranami;</w:t>
      </w:r>
    </w:p>
    <w:p w14:paraId="7581C045" w14:textId="77777777" w:rsidR="00F03286" w:rsidRPr="00F03286" w:rsidRDefault="00F03286" w:rsidP="00F03286">
      <w:pPr>
        <w:widowControl/>
        <w:spacing w:after="240"/>
        <w:ind w:left="567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F03286">
        <w:rPr>
          <w:rFonts w:eastAsia="Aptos"/>
          <w:kern w:val="2"/>
          <w:szCs w:val="24"/>
          <w:lang w:eastAsia="en-US"/>
          <w14:ligatures w14:val="standardContextual"/>
        </w:rPr>
        <w:t>40.</w:t>
      </w:r>
      <w:r w:rsidRPr="00F0328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s uspokojením konštatuje, že výbor zaviedol spoľahlivé pravidlá a postupy na predchádzanie konfliktom záujmov a na zabránenie javu otáčavých dverí, pokiaľ ide o zamestnancov, ktorí vykonávajú vonkajšie činnosti, alebo členov, ktorí sa zamestnajú po tom, ako prestanú byť členmi výboru; v tejto súvislosti konštatuje, že výbor v roku 2023 zaviedol nový formulár vyhlásenia o finančných záujmoch; konštatuje, že formulár musia predložiť členovia, delegáti, náhradníci a poradcovia v súvislosti so svojimi platenými aj neplatenými funkciami alebo činnosťami mimo výboru; ďalej oceňuje zapojenie výboru v roku 2023 do politických rokovaní o vytvorení </w:t>
      </w:r>
      <w:proofErr w:type="spellStart"/>
      <w:r w:rsidRPr="00F03286">
        <w:rPr>
          <w:rFonts w:eastAsia="Aptos"/>
          <w:kern w:val="2"/>
          <w:szCs w:val="24"/>
          <w:lang w:eastAsia="en-US"/>
          <w14:ligatures w14:val="standardContextual"/>
        </w:rPr>
        <w:t>medziinštitucionálneho</w:t>
      </w:r>
      <w:proofErr w:type="spellEnd"/>
      <w:r w:rsidRPr="00F03286">
        <w:rPr>
          <w:rFonts w:eastAsia="Aptos"/>
          <w:kern w:val="2"/>
          <w:szCs w:val="24"/>
          <w:lang w:eastAsia="en-US"/>
          <w14:ligatures w14:val="standardContextual"/>
        </w:rPr>
        <w:t xml:space="preserve"> etického orgánu povereného stanovením etických noriem na posilnenie transparentnosti a integrity;</w:t>
      </w:r>
    </w:p>
    <w:p w14:paraId="0DBA1912" w14:textId="77777777" w:rsidR="00F03286" w:rsidRPr="00F03286" w:rsidRDefault="00F03286" w:rsidP="00F03286">
      <w:pPr>
        <w:spacing w:after="240"/>
        <w:ind w:left="567" w:hanging="567"/>
      </w:pPr>
      <w:r w:rsidRPr="00F03286">
        <w:t>41.</w:t>
      </w:r>
      <w:r w:rsidRPr="00F03286">
        <w:tab/>
        <w:t>konštatuje, že predsedníctvo výboru 21. marca 2023 prijalo niekoľko opatrení v oblasti transparentnosti v súlade so zásadami stanovenými v súvislosti s registrom transparentnosti EÚ, ako sú odporúčanie pre členov zastávajúcich funkcie, aby sa stretávali len s registrovanými zainteresovanými stranami, povinnosť členov zastávajúcich funkcie zverejňovať svoje zoznamy schôdzí a dobrovoľná „legislatívna stopa“ pre spravodajcov; konštatuje, že na vykonanie rozhodnutia predsedníctva sa podnikli viaceré kroky vrátane vydania služobného oznámenia, ktorým sa stanovujú praktické postupy na vykonanie rozhodnutia, osvetovej vzdelávacej kampane, a poskytnutia vzorových správ, ktoré sa majú zahrnúť do korešpondencie medzi členmi výboru a externými zainteresovanými stranami a vyzývajú, aby sa (prípadne) pripojili k registru transparentnosti EÚ;</w:t>
      </w:r>
    </w:p>
    <w:p w14:paraId="376080B6" w14:textId="77777777" w:rsidR="00F03286" w:rsidRPr="00F03286" w:rsidRDefault="00F03286" w:rsidP="00F03286">
      <w:pPr>
        <w:spacing w:after="240"/>
        <w:ind w:left="567" w:hanging="567"/>
      </w:pPr>
      <w:r w:rsidRPr="00F03286">
        <w:t>42.</w:t>
      </w:r>
      <w:r w:rsidRPr="00F03286">
        <w:tab/>
        <w:t>naliehavo vyzýva EHSV, aby zaviedol sledovanie ohlásených konfliktov záujmov v reálnom čase a vyžadoval od všetkých členov a vedúcich pracovníkov každoročné zverejňovanie finančných záujmov, majetku a externých väzieb, aby sa zabránilo neprimeranému ovplyvňovaniu prijímania rozhodnutí;</w:t>
      </w:r>
    </w:p>
    <w:p w14:paraId="0C36904D" w14:textId="77777777" w:rsidR="00F03286" w:rsidRPr="00F03286" w:rsidRDefault="00F03286" w:rsidP="00F03286">
      <w:pPr>
        <w:spacing w:after="240"/>
        <w:ind w:left="567" w:hanging="567"/>
      </w:pPr>
      <w:r w:rsidRPr="00F03286">
        <w:t>43.</w:t>
      </w:r>
      <w:r w:rsidRPr="00F03286">
        <w:tab/>
        <w:t xml:space="preserve">berie na vedomie absenciu prípadov v oblasti podvodov, konfliktov záujmov a oznamovania protispoločenskej činnosti v roku 2023; konštatuje, že účinnosť opatrení výboru na boj proti podvodom bola preskúmaná s cieľom vypracovať stratégiu boja </w:t>
      </w:r>
      <w:r w:rsidRPr="00F03286">
        <w:lastRenderedPageBreak/>
        <w:t>proti podvodom, ktorá ešte stále neexistuje napriek tomu, že Európsky parlament vo svojich uzneseniach o absolutóriu viackrát žiadal o prijatie opatrení na zlepšenie celkového systému boja proti podvodom; pripomína význam komplexnej stratégie boja proti podvodom a vyzýva výbor, aby priebežne informoval orgán udeľujúci absolutórium o výsledku tohto postupu, ktorý mal vyvrcholiť prijatím stratégie boja proti podvodom v roku 2024;</w:t>
      </w:r>
    </w:p>
    <w:p w14:paraId="244A86B5" w14:textId="77777777" w:rsidR="00F03286" w:rsidRPr="00F03286" w:rsidRDefault="00F03286" w:rsidP="00F03286">
      <w:pPr>
        <w:spacing w:after="240"/>
        <w:ind w:left="567" w:hanging="567"/>
        <w:rPr>
          <w:b/>
          <w:i/>
          <w:szCs w:val="24"/>
        </w:rPr>
      </w:pPr>
      <w:r w:rsidRPr="00F03286">
        <w:rPr>
          <w:b/>
          <w:i/>
        </w:rPr>
        <w:t>Digitalizácia, kybernetická bezpečnosť a ochrana údajov</w:t>
      </w:r>
    </w:p>
    <w:p w14:paraId="5A1E9216" w14:textId="77777777" w:rsidR="00F03286" w:rsidRPr="00F03286" w:rsidRDefault="00F03286" w:rsidP="00F03286">
      <w:pPr>
        <w:spacing w:after="240"/>
        <w:ind w:left="567" w:hanging="567"/>
      </w:pPr>
      <w:r w:rsidRPr="00F03286">
        <w:t>44.</w:t>
      </w:r>
      <w:r w:rsidRPr="00F03286">
        <w:tab/>
        <w:t>konštatuje, že kombinovaný rozpočet výboru a VR na IT v roku 2023 predstavoval 12 700 000 EUR v porovnaní so sumou 11 712 000 EUR v roku 2022, t. j. zvýšenie o 8,4 %, pričom 350 000 EUR (alebo 3 %) z tohto rozpočtu bolo v roku 2023 vyplatených na kybernetickú bezpečnosť; ďalej konštatuje, že 6,24 % celkového rozpočtu výboru na rok 2023 predstavovalo výdavky na opatrenia na vykonávanie novej digitálnej stratégie na roky 2024 – 2026 (DS2026), ktorú vypracovalo Spoločné riaditeľstvo pre inovácie a informačné technológie (DIIT) v roku 2023;</w:t>
      </w:r>
    </w:p>
    <w:p w14:paraId="61D74901" w14:textId="77777777" w:rsidR="00F03286" w:rsidRPr="00F03286" w:rsidRDefault="00F03286" w:rsidP="00F03286">
      <w:pPr>
        <w:spacing w:after="240"/>
        <w:ind w:left="567" w:hanging="567"/>
      </w:pPr>
      <w:r w:rsidRPr="00F03286">
        <w:t>45.</w:t>
      </w:r>
      <w:r w:rsidRPr="00F03286">
        <w:tab/>
        <w:t xml:space="preserve">konštatuje, že v dokumente DS2026 sa predpokladá budúcnosť, v ktorej sa technológia začlení do hlavného poslania výboru so zameraním na efektívnosť, rýchlosť a neustály digitálny vývoj, pričom administratíva aj členovia budú stredobodom digitálnej transformácie a cieľom bude zlepšiť poskytovanie služieb, posilnenie postavenia a prispôsobivosť; konštatuje, že DS2026 je štruktúrovaný na základe ôsmich cieľov, ôsmich kľúčových zásad a štyroch hlavných projektov, ako je prijatie systémov </w:t>
      </w:r>
      <w:proofErr w:type="spellStart"/>
      <w:r w:rsidRPr="00F03286">
        <w:t>Ares</w:t>
      </w:r>
      <w:proofErr w:type="spellEnd"/>
      <w:r w:rsidRPr="00F03286">
        <w:t xml:space="preserve"> a </w:t>
      </w:r>
      <w:proofErr w:type="spellStart"/>
      <w:r w:rsidRPr="00F03286">
        <w:t>EdiT</w:t>
      </w:r>
      <w:proofErr w:type="spellEnd"/>
      <w:r w:rsidRPr="00F03286">
        <w:t>, ktoré by sa mali zaviesť v rokoch 2026 a 2025; na základe dotazníka s uspokojením berie na vedomie pokrok, ktorý dosiahlo DIIT pri vykonávaní DS2026 v roku 2023, pričom okrem mnohých iných prijalo opatrenia, ako je prijatie usmernení pre zamestnancov v oblasti umelej inteligencie, integrácia tokov pozmeňujúcich návrhov s prekladateľskými nástrojmi a zriadenie kancelárie pre riadenie projektov;</w:t>
      </w:r>
    </w:p>
    <w:p w14:paraId="1B18A49A" w14:textId="77777777" w:rsidR="00F03286" w:rsidRPr="00F03286" w:rsidRDefault="00F03286" w:rsidP="00F03286">
      <w:pPr>
        <w:spacing w:after="240"/>
        <w:ind w:left="567" w:hanging="567"/>
      </w:pPr>
      <w:r w:rsidRPr="00F03286">
        <w:t>46.</w:t>
      </w:r>
      <w:r w:rsidRPr="00F03286">
        <w:tab/>
        <w:t xml:space="preserve">na základe výročnej správy berie na vedomie opatrenia výboru v oblasti ochrany osobných údajov a ich spracovania; konštatuje, že v roku 2023 výbor vytvoril novú online verziu svojho registra záznamov a nový spoločný register záznamov s VR, pričom prvý z nich na konci roka 2023 obsahoval 121 záznamov a druhý 25 záznamov; ďalej konštatuje, že výbor v roku 2023 prijal nový postup riešenia prípadov porušenia ochrany údajov, uverejnil príručku o ochrane údajov a zaviedol niekoľko iniciatív na zvyšovanie informovanosti svojich zamestnancov a členov; napokon konštatuje, že európsky dozorný úradník pre ochranu údajov začal v roku 2023 jedno vyšetrovanie týkajúce sa riadenia externého auditu a pokračoval v staršom vyšetrovaní týkajúcom sa využívania cloudových služieb v rámci zmlúv </w:t>
      </w:r>
      <w:proofErr w:type="spellStart"/>
      <w:r w:rsidRPr="00F03286">
        <w:t>Cloud</w:t>
      </w:r>
      <w:proofErr w:type="spellEnd"/>
      <w:r w:rsidRPr="00F03286">
        <w:t xml:space="preserve"> II inštitúciami Únie, pričom v prípade oboch vyšetrovaní zatiaľ neboli prijaté závery; žiada výbor, aby priebežne informoval orgán udeľujúci absolutórium o vývoji v týchto veciach;</w:t>
      </w:r>
    </w:p>
    <w:p w14:paraId="1B6F5761" w14:textId="77777777" w:rsidR="00F03286" w:rsidRPr="00F03286" w:rsidRDefault="00F03286" w:rsidP="00F03286">
      <w:pPr>
        <w:spacing w:after="240"/>
        <w:ind w:left="567" w:hanging="567"/>
      </w:pPr>
      <w:r w:rsidRPr="00F03286">
        <w:t>47.</w:t>
      </w:r>
      <w:r w:rsidRPr="00F03286">
        <w:tab/>
        <w:t>konštatuje, že výbor v roku 2023 dokončil svoj projekt vybavenia všetkých svojich zasadacích miestností, pričom ďalších 14 takýchto miestností bolo vybavených technológiami, vďaka ktorým sú plne funkčné v hybridnom režime; oceňuje, že v roku 2023 výbor vykonal všetky postupy verejného obstarávania v prípade zákaziek s vysokou hodnotou plne digitalizovaným spôsobom, používal kvalifikovaný elektronický podpis pri všetkých druhoch zmluvných dohôd a poskytol zamestnancom odbornú prípravu zameranú na prechod na nástroj na riadenie verejného obstarávania a portál financovania a ponúk;</w:t>
      </w:r>
    </w:p>
    <w:p w14:paraId="1977D6E4" w14:textId="77777777" w:rsidR="00F03286" w:rsidRPr="00F03286" w:rsidRDefault="00F03286" w:rsidP="00F03286">
      <w:pPr>
        <w:spacing w:after="240"/>
        <w:ind w:left="567" w:hanging="567"/>
      </w:pPr>
      <w:r w:rsidRPr="00F03286">
        <w:lastRenderedPageBreak/>
        <w:t>48.</w:t>
      </w:r>
      <w:r w:rsidRPr="00F03286">
        <w:tab/>
        <w:t xml:space="preserve">vyjadruje výboru uznanie za jeho konkrétne opatrenia na zabezpečenie toho, aby jeho zamestnanci v roku 2023 získali potrebné digitálne zručnosti na čoraz digitalizovanejšom pracovisku; v tejto súvislosti berie na vedomie činnosti, ako sú </w:t>
      </w:r>
      <w:proofErr w:type="spellStart"/>
      <w:r w:rsidRPr="00F03286">
        <w:t>minihackatóny</w:t>
      </w:r>
      <w:proofErr w:type="spellEnd"/>
      <w:r w:rsidRPr="00F03286">
        <w:t xml:space="preserve"> organizované v rámci partnerskej siete zriadenej s VR na podporu lepšieho využívania a pochopenia </w:t>
      </w:r>
      <w:proofErr w:type="spellStart"/>
      <w:r w:rsidRPr="00F03286">
        <w:t>kolaboratívnych</w:t>
      </w:r>
      <w:proofErr w:type="spellEnd"/>
      <w:r w:rsidRPr="00F03286">
        <w:t xml:space="preserve"> digitálnych nástrojov, ako aj partnerského koučingu a výmeny skúseností; konštatuje, že výsledky týchto činností boli začlenené do ponuky odbornej prípravy výboru;</w:t>
      </w:r>
    </w:p>
    <w:p w14:paraId="257BBA94" w14:textId="77777777" w:rsidR="00F03286" w:rsidRPr="00F03286" w:rsidRDefault="00F03286" w:rsidP="00F03286">
      <w:pPr>
        <w:spacing w:after="240"/>
        <w:ind w:left="567" w:hanging="567"/>
      </w:pPr>
      <w:r w:rsidRPr="00F03286">
        <w:t>49.</w:t>
      </w:r>
      <w:r w:rsidRPr="00F03286">
        <w:tab/>
        <w:t>konštatuje, že v októbri 2023 boli prijaté usmernenia k používaniu umelej inteligencie (AI) pre zamestnancov, že všetci zamestnanci mali možnosť zúčastniť sa na informačnom stretnutí, na ktorom sa poukázalo na príležitosti a výzvy, a že zamestnanci dostávali ďalšie informácie prostredníctvom článkov založených na poznatkoch, ktoré sa uverejňujú na intranete výboru s cieľom zvyšovať informovanosť;</w:t>
      </w:r>
    </w:p>
    <w:p w14:paraId="16B179C3" w14:textId="77777777" w:rsidR="00F03286" w:rsidRPr="00F03286" w:rsidRDefault="00F03286" w:rsidP="00F03286">
      <w:pPr>
        <w:spacing w:after="240"/>
        <w:ind w:left="567" w:hanging="567"/>
      </w:pPr>
      <w:r w:rsidRPr="00F03286">
        <w:t>50.</w:t>
      </w:r>
      <w:r w:rsidRPr="00F03286">
        <w:tab/>
        <w:t>konštatuje, že v roku 2023 pokračovala práca na prijímaní a uplatňovaní rámca kybernetickej bezpečnosti NIST vo výbore aj vo VR, pričom opatrenia prijaté v danom roku sa zameriavali na niektoré zásady tohto rámca, t. j. na zásady ochrany a odhaľovania; konštatuje, že stratégie zmierňovania sa vykonávajú s využitím rámca kybernetickej bezpečnosti „</w:t>
      </w:r>
      <w:proofErr w:type="spellStart"/>
      <w:r w:rsidRPr="00F03286">
        <w:t>Essential</w:t>
      </w:r>
      <w:proofErr w:type="spellEnd"/>
      <w:r w:rsidRPr="00F03286">
        <w:t xml:space="preserve"> </w:t>
      </w:r>
      <w:proofErr w:type="spellStart"/>
      <w:r w:rsidRPr="00F03286">
        <w:t>Eight</w:t>
      </w:r>
      <w:proofErr w:type="spellEnd"/>
      <w:r w:rsidRPr="00F03286">
        <w:t>“; ďalej konštatuje, že výbor v roku 2023 nečelil žiadnym kybernetickým útokom, ale na konci roka 2022 a začiatkom roka 2024 čelil krátkym útokom na vyradenie služby (</w:t>
      </w:r>
      <w:proofErr w:type="spellStart"/>
      <w:r w:rsidRPr="00F03286">
        <w:t>DoS</w:t>
      </w:r>
      <w:proofErr w:type="spellEnd"/>
      <w:r w:rsidRPr="00F03286">
        <w:t>) na externe umiestnené webové sídla výboru;</w:t>
      </w:r>
    </w:p>
    <w:p w14:paraId="3198F7F2" w14:textId="77777777" w:rsidR="00F03286" w:rsidRPr="00F03286" w:rsidRDefault="00F03286" w:rsidP="00F03286">
      <w:pPr>
        <w:spacing w:after="240"/>
        <w:ind w:left="567" w:hanging="567"/>
      </w:pPr>
      <w:r w:rsidRPr="00F03286">
        <w:t>51.</w:t>
      </w:r>
      <w:r w:rsidRPr="00F03286">
        <w:tab/>
        <w:t>naliehavo vyzýva EHSV, aby zvýšil svoj rozpočet na kybernetickú bezpečnosť aspoň na 10 % svojich celkových výdavkov na IT v súlade so smernicami EÚ v oblasti kybernetickej bezpečnosti a zabezpečil zvýšenú ochranu pred kybernetickými hrozbami, najmä v prípade citlivých údajov týkajúcich sa politických a rozpočtových záležitostí;</w:t>
      </w:r>
    </w:p>
    <w:p w14:paraId="546CCB0A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r w:rsidRPr="00F03286">
        <w:rPr>
          <w:b/>
          <w:i/>
        </w:rPr>
        <w:t>Budovy</w:t>
      </w:r>
    </w:p>
    <w:p w14:paraId="6CB62D73" w14:textId="77777777" w:rsidR="00F03286" w:rsidRPr="00F03286" w:rsidRDefault="00F03286" w:rsidP="00F03286">
      <w:pPr>
        <w:spacing w:after="240"/>
        <w:ind w:left="567" w:hanging="567"/>
      </w:pPr>
      <w:r w:rsidRPr="00F03286">
        <w:t>52.</w:t>
      </w:r>
      <w:r w:rsidRPr="00F03286">
        <w:tab/>
        <w:t>potvrdzuje prijatie správy výboru z 3. júna 2024, ktorou informuje orgán udeľujúci absolutórium o politike výboru v oblasti nehnuteľností v súlade s článkom 266 ods. 1 nariadenia o rozpočtových pravidlách Únie; na základe tejto správy s uspokojením konštatuje, že výbor spolu s VR dosiahol jednu z hlavných priorít svojej stratégie v oblasti budov z roku 2017, t. j. geografickú koncentráciu budov; ďalej konštatuje, že tento úspech už priniesol úspory v dôsledku nižších nákladov na prenájom celej budovy VMA v porovnaní s troma predtým prenajatými budovami; chápe, že tieto úspory predstavujú približne 1,8 milióna EUR, čo podľa uvedenej správy zodpovedá nájomnému zaplatenému za budovu B100; konštatuje, že výbor v súčasnosti pracuje na aktualizácii svojej dlhodobej stratégie v oblasti budov z roku 2017 a že tieto práce by sa mali ukončiť do konca roka 2025; vyzýva výbor, aby priebežne informoval orgán udeľujúci absolutórium o výsledku tohto postupu;</w:t>
      </w:r>
    </w:p>
    <w:p w14:paraId="23FA876B" w14:textId="77777777" w:rsidR="00F03286" w:rsidRPr="00F03286" w:rsidRDefault="00F03286" w:rsidP="00F03286">
      <w:pPr>
        <w:widowControl/>
        <w:spacing w:after="240"/>
        <w:ind w:left="567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F03286">
        <w:rPr>
          <w:rFonts w:eastAsia="Aptos"/>
          <w:kern w:val="2"/>
          <w:szCs w:val="24"/>
          <w:lang w:eastAsia="en-US"/>
          <w14:ligatures w14:val="standardContextual"/>
        </w:rPr>
        <w:t>53.</w:t>
      </w:r>
      <w:r w:rsidRPr="00F03286">
        <w:rPr>
          <w:rFonts w:eastAsia="Aptos"/>
          <w:kern w:val="2"/>
          <w:szCs w:val="24"/>
          <w:lang w:eastAsia="en-US"/>
          <w14:ligatures w14:val="standardContextual"/>
        </w:rPr>
        <w:tab/>
        <w:t>víta dokončenie renovácií (t. j. úprav) novonadobudnutej budovy VMA, ktoré zahŕňali inštaláciu inteligentných technológií na úsporu energie; podporuje plán výboru vykonať technické a environmentálne audity všetkých svojich budov, pričom výsledok týchto auditov by mal umožniť identifikáciu všetkých technických zariadení a komponentov budov, ktoré je potrebné úplne alebo čiastočne obnoviť alebo zachovať v súčasnom stave, čím sa dosiahne súlad s cieľmi Európskej zelenej dohody; vyzýva výbor, aby informoval orgán udeľujúci absolutórium o výsledkoch týchto auditov a následných opatreniach;</w:t>
      </w:r>
    </w:p>
    <w:p w14:paraId="5D29EA69" w14:textId="77777777" w:rsidR="00F03286" w:rsidRPr="00F03286" w:rsidRDefault="00F03286" w:rsidP="00F03286">
      <w:pPr>
        <w:widowControl/>
        <w:spacing w:after="240"/>
        <w:ind w:left="567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F03286">
        <w:rPr>
          <w:rFonts w:eastAsia="Aptos"/>
          <w:kern w:val="2"/>
          <w:szCs w:val="24"/>
          <w:lang w:eastAsia="en-US"/>
          <w14:ligatures w14:val="standardContextual"/>
        </w:rPr>
        <w:lastRenderedPageBreak/>
        <w:t>54.</w:t>
      </w:r>
      <w:r w:rsidRPr="00F0328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konštatuje, že pracovná skupina pre nové spôsoby práce zriadená v roku 2022 vydala v roku 2023 prvú výhľadovú správu zameranú na dostupné kancelárske priestory a prípadné možnosti optimalizácie; berie na vedomie plán výboru pokračovať v tomto postupe </w:t>
      </w:r>
      <w:proofErr w:type="spellStart"/>
      <w:r w:rsidRPr="00F03286">
        <w:rPr>
          <w:rFonts w:eastAsia="Aptos"/>
          <w:kern w:val="2"/>
          <w:szCs w:val="24"/>
          <w:lang w:eastAsia="en-US"/>
          <w14:ligatures w14:val="standardContextual"/>
        </w:rPr>
        <w:t>participatívnym</w:t>
      </w:r>
      <w:proofErr w:type="spellEnd"/>
      <w:r w:rsidRPr="00F03286">
        <w:rPr>
          <w:rFonts w:eastAsia="Aptos"/>
          <w:kern w:val="2"/>
          <w:szCs w:val="24"/>
          <w:lang w:eastAsia="en-US"/>
          <w14:ligatures w14:val="standardContextual"/>
        </w:rPr>
        <w:t xml:space="preserve"> procesom so zamestnancami s cieľom spoločne navrhovať budúce pracovné priestory; vyzýva výbor, aby priebežne informoval orgán udeľujúci absolutórium o pokroku dosiahnutom v tejto veci;</w:t>
      </w:r>
    </w:p>
    <w:p w14:paraId="2C12B67B" w14:textId="77777777" w:rsidR="00F03286" w:rsidRPr="00F03286" w:rsidRDefault="00F03286" w:rsidP="00F03286">
      <w:pPr>
        <w:widowControl/>
        <w:spacing w:after="240"/>
        <w:ind w:left="567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F03286">
        <w:rPr>
          <w:rFonts w:eastAsia="Aptos"/>
          <w:kern w:val="2"/>
          <w:szCs w:val="24"/>
          <w:lang w:eastAsia="en-US"/>
          <w14:ligatures w14:val="standardContextual"/>
        </w:rPr>
        <w:t>55.</w:t>
      </w:r>
      <w:r w:rsidRPr="00F03286">
        <w:rPr>
          <w:rFonts w:eastAsia="Aptos"/>
          <w:kern w:val="2"/>
          <w:szCs w:val="24"/>
          <w:lang w:eastAsia="en-US"/>
          <w14:ligatures w14:val="standardContextual"/>
        </w:rPr>
        <w:tab/>
        <w:t>víta záväzok výboru a VR systematicky uplatňovať zásadu „dizajnu pre všetkých“ na svoju infraštruktúru a zabezpečiť prístupnosť svojej budovy vďaka dizajnu; konštatuje, že oba výbory prijali v roku 2023 celý rad rôznych opatrení na zabezpečenie prístupnosti svojich budov pre ľudí s rôznymi druhmi zdravotného postihnutia, a to aj po modernizácii výťahov v budove JDE;</w:t>
      </w:r>
    </w:p>
    <w:p w14:paraId="64EF5B95" w14:textId="77777777" w:rsidR="00F03286" w:rsidRPr="00F03286" w:rsidRDefault="00F03286" w:rsidP="00F03286">
      <w:pPr>
        <w:spacing w:after="240"/>
        <w:ind w:left="567" w:hanging="567"/>
        <w:rPr>
          <w:b/>
          <w:i/>
          <w:szCs w:val="24"/>
        </w:rPr>
      </w:pPr>
      <w:r w:rsidRPr="00F03286">
        <w:rPr>
          <w:b/>
          <w:i/>
        </w:rPr>
        <w:t>Životné prostredie a udržateľnosť</w:t>
      </w:r>
    </w:p>
    <w:p w14:paraId="4D99473C" w14:textId="77777777" w:rsidR="00F03286" w:rsidRPr="00F03286" w:rsidRDefault="00F03286" w:rsidP="00F03286">
      <w:pPr>
        <w:spacing w:after="240"/>
        <w:ind w:left="567" w:hanging="567"/>
      </w:pPr>
      <w:r w:rsidRPr="00F03286">
        <w:t>56.</w:t>
      </w:r>
      <w:r w:rsidRPr="00F03286">
        <w:tab/>
        <w:t>víta ekologické postupy výboru a oceňuje ďalšie zníženie spotreby plynu, elektrickej energie a vody a emisií uhlíka a zvýšenie miery recyklácie v súvislosti s činnosťami výboru v roku 2023 v porovnaní s rokom 2019; berie na vedomie mierne zhoršenie miery poklesu objemu odpadu v porovnaní s úrovňami z roku 2019 z –66 % v roku 2022 na –56 % v roku 2023 v dôsledku vyššej prítomnosti v kanceláriách;</w:t>
      </w:r>
    </w:p>
    <w:p w14:paraId="0C4E960D" w14:textId="77777777" w:rsidR="00F03286" w:rsidRPr="00F03286" w:rsidRDefault="00F03286" w:rsidP="00F03286">
      <w:pPr>
        <w:spacing w:after="240"/>
        <w:ind w:left="567" w:hanging="567"/>
      </w:pPr>
      <w:r w:rsidRPr="00F03286">
        <w:t>57.</w:t>
      </w:r>
      <w:r w:rsidRPr="00F03286">
        <w:tab/>
        <w:t>konštatuje, že energetické úspory a zníženie emisií sa dosiahli investíciami do inovatívnych energeticky účinných zariadení budov, ako aj prostredníctvom inteligentných technológií na úsporu energie nainštalovaných v budove VMA, nákupu 100 % zelenej elektrickej energie, zavedenia (prispôsobených) environmentálnych kritérií vo všetkých postupoch verejného obstarávania s hodnotou 60 000 EUR alebo viac, používania bezpapierových pracovných postupov a iných opatrení, ako je skrátenie prevádzkových hodín osvetlenia, zníženie zimnej referenčnej teploty vo všetkých budovách na 19 stupňov alebo zatvorenie budov v obdobiach nízkej prítomnosti zamestnancov, okrem mnohých iných opatrení; konštatuje, že zníženie spotreby energie vo výbore zodpovedá miere 3,4 % a finančnému zisku 65 395 EUR;</w:t>
      </w:r>
    </w:p>
    <w:p w14:paraId="3DDF2E9D" w14:textId="77777777" w:rsidR="00F03286" w:rsidRPr="00F03286" w:rsidRDefault="00F03286" w:rsidP="00F03286">
      <w:pPr>
        <w:spacing w:after="240"/>
        <w:ind w:left="567" w:hanging="567"/>
      </w:pPr>
      <w:r w:rsidRPr="00F03286">
        <w:t>58.</w:t>
      </w:r>
      <w:r w:rsidRPr="00F03286">
        <w:tab/>
        <w:t>na základe správy o následných opatreniach konštatuje, že inteligentné technológie na úsporu energie nainštalované v nedávno zrenovovanej budove VMA prispeli k zníženiu spotreby energie (plynu a elektrickej energie) vo výbore v roku 2023 o 20 % až 30 %; opakovane však žiada výbor, aby poskytol Európskemu parlamentu aktuálne informácie o návratnosti investícií do týchto technických zariadení;</w:t>
      </w:r>
    </w:p>
    <w:p w14:paraId="360C1839" w14:textId="77777777" w:rsidR="00F03286" w:rsidRPr="00F03286" w:rsidRDefault="00F03286" w:rsidP="00F03286">
      <w:pPr>
        <w:spacing w:after="240"/>
        <w:ind w:left="567" w:hanging="567"/>
      </w:pPr>
      <w:r w:rsidRPr="00F03286">
        <w:t>59.</w:t>
      </w:r>
      <w:r w:rsidRPr="00F03286">
        <w:tab/>
        <w:t>víta, že výbor prijal stratégiu úspor energie s krátkodobými, strednodobými a dlhodobými opatreniami; v tejto súvislosti konštatuje, že výbor začal environmentálny audit všetkých svojich budov s cieľom okrem iného určiť úroveň energetickej hospodárnosti súčasných stavieb a zariadení, ako aj odhadnúť environmentálnu návratnosť potrebných investícií v porovnaní s celkovými nákladmi (údržba, spotreba atď.) za obdobie 30 rokov; ďalej konštatuje, že štúdie o opatreniach v oblasti energetickej efektívnosti sú naplánované na roky 2024 a 2025; vyzýva výbor, aby priebežne informoval orgán udeľujúci absolutórium o pokroku dosiahnutom v týchto veciach;</w:t>
      </w:r>
    </w:p>
    <w:p w14:paraId="090A1EB9" w14:textId="77777777" w:rsidR="00F03286" w:rsidRPr="00F03286" w:rsidRDefault="00F03286" w:rsidP="00F03286">
      <w:pPr>
        <w:spacing w:after="240"/>
        <w:ind w:left="567" w:hanging="567"/>
      </w:pPr>
      <w:r w:rsidRPr="00F03286">
        <w:t>60.</w:t>
      </w:r>
      <w:r w:rsidRPr="00F03286">
        <w:tab/>
        <w:t xml:space="preserve">pripomína, že v roku 2022 predstavoval objem elektriny vyrobenej solárnymi panelmi výboru 15,5 MWh alebo 0,25 % ročnej spotreby výboru, zatiaľ čo v roku 2023 sa táto hodnota znížila na 5,75 MWh; na základe dotazníka s uspokojením konštatuje, že výbor </w:t>
      </w:r>
      <w:r w:rsidRPr="00F03286">
        <w:lastRenderedPageBreak/>
        <w:t>ide príkladom, pokiaľ ide o opatrenia a kroky prijaté v prospech udržateľnej mobility;</w:t>
      </w:r>
    </w:p>
    <w:p w14:paraId="644954C7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proofErr w:type="spellStart"/>
      <w:r w:rsidRPr="00F03286">
        <w:rPr>
          <w:b/>
          <w:i/>
        </w:rPr>
        <w:t>Medziinštitucionálna</w:t>
      </w:r>
      <w:proofErr w:type="spellEnd"/>
      <w:r w:rsidRPr="00F03286">
        <w:rPr>
          <w:b/>
          <w:i/>
        </w:rPr>
        <w:t xml:space="preserve"> spolupráca</w:t>
      </w:r>
    </w:p>
    <w:p w14:paraId="6C46519F" w14:textId="77777777" w:rsidR="00F03286" w:rsidRPr="00F03286" w:rsidRDefault="00F03286" w:rsidP="00F03286">
      <w:pPr>
        <w:spacing w:after="240"/>
        <w:ind w:left="567" w:hanging="567"/>
      </w:pPr>
      <w:r w:rsidRPr="00F03286">
        <w:t>61.</w:t>
      </w:r>
      <w:r w:rsidRPr="00F03286">
        <w:tab/>
        <w:t>oceňuje úzku spoluprácu, ktorú výbor nadviazal s VR na administratívnej úrovni prostredníctvom novej dohody o spolupráci podpísanej v roku 2022, podľa ktorej oba výbory spoločne využívajú priestory a spoločné služby v oblasti prekladu, infraštruktúry, logistiky, bezpečnosti, verejného obstarávania, finančného riadenia a IT, pričom si zachovávajú úplnú inštitucionálnu autonómiu; víta pozitívny vývoj v roku 2023, keď sa oba výbory ďalej dohodli na rozvoji a financovaní spoločného komunikačného priestoru so spoločnými audiovizuálnymi zariadeniami v budove JDE; žiada výbor, aby určil rozpočtové úspory dosiahnuté počas prvého roka vykonávania tejto dohody v audiovizuálnej oblasti a informoval o nich Parlament; opätovne vyzýva výbor, aby pokračoval v tejto spolupráci a rozšíril ju v iných oblastiach s cieľom zabrániť duplicite a ďalej racionalizovať prevádzkové náklady na služby dostupné v priestoroch, o ktoré sa delia výbor a Výbor regiónov; vyzýva výbor a VR, aby preskúmali možnosť vytvorenia jednotnej administratívy pre spoločné služby, pričom by sa zachovali samostatné riaditeľstvá alebo oddelenia pre útvary, ktoré sa zaoberajú záležitosťami súvisiacimi s ich osobitnými a nezávislými mandátmi; nabáda výbor a VR, aby pokračovali v úsilí o rozvoj ďalšej spolupráce a synergií;</w:t>
      </w:r>
    </w:p>
    <w:p w14:paraId="60B64037" w14:textId="77777777" w:rsidR="00F03286" w:rsidRPr="00F03286" w:rsidRDefault="00F03286" w:rsidP="00F03286">
      <w:pPr>
        <w:spacing w:after="240"/>
        <w:ind w:left="567" w:hanging="567"/>
      </w:pPr>
      <w:r w:rsidRPr="00F03286">
        <w:t>62.</w:t>
      </w:r>
      <w:r w:rsidRPr="00F03286">
        <w:tab/>
        <w:t>konštatuje, že rozpočtové úspory a zvýšenie efektívnosti sa naďalej dosahovali prostredníctvom aktívnej spolupráce medzi výborom a ostatnými inštitúciami Únie v roku 2023, a to aj organizovaním plenárnych zasadnutí výboru v priestoroch Komisie a Európskeho parlamentu, kde sa priestory a súvisiace služby poskytujú buď bezplatne, alebo za sadzby nižšie ako ceny na vonkajšom trhu;</w:t>
      </w:r>
    </w:p>
    <w:p w14:paraId="4ACA56C5" w14:textId="77777777" w:rsidR="00F03286" w:rsidRPr="00F03286" w:rsidRDefault="00F03286" w:rsidP="00F03286">
      <w:pPr>
        <w:spacing w:after="240"/>
        <w:ind w:left="567" w:hanging="567"/>
      </w:pPr>
      <w:r w:rsidRPr="00F03286">
        <w:t>63.</w:t>
      </w:r>
      <w:r w:rsidRPr="00F03286">
        <w:tab/>
        <w:t xml:space="preserve">s uspokojením konštatuje, že výbor a Európsky parlament v roku 2023 opätovne prerokovali a v roku 2024 podpísali svoju </w:t>
      </w:r>
      <w:proofErr w:type="spellStart"/>
      <w:r w:rsidRPr="00F03286">
        <w:t>medziinštitucionálnu</w:t>
      </w:r>
      <w:proofErr w:type="spellEnd"/>
      <w:r w:rsidRPr="00F03286">
        <w:t xml:space="preserve"> dohodu, ktorej cieľom je poskytnúť relevantnejšie a včasnejšie príspevky počas celého legislatívneho cyklu a posilniť dvojstrannú spoluprácu; víta, že nový protokol o spolupráci výboru s Komisiou podpísaný v roku 2022 už priniesol zlepšenia vplyvu výboru, napríklad vo fáze pred začatím legislatívneho procesu prostredníctvom prieskumných stanovísk; nabáda na ďalšie posilnenie politických, legislatívnych a komunikačných synergií medzi výborom a Európskym parlamentom, najmä v súvislosti s európskou iniciatívou občanov a európskym semestrom;</w:t>
      </w:r>
    </w:p>
    <w:p w14:paraId="4F6FA6C5" w14:textId="77777777" w:rsidR="00F03286" w:rsidRPr="00F03286" w:rsidRDefault="00F03286" w:rsidP="00F03286">
      <w:pPr>
        <w:spacing w:after="240"/>
        <w:ind w:left="567" w:hanging="567"/>
      </w:pPr>
      <w:r w:rsidRPr="00F03286">
        <w:t>64.</w:t>
      </w:r>
      <w:r w:rsidRPr="00F03286">
        <w:tab/>
        <w:t xml:space="preserve">opakuje, že oceňuje outsourcing (dohody o úrovni poskytovaných služieb) konkrétnych služieb na Komisiu pri správe ľudských zdrojov a využívaní IT nástrojov na finančné a personálne riadenie, ako aj účasť výboru na </w:t>
      </w:r>
      <w:proofErr w:type="spellStart"/>
      <w:r w:rsidRPr="00F03286">
        <w:t>medziinštitucionálnych</w:t>
      </w:r>
      <w:proofErr w:type="spellEnd"/>
      <w:r w:rsidRPr="00F03286">
        <w:t xml:space="preserve"> postupoch verejného obstarávania pod vedením iných inštitúcií, pričom výbor v roku 2023 naďalej ťažil zo synergií v oblasti IT, služobných ciest, poistenia, dopravy, prekladu a audiovizuálnych zariadení;</w:t>
      </w:r>
    </w:p>
    <w:p w14:paraId="095DC04B" w14:textId="77777777" w:rsidR="00F03286" w:rsidRPr="00F03286" w:rsidRDefault="00F03286" w:rsidP="00F03286">
      <w:pPr>
        <w:spacing w:after="240"/>
        <w:ind w:left="567" w:hanging="567"/>
      </w:pPr>
      <w:r w:rsidRPr="00F03286">
        <w:t>65.</w:t>
      </w:r>
      <w:r w:rsidRPr="00F03286">
        <w:tab/>
        <w:t xml:space="preserve">konštatuje, že výbor zohráva úlohu pri posilňovaní väzieb s národnými hospodárskymi a sociálnymi radami členských štátov a medzi nimi; na základe dotazníka berie na vedomie opatrenia, ktoré výbor prijal na posilnenie siete národných hospodárskych a sociálnych rád a ich online komunity, ako je okrem iného zriadenie spoločných pracovných skupín a výmenných programov, práca na IT platforme pre spoluprácu a účasť na spoločných podujatiach; vyzýva, aby sa pokračovalo v spolupráci na témach spoločného záujmu a vo výmene osvedčených postupov, a to s dôrazom na kľúčovú </w:t>
      </w:r>
      <w:r w:rsidRPr="00F03286">
        <w:lastRenderedPageBreak/>
        <w:t>úlohu občianskej spoločnosti pri riešení súčasných výziev Únie;</w:t>
      </w:r>
    </w:p>
    <w:p w14:paraId="6CA69FDC" w14:textId="77777777" w:rsidR="00F03286" w:rsidRPr="00F03286" w:rsidRDefault="00F03286" w:rsidP="00F03286">
      <w:pPr>
        <w:spacing w:after="240"/>
        <w:ind w:left="567" w:hanging="567"/>
        <w:rPr>
          <w:b/>
          <w:i/>
        </w:rPr>
      </w:pPr>
      <w:r w:rsidRPr="00F03286">
        <w:rPr>
          <w:b/>
          <w:i/>
        </w:rPr>
        <w:t>Komunikačná činnosť</w:t>
      </w:r>
    </w:p>
    <w:p w14:paraId="4F4FB7FA" w14:textId="77777777" w:rsidR="00F03286" w:rsidRPr="00F03286" w:rsidRDefault="00F03286" w:rsidP="00F03286">
      <w:pPr>
        <w:spacing w:after="240"/>
        <w:ind w:left="567" w:hanging="567"/>
      </w:pPr>
      <w:r w:rsidRPr="00F03286">
        <w:t>66.</w:t>
      </w:r>
      <w:r w:rsidRPr="00F03286">
        <w:tab/>
        <w:t>konštatuje, že celkový rozpočet výboru na komunikáciu v roku 2023 bol 2,15 milióna EUR, čo je nárast v porovnaní s 1,5 milióna EUR v roku 2022; konštatuje, že tento rozpočet bol vyčlenený predovšetkým na štyri hlavné podujatia organizované v roku 2023 (Európska iniciatíva občanov, Vaša Európa, váš názor!, Cena za ekologické potraviny a 14. cena pre občiansku spoločnosť), na zlepšenie a/alebo prepracovanie účtov výboru na sociálnych sieťach, jeho externej webovej stránky a audiovizuálnej produkcie, ako aj na mediálne a tlačové publikácie; oceňuje komunikačné činnosti výboru zamerané na plnenie týchto komunikačných priorít na rok 2023, ako sú okrem iného iniciatíva Modrá dohoda, COP28, uznesenie o demokracii a 65. výročie vzniku výboru;</w:t>
      </w:r>
    </w:p>
    <w:p w14:paraId="4051D1CE" w14:textId="77777777" w:rsidR="00F03286" w:rsidRPr="00F03286" w:rsidRDefault="00F03286" w:rsidP="00F03286">
      <w:pPr>
        <w:spacing w:after="240"/>
        <w:ind w:left="567" w:hanging="567"/>
      </w:pPr>
      <w:r w:rsidRPr="00F03286">
        <w:t>67.</w:t>
      </w:r>
      <w:r w:rsidRPr="00F03286">
        <w:tab/>
        <w:t xml:space="preserve">oceňuje úsilie výboru v súvislosti s jeho strategickou komunikáciou v roku 2023; konštatuje, že výbor prijal novú komunikačnú stratégiu zameranú na posilnenie svojej reputácie a dosahu; konštatuje, že v rámci tejto stratégie výbor vysielal svoje hlavné podujatia naživo cez internet, väčšinou vo všetkých jazykoch Únie, zaviedol nové komunikačné nástroje, ako je </w:t>
      </w:r>
      <w:proofErr w:type="spellStart"/>
      <w:r w:rsidRPr="00F03286">
        <w:t>videoséria</w:t>
      </w:r>
      <w:proofErr w:type="spellEnd"/>
      <w:r w:rsidRPr="00F03286">
        <w:t xml:space="preserve"> Správy z pléna, zameral svoje komunikačné zdroje na hlavné podujatia výboru v roku 2023 a vynaložil osobitné úsilie na zvýšenie svojho dosahu na sociálnych sieťach;</w:t>
      </w:r>
    </w:p>
    <w:p w14:paraId="1DEA9977" w14:textId="77777777" w:rsidR="00F03286" w:rsidRPr="00F03286" w:rsidRDefault="00F03286" w:rsidP="00F03286">
      <w:pPr>
        <w:spacing w:after="240"/>
        <w:ind w:left="567" w:hanging="567"/>
      </w:pPr>
      <w:r w:rsidRPr="00F03286">
        <w:t>68.</w:t>
      </w:r>
      <w:r w:rsidRPr="00F03286">
        <w:tab/>
        <w:t>vyzýva EHSV, aby posilnil monitorovanie a podávanie správ o pracovných právach, sociálnom začleňovaní a porušovaní ľudských práv v programoch financovaných EÚ a zabezpečil väčšiu zodpovednosť v rámci svojich poradných funkcií a strategických odporúčaní;</w:t>
      </w:r>
    </w:p>
    <w:p w14:paraId="4C0E2499" w14:textId="77777777" w:rsidR="00F03286" w:rsidRPr="00F03286" w:rsidRDefault="00F03286" w:rsidP="00F03286">
      <w:pPr>
        <w:spacing w:after="240"/>
        <w:ind w:left="567" w:hanging="567"/>
      </w:pPr>
      <w:r w:rsidRPr="00F03286">
        <w:t>69.</w:t>
      </w:r>
      <w:r w:rsidRPr="00F03286">
        <w:tab/>
        <w:t xml:space="preserve">konštatuje, že počet </w:t>
      </w:r>
      <w:proofErr w:type="spellStart"/>
      <w:r w:rsidRPr="00F03286">
        <w:t>sledovateľov</w:t>
      </w:r>
      <w:proofErr w:type="spellEnd"/>
      <w:r w:rsidRPr="00F03286">
        <w:t xml:space="preserve"> platforiem výboru prostredníctvom sociálnych médií sa v roku 2023 výrazne zvýšil o 25 000; konštatuje, že do konca roka 2023 výbor dosiahol 61 416 </w:t>
      </w:r>
      <w:proofErr w:type="spellStart"/>
      <w:r w:rsidRPr="00F03286">
        <w:t>sledovateľov</w:t>
      </w:r>
      <w:proofErr w:type="spellEnd"/>
      <w:r w:rsidRPr="00F03286">
        <w:t xml:space="preserve"> na sieti X, čo je nárast o 5 % v porovnaní s rokom 2022, 61 761 </w:t>
      </w:r>
      <w:proofErr w:type="spellStart"/>
      <w:r w:rsidRPr="00F03286">
        <w:t>sledovateľov</w:t>
      </w:r>
      <w:proofErr w:type="spellEnd"/>
      <w:r w:rsidRPr="00F03286">
        <w:t xml:space="preserve"> na sieti LinkedIn, čo je nárast o 30 % v porovnaní s rokom 2022, 46 868 </w:t>
      </w:r>
      <w:proofErr w:type="spellStart"/>
      <w:r w:rsidRPr="00F03286">
        <w:t>sledovateľov</w:t>
      </w:r>
      <w:proofErr w:type="spellEnd"/>
      <w:r w:rsidRPr="00F03286">
        <w:t xml:space="preserve"> na Facebooku, čo je nárast o 5,3 % v porovnaní s rokom 2022, a 17 428 </w:t>
      </w:r>
      <w:proofErr w:type="spellStart"/>
      <w:r w:rsidRPr="00F03286">
        <w:t>sledovateľov</w:t>
      </w:r>
      <w:proofErr w:type="spellEnd"/>
      <w:r w:rsidRPr="00F03286">
        <w:t xml:space="preserve"> na Instagrame, čo je nárast o 45 % v porovnaní s rokom 2022;</w:t>
      </w:r>
    </w:p>
    <w:p w14:paraId="559EEE87" w14:textId="77777777" w:rsidR="00F03286" w:rsidRPr="00F03286" w:rsidRDefault="00F03286" w:rsidP="00F03286">
      <w:pPr>
        <w:spacing w:after="240"/>
        <w:ind w:left="567" w:hanging="567"/>
      </w:pPr>
      <w:r w:rsidRPr="00F03286">
        <w:t>70.</w:t>
      </w:r>
      <w:r w:rsidRPr="00F03286">
        <w:tab/>
        <w:t xml:space="preserve">víta pozitívny prístup výboru k využívaniu riešení s otvoreným zdrojovým kódom na svoju online komunikáciu; konštatuje, že v júli 2023 si výbor otvoril svoj prvý účet na serveri EU </w:t>
      </w:r>
      <w:proofErr w:type="spellStart"/>
      <w:r w:rsidRPr="00F03286">
        <w:t>Voice</w:t>
      </w:r>
      <w:proofErr w:type="spellEnd"/>
      <w:r w:rsidRPr="00F03286">
        <w:t xml:space="preserve"> v rámci platformy </w:t>
      </w:r>
      <w:proofErr w:type="spellStart"/>
      <w:r w:rsidRPr="00F03286">
        <w:t>Mastodon</w:t>
      </w:r>
      <w:proofErr w:type="spellEnd"/>
      <w:r w:rsidRPr="00F03286">
        <w:t xml:space="preserve">, ktorá je decentralizovanou a bezplatnou sieťou sociálnych médií s otvoreným zdrojovým kódom a spája používateľov v prostredí bez reklamy zachovávajúcom súkromie; konštatuje, že počas druhého polroka 2023 výbor aktívne komunikoval na svojom účte na platforme </w:t>
      </w:r>
      <w:proofErr w:type="spellStart"/>
      <w:r w:rsidRPr="00F03286">
        <w:t>Mastodon</w:t>
      </w:r>
      <w:proofErr w:type="spellEnd"/>
      <w:r w:rsidRPr="00F03286">
        <w:t>, pričom každý pracovný deň uverejňoval príspevky o svojich činnostiach a prioritách a zvyšoval informovanosť o Únii; berie na vedomie rozhodnutie výboru ukončiť svoju prítomnosť na tejto platforme od roku 2024.</w:t>
      </w:r>
    </w:p>
    <w:sectPr w:rsidR="00F03286" w:rsidRPr="00F032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7586" w14:textId="77777777" w:rsidR="00EA4733" w:rsidRDefault="00F03286">
      <w:r>
        <w:separator/>
      </w:r>
    </w:p>
  </w:endnote>
  <w:endnote w:type="continuationSeparator" w:id="0">
    <w:p w14:paraId="5CC3BB2D" w14:textId="77777777" w:rsidR="00EA4733" w:rsidRDefault="00F0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A245" w14:textId="77777777" w:rsidR="00EA4733" w:rsidRDefault="00EA47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5D32" w14:textId="77777777" w:rsidR="00EA4733" w:rsidRDefault="00EA47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28BC" w14:textId="77777777" w:rsidR="00EA4733" w:rsidRDefault="00EA47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D3CA0" w14:textId="77777777" w:rsidR="00EA4733" w:rsidRDefault="00F03286">
      <w:r>
        <w:separator/>
      </w:r>
    </w:p>
  </w:footnote>
  <w:footnote w:type="continuationSeparator" w:id="0">
    <w:p w14:paraId="37BDAE3E" w14:textId="77777777" w:rsidR="00EA4733" w:rsidRDefault="00F03286">
      <w:r>
        <w:continuationSeparator/>
      </w:r>
    </w:p>
  </w:footnote>
  <w:footnote w:id="1">
    <w:p w14:paraId="4F046CF7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  <w:t xml:space="preserve">Ú. v. EÚ L 58, 23.2.2023, s. 1, ELI: </w:t>
      </w:r>
      <w:hyperlink r:id="rId1" w:tooltip="Umožňuje prístup k tomuto dokumentu prostredníctvom identifikátorov ELI a URI." w:history="1">
        <w:r w:rsidRPr="00F03286">
          <w:rPr>
            <w:rStyle w:val="Hyperlink"/>
            <w:color w:val="0563C1"/>
            <w:sz w:val="24"/>
            <w:szCs w:val="24"/>
            <w:shd w:val="clear" w:color="auto" w:fill="FFFFFF"/>
            <w:lang w:val="fi-FI"/>
          </w:rPr>
          <w:t>http://data.europa.eu/eli/budget/2023/1/oj</w:t>
        </w:r>
      </w:hyperlink>
      <w:r w:rsidRPr="00F03286">
        <w:rPr>
          <w:sz w:val="24"/>
          <w:szCs w:val="24"/>
          <w:shd w:val="clear" w:color="auto" w:fill="FFFFFF"/>
          <w:lang w:val="sk-SK"/>
        </w:rPr>
        <w:t>.</w:t>
      </w:r>
    </w:p>
  </w:footnote>
  <w:footnote w:id="2">
    <w:p w14:paraId="77D51898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</w:r>
      <w:r w:rsidRPr="00F03286">
        <w:rPr>
          <w:sz w:val="24"/>
          <w:szCs w:val="24"/>
          <w:lang w:val="sk-SK"/>
        </w:rPr>
        <w:t xml:space="preserve">Ú. v. EÚ C, C/2024/5462, 10.10.2024, ELI: </w:t>
      </w:r>
      <w:hyperlink r:id="rId2" w:history="1">
        <w:r w:rsidRPr="00F03286">
          <w:rPr>
            <w:rStyle w:val="Hyperlink"/>
            <w:sz w:val="24"/>
            <w:szCs w:val="24"/>
            <w:lang w:val="fi-FI"/>
          </w:rPr>
          <w:t>http://data.europa.eu/eli/C/2024/5462/oj</w:t>
        </w:r>
      </w:hyperlink>
      <w:r w:rsidRPr="00F03286">
        <w:rPr>
          <w:sz w:val="24"/>
          <w:szCs w:val="24"/>
          <w:shd w:val="clear" w:color="auto" w:fill="FFFFFF"/>
          <w:lang w:val="sk-SK"/>
        </w:rPr>
        <w:t>.</w:t>
      </w:r>
    </w:p>
  </w:footnote>
  <w:footnote w:id="3">
    <w:p w14:paraId="451D6964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</w:r>
      <w:r w:rsidRPr="00F03286">
        <w:rPr>
          <w:sz w:val="24"/>
          <w:szCs w:val="24"/>
          <w:lang w:val="sk-SK"/>
        </w:rPr>
        <w:t xml:space="preserve">Ú. v. EÚ C, C/2024/5882, 9.10.2024, ELI: </w:t>
      </w:r>
      <w:hyperlink r:id="rId3" w:history="1">
        <w:r w:rsidRPr="00F03286">
          <w:rPr>
            <w:rStyle w:val="Hyperlink"/>
            <w:sz w:val="24"/>
            <w:szCs w:val="24"/>
            <w:lang w:val="fi-FI"/>
          </w:rPr>
          <w:t>http://data.europa.eu/eli/C/2024/5882/oj</w:t>
        </w:r>
      </w:hyperlink>
      <w:r w:rsidRPr="00F03286">
        <w:rPr>
          <w:sz w:val="24"/>
          <w:szCs w:val="24"/>
          <w:shd w:val="clear" w:color="auto" w:fill="FFFFFF"/>
          <w:lang w:val="sk-SK"/>
        </w:rPr>
        <w:t>.</w:t>
      </w:r>
    </w:p>
  </w:footnote>
  <w:footnote w:id="4">
    <w:p w14:paraId="14610A02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</w:r>
      <w:r w:rsidRPr="00F03286">
        <w:rPr>
          <w:sz w:val="24"/>
          <w:szCs w:val="24"/>
          <w:lang w:val="sk-SK"/>
        </w:rPr>
        <w:t xml:space="preserve">Ú. v. EÚ C, C/2024/6041, 10.10.2024, ELI: </w:t>
      </w:r>
      <w:hyperlink r:id="rId4" w:history="1">
        <w:r w:rsidRPr="00F03286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F03286">
        <w:rPr>
          <w:sz w:val="24"/>
          <w:szCs w:val="24"/>
          <w:shd w:val="clear" w:color="auto" w:fill="FFFFFF"/>
          <w:lang w:val="sk-SK"/>
        </w:rPr>
        <w:t>.</w:t>
      </w:r>
    </w:p>
  </w:footnote>
  <w:footnote w:id="5">
    <w:p w14:paraId="69C998AF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</w:r>
      <w:r w:rsidRPr="00F03286">
        <w:rPr>
          <w:sz w:val="24"/>
          <w:szCs w:val="24"/>
          <w:lang w:val="sk-SK"/>
        </w:rPr>
        <w:t xml:space="preserve">Ú. v. EÚ L 193, 30.7.2018, s. 1, ELI: </w:t>
      </w:r>
      <w:hyperlink r:id="rId5" w:history="1">
        <w:r w:rsidRPr="00F03286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F03286">
        <w:rPr>
          <w:sz w:val="24"/>
          <w:szCs w:val="24"/>
          <w:lang w:val="sk-SK"/>
        </w:rPr>
        <w:t>.</w:t>
      </w:r>
    </w:p>
  </w:footnote>
  <w:footnote w:id="6">
    <w:p w14:paraId="75F366FC" w14:textId="77777777" w:rsidR="00F03286" w:rsidRPr="00F03286" w:rsidRDefault="00F03286" w:rsidP="00F03286">
      <w:pPr>
        <w:pStyle w:val="FootnoteText"/>
        <w:ind w:left="567" w:hanging="567"/>
        <w:rPr>
          <w:sz w:val="24"/>
          <w:szCs w:val="24"/>
          <w:lang w:val="sk-SK"/>
        </w:rPr>
      </w:pPr>
      <w:r w:rsidRPr="00F03286">
        <w:rPr>
          <w:rStyle w:val="FootnoteReference"/>
          <w:sz w:val="24"/>
          <w:szCs w:val="24"/>
          <w:lang w:val="sk-SK"/>
        </w:rPr>
        <w:footnoteRef/>
      </w:r>
      <w:r w:rsidRPr="00F03286">
        <w:rPr>
          <w:sz w:val="24"/>
          <w:szCs w:val="24"/>
          <w:lang w:val="sk-SK"/>
        </w:rPr>
        <w:tab/>
      </w:r>
      <w:r w:rsidRPr="00F03286">
        <w:rPr>
          <w:sz w:val="24"/>
          <w:szCs w:val="24"/>
          <w:lang w:val="sk-SK"/>
        </w:rPr>
        <w:t xml:space="preserve">Ú. v. EÚ L, 2024/2509, 26.9.2024, ELI: </w:t>
      </w:r>
      <w:hyperlink r:id="rId6" w:history="1">
        <w:r w:rsidRPr="00F03286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F03286">
        <w:rPr>
          <w:sz w:val="24"/>
          <w:szCs w:val="24"/>
          <w:shd w:val="clear" w:color="auto" w:fill="FFFFFF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78A7" w14:textId="77777777" w:rsidR="00EA4733" w:rsidRDefault="00EA47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BA50" w14:textId="77777777" w:rsidR="00EA4733" w:rsidRDefault="00EA473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77BC" w14:textId="77777777" w:rsidR="00EA4733" w:rsidRDefault="00EA47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711157">
    <w:abstractNumId w:val="9"/>
  </w:num>
  <w:num w:numId="2" w16cid:durableId="1802727768">
    <w:abstractNumId w:val="9"/>
  </w:num>
  <w:num w:numId="3" w16cid:durableId="1550533547">
    <w:abstractNumId w:val="7"/>
  </w:num>
  <w:num w:numId="4" w16cid:durableId="1194463700">
    <w:abstractNumId w:val="7"/>
  </w:num>
  <w:num w:numId="5" w16cid:durableId="441923280">
    <w:abstractNumId w:val="6"/>
  </w:num>
  <w:num w:numId="6" w16cid:durableId="621613803">
    <w:abstractNumId w:val="6"/>
  </w:num>
  <w:num w:numId="7" w16cid:durableId="1844469221">
    <w:abstractNumId w:val="5"/>
  </w:num>
  <w:num w:numId="8" w16cid:durableId="8990580">
    <w:abstractNumId w:val="5"/>
  </w:num>
  <w:num w:numId="9" w16cid:durableId="277224237">
    <w:abstractNumId w:val="4"/>
  </w:num>
  <w:num w:numId="10" w16cid:durableId="2143767539">
    <w:abstractNumId w:val="4"/>
  </w:num>
  <w:num w:numId="11" w16cid:durableId="1713991666">
    <w:abstractNumId w:val="8"/>
  </w:num>
  <w:num w:numId="12" w16cid:durableId="397947768">
    <w:abstractNumId w:val="8"/>
  </w:num>
  <w:num w:numId="13" w16cid:durableId="1027213538">
    <w:abstractNumId w:val="3"/>
  </w:num>
  <w:num w:numId="14" w16cid:durableId="1746492078">
    <w:abstractNumId w:val="3"/>
  </w:num>
  <w:num w:numId="15" w16cid:durableId="737676567">
    <w:abstractNumId w:val="2"/>
  </w:num>
  <w:num w:numId="16" w16cid:durableId="1485275104">
    <w:abstractNumId w:val="2"/>
  </w:num>
  <w:num w:numId="17" w16cid:durableId="1443114042">
    <w:abstractNumId w:val="1"/>
  </w:num>
  <w:num w:numId="18" w16cid:durableId="1453787088">
    <w:abstractNumId w:val="1"/>
  </w:num>
  <w:num w:numId="19" w16cid:durableId="691155159">
    <w:abstractNumId w:val="0"/>
  </w:num>
  <w:num w:numId="20" w16cid:durableId="662902946">
    <w:abstractNumId w:val="0"/>
  </w:num>
  <w:num w:numId="21" w16cid:durableId="76102972">
    <w:abstractNumId w:val="9"/>
  </w:num>
  <w:num w:numId="22" w16cid:durableId="418982964">
    <w:abstractNumId w:val="7"/>
  </w:num>
  <w:num w:numId="23" w16cid:durableId="1066873869">
    <w:abstractNumId w:val="6"/>
  </w:num>
  <w:num w:numId="24" w16cid:durableId="1105347935">
    <w:abstractNumId w:val="5"/>
  </w:num>
  <w:num w:numId="25" w16cid:durableId="102848606">
    <w:abstractNumId w:val="4"/>
  </w:num>
  <w:num w:numId="26" w16cid:durableId="673384477">
    <w:abstractNumId w:val="8"/>
  </w:num>
  <w:num w:numId="27" w16cid:durableId="464394670">
    <w:abstractNumId w:val="3"/>
  </w:num>
  <w:num w:numId="28" w16cid:durableId="1572693360">
    <w:abstractNumId w:val="2"/>
  </w:num>
  <w:num w:numId="29" w16cid:durableId="1956791739">
    <w:abstractNumId w:val="1"/>
  </w:num>
  <w:num w:numId="30" w16cid:durableId="1793359820">
    <w:abstractNumId w:val="0"/>
  </w:num>
  <w:num w:numId="31" w16cid:durableId="1195732581">
    <w:abstractNumId w:val="9"/>
  </w:num>
  <w:num w:numId="32" w16cid:durableId="1285115119">
    <w:abstractNumId w:val="7"/>
  </w:num>
  <w:num w:numId="33" w16cid:durableId="1422528798">
    <w:abstractNumId w:val="6"/>
  </w:num>
  <w:num w:numId="34" w16cid:durableId="1578131961">
    <w:abstractNumId w:val="5"/>
  </w:num>
  <w:num w:numId="35" w16cid:durableId="1710257736">
    <w:abstractNumId w:val="4"/>
  </w:num>
  <w:num w:numId="36" w16cid:durableId="70393644">
    <w:abstractNumId w:val="8"/>
  </w:num>
  <w:num w:numId="37" w16cid:durableId="661588034">
    <w:abstractNumId w:val="3"/>
  </w:num>
  <w:num w:numId="38" w16cid:durableId="24061889">
    <w:abstractNumId w:val="2"/>
  </w:num>
  <w:num w:numId="39" w16cid:durableId="1776362053">
    <w:abstractNumId w:val="1"/>
  </w:num>
  <w:num w:numId="40" w16cid:durableId="1397969995">
    <w:abstractNumId w:val="0"/>
  </w:num>
  <w:num w:numId="41" w16cid:durableId="1321619357">
    <w:abstractNumId w:val="10"/>
  </w:num>
  <w:num w:numId="42" w16cid:durableId="498882945">
    <w:abstractNumId w:val="10"/>
  </w:num>
  <w:num w:numId="43" w16cid:durableId="31006957">
    <w:abstractNumId w:val="10"/>
  </w:num>
  <w:num w:numId="44" w16cid:durableId="20296716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4/2025"/>
    <w:docVar w:name="dvlangue" w:val="SK"/>
    <w:docVar w:name="dvnumam" w:val="0"/>
    <w:docVar w:name="dvpe" w:val="764.993"/>
    <w:docVar w:name="dvrapporteur" w:val="Spravodajca: "/>
    <w:docVar w:name="dvtitre" w:val="1. Rozhodnutie Európskeho parlamentu zo 7. mája 2025 o absolutóriu za plnenie všeobecného rozpočtu Európskej únie za rozpočtový rok 2023, oddiel VI – Európsky hospodársky a sociálny výbor(2024/2025(DEC))"/>
  </w:docVars>
  <w:rsids>
    <w:rsidRoot w:val="00EA4733"/>
    <w:rsid w:val="00EA4733"/>
    <w:rsid w:val="00F03286"/>
    <w:rsid w:val="00F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25B6D"/>
  <w15:chartTrackingRefBased/>
  <w15:docId w15:val="{C541EDFF-C498-49D3-B599-E44EEBED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Normal6a">
    <w:name w:val="Normal6a"/>
    <w:basedOn w:val="Normal"/>
    <w:pPr>
      <w:spacing w:after="120"/>
    </w:p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ED6F2-3763-42B2-98CE-CBB1A688F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7168</Words>
  <Characters>42879</Characters>
  <Application>Microsoft Office Word</Application>
  <DocSecurity>0</DocSecurity>
  <Lines>357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2025-11-27T15:14:00Z</dcterms:created>
  <dcterms:modified xsi:type="dcterms:W3CDTF">2025-11-27T15:14:00Z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P10_TA(2025)0082_</vt:lpwstr>
  </property>
  <property fmtid="{D5CDD505-2E9C-101B-9397-08002B2CF9AE}" pid="4" name="&lt;Type&gt;">
    <vt:lpwstr>RR</vt:lpwstr>
  </property>
</Properties>
</file>