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10BCD" w14:paraId="222F9F7F" w14:textId="77777777" w:rsidTr="0010095E">
        <w:trPr>
          <w:trHeight w:hRule="exact" w:val="1418"/>
        </w:trPr>
        <w:tc>
          <w:tcPr>
            <w:tcW w:w="6804" w:type="dxa"/>
            <w:shd w:val="clear" w:color="auto" w:fill="auto"/>
            <w:vAlign w:val="center"/>
          </w:tcPr>
          <w:p w14:paraId="6787DBCC" w14:textId="77777777" w:rsidR="00751A4A" w:rsidRPr="00B10BCD" w:rsidRDefault="001C5D64" w:rsidP="0010095E">
            <w:pPr>
              <w:pStyle w:val="EPName"/>
            </w:pPr>
            <w:r w:rsidRPr="00B10BCD">
              <w:t>Evropski parlament</w:t>
            </w:r>
          </w:p>
          <w:p w14:paraId="6208146C" w14:textId="77777777" w:rsidR="00751A4A" w:rsidRPr="00B10BCD" w:rsidRDefault="005F1B17" w:rsidP="005F1B17">
            <w:pPr>
              <w:pStyle w:val="EPTerm"/>
              <w:rPr>
                <w:rStyle w:val="HideTWBExt"/>
                <w:noProof w:val="0"/>
                <w:vanish w:val="0"/>
                <w:color w:val="auto"/>
              </w:rPr>
            </w:pPr>
            <w:r w:rsidRPr="00B10BCD">
              <w:t>2024</w:t>
            </w:r>
            <w:r w:rsidR="00817416" w:rsidRPr="00B10BCD">
              <w:t>-202</w:t>
            </w:r>
            <w:r w:rsidRPr="00B10BCD">
              <w:t>9</w:t>
            </w:r>
          </w:p>
        </w:tc>
        <w:tc>
          <w:tcPr>
            <w:tcW w:w="2268" w:type="dxa"/>
            <w:shd w:val="clear" w:color="auto" w:fill="auto"/>
          </w:tcPr>
          <w:p w14:paraId="6B0461FA" w14:textId="77777777" w:rsidR="00751A4A" w:rsidRPr="00B10BCD" w:rsidRDefault="00187494" w:rsidP="0010095E">
            <w:pPr>
              <w:pStyle w:val="EPLogo"/>
            </w:pPr>
            <w:r w:rsidRPr="00B10BCD">
              <w:rPr>
                <w:noProof/>
              </w:rPr>
              <w:drawing>
                <wp:inline distT="0" distB="0" distL="0" distR="0" wp14:anchorId="66552067" wp14:editId="6AC8EA9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067F5D" w14:textId="77777777" w:rsidR="00D058B8" w:rsidRPr="00B10BCD" w:rsidRDefault="00D058B8" w:rsidP="004C5D52">
      <w:pPr>
        <w:pStyle w:val="LineTop"/>
      </w:pPr>
    </w:p>
    <w:p w14:paraId="4C50DD6A" w14:textId="77777777" w:rsidR="00680577" w:rsidRPr="00B10BCD" w:rsidRDefault="001C5D64" w:rsidP="00680577">
      <w:pPr>
        <w:pStyle w:val="EPBodyTA1"/>
      </w:pPr>
      <w:r w:rsidRPr="00B10BCD">
        <w:t>SPREJETA BESEDILA</w:t>
      </w:r>
    </w:p>
    <w:p w14:paraId="554B020D" w14:textId="77777777" w:rsidR="00D058B8" w:rsidRPr="00B10BCD" w:rsidRDefault="00D058B8" w:rsidP="00D058B8">
      <w:pPr>
        <w:pStyle w:val="LineBottom"/>
      </w:pPr>
    </w:p>
    <w:p w14:paraId="399A7EB2" w14:textId="77777777" w:rsidR="001C5D64" w:rsidRPr="00B10BCD" w:rsidRDefault="001C5D64" w:rsidP="001C5D64">
      <w:pPr>
        <w:pStyle w:val="ATHeading1"/>
      </w:pPr>
      <w:bookmarkStart w:id="0" w:name="TANumber"/>
      <w:r w:rsidRPr="00B10BCD">
        <w:t>P10_TA(2025)</w:t>
      </w:r>
      <w:bookmarkEnd w:id="0"/>
      <w:r w:rsidR="009C3882" w:rsidRPr="00B10BCD">
        <w:t>0082</w:t>
      </w:r>
    </w:p>
    <w:p w14:paraId="76FB418F" w14:textId="77777777" w:rsidR="001C5D64" w:rsidRPr="00B10BCD" w:rsidRDefault="001C5D64" w:rsidP="001C5D64">
      <w:pPr>
        <w:pStyle w:val="ATHeading2"/>
      </w:pPr>
      <w:bookmarkStart w:id="1" w:name="title"/>
      <w:r w:rsidRPr="00B10BCD">
        <w:t>Razrešnica za leto 2023: splošni proračun EU – Evropski ekonomsko-socialni odbor</w:t>
      </w:r>
      <w:bookmarkEnd w:id="1"/>
    </w:p>
    <w:p w14:paraId="200F156B" w14:textId="77777777" w:rsidR="001C5D64" w:rsidRPr="00B10BCD" w:rsidRDefault="001C5D64" w:rsidP="001C5D64">
      <w:pPr>
        <w:rPr>
          <w:i/>
          <w:vanish/>
        </w:rPr>
      </w:pPr>
      <w:r w:rsidRPr="00B10BCD">
        <w:rPr>
          <w:i/>
        </w:rPr>
        <w:fldChar w:fldCharType="begin"/>
      </w:r>
      <w:r w:rsidRPr="00B10BCD">
        <w:rPr>
          <w:i/>
        </w:rPr>
        <w:instrText xml:space="preserve"> TC"(</w:instrText>
      </w:r>
      <w:bookmarkStart w:id="2" w:name="DocNumber"/>
      <w:r w:rsidRPr="00B10BCD">
        <w:rPr>
          <w:i/>
        </w:rPr>
        <w:instrText>A10-0054/2025</w:instrText>
      </w:r>
      <w:bookmarkEnd w:id="2"/>
      <w:r w:rsidRPr="00B10BCD">
        <w:rPr>
          <w:i/>
        </w:rPr>
        <w:instrText xml:space="preserve"> - Poročevalec: Joachim Stanisław Brudziński)"\l3 \n&gt; \* MERGEFORMAT </w:instrText>
      </w:r>
      <w:r w:rsidRPr="00B10BCD">
        <w:rPr>
          <w:i/>
        </w:rPr>
        <w:fldChar w:fldCharType="end"/>
      </w:r>
    </w:p>
    <w:p w14:paraId="7DB5771E" w14:textId="77777777" w:rsidR="001C5D64" w:rsidRPr="00B10BCD" w:rsidRDefault="001C5D64" w:rsidP="001C5D64">
      <w:pPr>
        <w:rPr>
          <w:vanish/>
        </w:rPr>
      </w:pPr>
      <w:bookmarkStart w:id="3" w:name="Commission"/>
      <w:r w:rsidRPr="00B10BCD">
        <w:rPr>
          <w:vanish/>
        </w:rPr>
        <w:t>Odbor za proračunski nadzor</w:t>
      </w:r>
      <w:bookmarkEnd w:id="3"/>
    </w:p>
    <w:p w14:paraId="35A7C484" w14:textId="77777777" w:rsidR="001C5D64" w:rsidRPr="00B10BCD" w:rsidRDefault="001C5D64" w:rsidP="001C5D64">
      <w:pPr>
        <w:rPr>
          <w:vanish/>
        </w:rPr>
      </w:pPr>
      <w:bookmarkStart w:id="4" w:name="PE"/>
      <w:r w:rsidRPr="00B10BCD">
        <w:rPr>
          <w:vanish/>
        </w:rPr>
        <w:t>PE764.993</w:t>
      </w:r>
      <w:bookmarkEnd w:id="4"/>
    </w:p>
    <w:p w14:paraId="3B4D1D4D" w14:textId="772F4A88" w:rsidR="00B10BCD" w:rsidRPr="00B10BCD" w:rsidRDefault="00B10BCD" w:rsidP="00B10BCD">
      <w:pPr>
        <w:pStyle w:val="ATHeading3"/>
      </w:pPr>
      <w:bookmarkStart w:id="5" w:name="Sujet"/>
      <w:r w:rsidRPr="00B10BCD">
        <w:t>1. Sklep Evropskega parlamenta z dne 7. maja 2025 o razrešnici glede izvrševanja splošnega proračuna Evropske unije za proračunsko leto 2023, oddelek VI – Evropski ekonomsko-socialni odbor (2024/2025(DEC))</w:t>
      </w:r>
    </w:p>
    <w:p w14:paraId="1869D942" w14:textId="1F1CE175" w:rsidR="00B10BCD" w:rsidRPr="00B10BCD" w:rsidRDefault="00B10BCD" w:rsidP="00B10BCD">
      <w:pPr>
        <w:spacing w:before="480" w:after="240"/>
        <w:rPr>
          <w:i/>
          <w:kern w:val="2"/>
          <w14:ligatures w14:val="standardContextual"/>
        </w:rPr>
      </w:pPr>
      <w:r w:rsidRPr="00B10BCD">
        <w:rPr>
          <w:i/>
          <w:kern w:val="2"/>
          <w14:ligatures w14:val="standardContextual"/>
        </w:rPr>
        <w:t>Evropski parlament,</w:t>
      </w:r>
    </w:p>
    <w:p w14:paraId="2FC07AFD"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w:t>
      </w:r>
      <w:r w:rsidRPr="00B10BCD">
        <w:rPr>
          <w:kern w:val="2"/>
          <w14:ligatures w14:val="standardContextual"/>
        </w:rPr>
        <w:tab/>
        <w:t>ob upoštevanju splošnega proračuna Evropske unije za proračunsko leto 2023 </w:t>
      </w:r>
      <w:r w:rsidRPr="00B10BCD">
        <w:rPr>
          <w:kern w:val="2"/>
          <w:vertAlign w:val="superscript"/>
          <w14:ligatures w14:val="standardContextual"/>
        </w:rPr>
        <w:footnoteReference w:id="1"/>
      </w:r>
      <w:r w:rsidRPr="00B10BCD">
        <w:rPr>
          <w:kern w:val="2"/>
          <w14:ligatures w14:val="standardContextual"/>
        </w:rPr>
        <w:t>,</w:t>
      </w:r>
    </w:p>
    <w:p w14:paraId="063B16BA" w14:textId="21F017EC" w:rsidR="00B10BCD" w:rsidRPr="00B10BCD" w:rsidRDefault="00B10BCD" w:rsidP="00B10BCD">
      <w:pPr>
        <w:spacing w:after="240"/>
        <w:ind w:left="567" w:hanging="567"/>
        <w:rPr>
          <w:kern w:val="2"/>
          <w14:ligatures w14:val="standardContextual"/>
        </w:rPr>
      </w:pPr>
      <w:r w:rsidRPr="00B10BCD">
        <w:rPr>
          <w:kern w:val="2"/>
          <w14:ligatures w14:val="standardContextual"/>
        </w:rPr>
        <w:t>–</w:t>
      </w:r>
      <w:r w:rsidRPr="00B10BCD">
        <w:rPr>
          <w:kern w:val="2"/>
          <w14:ligatures w14:val="standardContextual"/>
        </w:rPr>
        <w:tab/>
        <w:t>ob upoštevanju konsolidiranega zaključnega računa Evropske unije za proračunsko leto 2023 (COM(2024)0272 – C10</w:t>
      </w:r>
      <w:r w:rsidRPr="00B10BCD">
        <w:rPr>
          <w:kern w:val="2"/>
          <w14:ligatures w14:val="standardContextual"/>
        </w:rPr>
        <w:noBreakHyphen/>
        <w:t>0073/2024)</w:t>
      </w:r>
      <w:r w:rsidRPr="00B10BCD">
        <w:rPr>
          <w:kern w:val="2"/>
          <w:vertAlign w:val="superscript"/>
          <w14:ligatures w14:val="standardContextual"/>
        </w:rPr>
        <w:footnoteReference w:id="2"/>
      </w:r>
      <w:r w:rsidRPr="00B10BCD">
        <w:rPr>
          <w:kern w:val="2"/>
          <w14:ligatures w14:val="standardContextual"/>
        </w:rPr>
        <w:t>,</w:t>
      </w:r>
    </w:p>
    <w:p w14:paraId="23E396BE" w14:textId="77777777" w:rsidR="00B10BCD" w:rsidRPr="00B10BCD" w:rsidRDefault="00B10BCD" w:rsidP="00B10BCD">
      <w:pPr>
        <w:spacing w:after="240"/>
        <w:ind w:left="567" w:hanging="567"/>
        <w:rPr>
          <w:kern w:val="2"/>
          <w:szCs w:val="24"/>
          <w14:ligatures w14:val="standardContextual"/>
        </w:rPr>
      </w:pPr>
      <w:r w:rsidRPr="00B10BCD">
        <w:rPr>
          <w:kern w:val="2"/>
          <w14:ligatures w14:val="standardContextual"/>
        </w:rPr>
        <w:t>–</w:t>
      </w:r>
      <w:r w:rsidRPr="00B10BCD">
        <w:rPr>
          <w:kern w:val="2"/>
          <w14:ligatures w14:val="standardContextual"/>
        </w:rPr>
        <w:tab/>
        <w:t>ob upoštevanju letnega poročila Evropskega ekonomsko-socialnega odbora o dejavnostih v letu 2023,</w:t>
      </w:r>
    </w:p>
    <w:p w14:paraId="6D1AC133" w14:textId="12D278F3" w:rsidR="00B10BCD" w:rsidRPr="00B10BCD" w:rsidRDefault="00B10BCD" w:rsidP="00B10BCD">
      <w:pPr>
        <w:spacing w:after="240"/>
        <w:ind w:left="567" w:hanging="567"/>
        <w:rPr>
          <w:kern w:val="2"/>
          <w14:ligatures w14:val="standardContextual"/>
        </w:rPr>
      </w:pPr>
      <w:r w:rsidRPr="00B10BCD">
        <w:rPr>
          <w:kern w:val="2"/>
          <w14:ligatures w14:val="standardContextual"/>
        </w:rPr>
        <w:t>–</w:t>
      </w:r>
      <w:r w:rsidRPr="00B10BCD">
        <w:rPr>
          <w:kern w:val="2"/>
          <w14:ligatures w14:val="standardContextual"/>
        </w:rPr>
        <w:tab/>
        <w:t>ob upoštevanju letnega poročila Računskega sodišča glede izvrševanja proračuna za proračunsko leto 2023 z odgovori institucij</w:t>
      </w:r>
      <w:r w:rsidRPr="00B10BCD">
        <w:rPr>
          <w:kern w:val="2"/>
          <w:vertAlign w:val="superscript"/>
          <w14:ligatures w14:val="standardContextual"/>
        </w:rPr>
        <w:footnoteReference w:id="3"/>
      </w:r>
      <w:r w:rsidRPr="00B10BCD">
        <w:rPr>
          <w:kern w:val="2"/>
          <w14:ligatures w14:val="standardContextual"/>
        </w:rPr>
        <w:t>,</w:t>
      </w:r>
    </w:p>
    <w:p w14:paraId="3672BAFD"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w:t>
      </w:r>
      <w:r w:rsidRPr="00B10BCD">
        <w:rPr>
          <w:kern w:val="2"/>
          <w14:ligatures w14:val="standardContextual"/>
        </w:rPr>
        <w:tab/>
        <w:t>ob upoštevanju izjave o zanesljivosti </w:t>
      </w:r>
      <w:r w:rsidRPr="00B10BCD">
        <w:rPr>
          <w:kern w:val="2"/>
          <w:vertAlign w:val="superscript"/>
          <w14:ligatures w14:val="standardContextual"/>
        </w:rPr>
        <w:footnoteReference w:id="4"/>
      </w:r>
      <w:r w:rsidRPr="00B10BCD">
        <w:rPr>
          <w:kern w:val="2"/>
          <w14:ligatures w14:val="standardContextual"/>
        </w:rPr>
        <w:t xml:space="preserve"> računovodskih izkazov ter o zakonitosti in pravilnosti z njimi povezanih transakcij, ki jo je za proračunsko leto 2023 v skladu s členom 287 Pogodbe o delovanju Evropske unije predložilo Računsko sodišče,</w:t>
      </w:r>
    </w:p>
    <w:p w14:paraId="6A7C4051"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w:t>
      </w:r>
      <w:r w:rsidRPr="00B10BCD">
        <w:rPr>
          <w:kern w:val="2"/>
          <w14:ligatures w14:val="standardContextual"/>
        </w:rPr>
        <w:tab/>
        <w:t>ob upoštevanju členov 314(10), 317, 318 in 319 Pogodbe o delovanju Evropske unije,</w:t>
      </w:r>
    </w:p>
    <w:p w14:paraId="3BBC5D69"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w:t>
      </w:r>
      <w:r w:rsidRPr="00B10BCD">
        <w:rPr>
          <w:kern w:val="2"/>
          <w14:ligatures w14:val="standardContextual"/>
        </w:rPr>
        <w:tab/>
        <w:t xml:space="preserve">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w:t>
      </w:r>
      <w:r w:rsidRPr="00B10BCD">
        <w:rPr>
          <w:kern w:val="2"/>
          <w14:ligatures w14:val="standardContextual"/>
        </w:rPr>
        <w:lastRenderedPageBreak/>
        <w:t>št. 283/2014 in Sklepa št. 541/2014/EU ter razveljavitvi Uredbe (EU, Euratom) št. 966/2012 </w:t>
      </w:r>
      <w:r w:rsidRPr="00B10BCD">
        <w:rPr>
          <w:kern w:val="2"/>
          <w:vertAlign w:val="superscript"/>
          <w14:ligatures w14:val="standardContextual"/>
        </w:rPr>
        <w:footnoteReference w:id="5"/>
      </w:r>
      <w:r w:rsidRPr="00B10BCD">
        <w:rPr>
          <w:kern w:val="2"/>
          <w14:ligatures w14:val="standardContextual"/>
        </w:rPr>
        <w:t xml:space="preserve"> in zlasti členov 59, 118, 260, 261 in 262,</w:t>
      </w:r>
    </w:p>
    <w:p w14:paraId="445853E5"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w:t>
      </w:r>
      <w:r w:rsidRPr="00B10BCD">
        <w:rPr>
          <w:kern w:val="2"/>
          <w14:ligatures w14:val="standardContextual"/>
        </w:rPr>
        <w:tab/>
        <w:t xml:space="preserve">ob upoštevanju </w:t>
      </w:r>
      <w:r w:rsidRPr="00B10BCD">
        <w:rPr>
          <w:kern w:val="2"/>
          <w:shd w:val="clear" w:color="auto" w:fill="FFFFFF"/>
          <w14:ligatures w14:val="standardContextual"/>
        </w:rPr>
        <w:t>Uredbe (EU, Euratom) 2024/2509 Evropskega parlamenta in Sveta z dne 23. septembra 2024 o finančnih pravilih, ki se uporabljajo za splošni proračun Unije </w:t>
      </w:r>
      <w:r w:rsidRPr="00B10BCD">
        <w:rPr>
          <w:bCs/>
          <w:kern w:val="2"/>
          <w:szCs w:val="24"/>
          <w:shd w:val="clear" w:color="auto" w:fill="FFFFFF"/>
          <w:vertAlign w:val="superscript"/>
          <w14:ligatures w14:val="standardContextual"/>
        </w:rPr>
        <w:footnoteReference w:id="6"/>
      </w:r>
      <w:r w:rsidRPr="00B10BCD">
        <w:rPr>
          <w:kern w:val="2"/>
          <w:shd w:val="clear" w:color="auto" w:fill="FFFFFF"/>
          <w14:ligatures w14:val="standardContextual"/>
        </w:rPr>
        <w:t>, zlasti členov 59, 118, 266, 267 in 268</w:t>
      </w:r>
      <w:r w:rsidRPr="00B10BCD">
        <w:rPr>
          <w:kern w:val="2"/>
          <w14:ligatures w14:val="standardContextual"/>
        </w:rPr>
        <w:t>,</w:t>
      </w:r>
    </w:p>
    <w:p w14:paraId="0B974E5D"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w:t>
      </w:r>
      <w:r w:rsidRPr="00B10BCD">
        <w:rPr>
          <w:kern w:val="2"/>
          <w14:ligatures w14:val="standardContextual"/>
        </w:rPr>
        <w:tab/>
        <w:t>ob upoštevanju člena 102 in Priloge V Poslovnika,</w:t>
      </w:r>
    </w:p>
    <w:p w14:paraId="46A5F4EA"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w:t>
      </w:r>
      <w:r w:rsidRPr="00B10BCD">
        <w:rPr>
          <w:kern w:val="2"/>
          <w14:ligatures w14:val="standardContextual"/>
        </w:rPr>
        <w:tab/>
        <w:t>ob upoštevanju poročila Odbora za proračunski nadzor (A10</w:t>
      </w:r>
      <w:r w:rsidRPr="00B10BCD">
        <w:rPr>
          <w:kern w:val="2"/>
          <w14:ligatures w14:val="standardContextual"/>
        </w:rPr>
        <w:noBreakHyphen/>
        <w:t>0054/2025),</w:t>
      </w:r>
    </w:p>
    <w:p w14:paraId="67B19883"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1.</w:t>
      </w:r>
      <w:r w:rsidRPr="00B10BCD">
        <w:rPr>
          <w:kern w:val="2"/>
          <w14:ligatures w14:val="standardContextual"/>
        </w:rPr>
        <w:tab/>
        <w:t>podeli razrešnico generalni sekretarki Evropskega ekonomsko-socialnega odbora glede izvrševanja proračuna Evropskega ekonomsko-socialnega odbora za proračunsko leto 2023;</w:t>
      </w:r>
    </w:p>
    <w:p w14:paraId="2334BBD3"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2.</w:t>
      </w:r>
      <w:r w:rsidRPr="00B10BCD">
        <w:rPr>
          <w:kern w:val="2"/>
          <w14:ligatures w14:val="standardContextual"/>
        </w:rPr>
        <w:tab/>
        <w:t>navaja svoje pripombe v spodnji resoluciji;</w:t>
      </w:r>
    </w:p>
    <w:p w14:paraId="39164626"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3.</w:t>
      </w:r>
      <w:r w:rsidRPr="00B10BCD">
        <w:rPr>
          <w:kern w:val="2"/>
          <w14:ligatures w14:val="standardContextual"/>
        </w:rPr>
        <w:tab/>
        <w:t xml:space="preserve">naroči svoji predsednici, naj ta sklep in resolucijo, ki je del sklepa, posreduje Evropskemu ekonomsko-socialnemu odboru ,Svetu, Komisiji, Računskemu sodišču in poskrbi za objavo v </w:t>
      </w:r>
      <w:r w:rsidRPr="00B10BCD">
        <w:rPr>
          <w:i/>
          <w:kern w:val="2"/>
          <w14:ligatures w14:val="standardContextual"/>
        </w:rPr>
        <w:t>Uradnem listu Evropske unije</w:t>
      </w:r>
      <w:r w:rsidRPr="00B10BCD">
        <w:rPr>
          <w:kern w:val="2"/>
          <w14:ligatures w14:val="standardContextual"/>
        </w:rPr>
        <w:t xml:space="preserve"> (serija L).</w:t>
      </w:r>
    </w:p>
    <w:p w14:paraId="268DF7FF" w14:textId="77777777" w:rsidR="00B10BCD" w:rsidRPr="00B10BCD" w:rsidRDefault="00B10BCD" w:rsidP="00B10BCD">
      <w:pPr>
        <w:widowControl/>
        <w:jc w:val="both"/>
        <w:rPr>
          <w:rFonts w:eastAsia="Aptos"/>
          <w:kern w:val="2"/>
          <w:szCs w:val="24"/>
          <w:lang w:eastAsia="en-US"/>
          <w14:ligatures w14:val="standardContextual"/>
        </w:rPr>
        <w:sectPr w:rsidR="00B10BCD" w:rsidRPr="00B10BCD" w:rsidSect="00B10BCD">
          <w:footnotePr>
            <w:numRestart w:val="eachSect"/>
          </w:footnotePr>
          <w:pgSz w:w="11906" w:h="16838"/>
          <w:pgMar w:top="1440" w:right="1440" w:bottom="1440" w:left="1440" w:header="708" w:footer="708" w:gutter="0"/>
          <w:cols w:space="708"/>
          <w:docGrid w:linePitch="360"/>
        </w:sectPr>
      </w:pPr>
    </w:p>
    <w:p w14:paraId="2F6FC376" w14:textId="77777777" w:rsidR="00B10BCD" w:rsidRPr="00B10BCD" w:rsidRDefault="00B10BCD" w:rsidP="00B10BCD">
      <w:pPr>
        <w:pStyle w:val="ATHeading3"/>
      </w:pPr>
      <w:r w:rsidRPr="00B10BCD">
        <w:lastRenderedPageBreak/>
        <w:t>2. Resolucija Evropskega parlamenta z dne 7. maja 2025 s pripombami, ki so del sklepa o razrešnici glede izvrševanja splošnega proračuna Evropske unije za proračunsko leto 2023, oddelek VI – Evropski ekonomsko-socialni odbor (2024/2025(DEC))</w:t>
      </w:r>
    </w:p>
    <w:p w14:paraId="6DAA46D4" w14:textId="7BFBB2AF" w:rsidR="00B10BCD" w:rsidRPr="00B10BCD" w:rsidRDefault="00B10BCD" w:rsidP="00B10BCD">
      <w:pPr>
        <w:spacing w:before="480" w:after="240"/>
        <w:rPr>
          <w:i/>
          <w:kern w:val="2"/>
          <w14:ligatures w14:val="standardContextual"/>
        </w:rPr>
      </w:pPr>
      <w:r w:rsidRPr="00B10BCD">
        <w:rPr>
          <w:i/>
          <w:kern w:val="2"/>
          <w14:ligatures w14:val="standardContextual"/>
        </w:rPr>
        <w:t>Evropski parlament,</w:t>
      </w:r>
    </w:p>
    <w:p w14:paraId="386C1F5D"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w:t>
      </w:r>
      <w:r w:rsidRPr="00B10BCD">
        <w:rPr>
          <w:kern w:val="2"/>
          <w14:ligatures w14:val="standardContextual"/>
        </w:rPr>
        <w:tab/>
        <w:t>ob upoštevanju sklepa o razrešnici glede izvrševanja splošnega proračuna Evropske unije za proračunsko leto 2023, oddelek VI – Evropski ekonomsko-socialni odbor,</w:t>
      </w:r>
    </w:p>
    <w:p w14:paraId="26FBFF70"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w:t>
      </w:r>
      <w:r w:rsidRPr="00B10BCD">
        <w:rPr>
          <w:kern w:val="2"/>
          <w14:ligatures w14:val="standardContextual"/>
        </w:rPr>
        <w:tab/>
        <w:t>ob upoštevanju člena 102 in Priloge V Poslovnika,</w:t>
      </w:r>
    </w:p>
    <w:p w14:paraId="2C833E8F"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w:t>
      </w:r>
      <w:r w:rsidRPr="00B10BCD">
        <w:rPr>
          <w:kern w:val="2"/>
          <w14:ligatures w14:val="standardContextual"/>
        </w:rPr>
        <w:tab/>
        <w:t>ob upoštevanju poročila Odbora za proračunski nadzor (A10-0054/2025),</w:t>
      </w:r>
    </w:p>
    <w:p w14:paraId="4203C9BE"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A.</w:t>
      </w:r>
      <w:r w:rsidRPr="00B10BCD">
        <w:rPr>
          <w:kern w:val="2"/>
          <w14:ligatures w14:val="standardContextual"/>
        </w:rPr>
        <w:tab/>
        <w:t>ker želi organ za podelitev razrešnice med postopkom podelitve poudariti poseben pomen nadaljnjega povečevanja demokratične legitimnosti institucij Unije z izboljšanjem preglednosti in odgovornosti in izvajanjem koncepta smotrnostne priprave proračuna in dobrega upravljanja človeških virov;</w:t>
      </w:r>
    </w:p>
    <w:p w14:paraId="265F570A"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B.</w:t>
      </w:r>
      <w:r w:rsidRPr="00B10BCD">
        <w:rPr>
          <w:kern w:val="2"/>
          <w14:ligatures w14:val="standardContextual"/>
        </w:rPr>
        <w:tab/>
        <w:t>ker je Evropski ekonomsko-socialni odbor (v nadaljnjem besedilu: odbor) posvetovalni organ Unije, ki omogoča forum za posvetovanje, dialog in soglasje med predstavniki različnih gospodarskih, socialnih in civilnih komponent organizirane civilne družbe iz držav članic;</w:t>
      </w:r>
    </w:p>
    <w:p w14:paraId="329AEC61"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C.</w:t>
      </w:r>
      <w:r w:rsidRPr="00B10BCD">
        <w:rPr>
          <w:kern w:val="2"/>
          <w14:ligatures w14:val="standardContextual"/>
        </w:rPr>
        <w:tab/>
        <w:t>ker odbor prispeva k postopku odločanja Unije in vzpostavlja povezave med politikami Unije ter gospodarskimi, socialnimi in državljanskimi okoliščinami, s tem pa uresničuje svoje poslanstvo boljše priprave zakonodaje, participativne demokracije od spodaj navzgor in spodbujanja evropskih vrednot;</w:t>
      </w:r>
    </w:p>
    <w:p w14:paraId="7C6B2598"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D.</w:t>
      </w:r>
      <w:r w:rsidRPr="00B10BCD">
        <w:rPr>
          <w:kern w:val="2"/>
          <w14:ligatures w14:val="standardContextual"/>
        </w:rPr>
        <w:tab/>
        <w:t>ker se mora Komisija ali Svet v nekaterih primerih obvezno posvetovati z odborom, ta pa lahko sprejme tudi mnenja na lastno pobudo, pri čemer so področja za posvetovanje, kot so opredeljena v Enotnem evropskem aktu, Maastrichtski pogodbi in Amsterdamski pogodbi, široka, zato se lahko z njim posvetuje tudi Parlament;</w:t>
      </w:r>
    </w:p>
    <w:p w14:paraId="358E28B0"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E.</w:t>
      </w:r>
      <w:r w:rsidRPr="00B10BCD">
        <w:rPr>
          <w:kern w:val="2"/>
          <w14:ligatures w14:val="standardContextual"/>
        </w:rPr>
        <w:tab/>
        <w:t>ker je komisija za finančne in proračunske zadeve nadzorni organ odbora za vse proračunske postopke, zlasti za pripravo načrta prihodkov in odhodkov, izvrševanje proračuna, letno poročilo o dejavnostih, razrešnico in nadaljnje ukrepanje na podlagi letnega poročila Računskega sodišča;</w:t>
      </w:r>
    </w:p>
    <w:p w14:paraId="29BBB424"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F.</w:t>
      </w:r>
      <w:r w:rsidRPr="00B10BCD">
        <w:rPr>
          <w:kern w:val="2"/>
          <w14:ligatures w14:val="standardContextual"/>
        </w:rPr>
        <w:tab/>
        <w:t>ker je odbor v zadnjih letih v kontekstu omejenega proračuna izvajal pobude za privabljanje in zadržanje usposobljenega osebja, optimizacijo svoje organizacijske strukture in delovnih metod ter spodbujanje spoštljivega delovnega okolja;</w:t>
      </w:r>
    </w:p>
    <w:p w14:paraId="20FA9881"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1.</w:t>
      </w:r>
      <w:r w:rsidRPr="00B10BCD">
        <w:rPr>
          <w:kern w:val="2"/>
          <w14:ligatures w14:val="standardContextual"/>
        </w:rPr>
        <w:tab/>
        <w:t>ugotavlja, da je proračun odbora del razdelka 7 večletnega finančnega okvira „Evropska javna uprava“, ki je v letu 2023 skupaj znašal 12,3 milijarde EUR, kar je 6,4 % porabe proračuna Unije; ugotavlja, da je proračun odbora v letu 2023 predstavljal 1,29 % odobritev razdelka 7 večletnega finančnega okvira;</w:t>
      </w:r>
    </w:p>
    <w:p w14:paraId="48B95505"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2.</w:t>
      </w:r>
      <w:r w:rsidRPr="00B10BCD">
        <w:rPr>
          <w:kern w:val="2"/>
          <w14:ligatures w14:val="standardContextual"/>
        </w:rPr>
        <w:tab/>
        <w:t xml:space="preserve">ugotavlja, da je Računsko sodišče v letnem poročilu za proračunsko leto 2023 (v nadaljnjem besedilu: poročilo Računskega sodišča) preučilo vzorec 70 transakcij v razdelku 7, od katerih jih je 21 ali 30 % vsebovalo napake; ugotavlja tudi, da je Računsko sodišče za pet od teh napak, ki jih je količinsko opredelilo, ocenilo, da je </w:t>
      </w:r>
      <w:r w:rsidRPr="00B10BCD">
        <w:rPr>
          <w:kern w:val="2"/>
          <w14:ligatures w14:val="standardContextual"/>
        </w:rPr>
        <w:lastRenderedPageBreak/>
        <w:t>stopnja napake pod pragom pomembnosti;</w:t>
      </w:r>
    </w:p>
    <w:p w14:paraId="08FF7796"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3.</w:t>
      </w:r>
      <w:r w:rsidRPr="00B10BCD">
        <w:rPr>
          <w:kern w:val="2"/>
          <w14:ligatures w14:val="standardContextual"/>
        </w:rPr>
        <w:tab/>
        <w:t>na podlagi poročila Računskega sodišča ugotavlja, da med upravne odhodke sodijo odhodki za človeške vire, vključno s pokojninami, ki so leta 2023 znašali približno 70 % skupnih upravnih odhodkov, ter odhodki za stavbe, opremo, energijo, komunikacije in informacijsko tehnologijo; pozdravlja dejstvo, da je Računsko sodišče tako kot v prejšnjih letih ugotovilo, da je tveganje za upravne odhodke na splošno majhno; ugotavlja, da Računsko sodišče za leto 2023 ni ugotovilo posebnih težav v zvezi z odborom;</w:t>
      </w:r>
    </w:p>
    <w:p w14:paraId="4B9B7601" w14:textId="77777777" w:rsidR="00B10BCD" w:rsidRPr="00B10BCD" w:rsidRDefault="00B10BCD" w:rsidP="00B10BCD">
      <w:pPr>
        <w:spacing w:after="240"/>
        <w:rPr>
          <w:b/>
          <w:i/>
          <w:kern w:val="2"/>
          <w14:ligatures w14:val="standardContextual"/>
        </w:rPr>
      </w:pPr>
      <w:r w:rsidRPr="00B10BCD">
        <w:rPr>
          <w:b/>
          <w:i/>
          <w:kern w:val="2"/>
          <w14:ligatures w14:val="standardContextual"/>
        </w:rPr>
        <w:t>Upravljanje proračuna in finančno poslovodenje</w:t>
      </w:r>
    </w:p>
    <w:p w14:paraId="260AED44"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4.</w:t>
      </w:r>
      <w:r w:rsidRPr="00B10BCD">
        <w:rPr>
          <w:kern w:val="2"/>
          <w14:ligatures w14:val="standardContextual"/>
        </w:rPr>
        <w:tab/>
        <w:t>ugotavlja, da je končni sprejeti proračun odbora v letu 2023 znašal 158 767 970 EUR, kar je bilo skupaj 4,1 % več kot leta 2022; na podlagi odgovorov odbora na vprašalnik Odbora za proračunski nadzor za postopek proračunske razrešnice za leto 2023 (v nadaljnjem besedilu: vprašalnik) in letnega poročila odbora o dejavnostih v letu 2023 (v nadaljnjem besedilu: letno poročilo) ugotavlja, da se je proračunska vrstica za prejemke in nadomestila (odhodki za uslužbence in člane odbora) med letoma 2022 in 2023 zaradi inflacije povečala za 8,4 %; na podlagi vprašalnika ugotavlja, da se je proračun za zunanjo pomoč za delovanje, razvoj in vzdrževanje sistemov programske opreme med letoma 2022 in 2023 povečal za 33,70 %, ker je odbor v letu 2023 za prednostno nalogo postavil izvajanje svoje digitalne strategije za obdobje 2024–2026; ugotavlja, da je bila sicer razdelitev odobritev med proračunskimi vrsticami v proračunu odbora za leto 2023 primerljiva z razdelitvijo v letu prej;</w:t>
      </w:r>
    </w:p>
    <w:p w14:paraId="0C3D0892"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5.</w:t>
      </w:r>
      <w:r w:rsidRPr="00B10BCD">
        <w:rPr>
          <w:kern w:val="2"/>
          <w14:ligatures w14:val="standardContextual"/>
        </w:rPr>
        <w:tab/>
        <w:t>z zadovoljstvom ugotavlja, da se je stopnja izvrševanja proračuna odbora pri odobritvah za prevzem obveznosti v tekočem letu še povečala, in sicer s 96,12 % v letu 2022 na 98,70 % v letu 2023, nižje stopnje izvrševanja proračuna iz prejšnjih let, ki so bile posledica pandemije covida-19 in z njo povezanih omejitev potovanj, so tako le še zgodovina; ugotavlja tudi, da se je stopnja izvrševanja odobritev plačil v tekočem letu povečala z 88,12 % leta 2022 na 90,67 % leta 2023; ugotavlja, da je bilo leta 2023 za plačilo povprečno potrebnega 20,14 dneva, kar je bilo več kot leta 2022 (18,34 dneva);</w:t>
      </w:r>
    </w:p>
    <w:p w14:paraId="1C7E8BBA"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6.</w:t>
      </w:r>
      <w:r w:rsidRPr="00B10BCD">
        <w:rPr>
          <w:kern w:val="2"/>
          <w14:ligatures w14:val="standardContextual"/>
        </w:rPr>
        <w:tab/>
        <w:t>ugotavlja, da so odobritve, prenesene iz leta 2023 v leto 2024, znašale 13 827 713 EUR (približno 8,70 % proračuna odbora za leto 2023), kar pomeni zmanjšanje glede na raven v prejšnjem letu, ko so ti prenosi znašali 20 162 518 EUR (približno 13 % proračuna odbora za leto 2022); z zadovoljstvom ugotavlja tudi, da je leta 2023 stopnja izvrševanja odobritev, prenesenih iz leta 2022 v leto 2023, znašala 86,76 % (76,91 % leta 2022); spodbuja odbor, naj še naprej učinkovito uporablja zagotovljena sredstva;</w:t>
      </w:r>
    </w:p>
    <w:p w14:paraId="3DC32B5F"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7.</w:t>
      </w:r>
      <w:r w:rsidRPr="00B10BCD">
        <w:rPr>
          <w:kern w:val="2"/>
          <w14:ligatures w14:val="standardContextual"/>
        </w:rPr>
        <w:tab/>
        <w:t>ugotavlja, da so službe odbora v letu 2022 začele 12 postopkov s pogajanji v vrednosti, nižji od 60 000 EUR, predvsem za študije primerov in druge študije ter logistično podporo; ugotavlja, da je odbor začel tudi šest postopkov javnega naročanja s skupnimi službami, ki si jih deli z Evropskim odborom regij (Odbor regij), predvsem na področju logistike in vzdrževanja;</w:t>
      </w:r>
    </w:p>
    <w:p w14:paraId="0363BC53"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8.</w:t>
      </w:r>
      <w:r w:rsidRPr="00B10BCD">
        <w:rPr>
          <w:kern w:val="2"/>
          <w14:ligatures w14:val="standardContextual"/>
        </w:rPr>
        <w:tab/>
        <w:t xml:space="preserve">ugotavlja, da je odbor v letu 2023 še naprej izboljševal stroškovno učinkovitost svojih dejavnosti, tudi s hibridnim delom, večjim obsegom dela na daljavo, popolno dematerializacijo finančnih krogov in manjšo porabo energije; na podlagi vprašalnika ugotavlja, da je odbor zaradi zmanjšanja porabe energije v letu 2023 ustvaril finančne prihranke v znesku 65 000 EUR; izreka pohvalo odboru, ker je podpisal novo okvirno </w:t>
      </w:r>
      <w:r w:rsidRPr="00B10BCD">
        <w:rPr>
          <w:kern w:val="2"/>
          <w14:ligatures w14:val="standardContextual"/>
        </w:rPr>
        <w:lastRenderedPageBreak/>
        <w:t>pogodbo za zdravstvene preglede, ki na splošno zagotavlja nižje cene, večjo prožnost in boljše storitve kot prejšnja pogodba; priznava, da je odbor z medinstitucionalnim sodelovanjem ustvaril velike proračunske in upravne prihranke, zlasti s skupnimi službami z Odborom regij in oddajanjem določenih storitev v zunanje izvajanje Komisiji (sporazumi o ravni storitve) za obravnavo kadrovskih zadev ter uporabo orodij IT za finančno poslovodenje in upravljanje človeških virov, pa tudi s sodelovanjem v medinstitucionalnih postopkih javnih naročil, ki so jih vodile druge institucije; na podlagi vprašalnika ugotavlja, da so se skupni stroški, ki jih je odbor imel z zunanjim izvajanjem določenih storitev s strani Komisije, povečali s 743 600 EUR leta 2022 na 793 000 EUR leta 2023;</w:t>
      </w:r>
    </w:p>
    <w:p w14:paraId="243C6358"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9.</w:t>
      </w:r>
      <w:r w:rsidRPr="00B10BCD">
        <w:rPr>
          <w:kern w:val="2"/>
          <w14:ligatures w14:val="standardContextual"/>
        </w:rPr>
        <w:tab/>
        <w:t>opozarja, da je Svet v sklepu z dne 25. maja 2023 določil, da nadomestilo za člane odbora za udeležbo na daljavo na sejah, ki niso obvezne, znaša 145 EUR na dan na sejo na daljavo, kar je leta 2023 znašalo 50 % dnevnice za fizično udeležbo; meni, da je udeležba na daljavo sicer pomemben instrument za sodobne institucije, saj med drugim zmanjšuje stroške sej in omogoča širšo udeležbo, vendar je dodelitev nadomestila za udeležbo na sejah na daljavo, tudi če se zmanjša in je namenjena le nekaterim vrstam dogodkov, za javnost težko razumljiva, še toliko bolj ob upoštevanju razlike, plačane članom odbora in članom Odbora regij za udeležbo na daljavo; na podlagi poročila odbora o nadaljnjem ukrepanju na podlagi resolucije Parlamenta o izvrševanju proračuna odbora za leto 2022 (v nadaljnjem besedilu: poročilo o nadaljnjem ukrepanju) z zadovoljstvom ugotavlja, da je bilo z izvajanjem tega sklepa že ustvarjenih za 1 677 000 EUR proračunskih prihrankov zaradi manjših zneskov, izplačanih za potne stroške in nadomestila, ustvarjeni pa so bili tudi okoljski prihranki v višini približno 553,66 tone CO</w:t>
      </w:r>
      <w:r w:rsidRPr="00B10BCD">
        <w:rPr>
          <w:kern w:val="2"/>
          <w:vertAlign w:val="subscript"/>
          <w14:ligatures w14:val="standardContextual"/>
        </w:rPr>
        <w:t>2</w:t>
      </w:r>
      <w:r w:rsidRPr="00B10BCD">
        <w:rPr>
          <w:kern w:val="2"/>
          <w14:ligatures w14:val="standardContextual"/>
        </w:rPr>
        <w:t xml:space="preserve"> zaradi manjšega števila potovanj v letu 2023; na podlagi letnega poročila ugotavlja, da so bili leta 2023 povrnjeni stroški za udeležbo na daljavo za 2006 sejnih dni (6 259 v letu 2022), pri čemer so seje v povprečju trajale 3 ure, in da so ti stroški skupaj znašali 294 930 EUR (922 925 EUR leta 2022); pozdravlja, da je odbor opravil več preverjanj, s katerimi se je pred izplačilom nadomestila prepričal o navzočnosti članov na daljavo;</w:t>
      </w:r>
    </w:p>
    <w:p w14:paraId="3BBBDA5F"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10.</w:t>
      </w:r>
      <w:r w:rsidRPr="00B10BCD">
        <w:rPr>
          <w:kern w:val="2"/>
          <w14:ligatures w14:val="standardContextual"/>
        </w:rPr>
        <w:tab/>
        <w:t>ugotavlja, da je bil proračun odbora leta 2023 še naprej pod pritiskom zaradi ruske vojaške agresije proti Ukrajini, in sicer zaradi naraščajoče inflacije in prilagoditve plač, izzivov pri gradbenih projektih zaradi zamud in višjih cen surovin, indeksacije najemnih pogodb (+ 10,3 % leta 2023 glede na leto 2022) ter indeksacije pogodb za vzdrževanje in varnostne storitve (+ 13,50 % leta 2023 glede na leto 2021); zlasti ugotavlja, da so se stroški energije med letoma 2021 in 2022 povečali s 726 000 EUR na 3 125 000 EUR ter se nato leta 2023 zmanjšali na 1 923 391 EUR; potrjuje 2-odstotno zgornjo mejo za odhodke, ki niso povezani s plačami; v zvezi s tem izreka pohvalo odboru za njegovo pobudo za spoprijemanje z izzivi na proračunski ravni, na primer z izvajanjem strategij za varčevanje z energijo s kratkoročnimi ter srednje- in dolgoročnimi ukrepi, zato v letu 2023 ni potreboval spremembe proračuna;</w:t>
      </w:r>
    </w:p>
    <w:p w14:paraId="30B53937"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11.</w:t>
      </w:r>
      <w:r w:rsidRPr="00B10BCD">
        <w:rPr>
          <w:kern w:val="2"/>
          <w14:ligatures w14:val="standardContextual"/>
        </w:rPr>
        <w:tab/>
        <w:t>ugotavlja, da so se sredstva za proračunsko vrstico 1 0 0 4 (odhodki za potne stroške članov, vključno z dnevnicami in sejninami) v tekočem letu zmanjšala z 19,790 milijona EUR leta 2022 (od tega je bilo izplačanih 15,895 milijona EUR) na 19,761 milijona EUR v letu 2023 (od tega je bilo izplačanih 18,344 milijona EUR); z zadovoljstvom ugotavlja, da se je stopnja izvrševanja teh odobritev izboljšala z 80,31 % leta 2022 na 92,83 % leta 2023; ugotavlja, da se je predsednik odbora leta 2023 udeležil 35 službenih potovanj v skupni vrednosti 71 926 EUR, leta 2022 pa 26 službenih potovanj v skupni vrednosti 38 042 EUR;</w:t>
      </w:r>
    </w:p>
    <w:p w14:paraId="3360D07E"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lastRenderedPageBreak/>
        <w:t>12.</w:t>
      </w:r>
      <w:r w:rsidRPr="00B10BCD">
        <w:rPr>
          <w:kern w:val="2"/>
          <w14:ligatures w14:val="standardContextual"/>
        </w:rPr>
        <w:tab/>
        <w:t>na podlagi vprašalnika ugotavlja, da skupni direktorat odbora in Odbora regij za inovacije in informacijsko tehnologijo približno 3 % svojega proračuna za informacijsko tehnologijo namenja za kibernetsko varnost, kar je precej pod ciljem 10 %, določenim v ustrezni zakonodaji; poziva sozakonodajalca in Komisijo, naj to upoštevajo v okviru letnega proračunskega postopka;</w:t>
      </w:r>
    </w:p>
    <w:p w14:paraId="242B3FA0" w14:textId="77777777" w:rsidR="00B10BCD" w:rsidRPr="00B10BCD" w:rsidRDefault="00B10BCD" w:rsidP="00B10BCD">
      <w:pPr>
        <w:spacing w:after="240"/>
        <w:rPr>
          <w:b/>
          <w:i/>
          <w:kern w:val="2"/>
          <w14:ligatures w14:val="standardContextual"/>
        </w:rPr>
      </w:pPr>
      <w:r w:rsidRPr="00B10BCD">
        <w:rPr>
          <w:b/>
          <w:i/>
          <w:kern w:val="2"/>
          <w14:ligatures w14:val="standardContextual"/>
        </w:rPr>
        <w:t>Notranje upravljanje, uspešnost in notranja kontrola</w:t>
      </w:r>
    </w:p>
    <w:p w14:paraId="2A34AC67"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13.</w:t>
      </w:r>
      <w:r w:rsidRPr="00B10BCD">
        <w:rPr>
          <w:kern w:val="2"/>
          <w14:ligatures w14:val="standardContextual"/>
        </w:rPr>
        <w:tab/>
        <w:t>na podlagi letnega poročila ugotavlja, da je imel odbor v okviru svojega delovnega programa za leto 2023 skupaj 31 ciljev, zasnovanih za vse subjekte njegove uprave, in da ima odbor v okviru strategije generalnega sekretariata za obdobje 2021–2025 pet temeljnih vrednot in pet ključnih strateških ciljev; na podlagi vprašalnika ugotavlja, da sta število pripravljenih mnenj in udeležba na srečanjih na visoki ravni ključna kazalnika za merjenje uspešnosti odbora; na podlagi vprašalnika ugotavlja, da ima odbor kazalnike uspešnosti za različna področja, kot so IT, človeški viri, prevajanje in komuniciranje; poziva odbor, naj v prihodnja poročila vključi seznam vseh ključnih kazalnikov uspešnosti in ciljev po dejavnostih, pa tudi zastavljeni cilj (v %) njihove uresničitve in raven (v %) njihove uresničitve;</w:t>
      </w:r>
    </w:p>
    <w:p w14:paraId="41C6A5A3"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14.</w:t>
      </w:r>
      <w:r w:rsidRPr="00B10BCD">
        <w:rPr>
          <w:kern w:val="2"/>
          <w14:ligatures w14:val="standardContextual"/>
        </w:rPr>
        <w:tab/>
        <w:t>ugotavlja, da odbor svoje poslanstvo opravlja z mnenji, ki se nanašajo na zakonodajne predloge Komisije (zaprosila), mnenji na lastno pobudo, v katerih institucije Unije poziva k ukrepanju, in raziskovalnimi mnenji, ki so vključena v delo Komisije v zvezi z njenimi načrtovanimi pobudami, ter poudarja, da je mogoče stališča odbora izpostaviti v resolucijah ali vključiti v ocenjevalna in informativna poročila; izreka pohvalo odboru, ker je v zakonodajnem ciklu v letu 2023 uspešno pomagal Parlamentu, Svetu in Komisiji; v zvezi s tem ugotavlja, da je odbor leta 2023 sprejel 213 mnenj in poročil, kar je bilo več kot leta 2022, ko je pripravil 202 poročili, ter organiziral 146 predstavitev in 23 konferenc (116 oziroma 29 v letu 2022); ugotavlja, da so člani odbora leta 2023 sodelovali na 429 srečanjih, vrhih in konferencah na visoki ravni (345 leta 2022);</w:t>
      </w:r>
    </w:p>
    <w:p w14:paraId="7CCD3D38"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15.</w:t>
      </w:r>
      <w:r w:rsidRPr="00B10BCD">
        <w:rPr>
          <w:kern w:val="2"/>
          <w14:ligatures w14:val="standardContextual"/>
        </w:rPr>
        <w:tab/>
        <w:t>ceni, da je odbor v letu 2023 ukrepal za izboljšanje prepoznavnosti in učinka svojega dela, kar zadeva obliko mnenj, metodologijo za nadaljnja mnenja, sodelovanje s Parlamentom in Komisijo ter druge prečne projekte, ter začel z inovativnimi pobudami, kot so med drugim mladinski test EU, pobuda za člane iz kandidatk za širitev in evropska platforma deležnikov za krožno gospodarstvo;</w:t>
      </w:r>
    </w:p>
    <w:p w14:paraId="68B299D5"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16.</w:t>
      </w:r>
      <w:r w:rsidRPr="00B10BCD">
        <w:rPr>
          <w:b/>
          <w:i/>
          <w:kern w:val="2"/>
          <w14:ligatures w14:val="standardContextual"/>
        </w:rPr>
        <w:tab/>
      </w:r>
      <w:r w:rsidRPr="00B10BCD">
        <w:rPr>
          <w:kern w:val="2"/>
          <w14:ligatures w14:val="standardContextual"/>
        </w:rPr>
        <w:t>pozdravlja pobude, ki jih je odbor sprejel za spodbujanje dejavnega vključevanja mladih v proces oblikovanja politik;</w:t>
      </w:r>
    </w:p>
    <w:p w14:paraId="26C47066"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17.</w:t>
      </w:r>
      <w:r w:rsidRPr="00B10BCD">
        <w:rPr>
          <w:kern w:val="2"/>
          <w14:ligatures w14:val="standardContextual"/>
        </w:rPr>
        <w:tab/>
        <w:t>pozdravlja pilotni projekt, ki se je izvajal med septembrom 2022 in aprilom 2023 in imel za cilj krepitev nadaljnjih ukrepov na podlagi izbranih mnenj v zvezi z vsemi institucijami, pri čemer je bilo v okviru tega projekta 19 mnenj izbranih za okrepljene nadaljnje ukrepe; na podlagi vprašalnika ugotavlja, da so bili rezultati tega projekta na splošno pozitivni, saj je odbor izboljšal svoje zmogljivosti za nadaljnje ukrepe, izboljšal prednostno razvrščanje svojega dela ter povečal doseg in učinek izbranih mnenj;</w:t>
      </w:r>
    </w:p>
    <w:p w14:paraId="5918C1BC"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18.</w:t>
      </w:r>
      <w:r w:rsidRPr="00B10BCD">
        <w:rPr>
          <w:kern w:val="2"/>
          <w14:ligatures w14:val="standardContextual"/>
        </w:rPr>
        <w:tab/>
        <w:t xml:space="preserve">poudarja, da je bilo učinkovito upravljanje omejenih virov v letu 2023 še vedno ključni izziv zaradi kadrovskih omejitev, ki jih je še zaostrilo širjenje dejavnosti ob nadaljevanju stabilne kadrovske politike; je seznanjen z načrtom odbora, da bo uvedel nov pristop do strateškega načrtovanja in razporejanja delovne sile, izkoriščanja </w:t>
      </w:r>
      <w:r w:rsidRPr="00B10BCD">
        <w:rPr>
          <w:kern w:val="2"/>
          <w14:ligatures w14:val="standardContextual"/>
        </w:rPr>
        <w:lastRenderedPageBreak/>
        <w:t>zbiranja podatkov o znanjih in spretnostih zaposlenih ter dejavnega poslušanja po vsej organizaciji in da bo razmislil o strateških prednostnih nalogah političnih organov odbora; poziva odbor, naj Parlament sproti obvešča o rezultatih tega novega načrta, saj bi lahko navdihnil druge institucije, ki se soočajo s podobnimi, ponavljajočimi se izzivi v zvezi z viri;</w:t>
      </w:r>
    </w:p>
    <w:p w14:paraId="25CD2A7B"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19.</w:t>
      </w:r>
      <w:r w:rsidRPr="00B10BCD">
        <w:rPr>
          <w:kern w:val="2"/>
          <w14:ligatures w14:val="standardContextual"/>
        </w:rPr>
        <w:tab/>
        <w:t>v zvezi s standardi notranje kontrole ugotavlja, da se je v letu 2023 izvajanje skladnosti izboljšalo glede na leto 2022; v zvezi s tem ugotavlja, da se je skladnost, tj. obseg izvajanja zahtev 16 standardov notranje kontrole, povečala z 80,30 % leta 2022 na 87,40 % leta 2023, medtem ko se je učinkovitost, tj. obseg, v katerem izvajanje teh zahtev deluje, kot je predvideno, povečala s 74 % leta 2022 na 78,10 % leta 2023; ugotavlja tudi, da je letna ocena tveganja za leto 2023 pokazala, da je uporaba notranjih kontrol v tem letu zmanjšala tveganja pri delovanju (v kategorijah „kritično“ in „zelo pomembno“) za 53 %, in sicer s 40 na 19;</w:t>
      </w:r>
    </w:p>
    <w:p w14:paraId="4AE37AB6"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20.</w:t>
      </w:r>
      <w:r w:rsidRPr="00B10BCD">
        <w:rPr>
          <w:b/>
          <w:i/>
          <w:kern w:val="2"/>
          <w14:ligatures w14:val="standardContextual"/>
        </w:rPr>
        <w:tab/>
      </w:r>
      <w:r w:rsidRPr="00B10BCD">
        <w:rPr>
          <w:kern w:val="2"/>
          <w14:ligatures w14:val="standardContextual"/>
        </w:rPr>
        <w:t>ugotavlja, da se je služba za notranjo revizijo leta 2023 reorganizirala, s čimer je okrepila svojo skladnost z mednarodnimi revizijskimi standardi ter racionalizirala in dokumentirala vse svoje postopke;</w:t>
      </w:r>
    </w:p>
    <w:p w14:paraId="13E783A4"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21.</w:t>
      </w:r>
      <w:r w:rsidRPr="00B10BCD">
        <w:rPr>
          <w:kern w:val="2"/>
          <w14:ligatures w14:val="standardContextual"/>
        </w:rPr>
        <w:tab/>
        <w:t>ugotavlja, da je služba odbora za notranjo revizijo na področju finančnih transakcij v začetku leta 2023 sprejela nov sklep o oceni tveganj pri izvajanju poenostavljenega postopka; ugotavlja tudi, da je predsedstvo odbora leta 2023 sprejelo novo listino o notranji reviziji in listino revizijskega odbora, ki vključuje postopkovna pravila;</w:t>
      </w:r>
    </w:p>
    <w:p w14:paraId="33B1F728"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22.</w:t>
      </w:r>
      <w:r w:rsidRPr="00B10BCD">
        <w:rPr>
          <w:kern w:val="2"/>
          <w14:ligatures w14:val="standardContextual"/>
        </w:rPr>
        <w:tab/>
        <w:t>na podlagi letnega poročila in vprašalnika ugotavlja, da je služba za notranjo revizijo leta 2023 začela štiri revizije, in sicer odobritev sej, izbora v posvetovalno komisijo za spremembe v industriji, strateškega cikla ter nadomestil članov odbora za trajanje in razdaljo; poziva odbor, naj organ za podelitev razrešnice obvešča o rezultatih teh revizij in izvede vsa odprta priporočila iz prejšnjih revizij (o institucionalnih rokih, tolmačenju, preverjanju, etiki in integriteti, zakonskih pravicah in plačilnih rokih);</w:t>
      </w:r>
    </w:p>
    <w:p w14:paraId="4D63856F" w14:textId="77777777" w:rsidR="00B10BCD" w:rsidRPr="00B10BCD" w:rsidRDefault="00B10BCD" w:rsidP="00B10BCD">
      <w:pPr>
        <w:spacing w:after="240"/>
        <w:rPr>
          <w:b/>
          <w:i/>
          <w:kern w:val="2"/>
          <w14:ligatures w14:val="standardContextual"/>
        </w:rPr>
      </w:pPr>
      <w:r w:rsidRPr="00B10BCD">
        <w:rPr>
          <w:b/>
          <w:i/>
          <w:kern w:val="2"/>
          <w14:ligatures w14:val="standardContextual"/>
        </w:rPr>
        <w:t>Človeški viri, enakost in dobro počutje zaposlenih</w:t>
      </w:r>
    </w:p>
    <w:p w14:paraId="7E02CD3C"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23.</w:t>
      </w:r>
      <w:r w:rsidRPr="00B10BCD">
        <w:rPr>
          <w:kern w:val="2"/>
          <w14:ligatures w14:val="standardContextual"/>
        </w:rPr>
        <w:tab/>
        <w:t>ugotavlja, da je bilo ob koncu leta 2023 v odboru zaposlenih 707 uslužbencev v primerjavi s 706 leta 2022; ugotavlja tudi, da je bilo v letu 2023 zaposlenih 49 pogodbenih uslužbencev in 130 začasnih uslužbencev (od teh se jih je 52 zaposlilo leta 2023), v primerjavi s 50 pogodbenimi uslužbenci in 128 začasnimi uslužbenci v letu 2022; ugotavlja tudi, da je odbor zaposloval 12 agencijskih delavcev in 10 zunanjih sodelavcev, ki so delali v prostorih odbora, kar pa ne vključuje zunanjih ponudnikov storitev logistike in informacijske tehnologije; ugotavlja, da je stopnja zasedenosti delovnih mest v letu 2023 znašala 95,50 %, medtem ko je leta 2022 znašala 95,10 %, stopnja fluktuacije zaposlenih leta 2023 pa je bila 7 %;</w:t>
      </w:r>
    </w:p>
    <w:p w14:paraId="4C8875CD"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24.</w:t>
      </w:r>
      <w:r w:rsidRPr="00B10BCD">
        <w:rPr>
          <w:kern w:val="2"/>
          <w14:ligatures w14:val="standardContextual"/>
        </w:rPr>
        <w:tab/>
        <w:t xml:space="preserve">pozdravlja sedanja prizadevanja odbora, da bi izboljšal kadrovski okvir ter tako postal privlačen delodajalec in delovno mesto, kjer je vsak posameznik cenjen in lahko celovito razvije svoj potencial; ugotavlja, da je odbor v okviru izvajanja kadrovske strategije za obdobje 2023–2025 v letu 2023 dosegel več ključnih mejnikov, saj je med drugim sprejel nove sklepe o delovnih pogojih (hibridno delo, nadure, izredni dopust), strategiji in akcijskem načrtu za raznolikost in vključevanje za obdobje 2023–2027, mobilnosti zaposlenih in metodologiji za občutljiva delovna mesta ter o sistemu ocenjevanja in napredovanja zaposlenih; z zadovoljstvom opaža pozitivne rezultate </w:t>
      </w:r>
      <w:r w:rsidRPr="00B10BCD">
        <w:rPr>
          <w:kern w:val="2"/>
          <w14:ligatures w14:val="standardContextual"/>
        </w:rPr>
        <w:lastRenderedPageBreak/>
        <w:t>ankete o zadovoljstvu zaposlenih, objavljene maja 2023, saj so zaposleni in vodstveni delavci izrazili visoko raven zadovoljstva z različnimi zadevami, povezanimi s človeškimi viri, zlasti z ureditvijo dela, glede katere se zdi, da je odbor našel idealno ravnotežje;</w:t>
      </w:r>
    </w:p>
    <w:p w14:paraId="2A1C0ED1"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25.</w:t>
      </w:r>
      <w:r w:rsidRPr="00B10BCD">
        <w:rPr>
          <w:kern w:val="2"/>
          <w14:ligatures w14:val="standardContextual"/>
        </w:rPr>
        <w:tab/>
        <w:t>ugotavlja, da je odbor z izvajanjem ciljno usmerjenega načrta za privlačnost in zadržanje že drugo leto zapored postal neto uvoznik talentov (iz drugih institucij); kljub temu priznava stalne izzive, ki so posledica opiranja na začasne uslužbence zaradi pomanjkanja rezervnih seznamov Evropskega urada za izbor osebja, kar pomeni tveganje za zadržanje strokovnega znanja; poudarja pomen zaposlenih za nedoločen čas za ohranjanje znanj in spretnosti, neprekinjenosti poslovanja in produktivnega delovnega okolja; priporoča odboru, naj izvede pobude, da bi se odzval na te izzive, na primer s tem, da organizira notranje natečaje;</w:t>
      </w:r>
    </w:p>
    <w:p w14:paraId="11713D7F"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26.</w:t>
      </w:r>
      <w:r w:rsidRPr="00B10BCD">
        <w:rPr>
          <w:kern w:val="2"/>
          <w14:ligatures w14:val="standardContextual"/>
        </w:rPr>
        <w:tab/>
        <w:t>ugotavlja, da je bila za boljšo porazdelitev majhnih virov leta 2023 zaključena zunanja revizija po naročilu odbora, s katero so bili evidentirani človeški viri; z zaskrbljenostjo ugotavlja, da so rezultati te revizije potrdili veliko delovno obremenitev v več različnih službah odbora, kar ogroža izpolnjevanje poslanstva in obveznosti odbora; poziva odbor, naj izvede priporočila, izdana na podlagi revizije, vključno z revizijo sistema ocenjevanja in uspešnosti do leta 2025, sprejetjem nove odločitve o delovnih pogojih in rednim spremljanjem zavzetosti zaposlenih; poudarja, kako pomembno je strateško načrtovanje delovne sile, da bi optimizirali dodeljevanje virov, zagotovili usklajenost s prednostnimi nalogami na visoki ravni, ki so jih določili politični organi, in nadaljevali prizadevanja za stroškovno učinkovitost;</w:t>
      </w:r>
    </w:p>
    <w:p w14:paraId="4050F53F"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27.</w:t>
      </w:r>
      <w:r w:rsidRPr="00B10BCD">
        <w:rPr>
          <w:kern w:val="2"/>
          <w14:ligatures w14:val="standardContextual"/>
        </w:rPr>
        <w:tab/>
        <w:t>ugotavlja, da so se v letu 2023 nadaljevali pozitivni trendi v zvezi z zaposlovanjem uslužbencev, ki so se začeli leta 2022; izreka pohvalo odboru za ukrepe, sprejete na tem področju, med drugim za uskladitev objav prostih delovnih mest z objavami novih rezervnih seznamov urada EPSO oziroma za objave zaposlitvenih možnosti na spletnem mestu odbora in omrežju LinkedIn; poziva odbor, naj Parlament sproti obvešča o rezultatih pilotnega projekta o dejavnostih znamčenja delodajalca; poudarja, da je sprejemanje novincev pomemben dejavnik strateškega usklajevanja, saj zagotavlja, da so zaposleni obveščeni o pravilih in strategijah, ki veljajo v kaki instituciji; izreka pohvalo odboru, ker je leta 2023 okrepil vključevanje novih uslužbencev s posodobljeno brošuro za dobrodošlico in pismom o vključevanju, z okolju prijaznim darilom za dobrodošlico, povratnimi informacijami o izkušnji vključevanja, boljšim časovnim razporedom sprejema novincev, prenovljenim kotom za novince in nasveti za vodstvene delavce v zvezi z vključevanjem;</w:t>
      </w:r>
    </w:p>
    <w:p w14:paraId="7CDD4FFE"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28.</w:t>
      </w:r>
      <w:r w:rsidRPr="00B10BCD">
        <w:rPr>
          <w:kern w:val="2"/>
          <w14:ligatures w14:val="standardContextual"/>
        </w:rPr>
        <w:tab/>
        <w:t>opozarja, da je odbor 1. januarja 2024 sprejel Sklep 282/23A o vzpostavitvi prožne politike hibridnega dela, ki temelji na zaupanju, hkrati pa zaposlenim zagotavlja boljše usklajevanje poklicnega in zasebnega življenja ter povečuje prilagodljivost in učinkovitost; poziva odbor, naj organ za podelitev razrešnice pravočasno obvesti o vseh novih dogodkih v zvezi s tem;</w:t>
      </w:r>
    </w:p>
    <w:p w14:paraId="5152C8DF"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29.</w:t>
      </w:r>
      <w:r w:rsidRPr="00B10BCD">
        <w:rPr>
          <w:kern w:val="2"/>
          <w14:ligatures w14:val="standardContextual"/>
        </w:rPr>
        <w:tab/>
        <w:t xml:space="preserve">pozdravlja imenovanje generalne sekretarke januarja 2024 kot pozitiven korak k doseganju uravnotežene zastopanosti spolov; vendar obžaluje, da je bil delež žensk na višjih vodstvenih položajih v letu 2023 še vedno nizek, saj ženske trenutno zasedajo le dve od sedmih višjih vodstvenih položajev; kljub temu pozdravlja, da odbor meni, da je uravnotežena zastopanost spolov med zaposlenimi, zlasti na višjih vodstvenih položajih, pomemben dejavnik, in poziva odbor, naj hitro izboljša razmere na najvišjih ravneh </w:t>
      </w:r>
      <w:r w:rsidRPr="00B10BCD">
        <w:rPr>
          <w:kern w:val="2"/>
          <w14:ligatures w14:val="standardContextual"/>
        </w:rPr>
        <w:lastRenderedPageBreak/>
        <w:t>odbora, tako da zagotovi uravnoteženo zastopanost v skladu z zavezami odbora glede raznolikosti in vključevanja;</w:t>
      </w:r>
    </w:p>
    <w:p w14:paraId="6FF0E7C1"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30.</w:t>
      </w:r>
      <w:r w:rsidRPr="00B10BCD">
        <w:rPr>
          <w:kern w:val="2"/>
          <w14:ligatures w14:val="standardContextual"/>
        </w:rPr>
        <w:tab/>
        <w:t>obžaluje, da odbor ni mogel zagotoviti podatkov o primerih izgorelosti v letu 2023, in zavrača stališče odbora, izraženo v poročilu o nadaljnjem ukrepanju, da izgorelost kot taka ni priznana zdravstvena diagnoza in da so lahko razlogi za izgorelost različni; opozarja, da so statistični podatki o izgorelosti pomembni za pomoč pri sprejemanju odločitev o dobrem počutju zaposlenih, ki bi morali temeljiti tudi na izkušnjah, pridobljenih iz preteklih obžalovanja vrednih izkušenj, in na zunanjih ocenah sedanjega okvira; priznava omejitve v zvezi z varstvom podatkov, vendar poudarja pomen anonimiziranih statističnih podatkov za podporo informiranim odločitvam vodstva; je zaskrbljen zaradi ugotovitev, ki kažejo na veliko delovno obremenitev v več službah zaradi omejenih človeških virov; pozdravlja sprejetje novih delovnih ureditev kot pozitiven korak, vendar spodbuja odbor, naj sprejme nadaljnje ukrepe za objavo anonimiziranih podatkov o primerih izgorelosti;</w:t>
      </w:r>
    </w:p>
    <w:p w14:paraId="07F7C1AA"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31.</w:t>
      </w:r>
      <w:r w:rsidRPr="00B10BCD">
        <w:rPr>
          <w:kern w:val="2"/>
          <w14:ligatures w14:val="standardContextual"/>
        </w:rPr>
        <w:tab/>
        <w:t>ugotavlja, da je odbor v letu 2023 zaposloval uslužbence iz vseh držav članic, pri čemer so bile nekatere prekomerno zastopane (npr. Belgija in Italija); ugotavlja, da je bilo leta 2023 v odboru 24 % vodstvenih delavcev iz 13 držav članic, ki so se Uniji pridružile po letu 2004, kar je nekoliko več kot leta 2022, ko je bil ta delež 21 %, in leta 2021, ko jih je bilo 19 %; ponovno spodbuja odbor k nadaljevanju ukrepov za doseganje uravnotežene geografske porazdelitve med svojimi zaposlenimi, s posebnim poudarkom na ravni vodstva;</w:t>
      </w:r>
    </w:p>
    <w:p w14:paraId="46CD559F"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32.</w:t>
      </w:r>
      <w:r w:rsidRPr="00B10BCD">
        <w:rPr>
          <w:kern w:val="2"/>
          <w14:ligatures w14:val="standardContextual"/>
        </w:rPr>
        <w:tab/>
        <w:t>pozdravlja prizadevanja odbora za zdravo delovno okolje za svoje uslužbence; pozdravlja zlasti poudarek, ki ga odbor namenja duševnemu in telesnemu zdravju zaposlenih, ter prizadevanja za ozaveščanje o zdravstvenih vprašanjih; je seznanjen z ukrepi odbora za upravljanje bolniške odsotnosti, kot sta delo s krajšim delovnim časom iz zdravstvenih razlogov in razširitev dela od doma, da bi se zaposleni po dolgotrajni odsotnosti zaradi bolezni pravočasno vrnili na delo, pa tudi s povečanjem deleža zaposlenih, ki niso bili odsotni, s 27 % v letu 2022 na 30 % v letu 2023; z zadovoljstvom ugotavlja, da je leta 2023 odbor v svojih prostorih organiziral kampanjo brezplačnih pregledov za odkrivanje kožnega raka, med katero so se 104 uslužbenci v štirih dneh posvetovali z zunanjimi dermatologi;</w:t>
      </w:r>
    </w:p>
    <w:p w14:paraId="4E5A9DD0" w14:textId="77777777" w:rsidR="00B10BCD" w:rsidRPr="00B10BCD" w:rsidRDefault="00B10BCD" w:rsidP="00B10BCD">
      <w:pPr>
        <w:spacing w:after="240"/>
        <w:rPr>
          <w:b/>
          <w:i/>
          <w:kern w:val="2"/>
          <w14:ligatures w14:val="standardContextual"/>
        </w:rPr>
      </w:pPr>
      <w:r w:rsidRPr="00B10BCD">
        <w:rPr>
          <w:b/>
          <w:i/>
          <w:kern w:val="2"/>
          <w14:ligatures w14:val="standardContextual"/>
        </w:rPr>
        <w:t>Etični okvir in preglednost</w:t>
      </w:r>
    </w:p>
    <w:p w14:paraId="0565015E"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33.</w:t>
      </w:r>
      <w:r w:rsidRPr="00B10BCD">
        <w:rPr>
          <w:kern w:val="2"/>
          <w14:ligatures w14:val="standardContextual"/>
        </w:rPr>
        <w:tab/>
        <w:t>pozdravlja sprejetje nove strategije za raznolikost in vključevanje, ki bo veljala do leta 2027; pozdravlja posebne ukrepe za ozaveščanje o invalidnosti, sprejete v začetku leta 2024; z zadovoljstvom ugotavlja, da je usposabljanje na področju raznolikosti in vključevanja še vedno obvezno za vodstvene delavce in priporočeno za zaposlene; priznava, da je odbor trdno zavezan spodbujanju popolnoma vključujočega delovnega mesta; spodbuja odbor, naj sprejme nadaljnje ukrepe za spremljanje zastopanosti zaposlenih invalidov in zagotovi objavo anonimiziranih podatkov v zvezi s tem;</w:t>
      </w:r>
    </w:p>
    <w:p w14:paraId="0EF22D99"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34.</w:t>
      </w:r>
      <w:r w:rsidRPr="00B10BCD">
        <w:rPr>
          <w:kern w:val="2"/>
          <w14:ligatures w14:val="standardContextual"/>
        </w:rPr>
        <w:tab/>
        <w:t xml:space="preserve">ugotavlja, da je odbor v letu 2023 nadaljeval proces notranjih reform s sprejetjem sklepa o splošnih izvedbenih določbah o upravnih preiskavah in izvedbenih pravilih za disciplinske postopke; izreka pohvalo odboru, ker je naredil zadnji korak, potreben za celovito izvajanje ukrepov za okrepljen etični okvir odbora; na podlagi poročila o nadaljnjem ukrepanju ugotavlja, da sta odbor in notranji revizor dosegla dogovor o akcijskem načrtu v zvezi z revizijo etike in integritete v odboru ter da je bilo osem </w:t>
      </w:r>
      <w:r w:rsidRPr="00B10BCD">
        <w:rPr>
          <w:kern w:val="2"/>
          <w14:ligatures w14:val="standardContextual"/>
        </w:rPr>
        <w:lastRenderedPageBreak/>
        <w:t>priporočil izvedenih in zaključenih, dve priporočili pa sta še odprti in naj bi bili izvedeni do marca 2025; poziva odbor, naj organ za podelitev razrešnice še naprej obvešča o napredku v zvezi s tem;</w:t>
      </w:r>
    </w:p>
    <w:p w14:paraId="7BCBEDC4"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35.</w:t>
      </w:r>
      <w:r w:rsidRPr="00B10BCD">
        <w:rPr>
          <w:kern w:val="2"/>
          <w14:ligatures w14:val="standardContextual"/>
        </w:rPr>
        <w:tab/>
        <w:t>ugotavlja, da je odbor v letu 2023 še naprej usposabljal zaposlene in ozaveščal o temah, povezanih z žvižgaštvom, navzkrižjem interesov in drugimi etičnimi vprašanji; v zvezi s tem z zadovoljstvom ugotavlja, da rezultati ankete o angažiranju zaposlenih, ki je bila opravljena leta 2023, kažejo visoko stopnjo ozaveščenosti zaposlenih, kar zadeva etični okvir odbora, zlasti o mrežah zaupnih svetovalcev (93 %) in svetovalcev za etiko (83 %); ugotavlja, da je odbor v letu 2023 organiziral 12 usposabljanj o teh temah, ki se jih je udeležilo skupaj 79 zaposlenih; izreka pohvalo odboru za organizacijo usposabljanja o spoštovanju in dostojanstvu na delovnem mestu, ki je bilo obvezno za vse zaposlene, tudi za vodstvene delavce;</w:t>
      </w:r>
    </w:p>
    <w:p w14:paraId="596D7854"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36.</w:t>
      </w:r>
      <w:r w:rsidRPr="00B10BCD">
        <w:rPr>
          <w:kern w:val="2"/>
          <w14:ligatures w14:val="standardContextual"/>
        </w:rPr>
        <w:tab/>
        <w:t>ugotavlja, da je bila leta 2023 vložena ena pritožba zaradi nadlegovanja, ki je bila istega leta zaključena na podlagi preiskave in mediacije odbora, ne da bi bile sprejete sankcije; opozarja, da je odbor civilna stranka v sodnem postopku, ki so ga sprožili belgijski nacionalni organi proti nekdanjemu članu, obtoženemu kršitve, in trenutno poteka na belgijskem sodišču; poziva odbor, naj Parlament obvešča o spremembah v tej zadevi; meni, da je spodbujanje kulture spoštovanja in dostojanstva, ki je podprta s politiko ničelne tolerance do nadlegovanja, bistveno za preprečevanje prihodnjih obtožb ter zagotavljanje varnega in vključujočega delovnega okolja v odboru;</w:t>
      </w:r>
    </w:p>
    <w:p w14:paraId="57AE1FBB"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37.</w:t>
      </w:r>
      <w:r w:rsidRPr="00B10BCD">
        <w:rPr>
          <w:kern w:val="2"/>
          <w14:ligatures w14:val="standardContextual"/>
        </w:rPr>
        <w:tab/>
        <w:t>ponovno poudarja, da je politika ničelne tolerance do nadlegovanja potrebna za zaščito dobrega počutja zaposlenih in da je ta politika naloga vsakega delodajalca; opozarja, da bi bilo treba pri obravnavanju pritožb o nadlegovanju vzpostaviti pristop, ki temelji na izkušnjah, da bi preprečili morebitne nepravilnosti; še vedno meni, da bi bila zunanja in neodvisna preiskava zadeve, ki je trenutno v sodnem postopku, koristna za izboljšanje odziva odbora na podobne primere;</w:t>
      </w:r>
    </w:p>
    <w:p w14:paraId="4E043461"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38.</w:t>
      </w:r>
      <w:r w:rsidRPr="00B10BCD">
        <w:rPr>
          <w:kern w:val="2"/>
          <w14:ligatures w14:val="standardContextual"/>
        </w:rPr>
        <w:tab/>
        <w:t>ceni pripravljenost odbora za sodelovanje s preiskovalnimi organi Unije, in sicer z Evropskim uradom za boj proti goljufijam (OLAF), Evropskim javnim tožilstvom (EJT) in Evropskim varuhom človekovih pravic; ugotavlja, da je leta 2023 urad OLAF odprl dve zadevi, ki ju je še istega leta zavrgel: eno zaradi pomanjkanja zadostnih dokazov, drugo pa je predložil odboru za nadaljnje ukrepanje; poziva odbor, naj organ za podelitev razrešnice še naprej obvešča o napredku v zvezi s to drugo zadevo; ugotavlja tudi, da je varuhinja človekovih pravic leta 2023 začela preiskavo v zvezi z obravnavanjem zadeve, ki vključuje obtožbe o nadlegovanju; poziva odbor, naj organ za podelitev razrešnice obvesti o izidu te preiskave;</w:t>
      </w:r>
    </w:p>
    <w:p w14:paraId="125A5937"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39.</w:t>
      </w:r>
      <w:r w:rsidRPr="00B10BCD">
        <w:rPr>
          <w:kern w:val="2"/>
          <w14:ligatures w14:val="standardContextual"/>
        </w:rPr>
        <w:tab/>
        <w:t>z zadovoljstvom ugotavlja, da si je odbor v letu 2023 prizadeval za večjo preglednost svojih dejavnosti; v zvezi s tem je seznanjen s sprejetjem sklepa o razširitvi nabora dokumentov, ki so na voljo na spletu v registru za preglednost, kot so zapisniki sej odbora in seznami prisotnih, ter s sklepom, s katerim se od članov odbora zahteva, da se sestajajo zgolj z registriranimi deležniki, objavijo seznam svojih sestankov in svojim mnenjem priložijo svojo „zakonodajno sled“; ceni, da odbor na spletu objavlja informacije o svojem letnem proračunu, kazalnikih uspešnosti, odhodkih ali javnih naročilih; poziva k objavi vseh sestankov članov odbora s tretjimi stranmi;</w:t>
      </w:r>
    </w:p>
    <w:p w14:paraId="2F1D3CA4" w14:textId="77777777" w:rsidR="00B10BCD" w:rsidRPr="00B10BCD" w:rsidRDefault="00B10BCD" w:rsidP="00B10BCD">
      <w:pPr>
        <w:spacing w:after="240"/>
        <w:ind w:left="567" w:hanging="567"/>
        <w:rPr>
          <w:kern w:val="2"/>
          <w:szCs w:val="24"/>
          <w14:ligatures w14:val="standardContextual"/>
        </w:rPr>
      </w:pPr>
      <w:r w:rsidRPr="00B10BCD">
        <w:rPr>
          <w:kern w:val="2"/>
          <w14:ligatures w14:val="standardContextual"/>
        </w:rPr>
        <w:t>40.</w:t>
      </w:r>
      <w:r w:rsidRPr="00B10BCD">
        <w:rPr>
          <w:kern w:val="2"/>
          <w14:ligatures w14:val="standardContextual"/>
        </w:rPr>
        <w:tab/>
        <w:t xml:space="preserve">z zadovoljstvom ugotavlja, da je odbor vzpostavil čvrsta pravila in postopke za preprečevanje navzkrižja interesov in izmeničnega zaposlovanja v javnem in zasebnem </w:t>
      </w:r>
      <w:r w:rsidRPr="00B10BCD">
        <w:rPr>
          <w:kern w:val="2"/>
          <w14:ligatures w14:val="standardContextual"/>
        </w:rPr>
        <w:lastRenderedPageBreak/>
        <w:t>sektorju v zvezi z zaposlenimi, ki opravljajo zunanje dejavnosti, oziroma člani, ki se zaposlijo, potem ko niso več člani odbora; v zvezi s tem ugotavlja, da je odbor leta 2023 uvedel nov obrazec za izjavo o finančnih interesih; ugotavlja, da morajo obrazec izpolniti člani, delegati, nadomestni člani in svetovalci za plačana in neplačana dela ali dejavnosti zunaj odbora; poleg tega izreka pohvalo odboru, da je leta 2023 sodeloval v političnih pogajanjih o ustanovitvi medinstitucionalnega organa za etiko, katerega naloga je določiti etične standarde za izboljšanje preglednosti in integritete;</w:t>
      </w:r>
    </w:p>
    <w:p w14:paraId="0FAC391F"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41.</w:t>
      </w:r>
      <w:r w:rsidRPr="00B10BCD">
        <w:rPr>
          <w:kern w:val="2"/>
          <w14:ligatures w14:val="standardContextual"/>
        </w:rPr>
        <w:tab/>
        <w:t>je seznanjen, da je predsedstvo odbora 21. marca 2023 sprejelo več ukrepov za preglednost v skladu z načeli, določenimi v zvezi z registrom EU za preglednost, kot so priporočila, naj se člani, ki opravljajo funkcije, sestajajo le z registriranimi deležniki, obveznost teh članov, da objavljajo svoje sezname srečanj, in prostovoljna zakonodajna sled za poročevalce; ugotavlja, da je bilo sprejetih več ukrepov za izvajanje sklepa predsedstva, vključno z izdajo obvestila o praktičnih podrobnostih za izvajanje sklepa, kampanjo usposabljanja za ozaveščanje in določbami o vzorčnih sporočilih, ki jih je treba vključiti v korespondenco med člani odbora in zunanjimi deležniki, ki spodbujajo pridružitev registru EU za preglednost (če je ustrezno);</w:t>
      </w:r>
    </w:p>
    <w:p w14:paraId="5D18100F"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42.</w:t>
      </w:r>
      <w:r w:rsidRPr="00B10BCD">
        <w:rPr>
          <w:kern w:val="2"/>
          <w14:ligatures w14:val="standardContextual"/>
        </w:rPr>
        <w:tab/>
        <w:t>poziva odbor, naj izvaja spremljanje prijavljenih navzkrižij interesov v realnem času, pri čemer naj od vseh članov in višjih uslužbencev zahteva, da vsako leto javno razkrijejo finančne interese, premoženje in zunanje povezave, da bi preprečili neprimeren vpliv na odločanje;</w:t>
      </w:r>
    </w:p>
    <w:p w14:paraId="7F2CF952"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43.</w:t>
      </w:r>
      <w:r w:rsidRPr="00B10BCD">
        <w:rPr>
          <w:kern w:val="2"/>
          <w14:ligatures w14:val="standardContextual"/>
        </w:rPr>
        <w:tab/>
        <w:t>ugotavlja, da v letu 2023 ni bilo primerov goljufije, navzkrižja interesov in žvižgaštva; je seznanjen s pregledom učinkovitosti ukrepov odbora za boj proti goljufijam, ki je imel za cilj razviti strategijo za boj proti goljufijam, ki je odbor še vedno nima, čeprav je Parlament v svojih resolucijah o razrešnici že večkrat pozval k sprejemu ukrepov za izboljšanje celotnega sistema preprečevanja goljufij; opozarja, kako pomembna je celovita strategija za boj proti goljufijam, in poziva odbor, naj organ za podelitev razrešnice obvešča o rezultatih te naloge, ki bi se morala zaključiti s sprejetjem strategije za boj proti goljufijam v letu 2024;</w:t>
      </w:r>
    </w:p>
    <w:p w14:paraId="7B65B1E0" w14:textId="77777777" w:rsidR="00B10BCD" w:rsidRPr="00B10BCD" w:rsidRDefault="00B10BCD" w:rsidP="00B10BCD">
      <w:pPr>
        <w:spacing w:after="240"/>
        <w:rPr>
          <w:b/>
          <w:i/>
          <w:kern w:val="2"/>
          <w14:ligatures w14:val="standardContextual"/>
        </w:rPr>
      </w:pPr>
      <w:r w:rsidRPr="00B10BCD">
        <w:rPr>
          <w:b/>
          <w:i/>
          <w:kern w:val="2"/>
          <w14:ligatures w14:val="standardContextual"/>
        </w:rPr>
        <w:t>Digitalizacija, kibernetska varnost in varstvo podatkov</w:t>
      </w:r>
    </w:p>
    <w:p w14:paraId="0765DE95"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44.</w:t>
      </w:r>
      <w:r w:rsidRPr="00B10BCD">
        <w:rPr>
          <w:kern w:val="2"/>
          <w14:ligatures w14:val="standardContextual"/>
        </w:rPr>
        <w:tab/>
        <w:t>ugotavlja, da je skupni proračun odbora in Odbora regij za IT leta 2023 znašal 12 700 000 EUR, v primerjavi z 11 712 000 EUR leta 2022, kar pomeni povečanje za 8,4 %, medtem ko je bilo leta 2023 iz tega proračuna 350 000 EUR plačanih za kibernetsko varnost; ugotavlja tudi, da so 6,24 % skupnega proračuna odbora za leto 2023 predstavljali odhodki za ukrepe za izvajanje nove digitalne strategije za obdobje 2024–2026, ki jo je leta 2023 pripravil skupni direktorat za inovacije in informacijsko tehnologijo (DIIT);</w:t>
      </w:r>
    </w:p>
    <w:p w14:paraId="6A18A583"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45.</w:t>
      </w:r>
      <w:r w:rsidRPr="00B10BCD">
        <w:rPr>
          <w:kern w:val="2"/>
          <w14:ligatures w14:val="standardContextual"/>
        </w:rPr>
        <w:tab/>
        <w:t xml:space="preserve">ugotavlja, da digitalna strategija za obdobje 2024–2026 predvideva prihodnost, v kateri bo tehnologija povezana z osrednjim poslanstvom odbora, osredotočena je na učinkovitost, hitrost in stalni digitalni razvoj, upravo in člane postavlja v središče digitalne preobrazbe ter ima za cilj boljše opravljanje storitev, opolnomočenje in prilagodljivost; ugotavlja, da digitalna strategija za obdobje 2024–2026 temelji na osmih ciljih, osmih ključnih načelih in štirih velikih projektih, kot je uvedba sistemov Ares in EdiT, ki naj bi se začela izvajati leta 2026 oziroma 2025; na podlagi vprašalnika z zadovoljstvom opaža napredek, ki ga je skupni direktorat za inovacije in informacijsko tehnologijo v letu 2023 dosegel pri izvajanju digitalne strategije za </w:t>
      </w:r>
      <w:r w:rsidRPr="00B10BCD">
        <w:rPr>
          <w:kern w:val="2"/>
          <w14:ligatures w14:val="standardContextual"/>
        </w:rPr>
        <w:lastRenderedPageBreak/>
        <w:t>obdobje 2024–2026 s sprejetjem ukrepov, kot so med drugim sprejetje kadrovskih smernic o umetni inteligenci, povezava vložitve predlogov sprememb s prevajalskimi orodji in ustanovitev urada za vodenje projektov;</w:t>
      </w:r>
    </w:p>
    <w:p w14:paraId="4E9272F2"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46.</w:t>
      </w:r>
      <w:r w:rsidRPr="00B10BCD">
        <w:rPr>
          <w:kern w:val="2"/>
          <w14:ligatures w14:val="standardContextual"/>
        </w:rPr>
        <w:tab/>
        <w:t>na podlagi letnega poročila se seznanja z ukrepi odbora na področju varstva osebnih podatkov in njihove obdelave; ugotavlja, da je odbor leta 2023 ustvaril novo spletno različico registra evidenc in novi skupni register evidenc z Odborom regij, pri čemer je ob koncu leta 2023 imel prvi 121 zapisov, drugi pa 25; ugotavlja tudi, da je odbor v letu 2023 sprejel nov postopek za obravnavanje kršitev varstva podatkov, objavil vodnik o varstvu podatkov in izvedel več pobud za ozaveščanje svojih uslužbencev in članov; nazadnje ugotavlja, da je Evropski nadzornik za varstvo podatkov leta 2023 začel eno preiskavo v zvezi z upravljanjem zunanje revizije in nadaljeval starejšo preiskavo o uporabi storitev v oblaku na podlagi pogodb Cloud II, ki so jih sklenile institucije Unije, ter da nobena od dveh preiskav še ni zaključena; poziva odbor, naj organ za podelitev razrešnice obvešča o nadaljnjih ukrepih v zvezi s tem;</w:t>
      </w:r>
    </w:p>
    <w:p w14:paraId="63509E61"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47.</w:t>
      </w:r>
      <w:r w:rsidRPr="00B10BCD">
        <w:rPr>
          <w:kern w:val="2"/>
          <w14:ligatures w14:val="standardContextual"/>
        </w:rPr>
        <w:tab/>
        <w:t>ugotavlja, da je odbor leta 2023 dokončal svoj projekt opremljanja vseh sejnih sob ter da je bilo dodatnih 14 takšnih sob opremljenih s tehnologijami, ki omogočajo njihovo celovito uporabo v hibridnem načinu; ceni, da je odbor v letu 2023 vse postopke javnega naročanja za pogodbe visoke vrednosti izvedel povsem digitalno, uporabil kvalificirani elektronski podpis za vse vrste pogodbenih sporazumov ter zaposlenim zagotovil usposabljanja o prehodu na sistem orodij za upravljanje javnih naročil in portalu za financiranje in razpise;</w:t>
      </w:r>
    </w:p>
    <w:p w14:paraId="26D8E1BB"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48.</w:t>
      </w:r>
      <w:r w:rsidRPr="00B10BCD">
        <w:rPr>
          <w:kern w:val="2"/>
          <w14:ligatures w14:val="standardContextual"/>
        </w:rPr>
        <w:tab/>
        <w:t>izreka pohvalo odboru za konkretne ukrepe, s katerimi je v letu 2023 poskrbel, da so njegovi uslužbenci pridobili digitalna znanja in spretnosti, ki so potrebna za vse bolj digitalizirano delovno mesto; v zvezi s tem je seznanjen z dejavnostmi, kot so „mini-hekatoni“, organiziranimi v okviru mreže sogovornikov, vzpostavljene z Odborom regij, za spodbujanje boljše uporabe in razumevanja sodelovalnih digitalnih orodij ter medsebojnega mentorstva in izmenjave izkušenj; ugotavlja, da so bili rezultati teh dejavnosti vključeni v usposabljanja, ki jih nudi odbor;</w:t>
      </w:r>
    </w:p>
    <w:p w14:paraId="69588B63"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49.</w:t>
      </w:r>
      <w:r w:rsidRPr="00B10BCD">
        <w:rPr>
          <w:kern w:val="2"/>
          <w14:ligatures w14:val="standardContextual"/>
        </w:rPr>
        <w:tab/>
        <w:t>ugotavlja, da so bile oktobra 2023 sprejete smernice za zaposlene o uporabi umetne inteligence, da je bil za vse zaposlene organiziran informativni sestanek, v katerem so bile izpostavljene priložnosti in izzivi, ter da so bili na intranetu odbora objavljeni informativni članki za povečanje ozaveščenosti zaposlenih;</w:t>
      </w:r>
    </w:p>
    <w:p w14:paraId="04E8479C"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50.</w:t>
      </w:r>
      <w:r w:rsidRPr="00B10BCD">
        <w:rPr>
          <w:kern w:val="2"/>
          <w14:ligatures w14:val="standardContextual"/>
        </w:rPr>
        <w:tab/>
        <w:t>ugotavlja, da sta odbor in Odbor regij v letu 2023 nadaljevala delo pri sprejemanju in uporabi okvira za kibernetsko varnost NIST, pri čemer so bili ukrepi, sprejeti v tem letu, osredotočeni na nekatera načela tega okvira, in sicer glede zaščite in odkrivanja; ugotavlja, da se strategije za blažitev izvajajo z uporabo okvira za kibernetsko varnost „bistvenih osem“; ugotavlja tudi, da odbor v letu 2023 ni bil tarča kibernetskih napadov, a se je ob koncu leta 2022 in na začetku leta 2024 spoprijemal s kratkimi napadi za zavrnitev storitve na njegova poslovna spletišča, ki so jih gostili zunanji strežniki;</w:t>
      </w:r>
    </w:p>
    <w:p w14:paraId="5E0FDBB3"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51.</w:t>
      </w:r>
      <w:r w:rsidRPr="00B10BCD">
        <w:rPr>
          <w:kern w:val="2"/>
          <w14:ligatures w14:val="standardContextual"/>
        </w:rPr>
        <w:tab/>
        <w:t>poziva EESO, naj poveča proračun za kibernetsko varnost na vsaj 10 % skupnih odhodkov za informacijsko tehnologijo v skladu z direktivami EU o kibernetski varnosti, da bi zagotovil boljšo zaščito pred kibernetskimi grožnjami, zlasti za občutljive podatke, povezane s politiko in proračunskimi zadevami;</w:t>
      </w:r>
    </w:p>
    <w:p w14:paraId="216C4C6D" w14:textId="77777777" w:rsidR="00B10BCD" w:rsidRPr="00B10BCD" w:rsidRDefault="00B10BCD" w:rsidP="00B10BCD">
      <w:pPr>
        <w:spacing w:after="240"/>
        <w:rPr>
          <w:b/>
          <w:i/>
          <w:kern w:val="2"/>
          <w14:ligatures w14:val="standardContextual"/>
        </w:rPr>
      </w:pPr>
      <w:r w:rsidRPr="00B10BCD">
        <w:rPr>
          <w:b/>
          <w:i/>
          <w:kern w:val="2"/>
          <w14:ligatures w14:val="standardContextual"/>
        </w:rPr>
        <w:t>Stavbe</w:t>
      </w:r>
    </w:p>
    <w:p w14:paraId="52BCC8BD"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lastRenderedPageBreak/>
        <w:t>52.</w:t>
      </w:r>
      <w:r w:rsidRPr="00B10BCD">
        <w:rPr>
          <w:kern w:val="2"/>
          <w14:ligatures w14:val="standardContextual"/>
        </w:rPr>
        <w:tab/>
        <w:t>potrjuje prejem poročila odbora z dne 3. junija 2024, v katerem je organ za podelitev razrešnice obvestil o nepremičninski politiki odbora v skladu s členom 266(1) finančne uredbe Unije; na podlagi tega poročila z zadovoljstvom ugotavlja, da je odbor skupaj z Odborom regij uresničil eno od glavnih prednostnih nalog nepremičninske strategije iz leta 2017, in sicer „geografsko koncentracijo stavb“; ugotavlja tudi, da je ta dosežek že prinesel prihranke, saj so stroški najema celotne stavbe VMA nižji, kot so bili poprej stroški najema treh stavb; razume, da ti prihranki znašajo približno 1,8 milijona EUR, kolikor je po navedbah v omenjenem poročilu znašala najemnina za stavbo B100; ugotavlja, da odbor trenutno posodablja svojo dolgoročno nepremičninsko strategijo za leto 2017 in da bi moral to delo zaključiti do konca leta 2025; poziva odbor, naj organ za podelitev razrešnice obvešča o rezultatih v zvezi s tem;</w:t>
      </w:r>
    </w:p>
    <w:p w14:paraId="2F6DDE04" w14:textId="77777777" w:rsidR="00B10BCD" w:rsidRPr="00B10BCD" w:rsidRDefault="00B10BCD" w:rsidP="00B10BCD">
      <w:pPr>
        <w:spacing w:after="240"/>
        <w:ind w:left="567" w:hanging="567"/>
        <w:rPr>
          <w:kern w:val="2"/>
          <w:szCs w:val="24"/>
          <w14:ligatures w14:val="standardContextual"/>
        </w:rPr>
      </w:pPr>
      <w:r w:rsidRPr="00B10BCD">
        <w:rPr>
          <w:kern w:val="2"/>
          <w14:ligatures w14:val="standardContextual"/>
        </w:rPr>
        <w:t>53.</w:t>
      </w:r>
      <w:r w:rsidRPr="00B10BCD">
        <w:rPr>
          <w:kern w:val="2"/>
          <w14:ligatures w14:val="standardContextual"/>
        </w:rPr>
        <w:tab/>
        <w:t>pozdravlja, da je bila v stavbi VMA, ki je bil kupljena pred kratkim, dokončana prenova (tj. opremljanje), ki je zajemala namestitev pametnih tehnologij za varčevanje z energijo; podpira načrt odbora o izvedbi tehničnih in okoljskih revizij vseh njegovih stavb, pri čemer bi morali rezultati teh revizij omogočiti opredelitev vseh tehničnih instalacij in sestavnih delov stavb, ki jih je treba v celoti ali delno prenoviti ali ohraniti v sedanjem stanju, da bi bili skladni s cilji evropskega zelenega dogovora; poziva odbor, naj organ za podelitev razrešnice obvesti o rezultatih in nadaljnjem ukrepanju na podlagi teh revizij;</w:t>
      </w:r>
    </w:p>
    <w:p w14:paraId="24EB13C0" w14:textId="77777777" w:rsidR="00B10BCD" w:rsidRPr="00B10BCD" w:rsidRDefault="00B10BCD" w:rsidP="00B10BCD">
      <w:pPr>
        <w:spacing w:after="240"/>
        <w:ind w:left="567" w:hanging="567"/>
        <w:rPr>
          <w:kern w:val="2"/>
          <w:szCs w:val="24"/>
          <w14:ligatures w14:val="standardContextual"/>
        </w:rPr>
      </w:pPr>
      <w:r w:rsidRPr="00B10BCD">
        <w:rPr>
          <w:kern w:val="2"/>
          <w14:ligatures w14:val="standardContextual"/>
        </w:rPr>
        <w:t>54.</w:t>
      </w:r>
      <w:r w:rsidRPr="00B10BCD">
        <w:rPr>
          <w:kern w:val="2"/>
          <w14:ligatures w14:val="standardContextual"/>
        </w:rPr>
        <w:tab/>
        <w:t>ugotavlja, da je leta 2023 projektna skupina za nove načine dela, ki je bila ustanovljena leta 2022, objavila prvo prospektivno poročilo, v katerem se je osredotočila na razpoložljive pisarniške prostore in možnosti optimizacije; je seznanjen z načrtom odbora, da bo s tem nadaljeval v participativnem procesu z zaposlenimi, da bodo sooblikovali prihodnje delovne prostore; poziva odbor, naj organ za podelitev razrešnice še naprej obvešča o napredku v zvezi s tem;</w:t>
      </w:r>
    </w:p>
    <w:p w14:paraId="69616D7C" w14:textId="77777777" w:rsidR="00B10BCD" w:rsidRPr="00B10BCD" w:rsidRDefault="00B10BCD" w:rsidP="00B10BCD">
      <w:pPr>
        <w:spacing w:after="240"/>
        <w:ind w:left="567" w:hanging="567"/>
        <w:rPr>
          <w:kern w:val="2"/>
          <w:szCs w:val="24"/>
          <w14:ligatures w14:val="standardContextual"/>
        </w:rPr>
      </w:pPr>
      <w:r w:rsidRPr="00B10BCD">
        <w:rPr>
          <w:kern w:val="2"/>
          <w14:ligatures w14:val="standardContextual"/>
        </w:rPr>
        <w:t>55.</w:t>
      </w:r>
      <w:r w:rsidRPr="00B10BCD">
        <w:rPr>
          <w:kern w:val="2"/>
          <w14:ligatures w14:val="standardContextual"/>
        </w:rPr>
        <w:tab/>
        <w:t>pozdravlja zavezo odbora in Odbora regij, da bosta v svoji infrastrukturi sistematično uporabljala načelo „oblikovanje za vse“ in s tem skrbela, da bodo njune stavbe dostopne že po svoji zasnovi; ugotavlja, da sta odbora v letu 2023 sprejela vrsto različnih ukrepov, s katerimi sta poskrbela, da so njune stavbe dostopne osebam z različnimi vrstami invalidnosti, vključno s posodobitvijo dvigal v stavbi JDE;</w:t>
      </w:r>
    </w:p>
    <w:p w14:paraId="59B22BDA" w14:textId="77777777" w:rsidR="00B10BCD" w:rsidRPr="00B10BCD" w:rsidRDefault="00B10BCD" w:rsidP="00B10BCD">
      <w:pPr>
        <w:spacing w:after="240"/>
        <w:rPr>
          <w:b/>
          <w:i/>
          <w:kern w:val="2"/>
          <w14:ligatures w14:val="standardContextual"/>
        </w:rPr>
      </w:pPr>
      <w:r w:rsidRPr="00B10BCD">
        <w:rPr>
          <w:b/>
          <w:i/>
          <w:kern w:val="2"/>
          <w14:ligatures w14:val="standardContextual"/>
        </w:rPr>
        <w:t>Okolje in trajnostnost</w:t>
      </w:r>
    </w:p>
    <w:p w14:paraId="23492310"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56.</w:t>
      </w:r>
      <w:r w:rsidRPr="00B10BCD">
        <w:rPr>
          <w:kern w:val="2"/>
          <w14:ligatures w14:val="standardContextual"/>
        </w:rPr>
        <w:tab/>
        <w:t>pozdravlja zelene prakse odbora in izreka pohvalo nadaljnjemu zmanjšanju porabe plina, električne energije in vode ter emisij ogljika in povečanju stopnje recikliranja v zvezi z dejavnostmi odbora leta 2023 glede na leto 2019; opaža poslabšanje pri stopnji količine odpadkov v primerjavi z ravnmi iz leta 2019, in sicer z –66 % v letu 2022 na –56 % v letu 2023 zaradi večje prisotnosti v pisarnah;</w:t>
      </w:r>
    </w:p>
    <w:p w14:paraId="47D2E09F"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57.</w:t>
      </w:r>
      <w:r w:rsidRPr="00B10BCD">
        <w:rPr>
          <w:kern w:val="2"/>
          <w14:ligatures w14:val="standardContextual"/>
        </w:rPr>
        <w:tab/>
        <w:t>ugotavlja, da sta bila energetska učinkovitost in zmanjšanje emisij dosežena z naložbami v inovativne energetsko učinkovite stavbne instalacije, vključno s pametnimi tehnologijami za varčevanje z energijo, nameščenimi v stavbo VMA, kupovanjem 100 % zelene električne energije, uvedbo (prilagojenih) okoljskih meril v vse razpisne postopke v vrednosti 60 000 EUR ali več, uporabo brezpapirnih delovnih postopkov in številnimi drugimi ukrepi, kot so skrajšanje časa delovanja razsvetljave, znižanje zimske referenčne temperature v vseh stavbah na 19 stopinj ali zaprtje stavb v obdobjih nizke prisotnosti osebja; ugotavlja, da je odbor zmanjšal svojo porabo energije za 3,4 % in ustvaril finančni prihranek v znesku 65 395 EUR;</w:t>
      </w:r>
    </w:p>
    <w:p w14:paraId="00001C5E"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lastRenderedPageBreak/>
        <w:t>58.</w:t>
      </w:r>
      <w:r w:rsidRPr="00B10BCD">
        <w:rPr>
          <w:kern w:val="2"/>
          <w14:ligatures w14:val="standardContextual"/>
        </w:rPr>
        <w:tab/>
        <w:t>na podlagi poročila o nadaljnjem ukrepanju ugotavlja, da so pametne tehnologije za varčevanje z energijo, nameščene v nedavno prenovljeno stavbo VMA, prispevale k temu, da je odbor v letu 2023 porabil 20 do 30 % manj energije (plina in električne energije); vseeno ponovno poziva odbor, naj Parlamentu predloži najnovejše informacije o donosnosti naložb v te tehnološke naprave;</w:t>
      </w:r>
    </w:p>
    <w:p w14:paraId="1F4CE524"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59.</w:t>
      </w:r>
      <w:r w:rsidRPr="00B10BCD">
        <w:rPr>
          <w:kern w:val="2"/>
          <w14:ligatures w14:val="standardContextual"/>
        </w:rPr>
        <w:tab/>
        <w:t>pozdravlja, da je odbor sprejel strategijo varčevanja z energijo s kratko-, srednje- in dolgoročnimi ukrepi; v zvezi s tem ugotavlja, da je odbor začel okoljsko revizijo vseh svojih stavb, da bi med drugim opredelil raven energetske učinkovitosti sedanjih struktur in delov opreme ter ocenil okoljski donos potrebnih naložb v primerjavi s skupnimi stroški (vzdrževanje, poraba itd.) v 30-letnem obdobju; ugotavlja tudi, da so študije o ukrepih za energetsko učinkovitost načrtovane za leti 2024 in 2025; poziva odbor, naj organ za podelitev razrešnice obvešča o doseženem napredku v zvezi s tem;</w:t>
      </w:r>
    </w:p>
    <w:p w14:paraId="63FF6940"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60.</w:t>
      </w:r>
      <w:r w:rsidRPr="00B10BCD">
        <w:rPr>
          <w:kern w:val="2"/>
          <w14:ligatures w14:val="standardContextual"/>
        </w:rPr>
        <w:tab/>
        <w:t>opozarja, da so sončni paneli na stavbah odbora leta 2022 proizvedli 15,5 MWH električne energije oziroma 0,25 % letne porabe odbora, leta 2023 pa se je ta količina zmanjšala na 5,75 MWH; na podlagi vprašalnika z zadovoljstvom ugotavlja, da je odbor zgled pri ukrepih in dejavnostih za spodbujanje trajnostne mobilnosti;</w:t>
      </w:r>
    </w:p>
    <w:p w14:paraId="58759557" w14:textId="77777777" w:rsidR="00B10BCD" w:rsidRPr="00B10BCD" w:rsidRDefault="00B10BCD" w:rsidP="00B10BCD">
      <w:pPr>
        <w:spacing w:after="240"/>
        <w:rPr>
          <w:b/>
          <w:i/>
          <w:kern w:val="2"/>
          <w14:ligatures w14:val="standardContextual"/>
        </w:rPr>
      </w:pPr>
      <w:r w:rsidRPr="00B10BCD">
        <w:rPr>
          <w:b/>
          <w:i/>
          <w:kern w:val="2"/>
          <w14:ligatures w14:val="standardContextual"/>
        </w:rPr>
        <w:t>Medinstitucionalno sodelovanje</w:t>
      </w:r>
    </w:p>
    <w:p w14:paraId="31EF0352"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61.</w:t>
      </w:r>
      <w:r w:rsidRPr="00B10BCD">
        <w:rPr>
          <w:kern w:val="2"/>
          <w14:ligatures w14:val="standardContextual"/>
        </w:rPr>
        <w:tab/>
        <w:t>pozdravlja tesno sodelovanje odbora z Odborom regij na upravni ravni z novim sporazumom o sodelovanju, podpisanim leta 2022, v okviru katerega si odbora delita prostore in skupne službe na področjih prevajanja, infrastrukture, logistike, varovanja, javnih naročil, finančnega poslovodenja in IT, hkrati pa ostajata institucionalno povsem samostojna; pozdravlja pozitivne spremembe v letu 2023, ko sta se odbora dogovorila o razvoju in financiranju skupnega komunikacijskega prostora s skupno avdio vizualno opremo v stavbi JDE; poziva odbor, naj opredeli proračunske prihranke, ustvarjene v prvem letu izvajanja tega sporazuma na avdiovizualnem področju, in o njih obvesti Parlament; ponovno poziva odbor, naj to sodelovanje nadaljuje in razširi na druga področja, da bi se izognili podvajanju in dodatno racionalizirali operativne stroške za storitve, ki so na voljo v prostorih, ki si jih delita odbor in Odbor regij; poziva odbor in Odbor regij, naj preučita možnost vzpostavitve enotne uprave za njune skupne službe, pri čemer bi ohranila ločene direktorate ali oddelke, ki bi se ukvarjali z zadevami, povezanimi z njunimi posebnimi in neodvisnimi nalogami; spodbuja ju, naj si še naprej prizadevata za nadaljnji razvoj sodelovanja in sinergij;</w:t>
      </w:r>
    </w:p>
    <w:p w14:paraId="395F3D07"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62.</w:t>
      </w:r>
      <w:r w:rsidRPr="00B10BCD">
        <w:rPr>
          <w:kern w:val="2"/>
          <w14:ligatures w14:val="standardContextual"/>
        </w:rPr>
        <w:tab/>
        <w:t>ugotavlja, da so bili tudi v letu 2023 ustvarjeni proračunski prihranki in dosežena večja učinkovitost zaradi dejavnega sodelovanja med odborom in drugimi institucijami Unije, tudi z organizacijo plenarnih zasedanj odbora v prostorih Komisije in Parlamenta, ki prostore in z njimi povezane storitve zagotavljata brezplačno oziroma po cenah, ki so nižje od cen na zunanjem trgu;</w:t>
      </w:r>
    </w:p>
    <w:p w14:paraId="15B50006"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63.</w:t>
      </w:r>
      <w:r w:rsidRPr="00B10BCD">
        <w:rPr>
          <w:kern w:val="2"/>
          <w14:ligatures w14:val="standardContextual"/>
        </w:rPr>
        <w:tab/>
        <w:t>z zadovoljstvom ugotavlja, da sta se odbor in Parlament leta 2023 ponovno pogajala, leta 2024 pa podpisala medinstitucionalni sporazum, katerega cilj je zagotoviti ustreznejše in pravočasnejše prispevke skozi celotni zakonodajni cikel ter okrepiti dvostransko sodelovanje; pozdravlja, da je novi protokol o sodelovanju odbora s Komisijo, podpisan leta 2022, že izboljšal vpliv odbora, na primer z raziskovalnimi mnenji v predzakonodajni fazi; spodbuja nadaljnjo krepitev političnih, zakonodajnih in komunikacijskih sinergij med odborom in Parlamentom, zlasti v okviru evropske državljanske pobude in evropskega semestra;</w:t>
      </w:r>
    </w:p>
    <w:p w14:paraId="5BCEAEC9"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lastRenderedPageBreak/>
        <w:t>64.</w:t>
      </w:r>
      <w:r w:rsidRPr="00B10BCD">
        <w:rPr>
          <w:kern w:val="2"/>
          <w14:ligatures w14:val="standardContextual"/>
        </w:rPr>
        <w:tab/>
        <w:t>ponovno izraža zadovoljstvo, ker se določene storitve oddajajo v zunanje izvajanje Komisiji (sporazumi o ravni storitve), kar zadeva upravljanje človeških virov ter uporabo orodij IT za finančno upravljanje in upravljanje človeških virov, pa tudi glede sodelovanja odbora v medinstitucionalnih postopkih javnega naročanja, ki jih vodijo druge institucije, saj je tako odbor v letu 2023 še naprej izkoriščal sinergije na področjih IT, službenih potovanj, zavarovanja, prevoza, prevajanja in avdiovizualne opreme;</w:t>
      </w:r>
    </w:p>
    <w:p w14:paraId="23142F3C"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65.</w:t>
      </w:r>
      <w:r w:rsidRPr="00B10BCD">
        <w:rPr>
          <w:kern w:val="2"/>
          <w14:ligatures w14:val="standardContextual"/>
        </w:rPr>
        <w:tab/>
        <w:t>je seznanjen z vlogo, ki jo ima odbor pri krepitvi povezav z nacionalnimi ekonomsko-socialnimi sveti držav članic in med njimi; na podlagi vprašalnika ugotavlja, da je odbor sprejel ukrepe za okrepitev mreže nacionalnih ekonomsko-socialnih svetov in njihove spletne skupnosti, kot so med drugim ustanovitev skupnih delovnih skupin in programov izmenjave, delo na sodelovalni platformi IT in sodelovanje na skupnih dogodkih; poziva k nadaljnjemu sodelovanju pri temah skupnega interesa in izmenjavi dobrih praks, pri čemer je treba poudariti ključno vlogo civilne družbe pri reševanju sedanjih izzivov Unije;</w:t>
      </w:r>
    </w:p>
    <w:p w14:paraId="5864DEF2" w14:textId="77777777" w:rsidR="00B10BCD" w:rsidRPr="00B10BCD" w:rsidRDefault="00B10BCD" w:rsidP="00B10BCD">
      <w:pPr>
        <w:spacing w:after="240"/>
        <w:rPr>
          <w:b/>
          <w:i/>
          <w:kern w:val="2"/>
          <w14:ligatures w14:val="standardContextual"/>
        </w:rPr>
      </w:pPr>
      <w:r w:rsidRPr="00B10BCD">
        <w:rPr>
          <w:b/>
          <w:i/>
          <w:kern w:val="2"/>
          <w14:ligatures w14:val="standardContextual"/>
        </w:rPr>
        <w:t>Komuniciranje</w:t>
      </w:r>
    </w:p>
    <w:p w14:paraId="30C9D510"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66.</w:t>
      </w:r>
      <w:r w:rsidRPr="00B10BCD">
        <w:rPr>
          <w:kern w:val="2"/>
          <w14:ligatures w14:val="standardContextual"/>
        </w:rPr>
        <w:tab/>
        <w:t>ugotavlja, da je skupni proračun odbora za komuniciranje v letu 2023 znašal 2,15 milijona EUR, kar je bilo več kot 1,5 milijona EUR v letu 2022; ugotavlja, da so bila ta sredstva namenjena predvsem štirim vodilnim dogodkom, organiziranim v letu 2023 (evropska državljanska pobuda, Vaša Evropa, vaš glas!, nagrade za ekološko hrano in 14. nagrada za civilno družbo), za izboljšanje in/ali prenovo družbenih medijev, zunanje spletne strani in avdiovizualne produkcije odbora, pa tudi za medijske objave in objave v tisku; izreka pohvalo odboru za njegove komunikacijske dejavnosti, s katerimi je uresničil prednostne naloge na področju komuniciranja za leto 2023, med drugim za pobudo o modrem dogovoru, COP28, resolucijo o demokraciji in 65. obletnico odbora;</w:t>
      </w:r>
    </w:p>
    <w:p w14:paraId="49FF96E9"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67.</w:t>
      </w:r>
      <w:r w:rsidRPr="00B10BCD">
        <w:rPr>
          <w:kern w:val="2"/>
          <w14:ligatures w14:val="standardContextual"/>
        </w:rPr>
        <w:tab/>
        <w:t>izreka pohvalo odboru za njegova prizadevanja v zvezi s strateškim komuniciranjem v letu 2023; ugotavlja, da je sprejel novo komunikacijsko strategijo, s katero želi okrepiti svojo podobo in doseg; ugotavlja, da je odbor v okviru te strategije prek spleta prenašal svoje glavne dogodke, večinoma v vseh jezikih Unije, uvedel nova komunikacijska orodja, kot je serija video poročil s plenarnega zasedanja, svoje komunikacijske vire osredotočil na vodilne dogodke odbora leta 2023 in si posebej prizadeval za povečanje dosega v družbenih medijih;</w:t>
      </w:r>
    </w:p>
    <w:p w14:paraId="6D4D4926"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68.</w:t>
      </w:r>
      <w:r w:rsidRPr="00B10BCD">
        <w:rPr>
          <w:kern w:val="2"/>
          <w14:ligatures w14:val="standardContextual"/>
        </w:rPr>
        <w:tab/>
        <w:t>poziva EESO, naj okrepi spremljanje pravic delavcev, socialne vključenosti in kršitev človekovih pravic ter poročanje o njih v okviru programov, ki jih financira EU, da bi zagotovil večjo odgovornost pri svojih svetovalnih funkcijah in političnih priporočilih;</w:t>
      </w:r>
    </w:p>
    <w:p w14:paraId="48FC3535" w14:textId="77777777" w:rsidR="00B10BCD" w:rsidRPr="00B10BCD" w:rsidRDefault="00B10BCD" w:rsidP="00B10BCD">
      <w:pPr>
        <w:spacing w:after="240"/>
        <w:ind w:left="567" w:hanging="567"/>
        <w:rPr>
          <w:kern w:val="2"/>
          <w14:ligatures w14:val="standardContextual"/>
        </w:rPr>
      </w:pPr>
      <w:r w:rsidRPr="00B10BCD">
        <w:rPr>
          <w:kern w:val="2"/>
          <w14:ligatures w14:val="standardContextual"/>
        </w:rPr>
        <w:t>69.</w:t>
      </w:r>
      <w:r w:rsidRPr="00B10BCD">
        <w:rPr>
          <w:kern w:val="2"/>
          <w14:ligatures w14:val="standardContextual"/>
        </w:rPr>
        <w:tab/>
        <w:t>ugotavlja, da se je v letu 2023 znatno povečalo število sledilcev odbora na poslovnih platformah družbenih medijev, in sicer za 25 000; ugotavlja, da je odbor do konca leta 2023 na omrežju X dosegel 61 416 sledilcev, kar je bilo 5 % več kot leta 2022, na omrežju LinkedIn 61 761 sledilcev, kar je bilo 30 % več kot leta 2022, na Facebooku 46 868 sledilcev, kar je bilo 5,3 % več kot leta 2022, in na Instagramu 17 428 sledilcev, kar je bilo 45 % več kot leta 2022;</w:t>
      </w:r>
    </w:p>
    <w:p w14:paraId="2C795948" w14:textId="3C208E7C" w:rsidR="00B10BCD" w:rsidRPr="00B10BCD" w:rsidRDefault="00B10BCD" w:rsidP="00B10BCD">
      <w:pPr>
        <w:spacing w:after="240"/>
        <w:ind w:left="567" w:hanging="567"/>
      </w:pPr>
      <w:r w:rsidRPr="00B10BCD">
        <w:rPr>
          <w:kern w:val="2"/>
          <w14:ligatures w14:val="standardContextual"/>
        </w:rPr>
        <w:t>70.</w:t>
      </w:r>
      <w:r w:rsidRPr="00B10BCD">
        <w:rPr>
          <w:kern w:val="2"/>
          <w14:ligatures w14:val="standardContextual"/>
        </w:rPr>
        <w:tab/>
        <w:t xml:space="preserve">pozdravlja pozitivni pristop odbora do uporabe odprtokodnih rešitev za svoje spletno komuniciranje; ugotavlja, da je odbor julija 2023 odprl svoj prvi račun na platformi EU Voice Mastodon, ki je decentralizirano, brezplačno in odprtokodno družbeno omrežje, </w:t>
      </w:r>
      <w:r w:rsidRPr="00B10BCD">
        <w:rPr>
          <w:kern w:val="2"/>
          <w14:ligatures w14:val="standardContextual"/>
        </w:rPr>
        <w:lastRenderedPageBreak/>
        <w:t>ki povezuje uporabnike v okolju, usmerjenem v zasebnost, in brez oglaševanja; ugotavlja, da je odbor skozi celotno drugo polovico leta 2023 dejavno obveščal prek računa Mastodon, in sicer z vsakodnevnimi objavami o svojih dejavnostih in prednostnih nalogah ter ozaveščanjem o Uniji; je seznanjen z odločitvijo odbora, da od leta 2024 ni več prisoten na tej platformi.</w:t>
      </w:r>
    </w:p>
    <w:bookmarkEnd w:id="5"/>
    <w:sectPr w:rsidR="00B10BCD" w:rsidRPr="00B10BCD" w:rsidSect="0034131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B9D257" w14:textId="77777777" w:rsidR="001C5D64" w:rsidRPr="0034131E" w:rsidRDefault="001C5D64">
      <w:r w:rsidRPr="0034131E">
        <w:separator/>
      </w:r>
    </w:p>
  </w:endnote>
  <w:endnote w:type="continuationSeparator" w:id="0">
    <w:p w14:paraId="6AFB9F7E" w14:textId="77777777" w:rsidR="001C5D64" w:rsidRPr="0034131E" w:rsidRDefault="001C5D64">
      <w:r w:rsidRPr="003413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80EBF" w14:textId="77777777" w:rsidR="00064002" w:rsidRPr="0034131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EA249" w14:textId="77777777" w:rsidR="00064002" w:rsidRPr="0034131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DCBEC" w14:textId="77777777" w:rsidR="00064002" w:rsidRPr="0034131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FADDBB" w14:textId="77777777" w:rsidR="001C5D64" w:rsidRPr="0034131E" w:rsidRDefault="001C5D64">
      <w:r w:rsidRPr="0034131E">
        <w:separator/>
      </w:r>
    </w:p>
  </w:footnote>
  <w:footnote w:type="continuationSeparator" w:id="0">
    <w:p w14:paraId="14C3703A" w14:textId="77777777" w:rsidR="001C5D64" w:rsidRPr="0034131E" w:rsidRDefault="001C5D64">
      <w:r w:rsidRPr="0034131E">
        <w:continuationSeparator/>
      </w:r>
    </w:p>
  </w:footnote>
  <w:footnote w:id="1">
    <w:p w14:paraId="7036D891" w14:textId="77777777" w:rsidR="00B10BCD" w:rsidRPr="001A119D" w:rsidRDefault="00B10BCD" w:rsidP="00B10BCD">
      <w:pPr>
        <w:pStyle w:val="FootnoteText"/>
        <w:ind w:left="567" w:hanging="567"/>
        <w:rPr>
          <w:sz w:val="24"/>
          <w:szCs w:val="24"/>
          <w:lang w:val="sl-SI"/>
        </w:rPr>
      </w:pPr>
      <w:r w:rsidRPr="001A119D">
        <w:rPr>
          <w:rStyle w:val="FootnoteReference"/>
          <w:sz w:val="24"/>
          <w:szCs w:val="24"/>
          <w:lang w:val="sl-SI"/>
        </w:rPr>
        <w:footnoteRef/>
      </w:r>
      <w:r w:rsidRPr="001A119D">
        <w:rPr>
          <w:sz w:val="24"/>
          <w:szCs w:val="24"/>
          <w:lang w:val="sl-SI"/>
        </w:rPr>
        <w:tab/>
        <w:t>UL L 58, 23.2.2023, str. 1, ELI: </w:t>
      </w:r>
      <w:hyperlink r:id="rId1" w:tooltip="Omogoča dostop do tega dokumenta prek enotnega identifikatorja vira ELI." w:history="1">
        <w:r w:rsidRPr="001A119D">
          <w:rPr>
            <w:rStyle w:val="Hyperlink1"/>
            <w:sz w:val="24"/>
            <w:szCs w:val="24"/>
            <w:shd w:val="clear" w:color="auto" w:fill="FFFFFF"/>
            <w:lang w:val="sl-SI"/>
          </w:rPr>
          <w:t>http://data.europa.eu/eli/budget/2023/1/oj</w:t>
        </w:r>
      </w:hyperlink>
      <w:r w:rsidRPr="001A119D">
        <w:rPr>
          <w:sz w:val="24"/>
          <w:szCs w:val="24"/>
          <w:lang w:val="sl-SI"/>
        </w:rPr>
        <w:t>.</w:t>
      </w:r>
    </w:p>
  </w:footnote>
  <w:footnote w:id="2">
    <w:p w14:paraId="031F2E76" w14:textId="77777777" w:rsidR="00B10BCD" w:rsidRPr="001A119D" w:rsidRDefault="00B10BCD" w:rsidP="00B10BCD">
      <w:pPr>
        <w:pStyle w:val="FootnoteText"/>
        <w:ind w:left="567" w:hanging="567"/>
        <w:rPr>
          <w:sz w:val="24"/>
          <w:szCs w:val="24"/>
          <w:lang w:val="sl-SI"/>
        </w:rPr>
      </w:pPr>
      <w:r w:rsidRPr="001A119D">
        <w:rPr>
          <w:rStyle w:val="FootnoteReference"/>
          <w:sz w:val="24"/>
          <w:szCs w:val="24"/>
          <w:lang w:val="sl-SI"/>
        </w:rPr>
        <w:footnoteRef/>
      </w:r>
      <w:r w:rsidRPr="001A119D">
        <w:rPr>
          <w:sz w:val="24"/>
          <w:szCs w:val="24"/>
          <w:lang w:val="sl-SI"/>
        </w:rPr>
        <w:tab/>
      </w:r>
      <w:r w:rsidRPr="001A119D">
        <w:rPr>
          <w:sz w:val="24"/>
          <w:szCs w:val="24"/>
          <w:lang w:val="sl-SI"/>
        </w:rPr>
        <w:t>UL C, C/2024/5462, 10.10.2024, ELI: </w:t>
      </w:r>
      <w:hyperlink r:id="rId2" w:history="1">
        <w:r w:rsidRPr="001A119D">
          <w:rPr>
            <w:rStyle w:val="Hyperlink"/>
            <w:sz w:val="24"/>
            <w:szCs w:val="24"/>
            <w:lang w:val="sl-SI"/>
          </w:rPr>
          <w:t>http://data.europa.eu/eli/C/2024/5462/oj</w:t>
        </w:r>
      </w:hyperlink>
      <w:r w:rsidRPr="001A119D">
        <w:rPr>
          <w:sz w:val="24"/>
          <w:szCs w:val="24"/>
          <w:lang w:val="sl-SI"/>
        </w:rPr>
        <w:t>.</w:t>
      </w:r>
    </w:p>
  </w:footnote>
  <w:footnote w:id="3">
    <w:p w14:paraId="5E461B0A" w14:textId="77777777" w:rsidR="00B10BCD" w:rsidRPr="001A119D" w:rsidRDefault="00B10BCD" w:rsidP="00B10BCD">
      <w:pPr>
        <w:pStyle w:val="FootnoteText"/>
        <w:ind w:left="567" w:hanging="567"/>
        <w:rPr>
          <w:sz w:val="24"/>
          <w:szCs w:val="24"/>
          <w:lang w:val="sl-SI"/>
        </w:rPr>
      </w:pPr>
      <w:r w:rsidRPr="001A119D">
        <w:rPr>
          <w:rStyle w:val="FootnoteReference"/>
          <w:sz w:val="24"/>
          <w:szCs w:val="24"/>
          <w:lang w:val="sl-SI"/>
        </w:rPr>
        <w:footnoteRef/>
      </w:r>
      <w:r w:rsidRPr="001A119D">
        <w:rPr>
          <w:sz w:val="24"/>
          <w:szCs w:val="24"/>
          <w:lang w:val="sl-SI"/>
        </w:rPr>
        <w:tab/>
      </w:r>
      <w:r w:rsidRPr="001A119D">
        <w:rPr>
          <w:sz w:val="24"/>
          <w:szCs w:val="24"/>
          <w:lang w:val="sl-SI"/>
        </w:rPr>
        <w:t>UL C, C/2024/5882, 9.10.2024, ELI: </w:t>
      </w:r>
      <w:hyperlink r:id="rId3" w:history="1">
        <w:r w:rsidRPr="001A119D">
          <w:rPr>
            <w:rStyle w:val="Hyperlink"/>
            <w:sz w:val="24"/>
            <w:szCs w:val="24"/>
            <w:lang w:val="sl-SI"/>
          </w:rPr>
          <w:t>http://data.europa.eu/eli/C/2024/5882/oj</w:t>
        </w:r>
      </w:hyperlink>
      <w:r w:rsidRPr="001A119D">
        <w:rPr>
          <w:sz w:val="24"/>
          <w:szCs w:val="24"/>
          <w:lang w:val="sl-SI"/>
        </w:rPr>
        <w:t>.</w:t>
      </w:r>
    </w:p>
  </w:footnote>
  <w:footnote w:id="4">
    <w:p w14:paraId="428834FD" w14:textId="77777777" w:rsidR="00B10BCD" w:rsidRPr="001A119D" w:rsidRDefault="00B10BCD" w:rsidP="00B10BCD">
      <w:pPr>
        <w:pStyle w:val="FootnoteText"/>
        <w:ind w:left="567" w:hanging="567"/>
        <w:rPr>
          <w:sz w:val="24"/>
          <w:szCs w:val="24"/>
          <w:lang w:val="sl-SI"/>
        </w:rPr>
      </w:pPr>
      <w:r w:rsidRPr="001A119D">
        <w:rPr>
          <w:rStyle w:val="FootnoteReference"/>
          <w:sz w:val="24"/>
          <w:szCs w:val="24"/>
          <w:lang w:val="sl-SI"/>
        </w:rPr>
        <w:footnoteRef/>
      </w:r>
      <w:r w:rsidRPr="001A119D">
        <w:rPr>
          <w:sz w:val="24"/>
          <w:szCs w:val="24"/>
          <w:lang w:val="sl-SI"/>
        </w:rPr>
        <w:tab/>
      </w:r>
      <w:r w:rsidRPr="001A119D">
        <w:rPr>
          <w:sz w:val="24"/>
          <w:szCs w:val="24"/>
          <w:lang w:val="sl-SI"/>
        </w:rPr>
        <w:t>UL C, C/2024/6041, 10.10.2024, ELI: </w:t>
      </w:r>
      <w:hyperlink r:id="rId4" w:history="1">
        <w:r w:rsidRPr="001A119D">
          <w:rPr>
            <w:rStyle w:val="Hyperlink1"/>
            <w:sz w:val="24"/>
            <w:szCs w:val="24"/>
            <w:lang w:val="sl-SI"/>
          </w:rPr>
          <w:t>http://data.europa.eu/eli/C/2024/6041/oj</w:t>
        </w:r>
      </w:hyperlink>
      <w:r w:rsidRPr="001A119D">
        <w:rPr>
          <w:sz w:val="24"/>
          <w:szCs w:val="24"/>
          <w:lang w:val="sl-SI"/>
        </w:rPr>
        <w:t>.</w:t>
      </w:r>
    </w:p>
  </w:footnote>
  <w:footnote w:id="5">
    <w:p w14:paraId="7E659D08" w14:textId="77777777" w:rsidR="00B10BCD" w:rsidRPr="001A119D" w:rsidRDefault="00B10BCD" w:rsidP="00B10BCD">
      <w:pPr>
        <w:pStyle w:val="FootnoteText"/>
        <w:ind w:left="567" w:hanging="567"/>
        <w:rPr>
          <w:sz w:val="24"/>
          <w:szCs w:val="24"/>
          <w:lang w:val="sl-SI"/>
        </w:rPr>
      </w:pPr>
      <w:r w:rsidRPr="001A119D">
        <w:rPr>
          <w:rStyle w:val="FootnoteReference"/>
          <w:sz w:val="24"/>
          <w:szCs w:val="24"/>
          <w:lang w:val="sl-SI"/>
        </w:rPr>
        <w:footnoteRef/>
      </w:r>
      <w:r w:rsidRPr="001A119D">
        <w:rPr>
          <w:sz w:val="24"/>
          <w:szCs w:val="24"/>
          <w:lang w:val="sl-SI"/>
        </w:rPr>
        <w:tab/>
      </w:r>
      <w:r w:rsidRPr="001A119D">
        <w:rPr>
          <w:sz w:val="24"/>
          <w:szCs w:val="24"/>
          <w:lang w:val="sl-SI"/>
        </w:rPr>
        <w:t>UL L 193, 30.7.2018, str. 1, ELI: </w:t>
      </w:r>
      <w:hyperlink r:id="rId5" w:history="1">
        <w:r w:rsidRPr="001A119D">
          <w:rPr>
            <w:rStyle w:val="Hyperlink"/>
            <w:sz w:val="24"/>
            <w:szCs w:val="24"/>
            <w:lang w:val="sl-SI"/>
          </w:rPr>
          <w:t>http://data.europa.eu/eli/reg/2018/1046/oj</w:t>
        </w:r>
      </w:hyperlink>
      <w:r w:rsidRPr="001A119D">
        <w:rPr>
          <w:sz w:val="24"/>
          <w:szCs w:val="24"/>
          <w:lang w:val="sl-SI"/>
        </w:rPr>
        <w:t>.</w:t>
      </w:r>
    </w:p>
  </w:footnote>
  <w:footnote w:id="6">
    <w:p w14:paraId="1B4634EB" w14:textId="77777777" w:rsidR="00B10BCD" w:rsidRPr="001A119D" w:rsidRDefault="00B10BCD" w:rsidP="00B10BCD">
      <w:pPr>
        <w:pStyle w:val="FootnoteText"/>
        <w:ind w:left="567" w:hanging="567"/>
        <w:rPr>
          <w:sz w:val="24"/>
          <w:szCs w:val="24"/>
          <w:lang w:val="sl-SI"/>
        </w:rPr>
      </w:pPr>
      <w:r w:rsidRPr="001A119D">
        <w:rPr>
          <w:rStyle w:val="FootnoteReference"/>
          <w:sz w:val="24"/>
          <w:szCs w:val="24"/>
          <w:lang w:val="sl-SI"/>
        </w:rPr>
        <w:footnoteRef/>
      </w:r>
      <w:r w:rsidRPr="001A119D">
        <w:rPr>
          <w:sz w:val="24"/>
          <w:szCs w:val="24"/>
          <w:lang w:val="sl-SI"/>
        </w:rPr>
        <w:tab/>
      </w:r>
      <w:r w:rsidRPr="001A119D">
        <w:rPr>
          <w:sz w:val="24"/>
          <w:szCs w:val="24"/>
          <w:lang w:val="sl-SI"/>
        </w:rPr>
        <w:t>UL L, 2024/2509, 26.9.2024, ELI: </w:t>
      </w:r>
      <w:hyperlink r:id="rId6" w:history="1">
        <w:r w:rsidRPr="001A119D">
          <w:rPr>
            <w:rStyle w:val="Hyperlink"/>
            <w:sz w:val="24"/>
            <w:szCs w:val="24"/>
            <w:lang w:val="sl-SI"/>
          </w:rPr>
          <w:t>http://data.europa.eu/eli/reg/2024/2509/oj</w:t>
        </w:r>
      </w:hyperlink>
      <w:r w:rsidRPr="001A119D">
        <w:rPr>
          <w:sz w:val="24"/>
          <w:szCs w:val="24"/>
          <w:shd w:val="clear" w:color="auto" w:fill="FFFFFF"/>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C2041" w14:textId="77777777" w:rsidR="00064002" w:rsidRPr="0034131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60330" w14:textId="77777777" w:rsidR="00064002" w:rsidRPr="0034131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AF410" w14:textId="77777777" w:rsidR="00064002" w:rsidRPr="0034131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49266487">
    <w:abstractNumId w:val="9"/>
  </w:num>
  <w:num w:numId="2" w16cid:durableId="1519464394">
    <w:abstractNumId w:val="9"/>
  </w:num>
  <w:num w:numId="3" w16cid:durableId="1962107854">
    <w:abstractNumId w:val="7"/>
  </w:num>
  <w:num w:numId="4" w16cid:durableId="2051568991">
    <w:abstractNumId w:val="7"/>
  </w:num>
  <w:num w:numId="5" w16cid:durableId="416482902">
    <w:abstractNumId w:val="6"/>
  </w:num>
  <w:num w:numId="6" w16cid:durableId="2098403214">
    <w:abstractNumId w:val="6"/>
  </w:num>
  <w:num w:numId="7" w16cid:durableId="1628661143">
    <w:abstractNumId w:val="5"/>
  </w:num>
  <w:num w:numId="8" w16cid:durableId="463886530">
    <w:abstractNumId w:val="5"/>
  </w:num>
  <w:num w:numId="9" w16cid:durableId="380059816">
    <w:abstractNumId w:val="4"/>
  </w:num>
  <w:num w:numId="10" w16cid:durableId="1793596459">
    <w:abstractNumId w:val="4"/>
  </w:num>
  <w:num w:numId="11" w16cid:durableId="1013872026">
    <w:abstractNumId w:val="8"/>
  </w:num>
  <w:num w:numId="12" w16cid:durableId="195193033">
    <w:abstractNumId w:val="8"/>
  </w:num>
  <w:num w:numId="13" w16cid:durableId="509297146">
    <w:abstractNumId w:val="3"/>
  </w:num>
  <w:num w:numId="14" w16cid:durableId="276062546">
    <w:abstractNumId w:val="3"/>
  </w:num>
  <w:num w:numId="15" w16cid:durableId="1081832757">
    <w:abstractNumId w:val="2"/>
  </w:num>
  <w:num w:numId="16" w16cid:durableId="519590604">
    <w:abstractNumId w:val="2"/>
  </w:num>
  <w:num w:numId="17" w16cid:durableId="398865394">
    <w:abstractNumId w:val="1"/>
  </w:num>
  <w:num w:numId="18" w16cid:durableId="1531449895">
    <w:abstractNumId w:val="1"/>
  </w:num>
  <w:num w:numId="19" w16cid:durableId="1138643894">
    <w:abstractNumId w:val="0"/>
  </w:num>
  <w:num w:numId="20" w16cid:durableId="723333151">
    <w:abstractNumId w:val="0"/>
  </w:num>
  <w:num w:numId="21" w16cid:durableId="1623538627">
    <w:abstractNumId w:val="9"/>
  </w:num>
  <w:num w:numId="22" w16cid:durableId="44376830">
    <w:abstractNumId w:val="7"/>
  </w:num>
  <w:num w:numId="23" w16cid:durableId="1168254789">
    <w:abstractNumId w:val="6"/>
  </w:num>
  <w:num w:numId="24" w16cid:durableId="1610045843">
    <w:abstractNumId w:val="5"/>
  </w:num>
  <w:num w:numId="25" w16cid:durableId="1528787285">
    <w:abstractNumId w:val="4"/>
  </w:num>
  <w:num w:numId="26" w16cid:durableId="425688632">
    <w:abstractNumId w:val="8"/>
  </w:num>
  <w:num w:numId="27" w16cid:durableId="547032947">
    <w:abstractNumId w:val="3"/>
  </w:num>
  <w:num w:numId="28" w16cid:durableId="1548564301">
    <w:abstractNumId w:val="2"/>
  </w:num>
  <w:num w:numId="29" w16cid:durableId="2140493859">
    <w:abstractNumId w:val="1"/>
  </w:num>
  <w:num w:numId="30" w16cid:durableId="441998247">
    <w:abstractNumId w:val="0"/>
  </w:num>
  <w:num w:numId="31" w16cid:durableId="456338408">
    <w:abstractNumId w:val="9"/>
  </w:num>
  <w:num w:numId="32" w16cid:durableId="560598537">
    <w:abstractNumId w:val="7"/>
  </w:num>
  <w:num w:numId="33" w16cid:durableId="1352025701">
    <w:abstractNumId w:val="6"/>
  </w:num>
  <w:num w:numId="34" w16cid:durableId="1105466840">
    <w:abstractNumId w:val="5"/>
  </w:num>
  <w:num w:numId="35" w16cid:durableId="2044817911">
    <w:abstractNumId w:val="4"/>
  </w:num>
  <w:num w:numId="36" w16cid:durableId="1769811672">
    <w:abstractNumId w:val="8"/>
  </w:num>
  <w:num w:numId="37" w16cid:durableId="327371748">
    <w:abstractNumId w:val="3"/>
  </w:num>
  <w:num w:numId="38" w16cid:durableId="93134092">
    <w:abstractNumId w:val="2"/>
  </w:num>
  <w:num w:numId="39" w16cid:durableId="807434330">
    <w:abstractNumId w:val="1"/>
  </w:num>
  <w:num w:numId="40" w16cid:durableId="652373250">
    <w:abstractNumId w:val="0"/>
  </w:num>
  <w:num w:numId="41" w16cid:durableId="1314795090">
    <w:abstractNumId w:val="10"/>
  </w:num>
  <w:num w:numId="42" w16cid:durableId="773749839">
    <w:abstractNumId w:val="10"/>
  </w:num>
  <w:num w:numId="43" w16cid:durableId="2141069843">
    <w:abstractNumId w:val="10"/>
  </w:num>
  <w:num w:numId="44" w16cid:durableId="5063313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4/2025"/>
    <w:docVar w:name="dvlangue" w:val="SL"/>
    <w:docVar w:name="dvnumam" w:val="0"/>
    <w:docVar w:name="dvpe" w:val="764.993"/>
    <w:docVar w:name="dvrapporteur" w:val="Poročevalec: "/>
    <w:docVar w:name="dvtitre" w:val="Sklep Evropskega parlamenta z dne … 2025 o razrešnici glede izvrševanja splošnega proračuna Evropske unije za proračunsko leto 2023, oddelek VI – Evropski ekonomsko-socialni odbor(2024/2025(DEC))"/>
  </w:docVars>
  <w:rsids>
    <w:rsidRoot w:val="001C5D64"/>
    <w:rsid w:val="00002272"/>
    <w:rsid w:val="00064002"/>
    <w:rsid w:val="000677B9"/>
    <w:rsid w:val="000831BA"/>
    <w:rsid w:val="000A42CC"/>
    <w:rsid w:val="000E7DD9"/>
    <w:rsid w:val="0010095E"/>
    <w:rsid w:val="00125B37"/>
    <w:rsid w:val="00187494"/>
    <w:rsid w:val="001A119D"/>
    <w:rsid w:val="001C5D64"/>
    <w:rsid w:val="001F32AE"/>
    <w:rsid w:val="002767FF"/>
    <w:rsid w:val="002B18FE"/>
    <w:rsid w:val="002B5493"/>
    <w:rsid w:val="0034131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6520E"/>
    <w:rsid w:val="00786EC0"/>
    <w:rsid w:val="007D1690"/>
    <w:rsid w:val="007E22AD"/>
    <w:rsid w:val="00817416"/>
    <w:rsid w:val="00842779"/>
    <w:rsid w:val="00861C9F"/>
    <w:rsid w:val="00861CCF"/>
    <w:rsid w:val="00865F67"/>
    <w:rsid w:val="00881A7B"/>
    <w:rsid w:val="008840E5"/>
    <w:rsid w:val="00887B3E"/>
    <w:rsid w:val="008C2AC6"/>
    <w:rsid w:val="00930C23"/>
    <w:rsid w:val="0093193B"/>
    <w:rsid w:val="009509D8"/>
    <w:rsid w:val="00950B64"/>
    <w:rsid w:val="00981893"/>
    <w:rsid w:val="009C3882"/>
    <w:rsid w:val="00A1687D"/>
    <w:rsid w:val="00A43E52"/>
    <w:rsid w:val="00A44F54"/>
    <w:rsid w:val="00A4678D"/>
    <w:rsid w:val="00A70F49"/>
    <w:rsid w:val="00A778C7"/>
    <w:rsid w:val="00AB441E"/>
    <w:rsid w:val="00AB6293"/>
    <w:rsid w:val="00AE0928"/>
    <w:rsid w:val="00AE34E4"/>
    <w:rsid w:val="00AF3B82"/>
    <w:rsid w:val="00B10BCD"/>
    <w:rsid w:val="00B12E95"/>
    <w:rsid w:val="00B22876"/>
    <w:rsid w:val="00B558F0"/>
    <w:rsid w:val="00BA44CD"/>
    <w:rsid w:val="00BD48FE"/>
    <w:rsid w:val="00BD7BD8"/>
    <w:rsid w:val="00BE42D9"/>
    <w:rsid w:val="00BE6ADC"/>
    <w:rsid w:val="00C05BFE"/>
    <w:rsid w:val="00C23CD4"/>
    <w:rsid w:val="00C61C0C"/>
    <w:rsid w:val="00C941CB"/>
    <w:rsid w:val="00CC2357"/>
    <w:rsid w:val="00CF071A"/>
    <w:rsid w:val="00D058B8"/>
    <w:rsid w:val="00D56C11"/>
    <w:rsid w:val="00D834A0"/>
    <w:rsid w:val="00D872DF"/>
    <w:rsid w:val="00D91E21"/>
    <w:rsid w:val="00D962E9"/>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A1DBB0"/>
  <w15:chartTrackingRefBased/>
  <w15:docId w15:val="{F22A6142-D39D-4492-BFFF-33F313AD5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E34E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E34E4"/>
    <w:pPr>
      <w:spacing w:before="480" w:after="240"/>
    </w:pPr>
  </w:style>
  <w:style w:type="paragraph" w:customStyle="1" w:styleId="PageHeading">
    <w:name w:val="PageHeading"/>
    <w:basedOn w:val="Normal"/>
    <w:rsid w:val="00AE34E4"/>
    <w:pPr>
      <w:keepNext/>
      <w:spacing w:after="480"/>
      <w:jc w:val="center"/>
    </w:pPr>
    <w:rPr>
      <w:rFonts w:ascii="Arial" w:hAnsi="Arial" w:cs="Arial"/>
      <w:b/>
    </w:rPr>
  </w:style>
  <w:style w:type="paragraph" w:customStyle="1" w:styleId="NormalBold">
    <w:name w:val="NormalBold"/>
    <w:basedOn w:val="Normal"/>
    <w:rsid w:val="00AE34E4"/>
    <w:rPr>
      <w:b/>
    </w:rPr>
  </w:style>
  <w:style w:type="paragraph" w:customStyle="1" w:styleId="NormalHanging12a">
    <w:name w:val="NormalHanging12a"/>
    <w:basedOn w:val="Normal"/>
    <w:link w:val="NormalHanging12aChar"/>
    <w:qFormat/>
    <w:rsid w:val="00AE34E4"/>
    <w:pPr>
      <w:spacing w:after="240"/>
      <w:ind w:left="567" w:hanging="567"/>
    </w:pPr>
  </w:style>
  <w:style w:type="paragraph" w:styleId="Header">
    <w:name w:val="header"/>
    <w:basedOn w:val="Normal"/>
    <w:link w:val="HeaderChar"/>
    <w:rsid w:val="00AE34E4"/>
    <w:pPr>
      <w:tabs>
        <w:tab w:val="center" w:pos="4513"/>
        <w:tab w:val="right" w:pos="9026"/>
      </w:tabs>
    </w:pPr>
  </w:style>
  <w:style w:type="character" w:customStyle="1" w:styleId="HeaderChar">
    <w:name w:val="Header Char"/>
    <w:basedOn w:val="DefaultParagraphFont"/>
    <w:link w:val="Header"/>
    <w:rsid w:val="00AE34E4"/>
    <w:rPr>
      <w:sz w:val="24"/>
      <w:lang w:val="sl-SI"/>
    </w:rPr>
  </w:style>
  <w:style w:type="paragraph" w:customStyle="1" w:styleId="EPFooter">
    <w:name w:val="EPFooter"/>
    <w:basedOn w:val="Normal"/>
    <w:rsid w:val="00AE34E4"/>
    <w:pPr>
      <w:tabs>
        <w:tab w:val="center" w:pos="4535"/>
        <w:tab w:val="right" w:pos="9071"/>
      </w:tabs>
      <w:spacing w:before="240" w:after="240"/>
    </w:pPr>
    <w:rPr>
      <w:color w:val="010000"/>
      <w:sz w:val="22"/>
    </w:rPr>
  </w:style>
  <w:style w:type="character" w:styleId="Hyperlink">
    <w:name w:val="Hyperlink"/>
    <w:basedOn w:val="DefaultParagraphFont"/>
    <w:uiPriority w:val="99"/>
    <w:rsid w:val="00AE34E4"/>
    <w:rPr>
      <w:color w:val="0563C1" w:themeColor="hyperlink"/>
      <w:u w:val="single"/>
    </w:rPr>
  </w:style>
  <w:style w:type="character" w:customStyle="1" w:styleId="NormalHanging12aChar">
    <w:name w:val="NormalHanging12a Char"/>
    <w:basedOn w:val="DefaultParagraphFont"/>
    <w:link w:val="NormalHanging12a"/>
    <w:locked/>
    <w:rsid w:val="00AE34E4"/>
    <w:rPr>
      <w:sz w:val="24"/>
      <w:lang w:val="sl-SI"/>
    </w:rPr>
  </w:style>
  <w:style w:type="paragraph" w:customStyle="1" w:styleId="Normal6a">
    <w:name w:val="Normal6a"/>
    <w:basedOn w:val="Normal"/>
    <w:rsid w:val="00AE34E4"/>
    <w:pPr>
      <w:spacing w:after="120"/>
    </w:pPr>
  </w:style>
  <w:style w:type="paragraph" w:styleId="BalloonText">
    <w:name w:val="Balloon Text"/>
    <w:basedOn w:val="Normal"/>
    <w:link w:val="BalloonTextChar"/>
    <w:rsid w:val="0076520E"/>
    <w:rPr>
      <w:rFonts w:ascii="Segoe UI" w:hAnsi="Segoe UI" w:cs="Segoe UI"/>
      <w:sz w:val="18"/>
      <w:szCs w:val="18"/>
    </w:rPr>
  </w:style>
  <w:style w:type="character" w:customStyle="1" w:styleId="BalloonTextChar">
    <w:name w:val="Balloon Text Char"/>
    <w:basedOn w:val="DefaultParagraphFont"/>
    <w:link w:val="BalloonText"/>
    <w:rsid w:val="0076520E"/>
    <w:rPr>
      <w:rFonts w:ascii="Segoe UI" w:hAnsi="Segoe UI" w:cs="Segoe UI"/>
      <w:sz w:val="18"/>
      <w:szCs w:val="18"/>
      <w:lang w:val="sl-SI"/>
    </w:rPr>
  </w:style>
  <w:style w:type="character" w:customStyle="1" w:styleId="Hyperlink1">
    <w:name w:val="Hyperlink1"/>
    <w:basedOn w:val="DefaultParagraphFont"/>
    <w:rsid w:val="00B10BCD"/>
    <w:rPr>
      <w:color w:val="0563C1"/>
      <w:u w:val="single"/>
    </w:rPr>
  </w:style>
  <w:style w:type="character" w:styleId="CommentReference">
    <w:name w:val="annotation reference"/>
    <w:basedOn w:val="DefaultParagraphFont"/>
    <w:uiPriority w:val="99"/>
    <w:unhideWhenUsed/>
    <w:rsid w:val="00B10BCD"/>
    <w:rPr>
      <w:sz w:val="16"/>
      <w:szCs w:val="16"/>
    </w:rPr>
  </w:style>
  <w:style w:type="paragraph" w:customStyle="1" w:styleId="CommentText1">
    <w:name w:val="Comment Text1"/>
    <w:basedOn w:val="Normal"/>
    <w:next w:val="CommentText"/>
    <w:link w:val="CommentTextChar"/>
    <w:uiPriority w:val="99"/>
    <w:semiHidden/>
    <w:unhideWhenUsed/>
    <w:rsid w:val="00B10BCD"/>
    <w:pPr>
      <w:widowControl/>
      <w:jc w:val="both"/>
    </w:pPr>
    <w:rPr>
      <w:sz w:val="20"/>
      <w:lang w:val="en-GB"/>
    </w:rPr>
  </w:style>
  <w:style w:type="character" w:customStyle="1" w:styleId="CommentTextChar">
    <w:name w:val="Comment Text Char"/>
    <w:basedOn w:val="DefaultParagraphFont"/>
    <w:link w:val="CommentText1"/>
    <w:uiPriority w:val="99"/>
    <w:semiHidden/>
    <w:rsid w:val="00B10BCD"/>
    <w:rPr>
      <w:rFonts w:ascii="Times New Roman" w:hAnsi="Times New Roman"/>
      <w:sz w:val="20"/>
      <w:szCs w:val="20"/>
    </w:rPr>
  </w:style>
  <w:style w:type="paragraph" w:styleId="CommentText">
    <w:name w:val="annotation text"/>
    <w:basedOn w:val="Normal"/>
    <w:link w:val="CommentTextChar1"/>
    <w:rsid w:val="00B10BCD"/>
    <w:rPr>
      <w:sz w:val="20"/>
    </w:rPr>
  </w:style>
  <w:style w:type="character" w:customStyle="1" w:styleId="CommentTextChar1">
    <w:name w:val="Comment Text Char1"/>
    <w:basedOn w:val="DefaultParagraphFont"/>
    <w:link w:val="CommentText"/>
    <w:rsid w:val="00B10BCD"/>
    <w:rPr>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C40E3A-DBCE-4307-8B3C-54E120B56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7257</Words>
  <Characters>41543</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GOROPECNIK Tina</cp:lastModifiedBy>
  <cp:revision>2</cp:revision>
  <cp:lastPrinted>2004-11-19T15:42:00Z</cp:lastPrinted>
  <dcterms:created xsi:type="dcterms:W3CDTF">2025-12-04T08:40:00Z</dcterms:created>
  <dcterms:modified xsi:type="dcterms:W3CDTF">2025-12-04T08:40:00Z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P10_TA(2025)0082_</vt:lpwstr>
  </property>
  <property fmtid="{D5CDD505-2E9C-101B-9397-08002B2CF9AE}" pid="4" name="&lt;Type&gt;">
    <vt:lpwstr>RR</vt:lpwstr>
  </property>
</Properties>
</file>