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7CA" w14:paraId="5BCE9A0F" w14:textId="77777777" w:rsidTr="0010095E">
        <w:trPr>
          <w:trHeight w:hRule="exact" w:val="1418"/>
        </w:trPr>
        <w:tc>
          <w:tcPr>
            <w:tcW w:w="6804" w:type="dxa"/>
            <w:shd w:val="clear" w:color="auto" w:fill="auto"/>
            <w:vAlign w:val="center"/>
          </w:tcPr>
          <w:p w14:paraId="21AE56E1" w14:textId="77777777" w:rsidR="00751A4A" w:rsidRPr="003E07CA" w:rsidRDefault="0004382D" w:rsidP="0010095E">
            <w:pPr>
              <w:pStyle w:val="EPName"/>
            </w:pPr>
            <w:r w:rsidRPr="003E07CA">
              <w:t>Europa-Parlamentet</w:t>
            </w:r>
          </w:p>
          <w:p w14:paraId="3847CA1C" w14:textId="77777777" w:rsidR="00751A4A" w:rsidRPr="003E07CA" w:rsidRDefault="005F1B17" w:rsidP="005F1B17">
            <w:pPr>
              <w:pStyle w:val="EPTerm"/>
              <w:rPr>
                <w:rStyle w:val="HideTWBExt"/>
                <w:noProof w:val="0"/>
                <w:vanish w:val="0"/>
                <w:color w:val="auto"/>
              </w:rPr>
            </w:pPr>
            <w:r w:rsidRPr="003E07CA">
              <w:t>2024</w:t>
            </w:r>
            <w:r w:rsidR="00817416" w:rsidRPr="003E07CA">
              <w:t>-202</w:t>
            </w:r>
            <w:r w:rsidRPr="003E07CA">
              <w:t>9</w:t>
            </w:r>
          </w:p>
        </w:tc>
        <w:tc>
          <w:tcPr>
            <w:tcW w:w="2268" w:type="dxa"/>
            <w:shd w:val="clear" w:color="auto" w:fill="auto"/>
          </w:tcPr>
          <w:p w14:paraId="35215BE1" w14:textId="77777777" w:rsidR="00751A4A" w:rsidRPr="003E07CA" w:rsidRDefault="00187494" w:rsidP="0010095E">
            <w:pPr>
              <w:pStyle w:val="EPLogo"/>
            </w:pPr>
            <w:r w:rsidRPr="003E07CA">
              <w:rPr>
                <w:noProof/>
                <w:lang w:val="en-GB"/>
              </w:rPr>
              <w:drawing>
                <wp:inline distT="0" distB="0" distL="0" distR="0" wp14:anchorId="06F06ACF" wp14:editId="503E2C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F90AB1" w14:textId="77777777" w:rsidR="00D058B8" w:rsidRPr="003E07CA" w:rsidRDefault="00D058B8" w:rsidP="004C5D52">
      <w:pPr>
        <w:pStyle w:val="LineTop"/>
      </w:pPr>
    </w:p>
    <w:p w14:paraId="301BE897" w14:textId="77777777" w:rsidR="00680577" w:rsidRPr="003E07CA" w:rsidRDefault="0004382D" w:rsidP="00680577">
      <w:pPr>
        <w:pStyle w:val="EPBodyTA1"/>
      </w:pPr>
      <w:r w:rsidRPr="003E07CA">
        <w:t>VEDTAGNE TEKSTER</w:t>
      </w:r>
    </w:p>
    <w:p w14:paraId="39B6BCDA" w14:textId="77777777" w:rsidR="00D058B8" w:rsidRPr="003E07CA" w:rsidRDefault="00D058B8" w:rsidP="00D058B8">
      <w:pPr>
        <w:pStyle w:val="LineBottom"/>
      </w:pPr>
    </w:p>
    <w:p w14:paraId="3277C26D" w14:textId="77777777" w:rsidR="0004382D" w:rsidRPr="003E07CA" w:rsidRDefault="0004382D" w:rsidP="0004382D">
      <w:pPr>
        <w:pStyle w:val="ATHeading1"/>
      </w:pPr>
      <w:bookmarkStart w:id="0" w:name="TANumber"/>
      <w:r w:rsidRPr="003E07CA">
        <w:t>P10_TA(2025)00</w:t>
      </w:r>
      <w:r w:rsidR="0090664C" w:rsidRPr="003E07CA">
        <w:t>83</w:t>
      </w:r>
      <w:bookmarkEnd w:id="0"/>
    </w:p>
    <w:p w14:paraId="376A9129" w14:textId="77777777" w:rsidR="0004382D" w:rsidRPr="003E07CA" w:rsidRDefault="0004382D" w:rsidP="0004382D">
      <w:pPr>
        <w:pStyle w:val="ATHeading2"/>
      </w:pPr>
      <w:bookmarkStart w:id="1" w:name="title"/>
      <w:r w:rsidRPr="003E07CA">
        <w:t>Decharge 2023: EU's almindelige budget - Regionsudvalget</w:t>
      </w:r>
      <w:bookmarkEnd w:id="1"/>
    </w:p>
    <w:p w14:paraId="0E4FA944" w14:textId="77777777" w:rsidR="0004382D" w:rsidRPr="003E07CA" w:rsidRDefault="0004382D" w:rsidP="0004382D">
      <w:pPr>
        <w:rPr>
          <w:i/>
          <w:vanish/>
        </w:rPr>
      </w:pPr>
      <w:r w:rsidRPr="003E07CA">
        <w:rPr>
          <w:i/>
        </w:rPr>
        <w:fldChar w:fldCharType="begin"/>
      </w:r>
      <w:r w:rsidRPr="003E07CA">
        <w:rPr>
          <w:i/>
        </w:rPr>
        <w:instrText xml:space="preserve"> TC"(</w:instrText>
      </w:r>
      <w:bookmarkStart w:id="2" w:name="DocNumber"/>
      <w:r w:rsidRPr="003E07CA">
        <w:rPr>
          <w:i/>
        </w:rPr>
        <w:instrText>A10-0046/2025</w:instrText>
      </w:r>
      <w:bookmarkEnd w:id="2"/>
      <w:r w:rsidRPr="003E07CA">
        <w:rPr>
          <w:i/>
        </w:rPr>
        <w:instrText xml:space="preserve"> - Ordfører: Joachim </w:instrText>
      </w:r>
      <w:proofErr w:type="spellStart"/>
      <w:r w:rsidRPr="003E07CA">
        <w:rPr>
          <w:i/>
        </w:rPr>
        <w:instrText>Stanisław</w:instrText>
      </w:r>
      <w:proofErr w:type="spellEnd"/>
      <w:r w:rsidRPr="003E07CA">
        <w:rPr>
          <w:i/>
        </w:rPr>
        <w:instrText xml:space="preserve"> </w:instrText>
      </w:r>
      <w:proofErr w:type="spellStart"/>
      <w:r w:rsidRPr="003E07CA">
        <w:rPr>
          <w:i/>
        </w:rPr>
        <w:instrText>Brudziński</w:instrText>
      </w:r>
      <w:proofErr w:type="spellEnd"/>
      <w:r w:rsidRPr="003E07CA">
        <w:rPr>
          <w:i/>
        </w:rPr>
        <w:instrText xml:space="preserve">)"\l3 \n&gt; \* MERGEFORMAT </w:instrText>
      </w:r>
      <w:r w:rsidRPr="003E07CA">
        <w:rPr>
          <w:i/>
        </w:rPr>
        <w:fldChar w:fldCharType="end"/>
      </w:r>
    </w:p>
    <w:p w14:paraId="211D413D" w14:textId="77777777" w:rsidR="0004382D" w:rsidRPr="003E07CA" w:rsidRDefault="0004382D" w:rsidP="0004382D">
      <w:pPr>
        <w:rPr>
          <w:vanish/>
        </w:rPr>
      </w:pPr>
      <w:bookmarkStart w:id="3" w:name="Commission"/>
      <w:r w:rsidRPr="003E07CA">
        <w:rPr>
          <w:vanish/>
        </w:rPr>
        <w:t>Budgetkontroludvalget</w:t>
      </w:r>
      <w:bookmarkEnd w:id="3"/>
    </w:p>
    <w:p w14:paraId="7A5C8917" w14:textId="77777777" w:rsidR="0004382D" w:rsidRPr="003E07CA" w:rsidRDefault="0004382D" w:rsidP="0004382D">
      <w:pPr>
        <w:rPr>
          <w:vanish/>
        </w:rPr>
      </w:pPr>
      <w:bookmarkStart w:id="4" w:name="PE"/>
      <w:r w:rsidRPr="003E07CA">
        <w:rPr>
          <w:vanish/>
        </w:rPr>
        <w:t>PE764.992</w:t>
      </w:r>
      <w:bookmarkEnd w:id="4"/>
    </w:p>
    <w:p w14:paraId="46B89E2B" w14:textId="73D759EC" w:rsidR="00321181" w:rsidRPr="003E07CA" w:rsidRDefault="00321181" w:rsidP="00321181">
      <w:pPr>
        <w:pStyle w:val="ATHeading3"/>
      </w:pPr>
      <w:r w:rsidRPr="003E07CA">
        <w:t>1. Europa-Parlamentets afgørelse af 7. maj 2025 om decharge for gennemførelsen af Den Europæiske Unions almindelige budget for regnskabsåret 2023, Sektion VII – Regionsudvalget (2024/2026(DEC))</w:t>
      </w:r>
    </w:p>
    <w:p w14:paraId="3398ADDD" w14:textId="1C9CDA8E" w:rsidR="00321181" w:rsidRPr="003E07CA" w:rsidRDefault="00321181" w:rsidP="00321181">
      <w:pPr>
        <w:spacing w:before="480" w:after="240"/>
        <w:rPr>
          <w:i/>
          <w:iCs/>
        </w:rPr>
      </w:pPr>
      <w:r w:rsidRPr="003E07CA">
        <w:rPr>
          <w:i/>
          <w:iCs/>
        </w:rPr>
        <w:t>Europa-Parlamentet,</w:t>
      </w:r>
    </w:p>
    <w:p w14:paraId="0352D3C0" w14:textId="27A1B9E8" w:rsidR="00321181" w:rsidRPr="003E07CA" w:rsidRDefault="00321181" w:rsidP="00321181">
      <w:pPr>
        <w:spacing w:after="240"/>
        <w:ind w:left="567" w:hanging="567"/>
      </w:pPr>
      <w:r w:rsidRPr="003E07CA">
        <w:t>–</w:t>
      </w:r>
      <w:r w:rsidRPr="003E07CA">
        <w:tab/>
        <w:t>der henviser til Den Europæiske Unions almindelige budget for regnskabsåret 2023</w:t>
      </w:r>
      <w:r w:rsidRPr="003E07CA">
        <w:rPr>
          <w:vertAlign w:val="superscript"/>
        </w:rPr>
        <w:footnoteReference w:id="1"/>
      </w:r>
      <w:r w:rsidRPr="003E07CA">
        <w:t>,</w:t>
      </w:r>
    </w:p>
    <w:p w14:paraId="1B9225C6" w14:textId="1589B325" w:rsidR="00321181" w:rsidRPr="003E07CA" w:rsidRDefault="00321181" w:rsidP="00321181">
      <w:pPr>
        <w:spacing w:after="240"/>
        <w:ind w:left="567" w:hanging="567"/>
      </w:pPr>
      <w:r w:rsidRPr="003E07CA">
        <w:t>–</w:t>
      </w:r>
      <w:r w:rsidRPr="003E07CA">
        <w:tab/>
        <w:t>der henviser til Den Europæiske Unions konsoliderede årsregnskab for regnskabsåret 2023 (</w:t>
      </w:r>
      <w:proofErr w:type="gramStart"/>
      <w:r w:rsidRPr="003E07CA">
        <w:t>COM(</w:t>
      </w:r>
      <w:proofErr w:type="gramEnd"/>
      <w:r w:rsidRPr="003E07CA">
        <w:t>2024)0272 – C10</w:t>
      </w:r>
      <w:r w:rsidRPr="003E07CA">
        <w:noBreakHyphen/>
        <w:t>0074/2024)</w:t>
      </w:r>
      <w:r w:rsidRPr="003E07CA">
        <w:rPr>
          <w:vertAlign w:val="superscript"/>
        </w:rPr>
        <w:footnoteReference w:id="2"/>
      </w:r>
      <w:r w:rsidRPr="003E07CA">
        <w:t>,</w:t>
      </w:r>
    </w:p>
    <w:p w14:paraId="50BFD92C" w14:textId="5EAA5D25" w:rsidR="00321181" w:rsidRPr="003E07CA" w:rsidRDefault="00321181" w:rsidP="00321181">
      <w:pPr>
        <w:spacing w:after="240"/>
        <w:ind w:left="567" w:hanging="567"/>
      </w:pPr>
      <w:r w:rsidRPr="003E07CA">
        <w:t>–</w:t>
      </w:r>
      <w:r w:rsidRPr="003E07CA">
        <w:tab/>
        <w:t>der henviser til Regionsudvalgets årlige aktivitetsrapport for 2023 og dets beretning om den budgetmæssige og økonomiske forvaltning for regnskabsåret 2023,</w:t>
      </w:r>
    </w:p>
    <w:p w14:paraId="6AFB5F53" w14:textId="48C448F4" w:rsidR="00321181" w:rsidRPr="003E07CA" w:rsidRDefault="00321181" w:rsidP="00321181">
      <w:pPr>
        <w:spacing w:after="240"/>
        <w:ind w:left="567" w:hanging="567"/>
      </w:pPr>
      <w:r w:rsidRPr="003E07CA">
        <w:t>–</w:t>
      </w:r>
      <w:r w:rsidRPr="003E07CA">
        <w:tab/>
        <w:t>der henviser til Revisionsrettens årsberetning om budgetgennemførelsen i regnskabsåret 2023, med institutionernes svar</w:t>
      </w:r>
      <w:r w:rsidRPr="003E07CA">
        <w:rPr>
          <w:vertAlign w:val="superscript"/>
        </w:rPr>
        <w:footnoteReference w:id="3"/>
      </w:r>
      <w:r w:rsidRPr="003E07CA">
        <w:t>,</w:t>
      </w:r>
    </w:p>
    <w:p w14:paraId="4884D409" w14:textId="2D2FA3CA" w:rsidR="00321181" w:rsidRPr="003E07CA" w:rsidRDefault="00321181" w:rsidP="00321181">
      <w:pPr>
        <w:spacing w:after="240"/>
        <w:ind w:left="567" w:hanging="567"/>
      </w:pPr>
      <w:r w:rsidRPr="003E07CA">
        <w:t>–</w:t>
      </w:r>
      <w:r w:rsidRPr="003E07CA">
        <w:tab/>
        <w:t>der henviser til Revisionsrettens erklæring</w:t>
      </w:r>
      <w:r w:rsidRPr="003E07CA">
        <w:rPr>
          <w:vertAlign w:val="superscript"/>
        </w:rPr>
        <w:footnoteReference w:id="4"/>
      </w:r>
      <w:r w:rsidRPr="003E07CA">
        <w:t xml:space="preserve"> for regnskabsåret 2023 om regnskabernes rigtighed og de underliggende transaktioners lovlighed og formelle rigtighed, jf. artikel 287 i traktaten om Den Europæiske Unions funktionsmåde,</w:t>
      </w:r>
    </w:p>
    <w:p w14:paraId="2AC731DD" w14:textId="17AB4C7C" w:rsidR="00321181" w:rsidRPr="003E07CA" w:rsidRDefault="00321181" w:rsidP="00321181">
      <w:pPr>
        <w:spacing w:after="240"/>
        <w:ind w:left="567" w:hanging="567"/>
      </w:pPr>
      <w:r w:rsidRPr="003E07CA">
        <w:t>–</w:t>
      </w:r>
      <w:r w:rsidRPr="003E07CA">
        <w:tab/>
        <w:t>der henviser til artikel 314, stk. 10, og artikel 317, 318 og 319 i traktaten om Den Europæiske Unions funktionsmåde,</w:t>
      </w:r>
    </w:p>
    <w:p w14:paraId="36D0C7E6" w14:textId="21A1EB32" w:rsidR="00321181" w:rsidRPr="003E07CA" w:rsidRDefault="00321181" w:rsidP="00321181">
      <w:pPr>
        <w:spacing w:after="240"/>
        <w:ind w:left="567" w:hanging="567"/>
      </w:pPr>
      <w:r w:rsidRPr="003E07CA">
        <w:t>–</w:t>
      </w:r>
      <w:r w:rsidRPr="003E07CA">
        <w:tab/>
        <w:t xml:space="preserve">der henviser til Europa-Parlamentets og Rådets forordning (EU, </w:t>
      </w:r>
      <w:proofErr w:type="spellStart"/>
      <w:r w:rsidRPr="003E07CA">
        <w:t>Euratom</w:t>
      </w:r>
      <w:proofErr w:type="spellEnd"/>
      <w:r w:rsidRPr="003E07CA">
        <w:t xml:space="preserve">) 2018/1046 af 18. juli 2018 om de finansielle regler vedrørende Unionens almindelige budget, om ændring af forordning (EU) nr. 1296/2013, (EU) nr. 1301/2013, (EU) nr. 1303/2013, (EU) nr. 1304/2013, (EU) nr. 1309/2013, (EU) nr. 1316/2013, (EU) nr. 223/2014, (EU) </w:t>
      </w:r>
      <w:r w:rsidRPr="003E07CA">
        <w:lastRenderedPageBreak/>
        <w:t xml:space="preserve">nr. 283/2014 og afgørelse nr. 541/2014/EU og om ophævelse af forordning (EU, </w:t>
      </w:r>
      <w:proofErr w:type="spellStart"/>
      <w:r w:rsidRPr="003E07CA">
        <w:t>Euratom</w:t>
      </w:r>
      <w:proofErr w:type="spellEnd"/>
      <w:r w:rsidRPr="003E07CA">
        <w:t>) nr. 966/2012</w:t>
      </w:r>
      <w:r w:rsidRPr="003E07CA">
        <w:rPr>
          <w:vertAlign w:val="superscript"/>
        </w:rPr>
        <w:footnoteReference w:id="5"/>
      </w:r>
      <w:r w:rsidRPr="003E07CA">
        <w:t>, særlig artikel 59, 118, 260, 261 og 262,</w:t>
      </w:r>
    </w:p>
    <w:p w14:paraId="02918984" w14:textId="5BC88ED7" w:rsidR="00321181" w:rsidRPr="003E07CA" w:rsidRDefault="00321181" w:rsidP="00321181">
      <w:pPr>
        <w:spacing w:after="240"/>
        <w:ind w:left="567" w:hanging="567"/>
      </w:pPr>
      <w:r w:rsidRPr="003E07CA">
        <w:t>–</w:t>
      </w:r>
      <w:r w:rsidRPr="003E07CA">
        <w:tab/>
        <w:t xml:space="preserve">der henviser til </w:t>
      </w:r>
      <w:r w:rsidRPr="003E07CA">
        <w:rPr>
          <w:color w:val="333333"/>
          <w:shd w:val="clear" w:color="auto" w:fill="FFFFFF"/>
        </w:rPr>
        <w:t xml:space="preserve">Europa-Parlamentets og Rådets forordning (EU, </w:t>
      </w:r>
      <w:proofErr w:type="spellStart"/>
      <w:r w:rsidRPr="003E07CA">
        <w:rPr>
          <w:color w:val="333333"/>
          <w:shd w:val="clear" w:color="auto" w:fill="FFFFFF"/>
        </w:rPr>
        <w:t>Euratom</w:t>
      </w:r>
      <w:proofErr w:type="spellEnd"/>
      <w:r w:rsidRPr="003E07CA">
        <w:rPr>
          <w:color w:val="333333"/>
          <w:shd w:val="clear" w:color="auto" w:fill="FFFFFF"/>
        </w:rPr>
        <w:t>) 2024/2509 af 23. september 2024 om de finansielle regler vedrørende Unionens almindelige budget</w:t>
      </w:r>
      <w:r w:rsidRPr="003E07CA">
        <w:rPr>
          <w:bCs/>
          <w:color w:val="333333"/>
          <w:shd w:val="clear" w:color="auto" w:fill="FFFFFF"/>
          <w:vertAlign w:val="superscript"/>
        </w:rPr>
        <w:footnoteReference w:id="6"/>
      </w:r>
      <w:r w:rsidRPr="003E07CA">
        <w:rPr>
          <w:color w:val="333333"/>
          <w:shd w:val="clear" w:color="auto" w:fill="FFFFFF"/>
        </w:rPr>
        <w:t>, særlig artikel 59, 118, 266, 267 og 268</w:t>
      </w:r>
      <w:r w:rsidRPr="003E07CA">
        <w:t>,</w:t>
      </w:r>
    </w:p>
    <w:p w14:paraId="245540F5" w14:textId="381CB85B" w:rsidR="00321181" w:rsidRPr="003E07CA" w:rsidRDefault="00321181" w:rsidP="00321181">
      <w:pPr>
        <w:spacing w:after="240"/>
        <w:ind w:left="567" w:hanging="567"/>
      </w:pPr>
      <w:r w:rsidRPr="003E07CA">
        <w:t>–</w:t>
      </w:r>
      <w:r w:rsidRPr="003E07CA">
        <w:tab/>
        <w:t>der henviser til forretningsordenens artikel 102 og bilag V,</w:t>
      </w:r>
    </w:p>
    <w:p w14:paraId="75A9ACBA" w14:textId="40D94444" w:rsidR="00321181" w:rsidRPr="003E07CA" w:rsidRDefault="00321181" w:rsidP="00321181">
      <w:pPr>
        <w:spacing w:after="240"/>
        <w:ind w:left="567" w:hanging="567"/>
      </w:pPr>
      <w:r w:rsidRPr="003E07CA">
        <w:t>–</w:t>
      </w:r>
      <w:r w:rsidRPr="003E07CA">
        <w:tab/>
        <w:t>der henviser til betænkning fra Budgetkontroludvalget (A10-0046/2025),</w:t>
      </w:r>
    </w:p>
    <w:p w14:paraId="0954557B" w14:textId="77777777" w:rsidR="00321181" w:rsidRPr="003E07CA" w:rsidRDefault="00321181" w:rsidP="00321181">
      <w:pPr>
        <w:spacing w:after="240"/>
        <w:ind w:left="567" w:hanging="567"/>
      </w:pPr>
      <w:r w:rsidRPr="003E07CA">
        <w:t>1.</w:t>
      </w:r>
      <w:r w:rsidRPr="003E07CA">
        <w:tab/>
        <w:t>meddeler Regionsudvalgets generalsekretær decharge for gennemførelsen af Regionsudvalgets budget for regnskabsåret 2023;</w:t>
      </w:r>
    </w:p>
    <w:p w14:paraId="0360178B" w14:textId="77777777" w:rsidR="00321181" w:rsidRPr="003E07CA" w:rsidRDefault="00321181" w:rsidP="00321181">
      <w:pPr>
        <w:spacing w:after="240"/>
        <w:ind w:left="567" w:hanging="567"/>
      </w:pPr>
      <w:r w:rsidRPr="003E07CA">
        <w:t>2.</w:t>
      </w:r>
      <w:r w:rsidRPr="003E07CA">
        <w:tab/>
        <w:t>fremsætter sine bemærkninger i nedenstående beslutning;</w:t>
      </w:r>
    </w:p>
    <w:p w14:paraId="1873EA64" w14:textId="77777777" w:rsidR="00321181" w:rsidRPr="003E07CA" w:rsidRDefault="00321181" w:rsidP="00321181">
      <w:pPr>
        <w:spacing w:after="240"/>
        <w:ind w:left="567" w:hanging="567"/>
      </w:pPr>
      <w:r w:rsidRPr="003E07CA">
        <w:t>3.</w:t>
      </w:r>
      <w:r w:rsidRPr="003E07CA">
        <w:tab/>
        <w:t xml:space="preserve">pålægger sin formand at sende denne afgørelse og beslutningen, der er en integrerende del heraf, til Regionsudvalget, Rådet, Kommissionen og Revisionsretten og drage omsorg for, at de offentliggøres i </w:t>
      </w:r>
      <w:r w:rsidRPr="003E07CA">
        <w:rPr>
          <w:i/>
        </w:rPr>
        <w:t>Den Europæiske Unions Tidende</w:t>
      </w:r>
      <w:r w:rsidRPr="003E07CA">
        <w:t xml:space="preserve"> (L-udgaven).</w:t>
      </w:r>
    </w:p>
    <w:p w14:paraId="31F3CF54" w14:textId="77777777" w:rsidR="00321181" w:rsidRPr="003E07CA" w:rsidRDefault="00321181" w:rsidP="00321181">
      <w:pPr>
        <w:sectPr w:rsidR="00321181" w:rsidRPr="003E07CA" w:rsidSect="00321181">
          <w:footnotePr>
            <w:numRestart w:val="eachSect"/>
          </w:footnotePr>
          <w:endnotePr>
            <w:numFmt w:val="decimal"/>
          </w:endnotePr>
          <w:pgSz w:w="11906" w:h="16838"/>
          <w:pgMar w:top="1440" w:right="1440" w:bottom="1440" w:left="1440" w:header="708" w:footer="708" w:gutter="0"/>
          <w:cols w:space="708"/>
          <w:docGrid w:linePitch="360"/>
        </w:sectPr>
      </w:pPr>
    </w:p>
    <w:p w14:paraId="71658A8D" w14:textId="6A1CA9EF" w:rsidR="00321181" w:rsidRPr="003E07CA" w:rsidRDefault="00321181" w:rsidP="00321181">
      <w:pPr>
        <w:pStyle w:val="ATHeading3"/>
      </w:pPr>
      <w:r w:rsidRPr="003E07CA">
        <w:lastRenderedPageBreak/>
        <w:t>2. Europa-Parlamentets beslutning af 7. maj 2025 med bemærkningerne, der er en integrerende del af afgørelsen om decharge for gennemførelsen af Den Europæiske Unions almindelige budget for regnskabsåret 2023, Sektion VII – Regionsudvalget (2024/2026(DEC))</w:t>
      </w:r>
    </w:p>
    <w:p w14:paraId="661226A0" w14:textId="77777777" w:rsidR="00321181" w:rsidRPr="003E07CA" w:rsidRDefault="00321181" w:rsidP="00321181">
      <w:pPr>
        <w:spacing w:before="480" w:after="240"/>
        <w:rPr>
          <w:i/>
          <w:iCs/>
        </w:rPr>
      </w:pPr>
      <w:r w:rsidRPr="003E07CA">
        <w:rPr>
          <w:i/>
          <w:iCs/>
        </w:rPr>
        <w:t>Europa-Parlamentet,</w:t>
      </w:r>
    </w:p>
    <w:p w14:paraId="7B161496" w14:textId="4A240714" w:rsidR="00321181" w:rsidRPr="003E07CA" w:rsidRDefault="00321181" w:rsidP="00321181">
      <w:pPr>
        <w:spacing w:after="240"/>
        <w:ind w:left="567" w:hanging="567"/>
      </w:pPr>
      <w:r w:rsidRPr="003E07CA">
        <w:t>–</w:t>
      </w:r>
      <w:r w:rsidRPr="003E07CA">
        <w:tab/>
        <w:t>der henviser til sin afgørelse om decharge for gennemførelsen af Den Europæiske Unions almindelige budget for regnskabsåret 2023, Sektion VII – Regionsudvalget,</w:t>
      </w:r>
    </w:p>
    <w:p w14:paraId="1920B123" w14:textId="6330648D" w:rsidR="00321181" w:rsidRPr="003E07CA" w:rsidRDefault="00321181" w:rsidP="00321181">
      <w:pPr>
        <w:spacing w:after="240"/>
        <w:ind w:left="567" w:hanging="567"/>
      </w:pPr>
      <w:r w:rsidRPr="003E07CA">
        <w:t>–</w:t>
      </w:r>
      <w:r w:rsidRPr="003E07CA">
        <w:tab/>
        <w:t>der henviser til forretningsordenens artikel 102 og bilag V,</w:t>
      </w:r>
    </w:p>
    <w:p w14:paraId="16383BE6" w14:textId="528E70B4" w:rsidR="00321181" w:rsidRPr="003E07CA" w:rsidRDefault="00321181" w:rsidP="00321181">
      <w:pPr>
        <w:spacing w:after="240"/>
        <w:ind w:left="567" w:hanging="567"/>
      </w:pPr>
      <w:r w:rsidRPr="003E07CA">
        <w:t>–</w:t>
      </w:r>
      <w:r w:rsidRPr="003E07CA">
        <w:tab/>
        <w:t>der henviser til betænkning fra Budgetkontroludvalget (A10-0046/2025),</w:t>
      </w:r>
    </w:p>
    <w:p w14:paraId="065E922B" w14:textId="77777777" w:rsidR="00321181" w:rsidRPr="003E07CA" w:rsidRDefault="00321181" w:rsidP="00321181">
      <w:pPr>
        <w:spacing w:after="240"/>
        <w:ind w:left="567" w:hanging="567"/>
      </w:pPr>
      <w:r w:rsidRPr="003E07CA">
        <w:t>A.</w:t>
      </w:r>
      <w:r w:rsidRPr="003E07CA">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performancebaseret budgettering og god forvaltning af menneskelige ressourcer;</w:t>
      </w:r>
    </w:p>
    <w:p w14:paraId="751A2428" w14:textId="77777777" w:rsidR="00321181" w:rsidRPr="003E07CA" w:rsidRDefault="00321181" w:rsidP="00321181">
      <w:pPr>
        <w:spacing w:after="240"/>
        <w:ind w:left="567" w:hanging="567"/>
        <w:rPr>
          <w:color w:val="000000"/>
        </w:rPr>
      </w:pPr>
      <w:r w:rsidRPr="003E07CA">
        <w:t>B.</w:t>
      </w:r>
      <w:r w:rsidRPr="003E07CA">
        <w:tab/>
      </w:r>
      <w:r w:rsidRPr="003E07CA">
        <w:rPr>
          <w:color w:val="000000"/>
        </w:rPr>
        <w:t>der henviser til, at Regionsudvalget (»udvalget«) er en politisk forsamling med 329 medlemmer, der er valgt i regioner, byer, landsbyer og kommuner i Unionens 27 medlemsstater og fungerer som et rådgivende organ for EU-institutionerne, og som har til opgave at bidrage til Unionens politikudformning og beslutningsproces set fra de lokale og regionale myndigheders synspunkt og samtidig bidrage til at gøre Unionen mere effektiv og bringe den tættere på borgerne;</w:t>
      </w:r>
    </w:p>
    <w:p w14:paraId="06E9F6A4" w14:textId="77777777" w:rsidR="00321181" w:rsidRPr="003E07CA" w:rsidRDefault="00321181" w:rsidP="00321181">
      <w:pPr>
        <w:spacing w:after="240"/>
        <w:ind w:left="567" w:hanging="567"/>
        <w:rPr>
          <w:color w:val="000000"/>
        </w:rPr>
      </w:pPr>
      <w:r w:rsidRPr="003E07CA">
        <w:rPr>
          <w:color w:val="000000"/>
        </w:rPr>
        <w:t>C.</w:t>
      </w:r>
      <w:r w:rsidRPr="003E07CA">
        <w:rPr>
          <w:color w:val="000000"/>
        </w:rPr>
        <w:tab/>
        <w:t>der henviser til, at hvor det i visse tilfælde er obligatorisk for Kommissionen eller Rådet at høre udvalget, så kan udvalget også vedtage udtalelser på eget initiativ og har et bredt høringsområde som fastlagt i traktaterne, der gør det muligt for det at blive hørt af Parlamentet;</w:t>
      </w:r>
    </w:p>
    <w:p w14:paraId="58A79877" w14:textId="77777777" w:rsidR="00321181" w:rsidRPr="003E07CA" w:rsidRDefault="00321181" w:rsidP="00321181">
      <w:pPr>
        <w:spacing w:after="240"/>
        <w:ind w:left="567" w:hanging="567"/>
        <w:rPr>
          <w:color w:val="000000"/>
        </w:rPr>
      </w:pPr>
      <w:r w:rsidRPr="003E07CA">
        <w:rPr>
          <w:color w:val="000000"/>
        </w:rPr>
        <w:t>D.</w:t>
      </w:r>
      <w:r w:rsidRPr="003E07CA">
        <w:rPr>
          <w:color w:val="000000"/>
        </w:rPr>
        <w:tab/>
        <w:t>der henviser til, at udvalgets aktiviteter er fastlagt på grundlag af dets overordnede politiske strategi som beskrevet i dets beslutning af 2. juli 2020 om dets prioriteter for 2020-2025 </w:t>
      </w:r>
      <w:r w:rsidRPr="003E07CA">
        <w:rPr>
          <w:color w:val="000000"/>
          <w:vertAlign w:val="superscript"/>
        </w:rPr>
        <w:footnoteReference w:id="7"/>
      </w:r>
      <w:r w:rsidRPr="003E07CA">
        <w:rPr>
          <w:color w:val="000000"/>
        </w:rPr>
        <w:t>, og at udvalget vedtog tre politiske prioriteter for sin 2020-2025-mandatperiode, ledsaget af tre kommunikationskampagner: at bringe Europa tættere på borgerne, opbygning af modstandsdygtige regional- og lokalsamfund og fremme af samhørighed som en grundlæggende værdi for EU;</w:t>
      </w:r>
    </w:p>
    <w:p w14:paraId="3090F17C" w14:textId="77777777" w:rsidR="00321181" w:rsidRPr="003E07CA" w:rsidRDefault="00321181" w:rsidP="00321181">
      <w:pPr>
        <w:spacing w:after="240"/>
        <w:ind w:left="567" w:hanging="567"/>
        <w:rPr>
          <w:color w:val="000000"/>
        </w:rPr>
      </w:pPr>
      <w:r w:rsidRPr="003E07CA">
        <w:rPr>
          <w:color w:val="000000"/>
        </w:rPr>
        <w:t>E.</w:t>
      </w:r>
      <w:r w:rsidRPr="003E07CA">
        <w:rPr>
          <w:color w:val="000000"/>
        </w:rPr>
        <w:tab/>
        <w:t xml:space="preserve">der henviser til, at de lokale og regionale myndigheder tegner sig for en tredjedel af de offentlige udgifter, halvdelen af de offentlige investeringer og en fjerdedel af skatteindtægterne, og at de i mange medlemsstater har kompetencer på nøgleområder såsom uddannelse, økonomisk udvikling og samhørighed, miljø, social beskyttelse, sundhed og tjenesteydelser af almen interesse, og at koordinering af det lokale, regionale, nationale og europæiske niveau derfor øger legitimiteten af lovgivningen, </w:t>
      </w:r>
      <w:r w:rsidRPr="003E07CA">
        <w:rPr>
          <w:color w:val="000000"/>
        </w:rPr>
        <w:lastRenderedPageBreak/>
        <w:t>forbedrer ansvarsfølelsen og tjener borgernes interesser mere effektivt;</w:t>
      </w:r>
    </w:p>
    <w:p w14:paraId="438CFD3C" w14:textId="77777777" w:rsidR="00321181" w:rsidRPr="003E07CA" w:rsidRDefault="00321181" w:rsidP="00321181">
      <w:pPr>
        <w:spacing w:after="240"/>
        <w:ind w:left="567" w:hanging="567"/>
        <w:rPr>
          <w:color w:val="000000"/>
        </w:rPr>
      </w:pPr>
      <w:r w:rsidRPr="003E07CA">
        <w:rPr>
          <w:color w:val="000000"/>
        </w:rPr>
        <w:t>F.</w:t>
      </w:r>
      <w:r w:rsidRPr="003E07CA">
        <w:rPr>
          <w:color w:val="000000"/>
        </w:rPr>
        <w:tab/>
        <w:t>der henviser til, at udvalget forfølger sit politiske mål om at styrke sin deltagelse i hele Unionens politiske og lovgivningsmæssige proces, samtidig med at det skaber en mere håndgribelig forbindelse til EU-borgerne, idet det bruger udvalgets medlemmer som stærke opinionsdannere i deres lokalsamfund og i deres nationale sammenslutninger af lokale og regionale myndigheder;</w:t>
      </w:r>
    </w:p>
    <w:p w14:paraId="12DBC2D0" w14:textId="3D86906B" w:rsidR="00321181" w:rsidRPr="003E07CA" w:rsidRDefault="00321181" w:rsidP="00321181">
      <w:pPr>
        <w:spacing w:after="240"/>
        <w:ind w:left="567" w:hanging="567"/>
        <w:rPr>
          <w:color w:val="000000"/>
        </w:rPr>
      </w:pPr>
      <w:r w:rsidRPr="003E07CA">
        <w:rPr>
          <w:color w:val="000000"/>
        </w:rPr>
        <w:t>G.</w:t>
      </w:r>
      <w:r w:rsidRPr="003E07CA">
        <w:rPr>
          <w:color w:val="000000"/>
        </w:rPr>
        <w:tab/>
        <w:t>der henviser til, at udvalget har udpeget 11 nøgleprioritetsområder med henblik på at gøre sin indsats mere strategisk og virkningsfuld i 2023: 1) opfølgning på konferencen om Europas fremtid, aktiv nærhed og bedre regulering, 2) Ukraine og udvidelse, 3) energi og klimaændringer, 4) miljø, 5) samhørighedspolitik – styrkelse af gennemførelsen af samhørighedspolitikken og udformning af dens fremtid for perioden efter 2027, 6) den flerårige finansielle ramme, 7) økonomisk styring med henblik på et retfærdigt og bæredygtigt Europa, 8) det europæiske år for færdigheder 2023, 9) partnerskab for regional innovation og fremme af territoriale missioner, 10) civilbeskyttelse samt 11) fødevaresikkerhed;</w:t>
      </w:r>
    </w:p>
    <w:p w14:paraId="13CD5B24" w14:textId="77777777" w:rsidR="00321181" w:rsidRPr="003E07CA" w:rsidRDefault="00321181" w:rsidP="00321181">
      <w:pPr>
        <w:spacing w:after="240"/>
        <w:ind w:left="567" w:hanging="567"/>
      </w:pPr>
      <w:r w:rsidRPr="003E07CA">
        <w:t>H.</w:t>
      </w:r>
      <w:r w:rsidRPr="003E07CA">
        <w:tab/>
        <w:t>der henviser til, at Europa-Parlamentets og Rådets forordning (EU) 2021/1060 </w:t>
      </w:r>
      <w:r w:rsidRPr="003E07CA">
        <w:rPr>
          <w:vertAlign w:val="superscript"/>
        </w:rPr>
        <w:footnoteReference w:id="8"/>
      </w:r>
      <w:r w:rsidRPr="003E07CA">
        <w:t xml:space="preserve"> om Unionens samhørighedspolitik og finansiering mellem 2021 og 2027, der trådte i kraft i juli 2021, indeholder henvisninger til princippet om partnerskab og flerniveaustyring, som støttes af udvalget og Parlamentet, og som indebærer inddragelse af regionerne og deres lokale og regionale myndigheder; støtter kraftigt en styrkelse af EU-investeringer knyttet til regional og lokal modstandsdygtighed i den næste flerårige finansielle ramme (FFR);</w:t>
      </w:r>
    </w:p>
    <w:p w14:paraId="482E22AF" w14:textId="77777777" w:rsidR="00321181" w:rsidRPr="003E07CA" w:rsidRDefault="00321181" w:rsidP="00321181">
      <w:pPr>
        <w:spacing w:after="240"/>
        <w:ind w:left="567" w:hanging="567"/>
      </w:pPr>
      <w:r w:rsidRPr="003E07CA">
        <w:t>I.</w:t>
      </w:r>
      <w:r w:rsidRPr="003E07CA">
        <w:tab/>
        <w:t>der henviser til, at de over 400 nationale og regionale programmer, der er indført for gennemførelsen af Unionens samhørighedspolitik i programmeringsperioden 2021-2027, vil stille ca. 380 mia. EUR til rådighed under forskellige fonde til at tackle de økonomiske, sociale og miljømæssige udfordringer, som Unionens regioner, byer, landsbyer og kommuner står over for;</w:t>
      </w:r>
    </w:p>
    <w:p w14:paraId="2CF56CAA" w14:textId="77777777" w:rsidR="00321181" w:rsidRPr="003E07CA" w:rsidRDefault="00321181" w:rsidP="00321181">
      <w:pPr>
        <w:spacing w:after="240"/>
        <w:ind w:left="567" w:hanging="567"/>
        <w:rPr>
          <w:color w:val="000000"/>
        </w:rPr>
      </w:pPr>
      <w:r w:rsidRPr="003E07CA">
        <w:rPr>
          <w:color w:val="000000"/>
        </w:rPr>
        <w:t>J.</w:t>
      </w:r>
      <w:r w:rsidRPr="003E07CA">
        <w:rPr>
          <w:color w:val="000000"/>
        </w:rPr>
        <w:tab/>
        <w:t>der henviser til, at Europa-Parlamentets og Rådets forordning (EU) 2021/241 </w:t>
      </w:r>
      <w:r w:rsidRPr="003E07CA">
        <w:rPr>
          <w:color w:val="000000"/>
          <w:vertAlign w:val="superscript"/>
        </w:rPr>
        <w:footnoteReference w:id="9"/>
      </w:r>
      <w:r w:rsidRPr="003E07CA">
        <w:rPr>
          <w:color w:val="000000"/>
        </w:rPr>
        <w:t xml:space="preserve"> om oprettelse af Unionens genopretnings- og resiliensfacilitet trådte i kraft den 19. februar 2021 og udgør retsgrundlaget for fordeling af midler og lån på op til 672,5 mia. EUR (i 2018-priser) til medlemsstaterne mellem 2021 og 2026 og også har til formål at støtte økonomisk, social og territorial samhørighed og afhjælpe forskellene mellem Unionens regioner;</w:t>
      </w:r>
    </w:p>
    <w:p w14:paraId="5E568E79" w14:textId="77777777" w:rsidR="00321181" w:rsidRPr="003E07CA" w:rsidRDefault="00321181" w:rsidP="00321181">
      <w:pPr>
        <w:spacing w:after="240"/>
        <w:ind w:left="567" w:hanging="567"/>
        <w:rPr>
          <w:color w:val="000000"/>
        </w:rPr>
      </w:pPr>
      <w:r w:rsidRPr="003E07CA">
        <w:rPr>
          <w:color w:val="000000"/>
        </w:rPr>
        <w:t>K.</w:t>
      </w:r>
      <w:r w:rsidRPr="003E07CA">
        <w:rPr>
          <w:color w:val="000000"/>
        </w:rPr>
        <w:tab/>
        <w:t xml:space="preserve">der henviser til, at udvalget som en EU-institution i henhold til finansforordningen skal vedtage sit eget årsregnskab, der er udarbejdet i overensstemmelse med de </w:t>
      </w:r>
      <w:r w:rsidRPr="003E07CA">
        <w:rPr>
          <w:color w:val="000000"/>
        </w:rPr>
        <w:lastRenderedPageBreak/>
        <w:t>regnskabsregler, som Kommissionens regnskabsfører har fastlagt (Unionens regnskabsregler) og på grundlag af de internationale regnskabsstandarder for den offentlige sektor, som i sidste ende er blevet konsolideret til Unionens regnskabsregler;</w:t>
      </w:r>
    </w:p>
    <w:p w14:paraId="39A49432" w14:textId="77777777" w:rsidR="00321181" w:rsidRPr="003E07CA" w:rsidRDefault="00321181" w:rsidP="00321181">
      <w:pPr>
        <w:spacing w:after="240"/>
        <w:ind w:left="567" w:hanging="567"/>
      </w:pPr>
      <w:r w:rsidRPr="003E07CA">
        <w:t>1.</w:t>
      </w:r>
      <w:r w:rsidRPr="003E07CA">
        <w:tab/>
        <w:t>bemærker, at udvalgets budget falder ind under FFR-udgiftsområde 7, »Europæisk offentlig forvaltning« (udgiftsområde 7), som i 2023 beløb sig til i alt 12,3 mia. EUR, dvs. 6,4 % af Unionens udgifter; bemærker, at udvalgets budget i 2023 udgjorde 0,95 % af bevillingerne under FFR-udgiftsområde 7;</w:t>
      </w:r>
    </w:p>
    <w:p w14:paraId="79D60CA4" w14:textId="77777777" w:rsidR="00321181" w:rsidRPr="003E07CA" w:rsidRDefault="00321181" w:rsidP="00321181">
      <w:pPr>
        <w:spacing w:after="240"/>
        <w:ind w:left="567" w:hanging="567"/>
      </w:pPr>
      <w:r w:rsidRPr="003E07CA">
        <w:t>2.</w:t>
      </w:r>
      <w:r w:rsidRPr="003E07CA">
        <w:tab/>
        <w:t xml:space="preserve">bemærker, at Revisionsretten i sin årsberetning for regnskabsåret 2023 (herefter »Revisionsrettens beretning«) undersøgte en stikprøve på 70 transaktioner under udgiftsområde 7, hvoraf 21 (30 %) var behæftet med fejl; bemærker </w:t>
      </w:r>
      <w:proofErr w:type="gramStart"/>
      <w:r w:rsidRPr="003E07CA">
        <w:t>endvidere</w:t>
      </w:r>
      <w:proofErr w:type="gramEnd"/>
      <w:r w:rsidRPr="003E07CA">
        <w:t>, at Revisionsretten for så vidt angår fem af de fejl, som den kvantificerede, anslog, at fejlforekomsten var under væsentlighedstærsklen;</w:t>
      </w:r>
    </w:p>
    <w:p w14:paraId="23AFDE8D" w14:textId="77777777" w:rsidR="00321181" w:rsidRPr="003E07CA" w:rsidRDefault="00321181" w:rsidP="00321181">
      <w:pPr>
        <w:spacing w:after="240"/>
        <w:ind w:left="567" w:hanging="567"/>
      </w:pPr>
      <w:r w:rsidRPr="003E07CA">
        <w:t>3.</w:t>
      </w:r>
      <w:r w:rsidRPr="003E07CA">
        <w:tab/>
        <w:t>noterer sig bemærkningen i Revisionsrettens beretning om, at administrationsudgifter omfatter udgifter til menneskelige ressourcer, herunder pensioner, som i 2023 tegnede sig for ca. 70 % af de samlede administrationsudgifter, samt udgifter til bygninger, udstyr, energi, kommunikation og informationsteknologi; glæder sig over Revisionsrettens fornyede udtalelse om, at de administrative udgifter generelt udgør en lav risiko;</w:t>
      </w:r>
    </w:p>
    <w:p w14:paraId="2CF97B26" w14:textId="77777777" w:rsidR="00321181" w:rsidRPr="003E07CA" w:rsidRDefault="00321181" w:rsidP="00321181">
      <w:pPr>
        <w:spacing w:after="240"/>
        <w:ind w:left="567" w:hanging="567"/>
      </w:pPr>
      <w:r w:rsidRPr="003E07CA">
        <w:t>4.</w:t>
      </w:r>
      <w:r w:rsidRPr="003E07CA">
        <w:tab/>
        <w:t>noterer sig med beklagelse Revisionsrettens opfattelse i sin beretning om, at den tiårige varighed af en kontrakt vedrørende vedligeholdelse af bygninger ikke var tilstrækkeligt begrundet i forbindelse med en transaktion, som udvalget foretog i 2023;</w:t>
      </w:r>
    </w:p>
    <w:p w14:paraId="79F635EC" w14:textId="77777777" w:rsidR="00321181" w:rsidRPr="0083191E" w:rsidRDefault="00321181" w:rsidP="00321181">
      <w:pPr>
        <w:spacing w:after="240"/>
        <w:ind w:left="567" w:hanging="567"/>
        <w:rPr>
          <w:b/>
          <w:i/>
        </w:rPr>
      </w:pPr>
      <w:r w:rsidRPr="0083191E">
        <w:rPr>
          <w:b/>
          <w:i/>
        </w:rPr>
        <w:t>Budgetmæssig og økonomisk forvaltning</w:t>
      </w:r>
    </w:p>
    <w:p w14:paraId="757F85C2" w14:textId="77777777" w:rsidR="00321181" w:rsidRPr="003E07CA" w:rsidRDefault="00321181" w:rsidP="00321181">
      <w:pPr>
        <w:spacing w:after="240"/>
        <w:ind w:left="567" w:hanging="567"/>
      </w:pPr>
      <w:r w:rsidRPr="003E07CA">
        <w:t>5.</w:t>
      </w:r>
      <w:r w:rsidRPr="003E07CA">
        <w:tab/>
        <w:t>bemærker på baggrund af udvalgets årlige aktivitetsrapport for 2023, at udvalgets endeligt vedtagne budget var på 116 675 392 EUR i 2023, herunder ændringsbudget 4/2023 (vedrørende løn og energi), hvilket svarer til en stigning på 6 698 534 EUR (dvs. + 6,1 %) i forhold til 2022; bemærker med tilfredshed, at gennemførelsesgraden for udvalgets forpligtelsesbevillinger for det pågældende år steg fra 99,2 % i 2022 til 99,9 % i 2023, og at udnyttelsesgraden for betalingsbevillingerne i det pågældende år steg fra 88 % i 2022 til 91,2 % i 2023; glæder sig endvidere over, at udnyttelsesgraden for C8-bevillinger er steget fra 81,6 % i 2022 til 85 % i 2023; mener, at disse høje gennemførelsesgrader dels er et udtryk for god budgetmæssig og økonomisk forvaltning i udvalget som følge af en styrket overvågning af budgetgennemførelsen, udarbejdelse af rettidige budgetprognoser og omfordeling af ressourcer til håndtering af uforudsete hændelser, men også kan være et tegn på, at udvalget har brug for yderligere ressourcer; opfordrer Kommissionen og budgetmyndigheden til at tage højde herfor inden for rammerne af den årlige budgetprocedure;</w:t>
      </w:r>
    </w:p>
    <w:p w14:paraId="383B5A63" w14:textId="77777777" w:rsidR="00321181" w:rsidRPr="003E07CA" w:rsidRDefault="00321181" w:rsidP="00321181">
      <w:pPr>
        <w:spacing w:after="240"/>
        <w:ind w:left="567" w:hanging="567"/>
      </w:pPr>
      <w:r w:rsidRPr="003E07CA">
        <w:t>6.</w:t>
      </w:r>
      <w:r w:rsidRPr="003E07CA">
        <w:tab/>
        <w:t xml:space="preserve">bemærker, at udvalget i løbet af 2023 gennemførte 31 overførsler for i alt 2,84 mio. EUR, heraf 25 interne overførsler for i alt 0,98 mio. EUR og seks eksterne overførsler for i alt 1,86 mio. EUR, hvoraf ca. 0,8 mio. EUR blev overført til budgetposter, der dækker kontrakter, der er påvirket af høj inflation/indeksering; bemærker, at virkningerne af Ruslands angrebskrig mod Ukraine fortsatte med at skabe budgetpres på udvalget i 2023; bemærker i den forbindelse, at udvalget var mest berørt af den høje inflationsrate, direkte eller indirekte, på områder som rejseomkostninger (tjenesterejser), energi, leje og leasing af bygninger, vedligeholdelseskontrakter, byggeprojekter og </w:t>
      </w:r>
      <w:r w:rsidRPr="003E07CA">
        <w:lastRenderedPageBreak/>
        <w:t>papir- og offsetplader;</w:t>
      </w:r>
    </w:p>
    <w:p w14:paraId="58076BFE" w14:textId="77777777" w:rsidR="00321181" w:rsidRPr="003E07CA" w:rsidRDefault="00321181" w:rsidP="00321181">
      <w:pPr>
        <w:spacing w:after="240"/>
        <w:ind w:left="567" w:hanging="567"/>
      </w:pPr>
      <w:r w:rsidRPr="003E07CA">
        <w:t>7.</w:t>
      </w:r>
      <w:r w:rsidRPr="003E07CA">
        <w:tab/>
        <w:t xml:space="preserve">bemærker en stigning på ca. 20 % i betalingerne til udvalgets medlemmer, fra 6 573 307 EUR i 2022 til 7 955 968 EUR i 2023, med betalinger i forbindelse med rejseudgifter (8 119 betalinger), opholdsudgifter (4 449 betalinger), </w:t>
      </w:r>
      <w:proofErr w:type="spellStart"/>
      <w:r w:rsidRPr="003E07CA">
        <w:t>mødedagpenge</w:t>
      </w:r>
      <w:proofErr w:type="spellEnd"/>
      <w:r w:rsidRPr="003E07CA">
        <w:t xml:space="preserve"> for fysisk deltagelse (7 845 betalinger) og fjerndeltagelse (152 betalinger);</w:t>
      </w:r>
    </w:p>
    <w:p w14:paraId="2FC6DBEC" w14:textId="77777777" w:rsidR="00321181" w:rsidRPr="003E07CA" w:rsidRDefault="00321181" w:rsidP="00321181">
      <w:pPr>
        <w:spacing w:after="240"/>
        <w:ind w:left="567" w:hanging="567"/>
      </w:pPr>
      <w:r w:rsidRPr="003E07CA">
        <w:t>8.</w:t>
      </w:r>
      <w:r w:rsidRPr="003E07CA">
        <w:tab/>
        <w:t>bemærker, at det afsatte budget (bevillinger for det pågældende år) forblev stabilt med 420 833 EUR i 2023 (sammenlignet med 419 657 EUR i 2022) og en gennemførelsesgrad på ca. 80 % i 2023 (svarende til gennemførelsesgraden i 2022); bemærker, at udvalgets budget for tjenesterejser på trods af en stigning i de gennemsnitlige opholds- og rejseudgifter forblev stabilt som følge af en nedbringelse på 13 % af antallet af tjenesterejser, der blev gennemført i 2023 i forhold til 2022; glæder sig over, at godtgørelsen af rejse- og mødeudgifter, der finansieres over det almindelig budget for medlemmernes udgifter, til udvalgets formandskab (formand og første næstformand) faldt fra 71 810 EUR til 62 268 EUR, hvilket svarer til en reduktion på 13 % mellem 2022 og 2023; opfordrer udvalget til yderligere at rationalisere og reducere udgifterne på dette område og sikre en optimal tildeling af ressourcer i overensstemmelse med principperne om forsvarlig økonomisk forvaltning;</w:t>
      </w:r>
    </w:p>
    <w:p w14:paraId="7AEFAEBE" w14:textId="77777777" w:rsidR="00321181" w:rsidRPr="003E07CA" w:rsidRDefault="00321181" w:rsidP="00321181">
      <w:pPr>
        <w:spacing w:after="240"/>
        <w:ind w:left="567" w:hanging="567"/>
      </w:pPr>
      <w:r w:rsidRPr="003E07CA">
        <w:t>9.</w:t>
      </w:r>
      <w:r w:rsidRPr="003E07CA">
        <w:tab/>
        <w:t>bemærker med bekymring en stigning i indeværende års bevillinger til tolketjenester på ca. 19 % fra 3 494 mio. EUR i 2022 til 4 167 mio. EUR i 2023; anmoder udvalget om at redegøre for årsagerne til denne stigning, i betragtning af at udvalget samtidig har rapporteret om besparelser i forbindelse med brug af fjerntolkning i 2023;</w:t>
      </w:r>
    </w:p>
    <w:p w14:paraId="580FB033" w14:textId="77777777" w:rsidR="00321181" w:rsidRPr="003E07CA" w:rsidRDefault="00321181" w:rsidP="00321181">
      <w:pPr>
        <w:spacing w:after="240"/>
        <w:ind w:left="567" w:hanging="567"/>
      </w:pPr>
      <w:r w:rsidRPr="003E07CA">
        <w:t>10.</w:t>
      </w:r>
      <w:r w:rsidRPr="003E07CA">
        <w:tab/>
        <w:t>bemærker, at de faste dagpenge for videomøder, som udvalget udbetalte til sine medlemmer, deres suppleanter samt til ordførernes eksperter og talere indbudt til at deltage i videomøder eller hybridmøder, udgjorde 200 EUR frem til den 23. juli 2023; bemærker endvidere, at der på denne dato trådte nye regler i kraft, som fastsatte de faste dagpenge for videomøder til 50 % af de faste dagpenge for fysisk deltagelse, idet sidstnævnte udgør 359 EUR og førstnævnte 179,50 EUR; bemærker i den forbindelse et betydeligt fald i det samlede beløb, der udbetales i dagpenge for videomøder, fra 1 742 000 EUR i 2021 og 489 600 EUR i 2022 til 32 632 EUR i 2023, mens de samlede udgifter i forbindelse med budgetpost 1 0 0 4 (»Rejse- og opholdsudgifter i forbindelse med møder, mødeindkaldelser og dermed forbundne udgifter«) er steget betydeligt fra ca. 6,6 mio. EUR i 2022 til ca. 8 mio. EUR i 2023, hovedsagelig på grund af en stærk tilbagevenden til møder med fysisk deltagelse i 2023 og stigningen i de rejserelaterede priser i kølvandet på covid-19-pandemien;</w:t>
      </w:r>
    </w:p>
    <w:p w14:paraId="6CE7740F" w14:textId="77777777" w:rsidR="00321181" w:rsidRPr="003E07CA" w:rsidRDefault="00321181" w:rsidP="00321181">
      <w:pPr>
        <w:spacing w:after="240"/>
        <w:ind w:left="567" w:hanging="567"/>
      </w:pPr>
      <w:r w:rsidRPr="003E07CA">
        <w:t>11.</w:t>
      </w:r>
      <w:r w:rsidRPr="003E07CA">
        <w:tab/>
        <w:t xml:space="preserve">udtrykker bekymring over den betydelige stigning i rejse- og </w:t>
      </w:r>
      <w:proofErr w:type="spellStart"/>
      <w:r w:rsidRPr="003E07CA">
        <w:t>mødedagpenge</w:t>
      </w:r>
      <w:proofErr w:type="spellEnd"/>
      <w:r w:rsidRPr="003E07CA">
        <w:t>, der udbetales til udvalgets medlemmer, fra 6,6 mio. EUR i 2022 til 8 mio. EUR i 2023; opfordrer udvalget til at indføre en klar omkostningseffektivitetsstrategi for rejseudgifter, herunder øget brug af fjerndeltagelse og hybridmøder for at reducere unødvendige omkostninger og emissioner, samtidig med at det politiske engagement opretholdes;</w:t>
      </w:r>
    </w:p>
    <w:p w14:paraId="065C53FF" w14:textId="77777777" w:rsidR="00321181" w:rsidRPr="003E07CA" w:rsidRDefault="00321181" w:rsidP="00321181">
      <w:pPr>
        <w:spacing w:after="240"/>
        <w:ind w:left="567" w:hanging="567"/>
      </w:pPr>
      <w:r w:rsidRPr="003E07CA">
        <w:t>12.</w:t>
      </w:r>
      <w:r w:rsidRPr="003E07CA">
        <w:tab/>
        <w:t>beklager, at den gennemsnitlige betalingstid steg fra 17,87 dage i 2022 til 21,88 dage i 2023; forstår imidlertid, at denne stigning skyldes, at udvalget i 2023 behandlede og betalte et rekordstort antal fakturaer, nemlig 5 723 sammenlignet med 4 260 i 2022; bemærker i den forbindelse, at andelen af handelsfakturaer, som udvalget modtog elektronisk, steg fra 68 % i 2022 til 76 % i 2023 og fortsatte med at stige i 2024;</w:t>
      </w:r>
    </w:p>
    <w:p w14:paraId="1F0F0A85" w14:textId="77777777" w:rsidR="00321181" w:rsidRPr="003E07CA" w:rsidRDefault="00321181" w:rsidP="00321181">
      <w:pPr>
        <w:spacing w:after="240"/>
        <w:ind w:left="567" w:hanging="567"/>
        <w:rPr>
          <w:b/>
          <w:i/>
        </w:rPr>
      </w:pPr>
      <w:r w:rsidRPr="003E07CA">
        <w:rPr>
          <w:b/>
          <w:i/>
        </w:rPr>
        <w:lastRenderedPageBreak/>
        <w:t>Intern forvaltning, performance og intern kontrol</w:t>
      </w:r>
    </w:p>
    <w:p w14:paraId="1F136297" w14:textId="77777777" w:rsidR="00321181" w:rsidRPr="003E07CA" w:rsidRDefault="00321181" w:rsidP="00321181">
      <w:pPr>
        <w:spacing w:after="240"/>
        <w:ind w:left="567" w:hanging="567"/>
      </w:pPr>
      <w:r w:rsidRPr="003E07CA">
        <w:t>13.</w:t>
      </w:r>
      <w:r w:rsidRPr="003E07CA">
        <w:tab/>
        <w:t>anerkender, at udvalget spiller en grundlæggende rolle med hensyn til at bidrage til Unionens politikudvikling og beslutningsprocesser ved at repræsentere de lokale og regionale myndigheders interesser i Unionen; bemærker, at rapporteringen om udvalgets performance for 2023 som led i dets årlige operationelle plan var baseret på 25 mål, hvis opfyldelse blev vurderet ved hjælp af 80 kvantitative indikatorer, og bemærker, at målene for størstedelen af disse indikatorer (ca. 75 %) blev opnået med 90 % eller mere;</w:t>
      </w:r>
    </w:p>
    <w:p w14:paraId="45B9FF44" w14:textId="77777777" w:rsidR="00321181" w:rsidRPr="003E07CA" w:rsidRDefault="00321181" w:rsidP="00321181">
      <w:pPr>
        <w:spacing w:after="240"/>
        <w:ind w:left="567" w:hanging="567"/>
      </w:pPr>
      <w:r w:rsidRPr="003E07CA">
        <w:t>14.</w:t>
      </w:r>
      <w:r w:rsidRPr="003E07CA">
        <w:tab/>
        <w:t>minder om, at udvalget bidrager til Unionens politik og beslutningsproces set fra Unionens regionale og lokale myndigheders perspektiv, og at det udgør en ramme for at styrke samarbejdet mellem aktører på lokalt, regionalt, nationalt og europæisk plan og bringe Europa tættere på borgerne; beklager, at budgetbegrænsninger har svækket udvalgets evne til fuldt ud at opfylde sit mål om at bringe borgerne tættere på Unionen, hvilket har begrænset udvalgets merværdi;</w:t>
      </w:r>
    </w:p>
    <w:p w14:paraId="0B82A754" w14:textId="77777777" w:rsidR="00321181" w:rsidRPr="003E07CA" w:rsidRDefault="00321181" w:rsidP="00321181">
      <w:pPr>
        <w:spacing w:after="240"/>
        <w:ind w:left="567" w:hanging="567"/>
      </w:pPr>
      <w:r w:rsidRPr="003E07CA">
        <w:t>15.</w:t>
      </w:r>
      <w:r w:rsidRPr="003E07CA">
        <w:tab/>
        <w:t>støtter i betragtning af udvalgets vigtige rolle med hensyn til at øge EU-lovgivningens demokratiske legitimitet gennem aktiv koordinering af regionale og lokale myndigheder udvalget i dets bestræbelser på at udarbejde flere territoriale konsekvensanalyser, også i overensstemmelse med den endelige rapport og anbefalingerne fra konferencen om Europas fremtid;</w:t>
      </w:r>
    </w:p>
    <w:p w14:paraId="2E59E9E7" w14:textId="77777777" w:rsidR="00321181" w:rsidRPr="003E07CA" w:rsidRDefault="00321181" w:rsidP="00321181">
      <w:pPr>
        <w:spacing w:after="240"/>
        <w:ind w:left="567" w:hanging="567"/>
      </w:pPr>
      <w:r w:rsidRPr="003E07CA">
        <w:t>16.</w:t>
      </w:r>
      <w:r w:rsidRPr="003E07CA">
        <w:tab/>
        <w:t>roser udvalget for de politiske resultater, som det i 2023 opnåede på sine nøgleprioritetsområder; bemærker, at udvalget varetager sin opgave gennem udtalelser, der henviser til lovgivningsforslag fra Kommissionen (anmodninger om udtalelser), initiativudtalelser, som opfordrer EU-institutionerne til at træffe foranstaltninger, og resolutioner, der fremhæver udvalgets holdning til specifikke emner; bemærker, at udvalget i 2023 vedtog 53 udtalelser og seks resolutioner, hvilket er et fald i forhold til de 55 udtalelser og otte resolutioner, der blev vedtaget i 2022, på trods af stigningen i bevillinger og personale;</w:t>
      </w:r>
      <w:r w:rsidRPr="003E07CA">
        <w:rPr>
          <w:color w:val="FF0000"/>
        </w:rPr>
        <w:t xml:space="preserve"> </w:t>
      </w:r>
      <w:r w:rsidRPr="003E07CA">
        <w:t>opfordrer udvalget til fortsat at arbejde på at forbedre resultater og effektivitet; glæder sig over udvalgets bestræbelser på at indføre reformerende og innovative løsninger, strømline administrationen og undgå overlappende roller med andre organer;</w:t>
      </w:r>
    </w:p>
    <w:p w14:paraId="4A6F1916" w14:textId="77777777" w:rsidR="00321181" w:rsidRPr="003E07CA" w:rsidRDefault="00321181" w:rsidP="00321181">
      <w:pPr>
        <w:spacing w:after="240"/>
        <w:ind w:left="567" w:hanging="567"/>
      </w:pPr>
      <w:r w:rsidRPr="003E07CA">
        <w:t>17.</w:t>
      </w:r>
      <w:r w:rsidRPr="003E07CA">
        <w:tab/>
        <w:t>glæder sig over, at udvalget i 2023 fortsatte med at gennemføre foranstaltninger til modernisering af sin administration og forbedring af omkostningseffektiviteten inden for rammerne af »</w:t>
      </w:r>
      <w:proofErr w:type="spellStart"/>
      <w:r w:rsidRPr="003E07CA">
        <w:t>Going</w:t>
      </w:r>
      <w:proofErr w:type="spellEnd"/>
      <w:r w:rsidRPr="003E07CA">
        <w:t xml:space="preserve"> for </w:t>
      </w:r>
      <w:proofErr w:type="spellStart"/>
      <w:r w:rsidRPr="003E07CA">
        <w:t>IMPact</w:t>
      </w:r>
      <w:proofErr w:type="spellEnd"/>
      <w:r w:rsidRPr="003E07CA">
        <w:t xml:space="preserve">!«-programmet; bemærker i den forbindelse de fremskridt, der er gjort med hensyn til digitalisering og optimering af arbejdsgangen, moderniseringen af udvalgets planlægnings- og rapporteringsinstrumenter, oprettelsen af en central mødetjeneste og styrkelsen af samarbejdet med andre institutioner eller organer (bl.a. </w:t>
      </w:r>
      <w:r w:rsidRPr="003E07CA">
        <w:rPr>
          <w:shd w:val="clear" w:color="auto" w:fill="FFFFFF"/>
        </w:rPr>
        <w:t>Det Europæiske Økonomiske og Sociale Udvalg</w:t>
      </w:r>
      <w:r w:rsidRPr="003E07CA">
        <w:t xml:space="preserve"> (»EØSU«), Kommissionen, Parlamentet og Kontoret for Infrastruktur og Logistik); roser udvalget for at have gennemført næsten 90 % af de forenklingsprojekter, der blev iværksat i 2021, inden for området for administrative processer, skriftlige procedurer og (interne) juridiske dokumenter;</w:t>
      </w:r>
    </w:p>
    <w:p w14:paraId="2322367D" w14:textId="77777777" w:rsidR="00321181" w:rsidRPr="003E07CA" w:rsidRDefault="00321181" w:rsidP="00321181">
      <w:pPr>
        <w:spacing w:after="240"/>
        <w:ind w:left="567" w:hanging="567"/>
      </w:pPr>
      <w:r w:rsidRPr="003E07CA">
        <w:t>18.</w:t>
      </w:r>
      <w:r w:rsidRPr="003E07CA">
        <w:tab/>
        <w:t>noterer sig på baggrund af udvalgets svar på spørgeskemaet fra Budgetkontroludvalget i forbindelse med meddelelsen af decharge for budgettet for 2023 (»spørgeskemaet«), at udvalget takket være »</w:t>
      </w:r>
      <w:proofErr w:type="spellStart"/>
      <w:r w:rsidRPr="003E07CA">
        <w:t>Going</w:t>
      </w:r>
      <w:proofErr w:type="spellEnd"/>
      <w:r w:rsidRPr="003E07CA">
        <w:t xml:space="preserve"> for </w:t>
      </w:r>
      <w:proofErr w:type="spellStart"/>
      <w:r w:rsidRPr="003E07CA">
        <w:t>IMPact</w:t>
      </w:r>
      <w:proofErr w:type="spellEnd"/>
      <w:r w:rsidRPr="003E07CA">
        <w:t xml:space="preserve">!«-programmet i 2023 har formået at tilpasse sine mål til de disponible ressourcer, der var under pres som følge af inflationseffekten </w:t>
      </w:r>
      <w:r w:rsidRPr="003E07CA">
        <w:lastRenderedPageBreak/>
        <w:t>på grund af krigen i Ukraine; roser navnlig de fremskridt, som udvalget har gjort med hensyn til gennemførelsen af »Projektkonvergens« (et SharePoint-baseret værktøj til planlægning, rapportering, risikovurdering og forretningskontinuitet) og den nye politik for driftskontinuitet;</w:t>
      </w:r>
    </w:p>
    <w:p w14:paraId="7291168D" w14:textId="77777777" w:rsidR="00321181" w:rsidRPr="003E07CA" w:rsidRDefault="00321181" w:rsidP="00321181">
      <w:pPr>
        <w:spacing w:after="240"/>
        <w:ind w:left="567" w:hanging="567"/>
      </w:pPr>
      <w:r w:rsidRPr="003E07CA">
        <w:t>19.</w:t>
      </w:r>
      <w:r w:rsidRPr="003E07CA">
        <w:tab/>
        <w:t xml:space="preserve">anerkender effekten af udvalgets arbejde, navnlig af dets udtalelser, hvoraf nogle blev afspejlet i Kommissionens, Parlamentets eller Rådets beslutninger, resolutioner, holdninger, forslag, rapporter, revisioner, konklusioner og </w:t>
      </w:r>
      <w:proofErr w:type="spellStart"/>
      <w:r w:rsidRPr="003E07CA">
        <w:t>triloger</w:t>
      </w:r>
      <w:proofErr w:type="spellEnd"/>
      <w:r w:rsidRPr="003E07CA">
        <w:t xml:space="preserve"> i 2023; opfordrer udvalget til at fortsætte med at levere nyttige og relevante input, såsom data fra felten og analyser, til EU-institutioner og andre målgrupper for Unionens politikker; glæder sig over udvalgets styrkede inddragelse i hele Unionens politiske og lovgivningsmæssige cyklus gennem samarbejdsaftaler og handlingsplaner med Kommissionen, Parlamentet og Den Europæiske Investeringsbank; mener, at udvalgets og </w:t>
      </w:r>
      <w:proofErr w:type="spellStart"/>
      <w:r w:rsidRPr="003E07CA">
        <w:t>EØSU's</w:t>
      </w:r>
      <w:proofErr w:type="spellEnd"/>
      <w:r w:rsidRPr="003E07CA">
        <w:t xml:space="preserve"> medlemmer bør indbydes til relevante parlamentariske møder om spørgsmål inden for deres ansvarsområde; bemærker, at udvalgets medlemmer i 2023 også mødtes med Rådet og de faste repræsentationer og deltog i arrangementer tilrettelagt af Rådets formandskab for at sikre, at udvalgets holdninger afspejles i Unionens lovgivning; lykønsker udvalget med at have styrket sin deltagelse i </w:t>
      </w:r>
      <w:proofErr w:type="spellStart"/>
      <w:r w:rsidRPr="003E07CA">
        <w:t>triloger</w:t>
      </w:r>
      <w:proofErr w:type="spellEnd"/>
      <w:r w:rsidRPr="003E07CA">
        <w:t xml:space="preserve">, navnlig ved for første gang at have opnået adgang til </w:t>
      </w:r>
      <w:proofErr w:type="spellStart"/>
      <w:r w:rsidRPr="003E07CA">
        <w:t>trilogdokumenter</w:t>
      </w:r>
      <w:proofErr w:type="spellEnd"/>
      <w:r w:rsidRPr="003E07CA">
        <w:t xml:space="preserve"> i 2023;</w:t>
      </w:r>
    </w:p>
    <w:p w14:paraId="431B0174" w14:textId="77777777" w:rsidR="00321181" w:rsidRPr="003E07CA" w:rsidRDefault="00321181" w:rsidP="00321181">
      <w:pPr>
        <w:spacing w:after="240"/>
        <w:ind w:left="567" w:hanging="567"/>
      </w:pPr>
      <w:r w:rsidRPr="003E07CA">
        <w:t>20.</w:t>
      </w:r>
      <w:r w:rsidRPr="003E07CA">
        <w:tab/>
        <w:t>opfordrer udvalget til at sikre større inddragelse af regionale og lokale myndigheder i Unionens beslutningstagning ved at skabe strukturerede høringsmekanismer med regionale og lokale myndigheder, herunder parlamenter, kommuner og lokale civilsamfundsorganisationer, inden der afgives udtalelser; opfordrer indtrængende udvalget til at slå til lyd for en obligatorisk høringsproces om lovgivningsmæssige spørgsmål, der i væsentlig grad påvirker den regionale udvikling og samhørighedspolitikken;</w:t>
      </w:r>
    </w:p>
    <w:p w14:paraId="7E139E12" w14:textId="77777777" w:rsidR="00321181" w:rsidRPr="003E07CA" w:rsidRDefault="00321181" w:rsidP="00321181">
      <w:pPr>
        <w:spacing w:after="240"/>
        <w:ind w:left="567" w:hanging="567"/>
        <w:rPr>
          <w:b/>
        </w:rPr>
      </w:pPr>
      <w:r w:rsidRPr="003E07CA">
        <w:t>21.</w:t>
      </w:r>
      <w:r w:rsidRPr="003E07CA">
        <w:tab/>
        <w:t>bemærker med hensyn til sin nye ramme for intern kontrol, at udvalget gennemførte en ny metode for efterfølgende kontrol fra 2023 med henblik på at forenkle og tilpasse tilgangen til de andre EU-institutioners praksis, idet den efterfølgende kontrol nu er centraliseret i stedet for den tidligere decentraliserede praksis; bemærker, at efterfølgende kontroller i 2023 fokuserede på grundlønnen og arbejdstiden, idet 55 sager blev kontrolleret, og at det statistiske skøn over fejlprocenten, der påvirkede referencepopulationen, var 0 %; bemærker endvidere, at udvalget i 2023 fornyede sin overholdelses- og effektivitetsundersøgelse med henblik på at vurdere omfanget af udvalgets overholdelse af visse interne kontrolstandarder og effektiviteten af deres gennemførelse; roser udvalget for at kunne rapportere om en forbedring på dette område i forhold til resultatet af 2022-undersøgelsen;</w:t>
      </w:r>
      <w:r w:rsidRPr="003E07CA">
        <w:rPr>
          <w:color w:val="FF0000"/>
        </w:rPr>
        <w:t xml:space="preserve"> </w:t>
      </w:r>
      <w:r w:rsidRPr="003E07CA">
        <w:t>opfordrer udvalget til at fortsætte sine bestræbelser på yderligere at øge graden af overholdelse og effektivitet af de eksisterende interne kontrolforanstaltninger; bemærker med tilfredshed for så vidt angår den nye politik for følsomme stillinger, at udvalget i 2023 gennemførte en screening for at identificere risikoniveauet for hver stilling og dermed følsomhedsgraden heraf samt gennemførte de nødvendige foranstaltninger til at imødegå disse risici;</w:t>
      </w:r>
    </w:p>
    <w:p w14:paraId="51A41E0F" w14:textId="77777777" w:rsidR="00321181" w:rsidRPr="003E07CA" w:rsidRDefault="00321181" w:rsidP="00321181">
      <w:pPr>
        <w:spacing w:after="240"/>
        <w:ind w:left="567" w:hanging="567"/>
      </w:pPr>
      <w:r w:rsidRPr="003E07CA">
        <w:t>22.</w:t>
      </w:r>
      <w:r w:rsidRPr="003E07CA">
        <w:tab/>
        <w:t xml:space="preserve">bemærker, at udvalget i 2023 iværksatte to nye revisioner: én om, hvorvidt forskellige funktioner (f.eks. risikostyring, planlægning og kontrolsystem) overholder den relevante databeskyttelseslovgivning, og en anden vedrørende IT-organisationens performance i de fælles tjenestegrene (udvalgets og </w:t>
      </w:r>
      <w:proofErr w:type="spellStart"/>
      <w:r w:rsidRPr="003E07CA">
        <w:t>EØSU's</w:t>
      </w:r>
      <w:proofErr w:type="spellEnd"/>
      <w:r w:rsidRPr="003E07CA">
        <w:t xml:space="preserve"> nye fælles direktorat for innovation og IT); bemærker, at der for hver af disse revisioner blev fremsat 11 henstillinger, og at syv henstillinger blev anset for at være meget vigtige; bemærker endvidere, at der blev </w:t>
      </w:r>
      <w:r w:rsidRPr="003E07CA">
        <w:lastRenderedPageBreak/>
        <w:t>fremsat ti henstillinger i forbindelse med den i 2022 indledte revision af forvaltningen af de ledige stillinger, hvoraf tre var meget vigtige; opfordrer udvalget til hurtigst muligt at gennemføre alle udestående henstillinger og holde dechargemyndigheden underrettet om de fremskridt, der gøres på dette område;</w:t>
      </w:r>
    </w:p>
    <w:p w14:paraId="202219AA" w14:textId="77777777" w:rsidR="00321181" w:rsidRPr="003E07CA" w:rsidRDefault="00321181" w:rsidP="00321181">
      <w:pPr>
        <w:spacing w:after="240"/>
        <w:ind w:left="567" w:hanging="567"/>
        <w:rPr>
          <w:b/>
          <w:bCs/>
          <w:i/>
        </w:rPr>
      </w:pPr>
      <w:r w:rsidRPr="003E07CA">
        <w:rPr>
          <w:b/>
          <w:i/>
        </w:rPr>
        <w:t>Menneskelige ressourcer, ligestilling og personalets trivsel</w:t>
      </w:r>
    </w:p>
    <w:p w14:paraId="573F5E08" w14:textId="77777777" w:rsidR="00321181" w:rsidRPr="003E07CA" w:rsidRDefault="00321181" w:rsidP="00321181">
      <w:pPr>
        <w:spacing w:after="240"/>
        <w:ind w:left="567" w:hanging="567"/>
      </w:pPr>
      <w:r w:rsidRPr="003E07CA">
        <w:t>23.</w:t>
      </w:r>
      <w:r w:rsidRPr="003E07CA">
        <w:tab/>
        <w:t>bemærker, at udvalget ved udgangen af 2023 havde i alt 559 ansatte (udstationerede nationale eksperter, midlertidige, interne og praktikanter ikke medregnet) sammenlignet med 533 i 2022; bemærker, at 74 kontraktansatte sammenlignet med 56 kontraktansatte i 2022 og 96 midlertidigt ansatte sammenlignet med 89 midlertidigt ansatte i 2022 var ansat i udvalget ved udgangen af 2023, hvoraf 21 kontraktansatte havde en tidsubegrænset kontrakt, 53 kontraktansatte havde en tidsbegrænset kontrakt, 53 midlertidigt ansatte var i faste stillinger med tidsbegrænset kontrakt, 50 midlertidigt ansatte havde en tidsubegrænset kontrakt, og tre midlertidigt ansatte havde en midlertidig stilling (i to tilfælde med en tidsubegrænset kontrakt og for generalsekretærens vedkommende i en fast periode på fem år); bemærker endvidere, at udvalget havde fem vikarer ansat og 12 eksterne medarbejdere, der arbejdede på stedet, eksklusive eksterne tjenesteydere inden for logistik og IT; håber, at personaleforøgelsen har en rimelig begrundelse; bemærker, at besættelsesgraden for stillingerne i stillingsfortegnelsen i 2023 var på 98 % (en stigning fra 96 % i 2022), og at personaleudskiftningsgraden var på 6,6 % (et fald fra 10,8 % i 2022);</w:t>
      </w:r>
    </w:p>
    <w:p w14:paraId="3507397D" w14:textId="77777777" w:rsidR="00321181" w:rsidRPr="003E07CA" w:rsidRDefault="00321181" w:rsidP="00321181">
      <w:pPr>
        <w:spacing w:after="240"/>
        <w:ind w:left="567" w:hanging="567"/>
      </w:pPr>
      <w:r w:rsidRPr="003E07CA">
        <w:t>24.</w:t>
      </w:r>
      <w:r w:rsidRPr="003E07CA">
        <w:tab/>
        <w:t>bemærker, at udvalget i stigende grad er afhængig af kontraktansatte og midlertidigt ansatte (svarende til op til 26 % af udvalgets personale); bemærker på baggrund af spørgeskemaet, at denne afhængighed navnlig skyldes manglen på EPSO-reservelister (Det Europæiske Personaleudvælgelseskontor) for administratorer (AD-generalister) siden 2018; er bekymret over, at udvalgets langsigtede stabilitet og forretningskontinuitet trues af, at de tilbudte tidsbegrænsede kontrakter ikke er attraktive; understreger betydningen af fastansat personale med hensyn til at opretholde færdigheder, kontinuitet og et produktivt arbejdsmiljø; bemærker, at udvalget afholdt en intern udvælgelsesprøve for generalister i fem lønklasser (AST/SC 1, AST 1, AST 3, AD 5 og AD 7) i 2024;</w:t>
      </w:r>
      <w:r w:rsidRPr="003E07CA">
        <w:rPr>
          <w:color w:val="FF0000"/>
        </w:rPr>
        <w:t xml:space="preserve"> </w:t>
      </w:r>
      <w:r w:rsidRPr="003E07CA">
        <w:t>støtter udvalget i dets bestræbelser på at imødegå disse udfordringer; anmoder udvalget om at aflægge rapport til dechargemyndigheden om sådanne udvælgelsesprøver, der blev afholdt i 2024;</w:t>
      </w:r>
    </w:p>
    <w:p w14:paraId="71354F6B" w14:textId="77777777" w:rsidR="00321181" w:rsidRPr="003E07CA" w:rsidRDefault="00321181" w:rsidP="00321181">
      <w:pPr>
        <w:spacing w:after="240"/>
        <w:ind w:left="567" w:hanging="567"/>
      </w:pPr>
      <w:r w:rsidRPr="003E07CA">
        <w:t>25.</w:t>
      </w:r>
      <w:r w:rsidRPr="003E07CA">
        <w:tab/>
        <w:t>bemærker, at udvalget ved udgangen af 2023 beskæftigede 56,9 % kvinder og 43,1 % mænd;</w:t>
      </w:r>
      <w:r w:rsidRPr="003E07CA">
        <w:rPr>
          <w:color w:val="FF0000"/>
        </w:rPr>
        <w:t xml:space="preserve"> </w:t>
      </w:r>
      <w:r w:rsidRPr="003E07CA">
        <w:t xml:space="preserve">beklager, at udvalget endnu ikke har opnået ligestilling mellem kønnene i ledende stillinger, men anerkender de betydelige fremskridt, der er gjort inden for rammerne af udvalgets femårige strategi og handlingsplan for mangfoldighed og inklusion for 2022-2026, herunder en markant stigning i andelen af kvinder i ledende stillinger fra 37,5 % i 2022 til 44,4 % i 2023; anbefaler foranstaltninger til at øge </w:t>
      </w:r>
      <w:proofErr w:type="spellStart"/>
      <w:r w:rsidRPr="003E07CA">
        <w:t>inklusiviteten</w:t>
      </w:r>
      <w:proofErr w:type="spellEnd"/>
      <w:r w:rsidRPr="003E07CA">
        <w:t xml:space="preserve"> i stillingsopslag og tilskynde til større deltagelse af kvinder i den øverste ledelse og på mellemlederniveau, herunder gennem mål for kønsbalance, afbalanceret repræsentation i udvælgelseskomitéer, målrettede kursusmuligheder for kvindelige medarbejdere, der ønsker ledende stillinger, og fremme af mere fleksible arbejdsordninger; tilskynder udvalget til at fortsætte sine bestræbelser på at opnå kønsbalance og kræver i den forbindelse, at medlemsstaterne indstiller både en mandlig og en kvindelig kandidat til udnævnelser til udvalgets medlemmer for at forbedre repræsentationen på alle niveauer;</w:t>
      </w:r>
    </w:p>
    <w:p w14:paraId="2534A200" w14:textId="77777777" w:rsidR="00321181" w:rsidRPr="003E07CA" w:rsidRDefault="00321181" w:rsidP="00321181">
      <w:pPr>
        <w:spacing w:after="240"/>
        <w:ind w:left="567" w:hanging="567"/>
      </w:pPr>
      <w:r w:rsidRPr="003E07CA">
        <w:lastRenderedPageBreak/>
        <w:t>26.</w:t>
      </w:r>
      <w:r w:rsidRPr="003E07CA">
        <w:tab/>
        <w:t>bemærker, at udvalget som følge af et pilotprojekt om en hybrid arbejdsordning og en personaletilfredshedsundersøgelse, der blev iværksat i 2022, den 1. januar 2024 vedtog en afgørelse, der indeholder bestemmelser om en hybrid arbejdsordning og en individuel ugentlig arbejdsplan for hver medarbejder, mulighed for at arbejde hjemmefra i op til 60 % af arbejdstiden (undtagen for personalekategorier, der ikke er forenelige med telearbejde) samt mulighed for at arbejde fra et andet sted end i den by, hvor arbejdsstedet befinder sig, i op til 15 dage om året; anerkender, at disse foranstaltninger har til formål at forbedre balancen mellem arbejdsliv og privatliv, samtidig med at den operationelle effektivitet og personalets tilfredshed opretholdes;</w:t>
      </w:r>
    </w:p>
    <w:p w14:paraId="6F37A3A7" w14:textId="77777777" w:rsidR="00321181" w:rsidRPr="003E07CA" w:rsidRDefault="00321181" w:rsidP="00321181">
      <w:pPr>
        <w:spacing w:after="240"/>
        <w:ind w:left="567" w:hanging="567"/>
      </w:pPr>
      <w:r w:rsidRPr="003E07CA">
        <w:t>27.</w:t>
      </w:r>
      <w:r w:rsidRPr="003E07CA">
        <w:tab/>
        <w:t>bemærker med tilfredshed, at udvalgets hybride arbejdsordning har haft en positiv indvirkning med hensyn til korttidssygemeldinger, og at antallet af ansatte uden sygeorlov steg fra 71 (eller 12 % af alle ansatte) i 2018 til 211 (eller 36 % af alle ansatte) i 2023, at antallet af ansatte på sygeorlov i mindre end syv dage faldt fra 257 (eller 46 % af alle ansatte) i 2018 til 201 (eller 35 % af alle ansatte) i 2023, og at antallet af ansatte på sygeorlov i en periode på mellem 7,5 og 21 dage faldt fra 140 (eller 25 % af alle ansatte) i 2018 til 92 (eller 16 % af alle ansatte) i 2023; opfordrer udvalget til at overvåge virkningen af den nye arbejdsordning og til fortsat at inkludere dette emne i kommende personaletilfredshedsundersøgelser; bemærker med tilfredshed, at 90,25 % (82 % for lederes vedkommende) af dem, der besvarede personaleundersøgelsen fra december 2022, gav udtryk for, at de var tilfredse med disse fleksible ordninger;</w:t>
      </w:r>
    </w:p>
    <w:p w14:paraId="448E2CB6" w14:textId="77777777" w:rsidR="00321181" w:rsidRPr="003E07CA" w:rsidRDefault="00321181" w:rsidP="00321181">
      <w:pPr>
        <w:spacing w:after="240"/>
        <w:ind w:left="567" w:hanging="567"/>
        <w:rPr>
          <w:b/>
          <w:i/>
        </w:rPr>
      </w:pPr>
      <w:r w:rsidRPr="003E07CA">
        <w:t>28.</w:t>
      </w:r>
      <w:r w:rsidRPr="003E07CA">
        <w:tab/>
        <w:t>bemærker med bekymring, at der blev indberettet 18 tilfælde af udbrændthed i udvalget i 2023, hvilket er en stigning fra 16 tilfælde i 2022; understreger den betydelige sociale og faglige indvirkning af udbrændthed på personalets trivsel og resultater; bemærker endvidere, at det i 2023 lykkedes udvalget at reintegrere 16 medarbejdere efter et langvarigt fravær som følge af udbrændthed takket være en individualiseret opfølgning på langtidssygemeldinger; hilser de forebyggende foranstaltninger, som udvalget har truffet for at mindske psykosociale risici og udbrændthed, velkommen; påskønner i den forbindelse lægetjenestens proaktive tilgang og de bevidstgørelseskonferencer, -undervisningsforløb og -kurser, som udvalget har tilrettelagt; understreger imidlertid behovet for yderligere at styrke indsatsen for at tackle de grundlæggende årsager til udbrændthed og fremme et sundere arbejdsmiljø;</w:t>
      </w:r>
    </w:p>
    <w:p w14:paraId="1D562374" w14:textId="77777777" w:rsidR="00321181" w:rsidRPr="003E07CA" w:rsidRDefault="00321181" w:rsidP="00321181">
      <w:pPr>
        <w:spacing w:after="240"/>
        <w:ind w:left="567" w:hanging="567"/>
      </w:pPr>
      <w:r w:rsidRPr="003E07CA">
        <w:t>29.</w:t>
      </w:r>
      <w:r w:rsidRPr="003E07CA">
        <w:tab/>
        <w:t xml:space="preserve">bemærker, at udvalget i 2023 i overensstemmelse med sin afgørelse af 26. april 2021 om beskyttelse af værdigheden på arbejdspladsen, håndtering af konflikter og bekæmpelse af chikane fortsatte med at øge bevidstheden om de foranstaltninger, der er truffet for at forebygge og bekæmpe chikane på arbejdspladsen, navnlig gennem særlig vejledning, intern kommunikation og afholdelsen af flere informationsmøder for medarbejdere og ledere; glæder sig navnlig over afholdelsen af fem uddannelseskurser om »forebyggelse af psykisk og seksuel chikane« og »respekt og værdighed for et </w:t>
      </w:r>
      <w:proofErr w:type="spellStart"/>
      <w:r w:rsidRPr="003E07CA">
        <w:t>højtydende</w:t>
      </w:r>
      <w:proofErr w:type="spellEnd"/>
      <w:r w:rsidRPr="003E07CA">
        <w:t xml:space="preserve"> team« i 2023 og anbefaler kontinuitet i dette initiativ; bemærker endvidere med tilfredshed, at der ikke blev indberettet nye, igangværende eller afsluttede sager om seksuel chikane i løbet af året;</w:t>
      </w:r>
    </w:p>
    <w:p w14:paraId="0C9ACABF" w14:textId="77777777" w:rsidR="00321181" w:rsidRPr="003E07CA" w:rsidRDefault="00321181" w:rsidP="00321181">
      <w:pPr>
        <w:spacing w:after="240"/>
        <w:ind w:left="567" w:hanging="567"/>
      </w:pPr>
      <w:r w:rsidRPr="003E07CA">
        <w:t>30.</w:t>
      </w:r>
      <w:r w:rsidRPr="003E07CA">
        <w:tab/>
        <w:t>roser udvalget for de foranstaltninger, det traf i 2023 i forbindelse med integrationen af personer med handicap, såsom at gøre udvalgets bygninger tilgængelige for personer med nedsat mobilitet og sikre, at alle ledige stillinger er tilgængelige for ansøgere med handicap;</w:t>
      </w:r>
    </w:p>
    <w:p w14:paraId="2960BE4E" w14:textId="77777777" w:rsidR="00321181" w:rsidRPr="003E07CA" w:rsidRDefault="00321181" w:rsidP="00321181">
      <w:pPr>
        <w:spacing w:after="240"/>
        <w:ind w:left="567" w:hanging="567"/>
      </w:pPr>
      <w:r w:rsidRPr="003E07CA">
        <w:t>31.</w:t>
      </w:r>
      <w:r w:rsidRPr="003E07CA">
        <w:tab/>
        <w:t xml:space="preserve">bemærker, at udvalget i 2023 beskæftigede personale, der repræsenterede alle </w:t>
      </w:r>
      <w:r w:rsidRPr="003E07CA">
        <w:lastRenderedPageBreak/>
        <w:t>EU</w:t>
      </w:r>
      <w:r w:rsidRPr="003E07CA">
        <w:noBreakHyphen/>
        <w:t>nationaliteter (og én medarbejder med ukrainsk statsborgerskab), og at visse nationaliteter var overrepræsenteret (f.eks. Belgien); glæder sig over den yderligere indsats, som udvalget har ydet for at skabe balance i den geografiske fordeling blandt sit personale, idet det har fokuseret på et bredere publikum ved på sit websted og på sociale medier at have offentliggjort indkaldelser af interessetilkendegivelser for kontraktansatte og midlertidigt ansatte; beklager den vedvarende mangel på geografisk balance blandt udvalgets personale, idet visse nationaliteter fortsat er overrepræsenteret i forhold til andre; opfordrer udvalget til at intensivere sine bestræbelser på at opnå en mere afbalanceret geografisk fordeling, navnlig på ledelsesniveau; opfordrer udvalget til at holde dechargemyndigheden underrettet om resultatet af denne type tiltag;</w:t>
      </w:r>
    </w:p>
    <w:p w14:paraId="7F7183A9" w14:textId="77777777" w:rsidR="00321181" w:rsidRPr="003E07CA" w:rsidRDefault="00321181" w:rsidP="00321181">
      <w:pPr>
        <w:spacing w:after="240"/>
        <w:ind w:left="567" w:hanging="567"/>
      </w:pPr>
      <w:r w:rsidRPr="003E07CA">
        <w:t>32.</w:t>
      </w:r>
      <w:r w:rsidRPr="003E07CA">
        <w:tab/>
        <w:t>glæder sig over, at udvalgets praktikkontor for anden gang i træk deltog i mødet med titlen »Muligheder for unge romaer« i april 2023; roser initiativet til at præsentere udvalgets praktikordning for unge og motiverede romaer og ikkeromaer, hvilket afspejler et stærkt engagement i at fremme inklusion, mangfoldighed og lige muligheder; tilskynder til fortsættelse og udvidelse af sådanne initiativer for yderligere at inddrage underrepræsenterede samfund og fremme en mere inklusiv europæisk arbejdsstyrke;</w:t>
      </w:r>
    </w:p>
    <w:p w14:paraId="40D4D59E" w14:textId="77777777" w:rsidR="00321181" w:rsidRPr="003E07CA" w:rsidRDefault="00321181" w:rsidP="00321181">
      <w:pPr>
        <w:spacing w:after="240"/>
        <w:ind w:left="567" w:hanging="567"/>
      </w:pPr>
      <w:r w:rsidRPr="003E07CA">
        <w:t>33.</w:t>
      </w:r>
      <w:r w:rsidRPr="003E07CA">
        <w:tab/>
        <w:t>glæder sig over de fremskridt, der er gjort med hensyn til kønsbalance i ledelsen med en stigning i procentdelen af kvinder både i mellemlederstillinger (fra 29,7 % i 2022 til 32,5 % i 2023) og i ledende stillinger (fra 37,5 % i 2022 til 44,4 % i 2023);</w:t>
      </w:r>
    </w:p>
    <w:p w14:paraId="4013E58A" w14:textId="77777777" w:rsidR="00321181" w:rsidRPr="003E07CA" w:rsidRDefault="00321181" w:rsidP="00321181">
      <w:pPr>
        <w:spacing w:after="240"/>
        <w:ind w:left="567" w:hanging="567"/>
        <w:rPr>
          <w:b/>
          <w:i/>
        </w:rPr>
      </w:pPr>
      <w:r w:rsidRPr="003E07CA">
        <w:rPr>
          <w:b/>
          <w:i/>
        </w:rPr>
        <w:t>Etiske rammer og gennemsigtighed</w:t>
      </w:r>
    </w:p>
    <w:p w14:paraId="5659C27D" w14:textId="77777777" w:rsidR="00321181" w:rsidRPr="003E07CA" w:rsidRDefault="00321181" w:rsidP="00321181">
      <w:pPr>
        <w:spacing w:after="240"/>
        <w:ind w:left="567" w:hanging="567"/>
      </w:pPr>
      <w:r w:rsidRPr="003E07CA">
        <w:t>34.</w:t>
      </w:r>
      <w:r w:rsidRPr="003E07CA">
        <w:tab/>
        <w:t>glæder sig over det arbejde, som udvalget udførte i 2023 for at samle etiske regler og praksisser i én enkelt etisk retlig ramme (afgørelse nr. 157/2023), der bl.a. omfatter disciplinærprocedurer, værdighed på arbejdspladsen, konfliktstyring, bekæmpelse af chikane, eksterne aktiviteter og whistleblowing; bemærker, at dette arbejde kulminerede med en afgørelse (nr. 157/2023), som var resultatet af omfattende høringer af forskellige interessenter samt en opfølgning på en intern undersøgelse af personalets etiske bevidsthed og gennemførelsen af den interne revisions anbefaling om dette emne; roser udvalget for i 2023 fortsat at have tilbudt kurser i etik, integritet og respekt og værdighed på arbejdspladsen til forskellige personalegrupper lige fra nyansatte til ledere og den generelle medarbejderstab;</w:t>
      </w:r>
    </w:p>
    <w:p w14:paraId="4C8709B4" w14:textId="77777777" w:rsidR="00321181" w:rsidRPr="003E07CA" w:rsidRDefault="00321181" w:rsidP="00321181">
      <w:pPr>
        <w:spacing w:after="240"/>
        <w:ind w:left="567" w:hanging="567"/>
      </w:pPr>
      <w:r w:rsidRPr="003E07CA">
        <w:t>35.</w:t>
      </w:r>
      <w:r w:rsidRPr="003E07CA">
        <w:tab/>
        <w:t xml:space="preserve">bemærker, at Det Europæiske Kontor for Bekæmpelse af Svig (OLAF) behandlede to sager i 2023: én sag om et udvalgsmedlems påståede eksterne erhvervsmæssige aktiviteter og en anden sag vedrørende påstande om gentagne tilfælde af en medarbejders uautoriserede eksterne aktiviteter; bemærker, at der i førstnævnte sag ikke blev indledt en OLAF-undersøgelse som følge af manglende proportionalitet mellem de ressourcer, der er nødvendige for at gennemføre en undersøgelse, og de forventede resultater, samtidig med at udvalget fandt, at der ikke forelå nogen interessekonflikter, idet udvalgets medlemmer ikke modtager vederlag fra Unionen og ej heller er forpligtet til at anmelde deres erhvervsmæssige aktiviteter, som de kan modtage betaling for inden for rammerne af de lokale eller regionale mandater, som disse medlemmer måtte have; bemærker med hensyn til sidstnævnte sag, at OLAF indledte en undersøgelse, som blev afsluttet med to henstillinger, som udvalget gennemførte ved at indlede en disciplinærsag mod den pågældende ansatte og ved at inddrive gevinster i forbindelse med den pågældendes uautoriserede eksterne aktiviteter; minder om, at den sag, der blev afsluttet i 2022 vedrørende påstande om økonomiske forseelser, chikane og dårlig </w:t>
      </w:r>
      <w:r w:rsidRPr="003E07CA">
        <w:lastRenderedPageBreak/>
        <w:t xml:space="preserve">ledelse i en fælles udvalgs- og EØSU-tjeneste, gav anledning til en konflikthåndteringsprocedure, der involverede de berørte personer, og til udarbejdelsen af en fempunktshandlingsplan; bemærker med tilfredshed på baggrund af udvalgets opfølgningsrapport til Parlamentets afgørelse om meddelelse af decharge for udvalgets </w:t>
      </w:r>
      <w:proofErr w:type="spellStart"/>
      <w:r w:rsidRPr="003E07CA">
        <w:t>budgetgennemførelsesår</w:t>
      </w:r>
      <w:proofErr w:type="spellEnd"/>
      <w:r w:rsidRPr="003E07CA">
        <w:t xml:space="preserve"> 2022, at denne handlingsplan var gennemført fuldt ud ved udgangen af 2023;</w:t>
      </w:r>
    </w:p>
    <w:p w14:paraId="738C257D" w14:textId="77777777" w:rsidR="00321181" w:rsidRPr="003E07CA" w:rsidRDefault="00321181" w:rsidP="00321181">
      <w:pPr>
        <w:spacing w:after="240"/>
        <w:ind w:left="567" w:hanging="567"/>
        <w:rPr>
          <w:b/>
          <w:bCs/>
          <w:i/>
          <w:iCs/>
        </w:rPr>
      </w:pPr>
      <w:r w:rsidRPr="003E07CA">
        <w:t>36.</w:t>
      </w:r>
      <w:r w:rsidRPr="003E07CA">
        <w:tab/>
        <w:t>minder om, at udvalget vedtog reglement nr. 6/2023 af 4. juli 2023 om gennemsigtighedsforanstaltninger, der fokuserer på medlemmer og ordførere, der varetager formandskab, og ordførere; roser i den forbindelse udvalget for formelt at have tilsluttet sig EU's åbenhedsregister den 1. januar 2024;</w:t>
      </w:r>
    </w:p>
    <w:p w14:paraId="62872A37" w14:textId="77777777" w:rsidR="00321181" w:rsidRPr="003E07CA" w:rsidRDefault="00321181" w:rsidP="00321181">
      <w:pPr>
        <w:spacing w:after="240"/>
        <w:ind w:left="567" w:hanging="567"/>
        <w:rPr>
          <w:b/>
          <w:i/>
        </w:rPr>
      </w:pPr>
      <w:r w:rsidRPr="003E07CA">
        <w:t>37.</w:t>
      </w:r>
      <w:r w:rsidRPr="003E07CA">
        <w:tab/>
        <w:t>opfordrer indtrængende udvalget til at forbedre afsløringen og forebyggelsen af interessekonflikter ved at indføre en obligatorisk afkølingsperiode for afgående medlemmer, inden de kan deltage i lobbyvirksomhed eller rådgivningsaktiviteter, der involverer EU-institutionerne; opfordrer til proaktiv offentliggørelse af alle afgørelser om inhabilitet, der er truffet af udvalgets medlemmer på grund af interessekonflikter;</w:t>
      </w:r>
    </w:p>
    <w:p w14:paraId="766B58EB" w14:textId="77777777" w:rsidR="00321181" w:rsidRPr="003E07CA" w:rsidRDefault="00321181" w:rsidP="00321181">
      <w:pPr>
        <w:spacing w:after="240"/>
        <w:ind w:left="567" w:hanging="567"/>
      </w:pPr>
      <w:r w:rsidRPr="003E07CA">
        <w:t>38.</w:t>
      </w:r>
      <w:r w:rsidRPr="003E07CA">
        <w:tab/>
        <w:t>glæder sig over udvalgets fornyede bestræbelser på at opdage og forebygge interessekonflikter i 2023; bemærker, at udvalget takket være sin afgørelse nr. 157/2023 definerede begrebet interessekonflikt og har indført en mekanisme til at opdage og forhindre sådanne konflikter, idet personalet har pligt til at erklære, hvorvidt der eventuelt kan foreligge en interessekonflikt (potentiel eller mulig), ved at udfylde en formular på forskellige centrale tidspunkter i forbindelse med deres karriere eller erhvervsmæssige aktiviteter; bemærker med tilfredshed på baggrund af spørgeskemaet, at de årlige oplysninger om de erhvervsmæssige aktiviteter, der udføres af tidligere højtstående ansvarlige, offentliggøres på en gennemsigtig måde på udvalgets websted; bemærker, at udvalget i 2023 ikke opdagede nogen interessekonflikter, som ville have krævet en opfølgning fra administrationens side;</w:t>
      </w:r>
    </w:p>
    <w:p w14:paraId="0F3F2084" w14:textId="77777777" w:rsidR="00321181" w:rsidRPr="003E07CA" w:rsidRDefault="00321181" w:rsidP="00321181">
      <w:pPr>
        <w:spacing w:after="240"/>
        <w:ind w:left="567" w:hanging="567"/>
      </w:pPr>
      <w:r w:rsidRPr="003E07CA">
        <w:t>39.</w:t>
      </w:r>
      <w:r w:rsidRPr="003E07CA">
        <w:tab/>
        <w:t>bemærker, at der ikke blev indberettet nogen tilfælde af whistleblowing til udvalget i 2023, bortset fra oplysninger modtaget fra OLAF om en whistleblowersag mod en ansat i udvalget, som i sidste ende blev afvist af OLAF; bemærker, at udvalget ikke vedtog nye foranstaltninger vedrørende whistleblowing i 2023 og fortsatte med at forlade sig på de foranstaltninger, der har været gældende siden 2015, og fremme dem gennem kurser i etiske anliggender og bevidstgørelse; støtter regelmæssige obligatoriske etiske kurser både for personale og på ledelsesniveau;</w:t>
      </w:r>
    </w:p>
    <w:p w14:paraId="03CF2639" w14:textId="77777777" w:rsidR="00321181" w:rsidRPr="003E07CA" w:rsidRDefault="00321181" w:rsidP="00321181">
      <w:pPr>
        <w:spacing w:after="240"/>
        <w:ind w:left="567" w:hanging="567"/>
      </w:pPr>
      <w:r w:rsidRPr="003E07CA">
        <w:t>40.</w:t>
      </w:r>
      <w:r w:rsidRPr="003E07CA">
        <w:tab/>
        <w:t>bemærker, at udvalget har indført en række foranstaltninger og tiltag til bekæmpelse af svig, som finder anvendelse på dets medlemmer og dets personale, og som gennemføres af forskellige tjenester; bemærker, at der ikke fandtes nogen strategi for bekæmpelse af svig i 2023 på trods af Parlamentets anmodninger i tidligere dechargebeslutninger; bemærker med tilfredshed efter Parlamentets henstilling og som anført i spørgeskemaet udvalgets tilsagn om yderligere at styrke de eksisterende foranstaltninger til bekæmpelse af svig ved at vedtage en strategi for bekæmpelse af svig i 2025; opfordrer udvalget til at fremme regelmæssige og obligatoriske kurser i bekæmpelse af svig som led i strategien; opfordrer udvalget til at holde dechargemyndigheden underrettet om dette spørgsmål;</w:t>
      </w:r>
    </w:p>
    <w:p w14:paraId="3CFA0A03" w14:textId="77777777" w:rsidR="00321181" w:rsidRPr="003E07CA" w:rsidRDefault="00321181" w:rsidP="00321181">
      <w:pPr>
        <w:spacing w:after="240"/>
        <w:ind w:left="567" w:hanging="567"/>
        <w:rPr>
          <w:b/>
          <w:i/>
        </w:rPr>
      </w:pPr>
      <w:r w:rsidRPr="003E07CA">
        <w:rPr>
          <w:b/>
          <w:i/>
        </w:rPr>
        <w:t xml:space="preserve">Digitalisering, </w:t>
      </w:r>
      <w:proofErr w:type="spellStart"/>
      <w:r w:rsidRPr="003E07CA">
        <w:rPr>
          <w:b/>
          <w:i/>
        </w:rPr>
        <w:t>cybersikkerhed</w:t>
      </w:r>
      <w:proofErr w:type="spellEnd"/>
      <w:r w:rsidRPr="003E07CA">
        <w:rPr>
          <w:b/>
          <w:i/>
        </w:rPr>
        <w:t xml:space="preserve"> og databeskyttelse</w:t>
      </w:r>
    </w:p>
    <w:p w14:paraId="5F5EDC7F" w14:textId="77777777" w:rsidR="00321181" w:rsidRPr="003E07CA" w:rsidRDefault="00321181" w:rsidP="00321181">
      <w:pPr>
        <w:spacing w:after="240"/>
        <w:ind w:left="567" w:hanging="567"/>
      </w:pPr>
      <w:r w:rsidRPr="003E07CA">
        <w:lastRenderedPageBreak/>
        <w:t>41.</w:t>
      </w:r>
      <w:r w:rsidRPr="003E07CA">
        <w:tab/>
        <w:t xml:space="preserve">bemærker, at det samlede IT-budget for udvalget og EØSU udgjorde 12,7 mio. EUR i 2023 sammenlignet med 11,712 mio. EUR i 2022, dvs. en stigning på 8,4 %, og at 350 000 EUR af dette budget blev anvendt til </w:t>
      </w:r>
      <w:proofErr w:type="spellStart"/>
      <w:r w:rsidRPr="003E07CA">
        <w:t>cybersikkerhed</w:t>
      </w:r>
      <w:proofErr w:type="spellEnd"/>
      <w:r w:rsidRPr="003E07CA">
        <w:t xml:space="preserve"> i 2023;</w:t>
      </w:r>
    </w:p>
    <w:p w14:paraId="553DD1F2" w14:textId="77777777" w:rsidR="00321181" w:rsidRPr="003E07CA" w:rsidRDefault="00321181" w:rsidP="00321181">
      <w:pPr>
        <w:spacing w:after="240"/>
        <w:ind w:left="567" w:hanging="567"/>
      </w:pPr>
      <w:r w:rsidRPr="003E07CA">
        <w:t>42.</w:t>
      </w:r>
      <w:r w:rsidRPr="003E07CA">
        <w:tab/>
        <w:t>glæder sig over udvalgets nye »digitale strategi 2024-2026«, der blev vedtaget ved udgangen af 2023; roser i den forbindelse udvalget for de fremskridt, der er gjort med hensyn til digitalisering i 2023 på forskellige områder, såsom i forbindelse med administrative processer (herunder personaleudvælgelse), indkøb og tolkning; opfordrer udvalget til at fremskynde indsatsen for den digitale omstilling ved at sikre fuld gennemførelse af elektroniske arbejdsgange, e-signaturer og digitale sagsforvaltningsværktøjer senest i 2026, reducere papirbaserede processer i overensstemmelse med bæredygtighedsforpligtelserne og skifte til en mere papirløs forvaltning;</w:t>
      </w:r>
    </w:p>
    <w:p w14:paraId="3FAC1AA3" w14:textId="77777777" w:rsidR="00321181" w:rsidRPr="003E07CA" w:rsidRDefault="00321181" w:rsidP="00321181">
      <w:pPr>
        <w:spacing w:after="240"/>
        <w:ind w:left="567" w:hanging="567"/>
      </w:pPr>
      <w:r w:rsidRPr="003E07CA">
        <w:t>43.</w:t>
      </w:r>
      <w:r w:rsidRPr="003E07CA">
        <w:tab/>
        <w:t>bemærker med tilfredshed, at 90 % af projekterne til forenkling ved hjælp af digitalisering inden for rammerne af »</w:t>
      </w:r>
      <w:proofErr w:type="spellStart"/>
      <w:r w:rsidRPr="003E07CA">
        <w:t>Going</w:t>
      </w:r>
      <w:proofErr w:type="spellEnd"/>
      <w:r w:rsidRPr="003E07CA">
        <w:t xml:space="preserve"> for </w:t>
      </w:r>
      <w:proofErr w:type="spellStart"/>
      <w:r w:rsidRPr="003E07CA">
        <w:t>IMPact</w:t>
      </w:r>
      <w:proofErr w:type="spellEnd"/>
      <w:r w:rsidRPr="003E07CA">
        <w:t>!«-initiativet var gennemført fuldt ud ved udgangen af 2023; bemærker endvidere, at muligheden for at opnå yderligere effektivitetsgevinster blev udnyttet i kraft af et IT-projekt, der havde til formål at finde det bedste værktøj til elektronisk forvaltning af formularbaserede arbejdsgange, og at mange af udvalgets procedurer som et resultat heraf gradvist er blevet forenklet og digitaliseret ved hjælp af Microsoft 365-værktøjer; bemærker med tilfredshed, at udvalget anvender udbudsmoduler såsom e-</w:t>
      </w:r>
      <w:proofErr w:type="spellStart"/>
      <w:r w:rsidRPr="003E07CA">
        <w:t>Tendering</w:t>
      </w:r>
      <w:proofErr w:type="spellEnd"/>
      <w:r w:rsidRPr="003E07CA">
        <w:t>, e-</w:t>
      </w:r>
      <w:proofErr w:type="spellStart"/>
      <w:r w:rsidRPr="003E07CA">
        <w:t>Notices</w:t>
      </w:r>
      <w:proofErr w:type="spellEnd"/>
      <w:r w:rsidRPr="003E07CA">
        <w:t>, e</w:t>
      </w:r>
      <w:r w:rsidRPr="003E07CA">
        <w:noBreakHyphen/>
        <w:t xml:space="preserve">Submission, </w:t>
      </w:r>
      <w:proofErr w:type="spellStart"/>
      <w:r w:rsidRPr="003E07CA">
        <w:t>MyWorkplace</w:t>
      </w:r>
      <w:proofErr w:type="spellEnd"/>
      <w:r w:rsidRPr="003E07CA">
        <w:t xml:space="preserve"> og den kvalificerede elektroniske signatur til underskrivelse af kontrakter, der blev indført i 2023; glæder sig over udvalgets vedtagelse af interne retningslinjer for anvendelsen af kunstig intelligens, der danner grundlag for mulige fremtidige løsninger, og tilskynder til indførelse af regelmæssige obligatoriske kurser i sikker anvendelse af kunstig intelligens;</w:t>
      </w:r>
    </w:p>
    <w:p w14:paraId="4886C45E" w14:textId="77777777" w:rsidR="00321181" w:rsidRPr="003E07CA" w:rsidRDefault="00321181" w:rsidP="00321181">
      <w:pPr>
        <w:spacing w:after="240"/>
        <w:ind w:left="567" w:hanging="567"/>
      </w:pPr>
      <w:r w:rsidRPr="003E07CA">
        <w:t>44.</w:t>
      </w:r>
      <w:r w:rsidRPr="003E07CA">
        <w:tab/>
        <w:t xml:space="preserve">bemærker </w:t>
      </w:r>
      <w:proofErr w:type="gramStart"/>
      <w:r w:rsidRPr="003E07CA">
        <w:t>endvidere</w:t>
      </w:r>
      <w:proofErr w:type="gramEnd"/>
      <w:r w:rsidRPr="003E07CA">
        <w:t>, at Den Europæiske Tilsynsførende for Databeskyttelse (EDPS) ikke foretog nogen undersøgelser vedrørende udvalgets behandling af personoplysninger i 2023; bemærker, at EDPS i 2023 udsendte et generelt spørgeskema om udpegelsen af databeskyttelsesrådgiveren og dennes stilling, som blev besvaret af udvalgets databeskyttelsesrådgiver;</w:t>
      </w:r>
    </w:p>
    <w:p w14:paraId="75282C3A" w14:textId="77777777" w:rsidR="00321181" w:rsidRPr="003E07CA" w:rsidRDefault="00321181" w:rsidP="00321181">
      <w:pPr>
        <w:spacing w:after="240"/>
        <w:ind w:left="567" w:hanging="567"/>
      </w:pPr>
      <w:r w:rsidRPr="003E07CA">
        <w:t>45.</w:t>
      </w:r>
      <w:r w:rsidRPr="003E07CA">
        <w:tab/>
        <w:t xml:space="preserve">bemærker, at udvalget ikke oplevede nogen </w:t>
      </w:r>
      <w:proofErr w:type="spellStart"/>
      <w:r w:rsidRPr="003E07CA">
        <w:t>cyberangreb</w:t>
      </w:r>
      <w:proofErr w:type="spellEnd"/>
      <w:r w:rsidRPr="003E07CA">
        <w:t xml:space="preserve"> i 2023, bortset fra visse »</w:t>
      </w:r>
      <w:proofErr w:type="spellStart"/>
      <w:r w:rsidRPr="003E07CA">
        <w:t>denial</w:t>
      </w:r>
      <w:proofErr w:type="spellEnd"/>
      <w:r w:rsidRPr="003E07CA">
        <w:t xml:space="preserve"> of service«-angreb på udvalgets eksternt hostede websted; bemærker på baggrund af spørgeskemaet udvalgets værktøjer og strategier for overvågning i realtid og identifikation af sårbarheder i udvalgets systemer; roser udvalget for at have overholdt standarder i spørgsmål vedrørende </w:t>
      </w:r>
      <w:proofErr w:type="spellStart"/>
      <w:r w:rsidRPr="003E07CA">
        <w:t>cybersikkerhedsrelaterede</w:t>
      </w:r>
      <w:proofErr w:type="spellEnd"/>
      <w:r w:rsidRPr="003E07CA">
        <w:t xml:space="preserve"> risikovurderinger samt for at have indført et system baseret på planer for håndtering af sikkerhedshændelser, genopretningsforanstaltninger og indhøstede erfaringer; bemærker med tilfredshed, at udvalget og EØSU vedtog »NIST </w:t>
      </w:r>
      <w:proofErr w:type="spellStart"/>
      <w:r w:rsidRPr="003E07CA">
        <w:t>Cybersecurity</w:t>
      </w:r>
      <w:proofErr w:type="spellEnd"/>
      <w:r w:rsidRPr="003E07CA">
        <w:t xml:space="preserve"> Framework« (NIST-rammeværket for </w:t>
      </w:r>
      <w:proofErr w:type="spellStart"/>
      <w:r w:rsidRPr="003E07CA">
        <w:t>cybersikkerhed</w:t>
      </w:r>
      <w:proofErr w:type="spellEnd"/>
      <w:r w:rsidRPr="003E07CA">
        <w:t xml:space="preserve">) i 2023 med fokus på principperne »beskyt« og »opdag«; opfordrer udvalget til at øge bevidstheden om </w:t>
      </w:r>
      <w:proofErr w:type="spellStart"/>
      <w:r w:rsidRPr="003E07CA">
        <w:t>cybersikkerhed</w:t>
      </w:r>
      <w:proofErr w:type="spellEnd"/>
      <w:r w:rsidRPr="003E07CA">
        <w:t xml:space="preserve"> blandt sine medlemmer og sit personale, til at foretage regelmæssige risikovurderinger af sin IT</w:t>
      </w:r>
      <w:r w:rsidRPr="003E07CA">
        <w:noBreakHyphen/>
        <w:t xml:space="preserve">infrastruktur og til at sikre regelmæssige revisioner og test af sit </w:t>
      </w:r>
      <w:proofErr w:type="spellStart"/>
      <w:r w:rsidRPr="003E07CA">
        <w:t>cyberforsvar</w:t>
      </w:r>
      <w:proofErr w:type="spellEnd"/>
      <w:r w:rsidRPr="003E07CA">
        <w:t>;</w:t>
      </w:r>
    </w:p>
    <w:p w14:paraId="2135A45C" w14:textId="77777777" w:rsidR="00321181" w:rsidRPr="003E07CA" w:rsidRDefault="00321181" w:rsidP="00321181">
      <w:pPr>
        <w:spacing w:after="240"/>
        <w:rPr>
          <w:b/>
          <w:i/>
        </w:rPr>
      </w:pPr>
      <w:r w:rsidRPr="003E07CA">
        <w:rPr>
          <w:b/>
          <w:i/>
        </w:rPr>
        <w:t>Bygninger</w:t>
      </w:r>
    </w:p>
    <w:p w14:paraId="21EF177E" w14:textId="77777777" w:rsidR="00321181" w:rsidRPr="003E07CA" w:rsidRDefault="00321181" w:rsidP="00321181">
      <w:pPr>
        <w:spacing w:after="240"/>
        <w:ind w:left="567" w:hanging="567"/>
      </w:pPr>
      <w:r w:rsidRPr="003E07CA">
        <w:t>46.</w:t>
      </w:r>
      <w:r w:rsidRPr="003E07CA">
        <w:tab/>
        <w:t xml:space="preserve">bemærker, at udvalgets budget (bevillinger for det pågældende år) i 2023 var på 18,594 mio. EUR (sammenlignet med 18,930 mio. EUR i 2022) med en udnyttelsesgrad </w:t>
      </w:r>
      <w:r w:rsidRPr="003E07CA">
        <w:lastRenderedPageBreak/>
        <w:t>for betalinger på 93,7 % (sammenlignet med 82,6 % i 2022); bemærker med tilfredshed, at der som følge af udskiftningen af B68- og TRE74-bygningerne med VMA-Bygningen i 2022 blev opnået besparelser som følge af lavere lejeudgifter af hele VMA-Bygningen i 2023;</w:t>
      </w:r>
    </w:p>
    <w:p w14:paraId="6C650DD8" w14:textId="77777777" w:rsidR="00321181" w:rsidRPr="003E07CA" w:rsidRDefault="00321181" w:rsidP="00321181">
      <w:pPr>
        <w:spacing w:after="240"/>
        <w:ind w:left="567" w:hanging="567"/>
      </w:pPr>
      <w:r w:rsidRPr="003E07CA">
        <w:t>47.</w:t>
      </w:r>
      <w:r w:rsidRPr="003E07CA">
        <w:tab/>
        <w:t>bemærker, at renoveringsarbejdet i VMA-Bygningen (tredje til niende etage) fortsatte i 2023; bemærker endvidere en lav udnyttelsesgrad for så vidt angår C8-bevillingerne (fremført fra 2022 til 2023), dvs. 18,9 %, der blev anvendt til indretning af VMA-Bygningens lokaler; forstår udvalgets forklaring på denne lave sats, ifølge hvilken kontrahenten ikke var i stand til at afslutte dele af renoveringsarbejdet i VMA-Bygningen; gentager sin opfordring til udvalget om at ajourføre dechargemyndigheden om investeringsafkastet i forbindelse med de intelligente teknologier, der installeres i VMA-Bygningen;</w:t>
      </w:r>
    </w:p>
    <w:p w14:paraId="7BD105D6" w14:textId="77777777" w:rsidR="00321181" w:rsidRPr="003E07CA" w:rsidRDefault="00321181" w:rsidP="00321181">
      <w:pPr>
        <w:spacing w:after="240"/>
        <w:ind w:left="567" w:hanging="567"/>
      </w:pPr>
      <w:r w:rsidRPr="003E07CA">
        <w:t>48.</w:t>
      </w:r>
      <w:r w:rsidRPr="003E07CA">
        <w:tab/>
        <w:t xml:space="preserve">glæder sig over udvalgets og </w:t>
      </w:r>
      <w:proofErr w:type="spellStart"/>
      <w:r w:rsidRPr="003E07CA">
        <w:t>EØSU's</w:t>
      </w:r>
      <w:proofErr w:type="spellEnd"/>
      <w:r w:rsidRPr="003E07CA">
        <w:t xml:space="preserve"> tilsagn om systematisk at anvende princippet om »design for alle« på deres infrastruktur og sikre adgang til deres bygninger gennem design; bemærker, at udvalget iværksatte en række forskellige foranstaltninger for at sikre adgang til deres bygninger for personer med forskellige former for handicap (kørestolsbrugere, blinde og synshæmmede, døve, ældre med muskulære eller vaskulære problemer);</w:t>
      </w:r>
    </w:p>
    <w:p w14:paraId="1CD9D203" w14:textId="77777777" w:rsidR="00321181" w:rsidRPr="003E07CA" w:rsidRDefault="00321181" w:rsidP="00321181">
      <w:pPr>
        <w:spacing w:after="240"/>
        <w:rPr>
          <w:b/>
          <w:i/>
        </w:rPr>
      </w:pPr>
      <w:r w:rsidRPr="003E07CA">
        <w:rPr>
          <w:b/>
          <w:i/>
        </w:rPr>
        <w:t>Miljø og bæredygtighed</w:t>
      </w:r>
    </w:p>
    <w:p w14:paraId="6B5A8CE3" w14:textId="77777777" w:rsidR="00321181" w:rsidRPr="003E07CA" w:rsidRDefault="00321181" w:rsidP="00321181">
      <w:pPr>
        <w:spacing w:after="240"/>
        <w:ind w:left="567" w:hanging="567"/>
      </w:pPr>
      <w:r w:rsidRPr="003E07CA">
        <w:t>49.</w:t>
      </w:r>
      <w:r w:rsidRPr="003E07CA">
        <w:tab/>
        <w:t>bemærker, at udvalget fortsatte med at gennemføre en række forskellige grønne praksisser i 2023, såsom brug af innovative energieffektive bygningsinstallationer, køb af 100 % grøn elektricitet, udskiftning af papirløse arbejdsgange med digitale underskrifter, anvendelse af miljøkriterier i alle udbudsprocedurer (med skræddersyede grønne kriterier for udbud på over 60 000 EUR), fokus på affaldsreduktion og forøgelse af genanvendelsesprocenten, gennemførelse af foranstaltninger til mere bæredygtige rejser for personalet, herunder finansielle bidrag fra udvalget til dets personales udgifter til offentlig transport, fuld anvendelse af fjerntolkning i forbindelse med vedtægtsmæssige møder og andre energibesparende foranstaltninger; bemærker med tilfredshed på baggrund af spørgeskemaet, at kulstofemissionerne i forbindelse med udvalgets administrative aktiviteter, er reduceret med 18 % sammenlignet med 2019;</w:t>
      </w:r>
    </w:p>
    <w:p w14:paraId="0BDBCB77" w14:textId="77777777" w:rsidR="00321181" w:rsidRPr="003E07CA" w:rsidRDefault="00321181" w:rsidP="00321181">
      <w:pPr>
        <w:spacing w:after="240"/>
        <w:ind w:left="567" w:hanging="567"/>
      </w:pPr>
      <w:r w:rsidRPr="003E07CA">
        <w:t>50.</w:t>
      </w:r>
      <w:r w:rsidRPr="003E07CA">
        <w:tab/>
        <w:t>bemærker med tilfredshed på baggrund af spørgeskemaet, at udvalgets energiforbrug takket være dets energibesparelsesforanstaltninger blev reduceret med ca. 3,4 % i 2023 sammenlignet med 2022, hvilket svarer til en økonomisk gevinst på 64 240 EUR; lykønsker udvalget med, at det har overgået EMAS-målene for 2021-2025 på alle områder (elektricitet, gas, vand, affald, affaldssortering, papir til kontorbrug, CO</w:t>
      </w:r>
      <w:r w:rsidRPr="003E07CA">
        <w:rPr>
          <w:vertAlign w:val="subscript"/>
        </w:rPr>
        <w:t>2</w:t>
      </w:r>
      <w:r w:rsidRPr="003E07CA">
        <w:noBreakHyphen/>
        <w:t>emissioner);</w:t>
      </w:r>
    </w:p>
    <w:p w14:paraId="0A195665" w14:textId="77777777" w:rsidR="00321181" w:rsidRPr="003E07CA" w:rsidRDefault="00321181" w:rsidP="00321181">
      <w:pPr>
        <w:spacing w:after="240"/>
        <w:ind w:left="567" w:hanging="567"/>
        <w:rPr>
          <w:b/>
          <w:i/>
        </w:rPr>
      </w:pPr>
      <w:proofErr w:type="spellStart"/>
      <w:r w:rsidRPr="003E07CA">
        <w:rPr>
          <w:b/>
          <w:i/>
        </w:rPr>
        <w:t>Interinstitutionelt</w:t>
      </w:r>
      <w:proofErr w:type="spellEnd"/>
      <w:r w:rsidRPr="003E07CA">
        <w:rPr>
          <w:b/>
          <w:i/>
        </w:rPr>
        <w:t xml:space="preserve"> samarbejde</w:t>
      </w:r>
    </w:p>
    <w:p w14:paraId="09142315" w14:textId="77777777" w:rsidR="00321181" w:rsidRPr="003E07CA" w:rsidRDefault="00321181" w:rsidP="00321181">
      <w:pPr>
        <w:spacing w:after="240"/>
        <w:ind w:left="567" w:hanging="567"/>
      </w:pPr>
      <w:r w:rsidRPr="003E07CA">
        <w:t>51.</w:t>
      </w:r>
      <w:r w:rsidRPr="003E07CA">
        <w:tab/>
        <w:t xml:space="preserve">glæder sig over de budgetmæssige og administrative besparelser, der er opnået gennem det </w:t>
      </w:r>
      <w:proofErr w:type="spellStart"/>
      <w:r w:rsidRPr="003E07CA">
        <w:t>interinstitutionelle</w:t>
      </w:r>
      <w:proofErr w:type="spellEnd"/>
      <w:r w:rsidRPr="003E07CA">
        <w:t xml:space="preserve"> samarbejde, og navnlig over det tætte samarbejde, der er etableret på administrativt plan med EØSU, som udvalget deler lokaler og fælles tjenester med inden for oversættelse, infrastruktur, logistik og IT, med 470 medarbejdere og ca. 60 mio. EUR (bortset fra </w:t>
      </w:r>
      <w:proofErr w:type="spellStart"/>
      <w:r w:rsidRPr="003E07CA">
        <w:t>ikkelønrelaterede</w:t>
      </w:r>
      <w:proofErr w:type="spellEnd"/>
      <w:r w:rsidRPr="003E07CA">
        <w:t xml:space="preserve"> udgifter), som de to institutioner har lagt sammen i 2023; bemærker med tilfredshed, at udvalget udvidede sit samarbejde med EØSU yderligere ved at udnytte flere synergier i form af fælles lægetjenester og et </w:t>
      </w:r>
      <w:r w:rsidRPr="003E07CA">
        <w:lastRenderedPageBreak/>
        <w:t>fælles centralt databeskyttelsesregister og behandlingsaktiviteter baseret på den fælles kontrolanordning, som udvalget og EØSU undertegnede i 2023; gentager sin opfordring til udvalget om at fortsætte og udvide dette samarbejde på andre områder med henblik på at undgå dobbeltarbejde og yderligere rationalisere driftsomkostningerne for de tjenester, der er til rådighed i de lokaler, som udvalget og EØSU deler; opfordrer udvalget og EØSU til at undersøge muligheden for at oprette en fælles administration for deres fælles tjenester og beholde separate direktorater eller enheder for de tjenester, der beskæftiger sig med spørgsmål vedrørende deres specifikke og uafhængige mandater; opfordrer udvalget og EØSU til at fortsætte deres bestræbelser på at udvikle yderligere samarbejde og synergier;</w:t>
      </w:r>
    </w:p>
    <w:p w14:paraId="64928D8E" w14:textId="77777777" w:rsidR="00321181" w:rsidRPr="003E07CA" w:rsidRDefault="00321181" w:rsidP="00321181">
      <w:pPr>
        <w:spacing w:after="240"/>
        <w:ind w:left="567" w:hanging="567"/>
      </w:pPr>
      <w:r w:rsidRPr="003E07CA">
        <w:t>52.</w:t>
      </w:r>
      <w:r w:rsidRPr="003E07CA">
        <w:tab/>
        <w:t xml:space="preserve">glæder sig over udvalgets søgen efter synergier ved at købe tjenester fra andre institutioner gennem serviceleveranceaftaler og ved at deltage i </w:t>
      </w:r>
      <w:proofErr w:type="spellStart"/>
      <w:r w:rsidRPr="003E07CA">
        <w:t>interinstitutionelle</w:t>
      </w:r>
      <w:proofErr w:type="spellEnd"/>
      <w:r w:rsidRPr="003E07CA">
        <w:t xml:space="preserve"> koordineringsorganer og </w:t>
      </w:r>
      <w:proofErr w:type="spellStart"/>
      <w:r w:rsidRPr="003E07CA">
        <w:t>interinstitutionelle</w:t>
      </w:r>
      <w:proofErr w:type="spellEnd"/>
      <w:r w:rsidRPr="003E07CA">
        <w:t xml:space="preserve"> udbudsprocedurer; glæder sig over de effektivitetsgevinster, som udvalget har anført i spørgeskemaet med hensyn til meddelelsen om valget til Europa-Parlamentet i 2024; bemærker, at disse gevinster var mulige, fordi udvalget undertegnede et aftalememorandum med Parlamentet i februar 2024 og en ny samarbejdsaftale i maj 2024; bemærker endvidere, at samhørighedspolitikken også omfattede samarbejde på politisk og administrativt plan mellem de to institutioner;</w:t>
      </w:r>
    </w:p>
    <w:p w14:paraId="654D71E0" w14:textId="77777777" w:rsidR="00321181" w:rsidRPr="003E07CA" w:rsidRDefault="00321181" w:rsidP="00321181">
      <w:pPr>
        <w:spacing w:after="240"/>
        <w:ind w:left="567" w:hanging="567"/>
      </w:pPr>
      <w:r w:rsidRPr="003E07CA">
        <w:t>53.</w:t>
      </w:r>
      <w:r w:rsidRPr="003E07CA">
        <w:tab/>
        <w:t>opfordrer udvalget til at uddybe sit samarbejde med Parlamentet og Kommissionen ved at etablere en struktureret årlig dialog mellem udvalgets repræsentanter og EU</w:t>
      </w:r>
      <w:r w:rsidRPr="003E07CA">
        <w:noBreakHyphen/>
        <w:t>lovgiverne om centrale lovgivningssager, der påvirker regional udvikling, klimapolitik og social samhørighed; opfordrer indtrængende udvalget til at undersøge fælles initiativer med Parlamentets Regionaludviklingsudvalg (REGI) og Udvalget om Miljø, Klima og Fødevaresikkerhed (ENVI) for at fremme bæredygtige regionale investeringer;</w:t>
      </w:r>
    </w:p>
    <w:p w14:paraId="671690CA" w14:textId="77777777" w:rsidR="00321181" w:rsidRPr="003E07CA" w:rsidRDefault="00321181" w:rsidP="00321181">
      <w:pPr>
        <w:spacing w:after="240"/>
        <w:ind w:left="567" w:hanging="567"/>
      </w:pPr>
      <w:r w:rsidRPr="003E07CA">
        <w:t>54.</w:t>
      </w:r>
      <w:r w:rsidRPr="003E07CA">
        <w:tab/>
        <w:t xml:space="preserve">bemærker, at udvalget samarbejder med Kommissionen (mod et årligt gebyr) om håndtering af HR-spørgsmål og anvendelsen af forskellige IT-platforme til økonomisk forvaltning og HR; bemærker </w:t>
      </w:r>
      <w:proofErr w:type="gramStart"/>
      <w:r w:rsidRPr="003E07CA">
        <w:t>endvidere</w:t>
      </w:r>
      <w:proofErr w:type="gramEnd"/>
      <w:r w:rsidRPr="003E07CA">
        <w:t>, at udvalget afholder sine plenarmøder i Parlamentets og Kommissionens lokaler for at kompensere for den manglende kapacitet i sine egne konferencelokaler og køber tolketjenester fra disse to institutioner;</w:t>
      </w:r>
    </w:p>
    <w:p w14:paraId="67BD7D3B" w14:textId="77777777" w:rsidR="00321181" w:rsidRPr="003E07CA" w:rsidRDefault="00321181" w:rsidP="00321181">
      <w:pPr>
        <w:spacing w:after="240"/>
        <w:ind w:left="567" w:hanging="567"/>
      </w:pPr>
      <w:r w:rsidRPr="003E07CA">
        <w:t>55.</w:t>
      </w:r>
      <w:r w:rsidRPr="003E07CA">
        <w:tab/>
        <w:t xml:space="preserve">glæder sig over revisionen i 2023 af samarbejdsaftalen mellem udvalget og Parlamentet med henblik på dens endelige undertegnelse i 2024; støtter udvalgets samarbejde med en række parlamentariske udvalg, tværpolitiske grupper og generaldirektorater i Parlamentet og finder det afgørende, at udvalgets og </w:t>
      </w:r>
      <w:proofErr w:type="spellStart"/>
      <w:r w:rsidRPr="003E07CA">
        <w:t>EØSU's</w:t>
      </w:r>
      <w:proofErr w:type="spellEnd"/>
      <w:r w:rsidRPr="003E07CA">
        <w:t xml:space="preserve"> medlemmer regelmæssigt og systematisk inviteres til relevante parlamentariske udvekslinger, herunder udvalgsmøder, om spørgsmål, som de beskæftiger sig med;</w:t>
      </w:r>
    </w:p>
    <w:p w14:paraId="6B7A3731" w14:textId="77777777" w:rsidR="00321181" w:rsidRPr="003E07CA" w:rsidRDefault="00321181" w:rsidP="00321181">
      <w:pPr>
        <w:spacing w:after="240"/>
        <w:ind w:left="567" w:hanging="567"/>
        <w:rPr>
          <w:b/>
          <w:i/>
        </w:rPr>
      </w:pPr>
      <w:r w:rsidRPr="003E07CA">
        <w:rPr>
          <w:b/>
          <w:i/>
        </w:rPr>
        <w:t>Kommunikation</w:t>
      </w:r>
    </w:p>
    <w:p w14:paraId="4AA44F2E" w14:textId="77777777" w:rsidR="00321181" w:rsidRPr="003E07CA" w:rsidRDefault="00321181" w:rsidP="00321181">
      <w:pPr>
        <w:spacing w:after="240"/>
        <w:ind w:left="567" w:hanging="567"/>
      </w:pPr>
      <w:r w:rsidRPr="003E07CA">
        <w:t>56.</w:t>
      </w:r>
      <w:r w:rsidRPr="003E07CA">
        <w:tab/>
        <w:t xml:space="preserve">bemærker, at udvalgets kommunikationsaktiviteter fokuserer på forholdet til pressen, tilrettelæggelse af arrangementer og digitalt indhold samt sociale medier med et samlet budget (bevillinger for indeværende år) på ca. 2,8 mio. EUR i 2023; beklager en meget lav gennemførelsesgrad for betalinger på disse områder (fra 24,7 % til 48,2 %); bemærker ikke desto mindre en høj udnyttelsesgrad for C8-bevillingerne (fremført fra 2022 til 2023) på mellem 98 % og 100 %; opfordrer udvalget til at træffe foranstaltninger til at forbedre sin budgetplanlægning med hensyn til </w:t>
      </w:r>
      <w:r w:rsidRPr="003E07CA">
        <w:lastRenderedPageBreak/>
        <w:t>kommunikationsrelaterede budgetposter;</w:t>
      </w:r>
    </w:p>
    <w:p w14:paraId="1C7E85A2" w14:textId="77777777" w:rsidR="00321181" w:rsidRPr="003E07CA" w:rsidRDefault="00321181" w:rsidP="00321181">
      <w:pPr>
        <w:spacing w:after="240"/>
        <w:ind w:left="567" w:hanging="567"/>
      </w:pPr>
      <w:r w:rsidRPr="003E07CA">
        <w:t>57.</w:t>
      </w:r>
      <w:r w:rsidRPr="003E07CA">
        <w:tab/>
        <w:t xml:space="preserve">bemærker med tilfredshed udvalgets resultater med hensyn til at fremme Unionens politikker og programmer på lokalt og regionalt plan, forbedre rækkevidden af dets rådgivende arbejde og øge dets synlighed og gennemslagskraft; bemærker, at udvalgets kommunikationsstrategi har til formål at styrke dets institutionelle og politiske profil som talerør for Unionens regioner, byer, landsbyer og kommuner og samtidig fremhæve medlemmernes væsentlige bidrag til at forbinde Unionens politikker med borgerne og fremme engagementet på lokalt og regionalt plan; bemærker i den forbindelse udvalgets kommunikationstiltag i 2023 inden for samhørighed (f.eks. kampagnen »Fremme af samhørighed som en grundlæggende værdi i Unionen« inden for rammerne af </w:t>
      </w:r>
      <w:proofErr w:type="spellStart"/>
      <w:r w:rsidRPr="003E07CA">
        <w:t>EURegionsWeek</w:t>
      </w:r>
      <w:proofErr w:type="spellEnd"/>
      <w:r w:rsidRPr="003E07CA">
        <w:t xml:space="preserve"> med mere end 8 000 deltagere), klimaændringer (f.eks. kampagnen »Opbygning af modstandsdygtige og innovative lokalsamfund«), demokrati (f.eks. kampagnen »Et nyt kapitel for demokratiet i EU« med 1 400 tilmeldinger til den 14. </w:t>
      </w:r>
      <w:proofErr w:type="spellStart"/>
      <w:r w:rsidRPr="003E07CA">
        <w:t>EuropCom</w:t>
      </w:r>
      <w:proofErr w:type="spellEnd"/>
      <w:r w:rsidRPr="003E07CA">
        <w:t>-konference) samt inden for udvikling af landdistrikter (den europæiske LEADER-kongres) i 2023; roser udvalget for stigningen i antallet af registrerede personer i det europæiske netværk af regional- og lokalpolitikere (fra 2 307 i 2022 til 3 000 i 2023) og stigningen i antallet af deltagere i programmet for unge folkevalgte politikere (fra 775 i 2022 til 836 i 2023);</w:t>
      </w:r>
    </w:p>
    <w:p w14:paraId="3CD95D3C" w14:textId="77777777" w:rsidR="00321181" w:rsidRPr="003E07CA" w:rsidRDefault="00321181" w:rsidP="00321181">
      <w:pPr>
        <w:spacing w:after="240"/>
        <w:ind w:left="567" w:hanging="567"/>
      </w:pPr>
      <w:r w:rsidRPr="003E07CA">
        <w:t>58.</w:t>
      </w:r>
      <w:r w:rsidRPr="003E07CA">
        <w:tab/>
        <w:t>glæder sig over udvalgets bestræbelser på at øge opsøgende arbejde over for regionale myndigheder og lokalsamfund, herunder udvidelsen af netværket af regionale og lokale EU-formidlere og programmet for unge folkevalgte politikere; opfordrer udvalget til at afsætte yderligere ressourcer til at støtte regionale kapacitetsopbygningsprogrammer, der sætter de lokale myndigheder i stand til bedre at gennemføre Unionens politikker;</w:t>
      </w:r>
    </w:p>
    <w:p w14:paraId="79DAA846" w14:textId="77777777" w:rsidR="00321181" w:rsidRPr="003E07CA" w:rsidRDefault="00321181" w:rsidP="00321181">
      <w:pPr>
        <w:spacing w:after="240"/>
        <w:ind w:left="567" w:hanging="567"/>
      </w:pPr>
      <w:r w:rsidRPr="003E07CA">
        <w:t>59.</w:t>
      </w:r>
      <w:r w:rsidRPr="003E07CA">
        <w:tab/>
        <w:t>noterer sig udvalgets succes med hensyn til at nå ud til medierne, således som det fremgår af de overordnede parametre for 2023, såsom: 13 210 medieomtaler, en stigning på 129 % i antallet af besøgende på hjemmesiden og en stigning i antallet af følgere på 11 %; bemærker, at udvalget med hensyn til digitalt engagement ikke nåede sit mål for 2023; bemærker, at udvalget ved udgangen af 2023 havde 200 000 følgere på sine sociale mediekanaler, dvs. 15 % flere end i 2022, hvoraf 57 603 følgere (+ 5 %) på X (tidligere Twitter), 61 170 (+ 5 %) på Facebook, 68 613 (+ 31 %) på LinkedIn og 15 392 (+ 47 %) på Instagram;</w:t>
      </w:r>
    </w:p>
    <w:p w14:paraId="7C3E8E92" w14:textId="1F95E078" w:rsidR="00E365E1" w:rsidRPr="003E07CA" w:rsidRDefault="00321181" w:rsidP="00321181">
      <w:pPr>
        <w:spacing w:after="240"/>
        <w:ind w:left="567" w:hanging="567"/>
      </w:pPr>
      <w:r w:rsidRPr="003E07CA">
        <w:t>60.</w:t>
      </w:r>
      <w:r w:rsidRPr="003E07CA">
        <w:tab/>
        <w:t xml:space="preserve">bemærker med tilfredshed på baggrund af spørgeskemaet udvalgets initiativer til at øge bevidstheden om de specifikke foranstaltninger i retsakten om digitale tjenester og retsakterne om digitale markeder samt </w:t>
      </w:r>
      <w:proofErr w:type="spellStart"/>
      <w:r w:rsidRPr="003E07CA">
        <w:t>cybersikkerhed</w:t>
      </w:r>
      <w:proofErr w:type="spellEnd"/>
      <w:r w:rsidRPr="003E07CA">
        <w:t xml:space="preserve"> og onlinesikkerhed; anerkender udvalgets rolle med hensyn til at fremme Unionens vej mod en digital fremtid; roser i den forbindelse udvalget for i 2023 at have organiseret rækken af Digital Masterclass-kurser for både personale og eksternt publikum.</w:t>
      </w:r>
    </w:p>
    <w:sectPr w:rsidR="00E365E1" w:rsidRPr="003E07CA" w:rsidSect="001627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D069C" w14:textId="77777777" w:rsidR="0004382D" w:rsidRPr="00162721" w:rsidRDefault="0004382D">
      <w:r w:rsidRPr="00162721">
        <w:separator/>
      </w:r>
    </w:p>
  </w:endnote>
  <w:endnote w:type="continuationSeparator" w:id="0">
    <w:p w14:paraId="54BBEFCF" w14:textId="77777777" w:rsidR="0004382D" w:rsidRPr="00162721" w:rsidRDefault="0004382D">
      <w:r w:rsidRPr="001627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F001" w14:textId="77777777" w:rsidR="00064002" w:rsidRPr="001627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8B03" w14:textId="77777777" w:rsidR="00064002" w:rsidRPr="001627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886D" w14:textId="77777777" w:rsidR="00064002" w:rsidRPr="001627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C680B" w14:textId="77777777" w:rsidR="0004382D" w:rsidRPr="00162721" w:rsidRDefault="0004382D">
      <w:r w:rsidRPr="00162721">
        <w:separator/>
      </w:r>
    </w:p>
  </w:footnote>
  <w:footnote w:type="continuationSeparator" w:id="0">
    <w:p w14:paraId="4004362D" w14:textId="77777777" w:rsidR="0004382D" w:rsidRPr="00162721" w:rsidRDefault="0004382D">
      <w:r w:rsidRPr="00162721">
        <w:continuationSeparator/>
      </w:r>
    </w:p>
  </w:footnote>
  <w:footnote w:id="1">
    <w:p w14:paraId="6468D868" w14:textId="77777777" w:rsidR="00321181" w:rsidRPr="00307E39" w:rsidRDefault="00321181" w:rsidP="00321181">
      <w:pPr>
        <w:ind w:left="567" w:hanging="567"/>
      </w:pPr>
      <w:r w:rsidRPr="00307E39">
        <w:rPr>
          <w:rStyle w:val="FootnoteReference"/>
        </w:rPr>
        <w:footnoteRef/>
      </w:r>
      <w:r w:rsidRPr="00811E67">
        <w:tab/>
        <w:t xml:space="preserve">EUT L 58 af 23.2.2023, s. 1, ELI: </w:t>
      </w:r>
      <w:hyperlink r:id="rId1" w:tooltip="Giver adgang til dokumentet via dets ELI URI." w:history="1">
        <w:r w:rsidRPr="00811E67">
          <w:rPr>
            <w:rStyle w:val="Hyperlink1"/>
            <w:shd w:val="clear" w:color="auto" w:fill="FFFFFF"/>
          </w:rPr>
          <w:t>http://data.europa.eu/eli/budget/2023/1/oj</w:t>
        </w:r>
      </w:hyperlink>
      <w:r w:rsidRPr="00811E67">
        <w:rPr>
          <w:shd w:val="clear" w:color="auto" w:fill="FFFFFF"/>
        </w:rPr>
        <w:t>.</w:t>
      </w:r>
    </w:p>
  </w:footnote>
  <w:footnote w:id="2">
    <w:p w14:paraId="2543085E" w14:textId="77777777" w:rsidR="00321181" w:rsidRPr="00307E39" w:rsidRDefault="00321181" w:rsidP="00321181">
      <w:pPr>
        <w:pStyle w:val="FootnoteText"/>
        <w:ind w:left="567" w:hanging="567"/>
        <w:rPr>
          <w:sz w:val="24"/>
          <w:lang w:val="da-DK"/>
        </w:rPr>
      </w:pPr>
      <w:r w:rsidRPr="00307E39">
        <w:rPr>
          <w:rStyle w:val="FootnoteReference"/>
          <w:sz w:val="24"/>
          <w:lang w:val="da-DK"/>
        </w:rPr>
        <w:footnoteRef/>
      </w:r>
      <w:r w:rsidRPr="00811E67">
        <w:rPr>
          <w:sz w:val="24"/>
          <w:lang w:val="da-DK"/>
        </w:rPr>
        <w:tab/>
        <w:t xml:space="preserve">EUT C, C/2024/5462, 10.10.2024, ELI: </w:t>
      </w:r>
      <w:hyperlink r:id="rId2" w:history="1">
        <w:r w:rsidRPr="00811E67">
          <w:rPr>
            <w:rStyle w:val="Hyperlink1"/>
          </w:rPr>
          <w:t>http://data.europa.eu/eli/C/2024/5462/oj</w:t>
        </w:r>
      </w:hyperlink>
      <w:r w:rsidRPr="00811E67">
        <w:rPr>
          <w:rStyle w:val="Hyperlink1"/>
        </w:rPr>
        <w:t>.</w:t>
      </w:r>
    </w:p>
  </w:footnote>
  <w:footnote w:id="3">
    <w:p w14:paraId="17A4B7EC" w14:textId="77777777" w:rsidR="00321181" w:rsidRPr="00307E39" w:rsidRDefault="00321181" w:rsidP="00321181">
      <w:pPr>
        <w:pStyle w:val="FootnoteText"/>
        <w:ind w:left="567" w:hanging="567"/>
        <w:rPr>
          <w:sz w:val="24"/>
          <w:lang w:val="da-DK"/>
        </w:rPr>
      </w:pPr>
      <w:r w:rsidRPr="00307E39">
        <w:rPr>
          <w:rStyle w:val="FootnoteReference"/>
          <w:sz w:val="24"/>
          <w:lang w:val="da-DK"/>
        </w:rPr>
        <w:footnoteRef/>
      </w:r>
      <w:r w:rsidRPr="00811E67">
        <w:rPr>
          <w:sz w:val="24"/>
          <w:lang w:val="da-DK"/>
        </w:rPr>
        <w:tab/>
        <w:t xml:space="preserve">EUT C, C/2024/5882, 9.10.2024, ELI: </w:t>
      </w:r>
      <w:hyperlink r:id="rId3" w:history="1">
        <w:r w:rsidRPr="00811E67">
          <w:rPr>
            <w:rStyle w:val="Hyperlink1"/>
          </w:rPr>
          <w:t>http://data.europa.eu/eli/C/2024/5882/oj</w:t>
        </w:r>
      </w:hyperlink>
      <w:r w:rsidRPr="00811E67">
        <w:rPr>
          <w:rStyle w:val="Hyperlink1"/>
        </w:rPr>
        <w:t>.</w:t>
      </w:r>
    </w:p>
  </w:footnote>
  <w:footnote w:id="4">
    <w:p w14:paraId="25308DEF" w14:textId="77777777" w:rsidR="00321181" w:rsidRPr="00307E39" w:rsidRDefault="00321181" w:rsidP="00321181">
      <w:pPr>
        <w:pStyle w:val="FootnoteText"/>
        <w:ind w:left="567" w:hanging="567"/>
        <w:rPr>
          <w:sz w:val="24"/>
          <w:lang w:val="da-DK"/>
        </w:rPr>
      </w:pPr>
      <w:r w:rsidRPr="00307E39">
        <w:rPr>
          <w:rStyle w:val="FootnoteReference"/>
          <w:sz w:val="24"/>
          <w:lang w:val="da-DK"/>
        </w:rPr>
        <w:footnoteRef/>
      </w:r>
      <w:r w:rsidRPr="00811E67">
        <w:rPr>
          <w:sz w:val="24"/>
          <w:lang w:val="da-DK"/>
        </w:rPr>
        <w:tab/>
        <w:t xml:space="preserve">EUT C, C/2024/6041, 10.10.2024, ELI: </w:t>
      </w:r>
      <w:hyperlink r:id="rId4" w:history="1">
        <w:r w:rsidRPr="00811E67">
          <w:rPr>
            <w:rStyle w:val="Hyperlink1"/>
          </w:rPr>
          <w:t>http://data.europa.eu/eli/C/2024/6041/oj</w:t>
        </w:r>
      </w:hyperlink>
      <w:r w:rsidRPr="00811E67">
        <w:rPr>
          <w:rStyle w:val="Hyperlink1"/>
        </w:rPr>
        <w:t>.</w:t>
      </w:r>
    </w:p>
  </w:footnote>
  <w:footnote w:id="5">
    <w:p w14:paraId="52C1E250" w14:textId="77777777" w:rsidR="00321181" w:rsidRPr="00307E39" w:rsidRDefault="00321181" w:rsidP="00321181">
      <w:pPr>
        <w:pStyle w:val="FootnoteText"/>
        <w:ind w:left="567" w:hanging="567"/>
        <w:rPr>
          <w:sz w:val="24"/>
          <w:lang w:val="da-DK"/>
        </w:rPr>
      </w:pPr>
      <w:r w:rsidRPr="00307E39">
        <w:rPr>
          <w:rStyle w:val="FootnoteReference"/>
          <w:sz w:val="24"/>
          <w:lang w:val="da-DK"/>
        </w:rPr>
        <w:footnoteRef/>
      </w:r>
      <w:r w:rsidRPr="00811E67">
        <w:rPr>
          <w:sz w:val="24"/>
          <w:lang w:val="da-DK"/>
        </w:rPr>
        <w:tab/>
        <w:t xml:space="preserve">EUT L 193 af 30.7.2018, s. 1, ELI: </w:t>
      </w:r>
      <w:hyperlink r:id="rId5" w:history="1">
        <w:r w:rsidRPr="00811E67">
          <w:rPr>
            <w:rStyle w:val="Hyperlink1"/>
          </w:rPr>
          <w:t>http://data.europa.eu/eli/reg/2018/1046/oj</w:t>
        </w:r>
      </w:hyperlink>
      <w:r w:rsidRPr="00811E67">
        <w:rPr>
          <w:sz w:val="24"/>
          <w:lang w:val="da-DK"/>
        </w:rPr>
        <w:t>.</w:t>
      </w:r>
    </w:p>
  </w:footnote>
  <w:footnote w:id="6">
    <w:p w14:paraId="731404C1" w14:textId="77777777" w:rsidR="00321181" w:rsidRPr="00307E39" w:rsidRDefault="00321181" w:rsidP="00321181">
      <w:pPr>
        <w:pStyle w:val="FootnoteText"/>
        <w:ind w:left="567" w:hanging="567"/>
        <w:rPr>
          <w:sz w:val="24"/>
          <w:szCs w:val="24"/>
          <w:lang w:val="da-DK"/>
        </w:rPr>
      </w:pPr>
      <w:r w:rsidRPr="00307E39">
        <w:rPr>
          <w:rStyle w:val="FootnoteReference"/>
          <w:sz w:val="24"/>
          <w:lang w:val="da-DK"/>
        </w:rPr>
        <w:footnoteRef/>
      </w:r>
      <w:r w:rsidRPr="00811E67">
        <w:rPr>
          <w:sz w:val="24"/>
          <w:lang w:val="da-DK"/>
        </w:rPr>
        <w:tab/>
        <w:t xml:space="preserve">EUT L, 2024/2509, 26.9.2024, ELI: </w:t>
      </w:r>
      <w:hyperlink r:id="rId6" w:history="1">
        <w:r w:rsidRPr="00811E67">
          <w:rPr>
            <w:rStyle w:val="Hyperlink1"/>
          </w:rPr>
          <w:t>http://data.europa.eu/eli/reg/2024/2509/oj</w:t>
        </w:r>
      </w:hyperlink>
      <w:r w:rsidRPr="00811E67">
        <w:rPr>
          <w:rStyle w:val="Hyperlink1"/>
        </w:rPr>
        <w:t>.</w:t>
      </w:r>
    </w:p>
  </w:footnote>
  <w:footnote w:id="7">
    <w:p w14:paraId="62075D51" w14:textId="53C1F1F4" w:rsidR="00321181" w:rsidRPr="001C5DA5" w:rsidRDefault="00321181" w:rsidP="00321181">
      <w:pPr>
        <w:pStyle w:val="FootnoteText"/>
        <w:ind w:left="567" w:hanging="567"/>
        <w:rPr>
          <w:sz w:val="24"/>
          <w:lang w:val="da-DK"/>
        </w:rPr>
      </w:pPr>
      <w:r w:rsidRPr="001C5DA5">
        <w:rPr>
          <w:rStyle w:val="FootnoteReference"/>
          <w:sz w:val="24"/>
          <w:lang w:val="da-DK"/>
        </w:rPr>
        <w:footnoteRef/>
      </w:r>
      <w:r w:rsidRPr="00811E67">
        <w:rPr>
          <w:sz w:val="24"/>
          <w:lang w:val="da-DK"/>
        </w:rPr>
        <w:tab/>
        <w:t>Det Europæiske Regionsudvalgs resolution </w:t>
      </w:r>
      <w:r>
        <w:rPr>
          <w:sz w:val="24"/>
          <w:lang w:val="da-DK"/>
        </w:rPr>
        <w:t>–</w:t>
      </w:r>
      <w:r w:rsidRPr="00811E67">
        <w:rPr>
          <w:sz w:val="24"/>
          <w:lang w:val="da-DK"/>
        </w:rPr>
        <w:t xml:space="preserve"> Det Europæiske Regionsudvalgs prioriteter for 2020-2025 </w:t>
      </w:r>
      <w:r>
        <w:rPr>
          <w:sz w:val="24"/>
          <w:lang w:val="da-DK"/>
        </w:rPr>
        <w:t>–</w:t>
      </w:r>
      <w:r w:rsidRPr="00811E67">
        <w:rPr>
          <w:sz w:val="24"/>
          <w:lang w:val="da-DK"/>
        </w:rPr>
        <w:t xml:space="preserve"> Landsbyer, byer og regioner bringer Europa tættere på borgerne (EUT C 324 af 1.10.2020, s. 8).</w:t>
      </w:r>
    </w:p>
  </w:footnote>
  <w:footnote w:id="8">
    <w:p w14:paraId="4F93DA58" w14:textId="77777777" w:rsidR="00321181" w:rsidRPr="001C5DA5" w:rsidRDefault="00321181" w:rsidP="00321181">
      <w:pPr>
        <w:pStyle w:val="FootnoteText"/>
        <w:ind w:left="567" w:hanging="567"/>
        <w:rPr>
          <w:sz w:val="24"/>
          <w:lang w:val="da-DK"/>
        </w:rPr>
      </w:pPr>
      <w:r w:rsidRPr="001C5DA5">
        <w:rPr>
          <w:rStyle w:val="FootnoteReference"/>
          <w:sz w:val="24"/>
          <w:lang w:val="da-DK"/>
        </w:rPr>
        <w:footnoteRef/>
      </w:r>
      <w:r w:rsidRPr="00811E67">
        <w:rPr>
          <w:sz w:val="24"/>
          <w:lang w:val="da-DK"/>
        </w:rPr>
        <w:tab/>
        <w:t xml:space="preserve">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 ELI: </w:t>
      </w:r>
      <w:hyperlink r:id="rId7" w:history="1">
        <w:r w:rsidRPr="00811E67">
          <w:rPr>
            <w:rStyle w:val="Hyperlink1"/>
          </w:rPr>
          <w:t>http://data.europa.eu/eli/reg/2021/1060/2024-06-30</w:t>
        </w:r>
      </w:hyperlink>
      <w:r w:rsidRPr="00811E67">
        <w:rPr>
          <w:sz w:val="24"/>
          <w:lang w:val="da-DK"/>
        </w:rPr>
        <w:t>).</w:t>
      </w:r>
    </w:p>
  </w:footnote>
  <w:footnote w:id="9">
    <w:p w14:paraId="762C4DB6" w14:textId="77777777" w:rsidR="00321181" w:rsidRPr="001C5DA5" w:rsidRDefault="00321181" w:rsidP="00321181">
      <w:pPr>
        <w:pStyle w:val="FootnoteText"/>
        <w:ind w:left="567" w:hanging="567"/>
        <w:rPr>
          <w:sz w:val="24"/>
          <w:lang w:val="da-DK"/>
        </w:rPr>
      </w:pPr>
      <w:r w:rsidRPr="001C5DA5">
        <w:rPr>
          <w:rStyle w:val="FootnoteReference"/>
          <w:sz w:val="24"/>
          <w:lang w:val="da-DK"/>
        </w:rPr>
        <w:footnoteRef/>
      </w:r>
      <w:r w:rsidRPr="00811E67">
        <w:rPr>
          <w:sz w:val="24"/>
          <w:lang w:val="da-DK"/>
        </w:rPr>
        <w:tab/>
        <w:t xml:space="preserve">Europa-Parlamentets og Rådets forordning (EU) 2021/241 af 12. februar 2021 om oprettelse af genopretnings- og resiliensfaciliteten (EUT L 57 af 18.2.2021, s. 17, </w:t>
      </w:r>
      <w:r w:rsidRPr="00811E67">
        <w:rPr>
          <w:color w:val="333333"/>
          <w:sz w:val="24"/>
          <w:shd w:val="clear" w:color="auto" w:fill="FFFFFF"/>
          <w:lang w:val="da-DK"/>
        </w:rPr>
        <w:t xml:space="preserve">ELI: </w:t>
      </w:r>
      <w:hyperlink r:id="rId8" w:tooltip="Giver adgang til dokumentet via dets ELI URI." w:history="1">
        <w:r w:rsidRPr="00811E67">
          <w:rPr>
            <w:color w:val="23527C"/>
            <w:sz w:val="24"/>
            <w:u w:val="single"/>
            <w:shd w:val="clear" w:color="auto" w:fill="FFFFFF"/>
            <w:lang w:val="da-DK"/>
          </w:rPr>
          <w:t>http://data.europa.eu/eli/reg/2021/241/2024-03-01</w:t>
        </w:r>
      </w:hyperlink>
      <w:r w:rsidRPr="00811E6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33BA" w14:textId="77777777" w:rsidR="00064002" w:rsidRPr="001627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1054" w14:textId="77777777" w:rsidR="00064002" w:rsidRPr="001627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84ECA" w14:textId="77777777" w:rsidR="00064002" w:rsidRPr="001627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36487">
    <w:abstractNumId w:val="9"/>
  </w:num>
  <w:num w:numId="2" w16cid:durableId="788665772">
    <w:abstractNumId w:val="9"/>
  </w:num>
  <w:num w:numId="3" w16cid:durableId="620650951">
    <w:abstractNumId w:val="7"/>
  </w:num>
  <w:num w:numId="4" w16cid:durableId="162818863">
    <w:abstractNumId w:val="7"/>
  </w:num>
  <w:num w:numId="5" w16cid:durableId="742992757">
    <w:abstractNumId w:val="6"/>
  </w:num>
  <w:num w:numId="6" w16cid:durableId="770324088">
    <w:abstractNumId w:val="6"/>
  </w:num>
  <w:num w:numId="7" w16cid:durableId="1658921762">
    <w:abstractNumId w:val="5"/>
  </w:num>
  <w:num w:numId="8" w16cid:durableId="810095068">
    <w:abstractNumId w:val="5"/>
  </w:num>
  <w:num w:numId="9" w16cid:durableId="741803599">
    <w:abstractNumId w:val="4"/>
  </w:num>
  <w:num w:numId="10" w16cid:durableId="265700249">
    <w:abstractNumId w:val="4"/>
  </w:num>
  <w:num w:numId="11" w16cid:durableId="1691251917">
    <w:abstractNumId w:val="8"/>
  </w:num>
  <w:num w:numId="12" w16cid:durableId="2109233495">
    <w:abstractNumId w:val="8"/>
  </w:num>
  <w:num w:numId="13" w16cid:durableId="1668096757">
    <w:abstractNumId w:val="3"/>
  </w:num>
  <w:num w:numId="14" w16cid:durableId="1675572437">
    <w:abstractNumId w:val="3"/>
  </w:num>
  <w:num w:numId="15" w16cid:durableId="1681665324">
    <w:abstractNumId w:val="2"/>
  </w:num>
  <w:num w:numId="16" w16cid:durableId="1413815234">
    <w:abstractNumId w:val="2"/>
  </w:num>
  <w:num w:numId="17" w16cid:durableId="997539141">
    <w:abstractNumId w:val="1"/>
  </w:num>
  <w:num w:numId="18" w16cid:durableId="1635594469">
    <w:abstractNumId w:val="1"/>
  </w:num>
  <w:num w:numId="19" w16cid:durableId="957486954">
    <w:abstractNumId w:val="0"/>
  </w:num>
  <w:num w:numId="20" w16cid:durableId="891770432">
    <w:abstractNumId w:val="0"/>
  </w:num>
  <w:num w:numId="21" w16cid:durableId="1063220084">
    <w:abstractNumId w:val="9"/>
  </w:num>
  <w:num w:numId="22" w16cid:durableId="226495163">
    <w:abstractNumId w:val="7"/>
  </w:num>
  <w:num w:numId="23" w16cid:durableId="846596429">
    <w:abstractNumId w:val="6"/>
  </w:num>
  <w:num w:numId="24" w16cid:durableId="1378774913">
    <w:abstractNumId w:val="5"/>
  </w:num>
  <w:num w:numId="25" w16cid:durableId="997732393">
    <w:abstractNumId w:val="4"/>
  </w:num>
  <w:num w:numId="26" w16cid:durableId="1980961245">
    <w:abstractNumId w:val="8"/>
  </w:num>
  <w:num w:numId="27" w16cid:durableId="548568802">
    <w:abstractNumId w:val="3"/>
  </w:num>
  <w:num w:numId="28" w16cid:durableId="323583359">
    <w:abstractNumId w:val="2"/>
  </w:num>
  <w:num w:numId="29" w16cid:durableId="1024941909">
    <w:abstractNumId w:val="1"/>
  </w:num>
  <w:num w:numId="30" w16cid:durableId="1691104772">
    <w:abstractNumId w:val="0"/>
  </w:num>
  <w:num w:numId="31" w16cid:durableId="572396383">
    <w:abstractNumId w:val="9"/>
  </w:num>
  <w:num w:numId="32" w16cid:durableId="552621249">
    <w:abstractNumId w:val="7"/>
  </w:num>
  <w:num w:numId="33" w16cid:durableId="991757368">
    <w:abstractNumId w:val="6"/>
  </w:num>
  <w:num w:numId="34" w16cid:durableId="1977831848">
    <w:abstractNumId w:val="5"/>
  </w:num>
  <w:num w:numId="35" w16cid:durableId="776366533">
    <w:abstractNumId w:val="4"/>
  </w:num>
  <w:num w:numId="36" w16cid:durableId="209652428">
    <w:abstractNumId w:val="8"/>
  </w:num>
  <w:num w:numId="37" w16cid:durableId="693924073">
    <w:abstractNumId w:val="3"/>
  </w:num>
  <w:num w:numId="38" w16cid:durableId="1628776922">
    <w:abstractNumId w:val="2"/>
  </w:num>
  <w:num w:numId="39" w16cid:durableId="468285620">
    <w:abstractNumId w:val="1"/>
  </w:num>
  <w:num w:numId="40" w16cid:durableId="1436049458">
    <w:abstractNumId w:val="0"/>
  </w:num>
  <w:num w:numId="41" w16cid:durableId="1706563742">
    <w:abstractNumId w:val="10"/>
  </w:num>
  <w:num w:numId="42" w16cid:durableId="2115200854">
    <w:abstractNumId w:val="10"/>
  </w:num>
  <w:num w:numId="43" w16cid:durableId="766845323">
    <w:abstractNumId w:val="10"/>
  </w:num>
  <w:num w:numId="44" w16cid:durableId="702754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DA"/>
    <w:docVar w:name="dvnumam" w:val="0"/>
    <w:docVar w:name="dvpe" w:val="764.992"/>
    <w:docVar w:name="dvrapporteur" w:val="Ordfører: "/>
    <w:docVar w:name="dvtitre" w:val="Europa-Parlamentets afgørelse af 7. maj 2025 om decharge for gennemførelsen af Den Europæiske Unions almindelige budget for regnskabsåret 2023, Sektion VII – Regionsudvalget(2024/2026(DEC))"/>
  </w:docVars>
  <w:rsids>
    <w:rsidRoot w:val="0004382D"/>
    <w:rsid w:val="00002272"/>
    <w:rsid w:val="0004382D"/>
    <w:rsid w:val="00055CAE"/>
    <w:rsid w:val="00064002"/>
    <w:rsid w:val="000677B9"/>
    <w:rsid w:val="000831BA"/>
    <w:rsid w:val="000A42CC"/>
    <w:rsid w:val="000E7DD9"/>
    <w:rsid w:val="0010095E"/>
    <w:rsid w:val="00125B37"/>
    <w:rsid w:val="00162721"/>
    <w:rsid w:val="00187494"/>
    <w:rsid w:val="001B3C0A"/>
    <w:rsid w:val="001F32AE"/>
    <w:rsid w:val="002767FF"/>
    <w:rsid w:val="002B18FE"/>
    <w:rsid w:val="002B5493"/>
    <w:rsid w:val="00321181"/>
    <w:rsid w:val="00343214"/>
    <w:rsid w:val="00361C00"/>
    <w:rsid w:val="00395FA1"/>
    <w:rsid w:val="003E07C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BFA"/>
    <w:rsid w:val="006631B6"/>
    <w:rsid w:val="00680577"/>
    <w:rsid w:val="006F74FA"/>
    <w:rsid w:val="00731ADD"/>
    <w:rsid w:val="00734777"/>
    <w:rsid w:val="00747932"/>
    <w:rsid w:val="00751A4A"/>
    <w:rsid w:val="00756632"/>
    <w:rsid w:val="00762C74"/>
    <w:rsid w:val="007730BF"/>
    <w:rsid w:val="00786EC0"/>
    <w:rsid w:val="007D1690"/>
    <w:rsid w:val="007E22AD"/>
    <w:rsid w:val="00817416"/>
    <w:rsid w:val="0083191E"/>
    <w:rsid w:val="00842779"/>
    <w:rsid w:val="00865F67"/>
    <w:rsid w:val="00881429"/>
    <w:rsid w:val="00881A7B"/>
    <w:rsid w:val="008840E5"/>
    <w:rsid w:val="00887B3E"/>
    <w:rsid w:val="008C2AC6"/>
    <w:rsid w:val="0090664C"/>
    <w:rsid w:val="00930C23"/>
    <w:rsid w:val="0093193B"/>
    <w:rsid w:val="009509D8"/>
    <w:rsid w:val="00950B64"/>
    <w:rsid w:val="00981893"/>
    <w:rsid w:val="009E7C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795"/>
    <w:rsid w:val="00C61C0C"/>
    <w:rsid w:val="00C941CB"/>
    <w:rsid w:val="00CC2357"/>
    <w:rsid w:val="00CD426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00786"/>
  <w15:chartTrackingRefBased/>
  <w15:docId w15:val="{7320E075-65EF-40FA-8FA5-1DF8A0EA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5CA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5CAE"/>
    <w:pPr>
      <w:spacing w:before="480" w:after="240"/>
    </w:pPr>
  </w:style>
  <w:style w:type="paragraph" w:customStyle="1" w:styleId="PageHeading">
    <w:name w:val="PageHeading"/>
    <w:basedOn w:val="Normal"/>
    <w:rsid w:val="00055CAE"/>
    <w:pPr>
      <w:keepNext/>
      <w:spacing w:after="480"/>
      <w:jc w:val="center"/>
    </w:pPr>
    <w:rPr>
      <w:rFonts w:ascii="Arial" w:hAnsi="Arial" w:cs="Arial"/>
      <w:b/>
    </w:rPr>
  </w:style>
  <w:style w:type="paragraph" w:customStyle="1" w:styleId="NormalBold">
    <w:name w:val="NormalBold"/>
    <w:basedOn w:val="Normal"/>
    <w:rsid w:val="00055CAE"/>
    <w:rPr>
      <w:b/>
    </w:rPr>
  </w:style>
  <w:style w:type="paragraph" w:customStyle="1" w:styleId="NormalHanging12a">
    <w:name w:val="NormalHanging12a"/>
    <w:basedOn w:val="Normal"/>
    <w:link w:val="NormalHanging12aChar"/>
    <w:qFormat/>
    <w:rsid w:val="00055CAE"/>
    <w:pPr>
      <w:spacing w:after="240"/>
      <w:ind w:left="567" w:hanging="567"/>
    </w:pPr>
  </w:style>
  <w:style w:type="paragraph" w:styleId="Header">
    <w:name w:val="header"/>
    <w:basedOn w:val="Normal"/>
    <w:link w:val="HeaderChar"/>
    <w:rsid w:val="00055CAE"/>
    <w:pPr>
      <w:tabs>
        <w:tab w:val="center" w:pos="4513"/>
        <w:tab w:val="right" w:pos="9026"/>
      </w:tabs>
    </w:pPr>
  </w:style>
  <w:style w:type="character" w:customStyle="1" w:styleId="HeaderChar">
    <w:name w:val="Header Char"/>
    <w:basedOn w:val="DefaultParagraphFont"/>
    <w:link w:val="Header"/>
    <w:rsid w:val="00055CAE"/>
    <w:rPr>
      <w:sz w:val="24"/>
      <w:lang w:val="da-DK"/>
    </w:rPr>
  </w:style>
  <w:style w:type="paragraph" w:customStyle="1" w:styleId="EPFooter">
    <w:name w:val="EPFooter"/>
    <w:basedOn w:val="Normal"/>
    <w:rsid w:val="00055CAE"/>
    <w:pPr>
      <w:tabs>
        <w:tab w:val="center" w:pos="4535"/>
        <w:tab w:val="right" w:pos="9071"/>
      </w:tabs>
      <w:spacing w:before="240" w:after="240"/>
    </w:pPr>
    <w:rPr>
      <w:color w:val="010000"/>
      <w:sz w:val="22"/>
    </w:rPr>
  </w:style>
  <w:style w:type="character" w:styleId="Hyperlink">
    <w:name w:val="Hyperlink"/>
    <w:basedOn w:val="DefaultParagraphFont"/>
    <w:rsid w:val="00055CAE"/>
    <w:rPr>
      <w:color w:val="0563C1" w:themeColor="hyperlink"/>
      <w:u w:val="single"/>
    </w:rPr>
  </w:style>
  <w:style w:type="character" w:customStyle="1" w:styleId="NormalHanging12aChar">
    <w:name w:val="NormalHanging12a Char"/>
    <w:basedOn w:val="DefaultParagraphFont"/>
    <w:link w:val="NormalHanging12a"/>
    <w:locked/>
    <w:rsid w:val="00055CAE"/>
    <w:rPr>
      <w:sz w:val="24"/>
      <w:lang w:val="da-DK"/>
    </w:rPr>
  </w:style>
  <w:style w:type="paragraph" w:customStyle="1" w:styleId="Normal6a">
    <w:name w:val="Normal6a"/>
    <w:basedOn w:val="Normal"/>
    <w:rsid w:val="00055CAE"/>
    <w:pPr>
      <w:spacing w:after="120"/>
    </w:pPr>
  </w:style>
  <w:style w:type="character" w:customStyle="1" w:styleId="Normal6Char">
    <w:name w:val="Normal6 Char"/>
    <w:basedOn w:val="DefaultParagraphFont"/>
    <w:link w:val="Normal6"/>
    <w:locked/>
    <w:rsid w:val="00055CAE"/>
    <w:rPr>
      <w:lang w:val="da-DK"/>
    </w:rPr>
  </w:style>
  <w:style w:type="paragraph" w:customStyle="1" w:styleId="Normal6">
    <w:name w:val="Normal6"/>
    <w:basedOn w:val="Normal"/>
    <w:link w:val="Normal6Char"/>
    <w:rsid w:val="00055CAE"/>
    <w:pPr>
      <w:spacing w:after="120"/>
    </w:pPr>
    <w:rPr>
      <w:sz w:val="20"/>
    </w:rPr>
  </w:style>
  <w:style w:type="paragraph" w:styleId="Footer">
    <w:name w:val="footer"/>
    <w:basedOn w:val="Normal"/>
    <w:link w:val="FooterChar"/>
    <w:rsid w:val="001B3C0A"/>
    <w:pPr>
      <w:tabs>
        <w:tab w:val="center" w:pos="4513"/>
        <w:tab w:val="right" w:pos="9026"/>
      </w:tabs>
    </w:pPr>
  </w:style>
  <w:style w:type="character" w:customStyle="1" w:styleId="FooterChar">
    <w:name w:val="Footer Char"/>
    <w:basedOn w:val="DefaultParagraphFont"/>
    <w:link w:val="Footer"/>
    <w:rsid w:val="001B3C0A"/>
    <w:rPr>
      <w:sz w:val="24"/>
      <w:lang w:val="da-DK"/>
    </w:rPr>
  </w:style>
  <w:style w:type="character" w:styleId="FollowedHyperlink">
    <w:name w:val="FollowedHyperlink"/>
    <w:basedOn w:val="DefaultParagraphFont"/>
    <w:rsid w:val="001B3C0A"/>
    <w:rPr>
      <w:color w:val="954F72" w:themeColor="followedHyperlink"/>
      <w:u w:val="single"/>
    </w:rPr>
  </w:style>
  <w:style w:type="paragraph" w:styleId="BalloonText">
    <w:name w:val="Balloon Text"/>
    <w:basedOn w:val="Normal"/>
    <w:link w:val="BalloonTextChar"/>
    <w:rsid w:val="001B3C0A"/>
    <w:rPr>
      <w:rFonts w:ascii="Segoe UI" w:hAnsi="Segoe UI" w:cs="Segoe UI"/>
      <w:sz w:val="18"/>
      <w:szCs w:val="18"/>
    </w:rPr>
  </w:style>
  <w:style w:type="character" w:customStyle="1" w:styleId="BalloonTextChar">
    <w:name w:val="Balloon Text Char"/>
    <w:basedOn w:val="DefaultParagraphFont"/>
    <w:link w:val="BalloonText"/>
    <w:rsid w:val="001B3C0A"/>
    <w:rPr>
      <w:rFonts w:ascii="Segoe UI" w:hAnsi="Segoe UI" w:cs="Segoe UI"/>
      <w:sz w:val="18"/>
      <w:szCs w:val="18"/>
      <w:lang w:val="da-DK"/>
    </w:rPr>
  </w:style>
  <w:style w:type="character" w:customStyle="1" w:styleId="Hyperlink1">
    <w:name w:val="Hyperlink1"/>
    <w:basedOn w:val="DefaultParagraphFont"/>
    <w:rsid w:val="00321181"/>
    <w:rPr>
      <w:color w:val="0563C1"/>
      <w:u w:val="single"/>
    </w:rPr>
  </w:style>
  <w:style w:type="character" w:styleId="CommentReference">
    <w:name w:val="annotation reference"/>
    <w:basedOn w:val="DefaultParagraphFont"/>
    <w:uiPriority w:val="99"/>
    <w:unhideWhenUsed/>
    <w:rsid w:val="00321181"/>
    <w:rPr>
      <w:sz w:val="16"/>
      <w:szCs w:val="16"/>
    </w:rPr>
  </w:style>
  <w:style w:type="paragraph" w:styleId="CommentText">
    <w:name w:val="annotation text"/>
    <w:basedOn w:val="Normal"/>
    <w:link w:val="CommentTextChar"/>
    <w:uiPriority w:val="99"/>
    <w:unhideWhenUsed/>
    <w:rsid w:val="00321181"/>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321181"/>
    <w:rPr>
      <w:rFonts w:eastAsiaTheme="minorHAnsi"/>
      <w:kern w:val="2"/>
      <w:lang w:eastAsia="en-US"/>
      <w14:ligatures w14:val="standardContextual"/>
    </w:rPr>
  </w:style>
  <w:style w:type="paragraph" w:styleId="Revision">
    <w:name w:val="Revision"/>
    <w:hidden/>
    <w:uiPriority w:val="99"/>
    <w:semiHidden/>
    <w:rsid w:val="00321181"/>
    <w:rPr>
      <w:sz w:val="24"/>
      <w:lang w:val="da-DK"/>
    </w:rPr>
  </w:style>
  <w:style w:type="paragraph" w:styleId="ListParagraph">
    <w:name w:val="List Paragraph"/>
    <w:basedOn w:val="Normal"/>
    <w:uiPriority w:val="34"/>
    <w:qFormat/>
    <w:rsid w:val="00321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80D4-95E7-4F41-85A7-A1C802778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7460</Words>
  <Characters>42524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2025-11-25T13:08:00Z</dcterms:created>
  <dcterms:modified xsi:type="dcterms:W3CDTF">2025-11-25T13:08:00Z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P10_TA(2025)0083_</vt:lpwstr>
  </property>
  <property fmtid="{D5CDD505-2E9C-101B-9397-08002B2CF9AE}" pid="4" name="&lt;Type&gt;">
    <vt:lpwstr>RR</vt:lpwstr>
  </property>
</Properties>
</file>