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1504" w14:paraId="7C1DD233" w14:textId="77777777" w:rsidTr="0010095E">
        <w:trPr>
          <w:trHeight w:hRule="exact" w:val="1418"/>
        </w:trPr>
        <w:tc>
          <w:tcPr>
            <w:tcW w:w="6804" w:type="dxa"/>
            <w:shd w:val="clear" w:color="auto" w:fill="auto"/>
            <w:vAlign w:val="center"/>
          </w:tcPr>
          <w:p w14:paraId="03650477" w14:textId="77777777" w:rsidR="00751A4A" w:rsidRPr="00181504" w:rsidRDefault="00B33187" w:rsidP="0010095E">
            <w:pPr>
              <w:pStyle w:val="EPName"/>
            </w:pPr>
            <w:r w:rsidRPr="00181504">
              <w:t>Europski parlament</w:t>
            </w:r>
          </w:p>
          <w:p w14:paraId="5568F2F7" w14:textId="77777777" w:rsidR="00751A4A" w:rsidRPr="00181504" w:rsidRDefault="005F1B17" w:rsidP="005F1B17">
            <w:pPr>
              <w:pStyle w:val="EPTerm"/>
              <w:rPr>
                <w:rStyle w:val="HideTWBExt"/>
                <w:noProof w:val="0"/>
                <w:vanish w:val="0"/>
                <w:color w:val="auto"/>
              </w:rPr>
            </w:pPr>
            <w:r w:rsidRPr="00181504">
              <w:t>2024</w:t>
            </w:r>
            <w:r w:rsidR="00817416" w:rsidRPr="00181504">
              <w:t>-202</w:t>
            </w:r>
            <w:r w:rsidRPr="00181504">
              <w:t>9</w:t>
            </w:r>
          </w:p>
        </w:tc>
        <w:tc>
          <w:tcPr>
            <w:tcW w:w="2268" w:type="dxa"/>
            <w:shd w:val="clear" w:color="auto" w:fill="auto"/>
          </w:tcPr>
          <w:p w14:paraId="363DCE3D" w14:textId="77777777" w:rsidR="00751A4A" w:rsidRPr="00181504" w:rsidRDefault="00187494" w:rsidP="0010095E">
            <w:pPr>
              <w:pStyle w:val="EPLogo"/>
            </w:pPr>
            <w:r w:rsidRPr="00181504">
              <w:rPr>
                <w:noProof/>
                <w:lang w:val="en-GB" w:eastAsia="zh-CN"/>
              </w:rPr>
              <w:drawing>
                <wp:inline distT="0" distB="0" distL="0" distR="0" wp14:anchorId="1563DFE3" wp14:editId="3390D49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15D8C7" w14:textId="77777777" w:rsidR="00D058B8" w:rsidRPr="00181504" w:rsidRDefault="00D058B8" w:rsidP="004C5D52">
      <w:pPr>
        <w:pStyle w:val="LineTop"/>
      </w:pPr>
    </w:p>
    <w:p w14:paraId="242A13A6" w14:textId="77777777" w:rsidR="00680577" w:rsidRPr="00181504" w:rsidRDefault="00B33187" w:rsidP="00680577">
      <w:pPr>
        <w:pStyle w:val="EPBodyTA1"/>
      </w:pPr>
      <w:r w:rsidRPr="00181504">
        <w:t>USVOJENI TEKSTOVI</w:t>
      </w:r>
    </w:p>
    <w:p w14:paraId="7D409A79" w14:textId="77777777" w:rsidR="00D058B8" w:rsidRPr="00181504" w:rsidRDefault="00D058B8" w:rsidP="00D058B8">
      <w:pPr>
        <w:pStyle w:val="LineBottom"/>
      </w:pPr>
    </w:p>
    <w:p w14:paraId="327305A0" w14:textId="77777777" w:rsidR="00B33187" w:rsidRPr="00181504" w:rsidRDefault="00B33187" w:rsidP="00B33187">
      <w:pPr>
        <w:pStyle w:val="ATHeading1"/>
      </w:pPr>
      <w:bookmarkStart w:id="0" w:name="TANumber"/>
      <w:r w:rsidRPr="00181504">
        <w:t>P10_TA(2025)00</w:t>
      </w:r>
      <w:r w:rsidR="005673FF">
        <w:t>83</w:t>
      </w:r>
      <w:bookmarkEnd w:id="0"/>
    </w:p>
    <w:p w14:paraId="01AB93BC" w14:textId="77777777" w:rsidR="00B33187" w:rsidRPr="00181504" w:rsidRDefault="00B33187" w:rsidP="00B33187">
      <w:pPr>
        <w:pStyle w:val="ATHeading2"/>
      </w:pPr>
      <w:bookmarkStart w:id="1" w:name="title"/>
      <w:r w:rsidRPr="00181504">
        <w:t>Razrješnica za 2023.: Opći proračun EU-a – Odbor regija</w:t>
      </w:r>
      <w:bookmarkEnd w:id="1"/>
    </w:p>
    <w:p w14:paraId="2E4F4726" w14:textId="77777777" w:rsidR="00B33187" w:rsidRPr="00181504" w:rsidRDefault="00B33187" w:rsidP="00B33187">
      <w:pPr>
        <w:rPr>
          <w:i/>
          <w:vanish/>
        </w:rPr>
      </w:pPr>
      <w:r w:rsidRPr="00181504">
        <w:rPr>
          <w:i/>
        </w:rPr>
        <w:fldChar w:fldCharType="begin"/>
      </w:r>
      <w:r w:rsidRPr="00181504">
        <w:rPr>
          <w:i/>
        </w:rPr>
        <w:instrText xml:space="preserve"> TC"(</w:instrText>
      </w:r>
      <w:bookmarkStart w:id="2" w:name="DocNumber"/>
      <w:r w:rsidRPr="00181504">
        <w:rPr>
          <w:i/>
        </w:rPr>
        <w:instrText>A10-0046/2025</w:instrText>
      </w:r>
      <w:bookmarkEnd w:id="2"/>
      <w:r w:rsidRPr="00181504">
        <w:rPr>
          <w:i/>
        </w:rPr>
        <w:instrText xml:space="preserve"> - Izvjestitelj: Joachim </w:instrText>
      </w:r>
      <w:proofErr w:type="spellStart"/>
      <w:r w:rsidRPr="00181504">
        <w:rPr>
          <w:i/>
        </w:rPr>
        <w:instrText>Stanisław</w:instrText>
      </w:r>
      <w:proofErr w:type="spellEnd"/>
      <w:r w:rsidRPr="00181504">
        <w:rPr>
          <w:i/>
        </w:rPr>
        <w:instrText xml:space="preserve"> </w:instrText>
      </w:r>
      <w:proofErr w:type="spellStart"/>
      <w:r w:rsidRPr="00181504">
        <w:rPr>
          <w:i/>
        </w:rPr>
        <w:instrText>Brudziński</w:instrText>
      </w:r>
      <w:proofErr w:type="spellEnd"/>
      <w:r w:rsidRPr="00181504">
        <w:rPr>
          <w:i/>
        </w:rPr>
        <w:instrText xml:space="preserve">)"\l3 \n&gt; \* MERGEFORMAT </w:instrText>
      </w:r>
      <w:r w:rsidRPr="00181504">
        <w:rPr>
          <w:i/>
        </w:rPr>
        <w:fldChar w:fldCharType="end"/>
      </w:r>
    </w:p>
    <w:p w14:paraId="32694AF5" w14:textId="77777777" w:rsidR="00B33187" w:rsidRPr="00181504" w:rsidRDefault="00B33187" w:rsidP="00B33187">
      <w:pPr>
        <w:rPr>
          <w:vanish/>
        </w:rPr>
      </w:pPr>
      <w:bookmarkStart w:id="3" w:name="Commission"/>
      <w:r w:rsidRPr="00181504">
        <w:rPr>
          <w:vanish/>
        </w:rPr>
        <w:t>Odbor za proračunski nadzor</w:t>
      </w:r>
      <w:bookmarkEnd w:id="3"/>
    </w:p>
    <w:p w14:paraId="0C6D74CB" w14:textId="77777777" w:rsidR="00B33187" w:rsidRPr="00181504" w:rsidRDefault="00B33187" w:rsidP="00B33187">
      <w:pPr>
        <w:rPr>
          <w:vanish/>
        </w:rPr>
      </w:pPr>
      <w:bookmarkStart w:id="4" w:name="PE"/>
      <w:r w:rsidRPr="00181504">
        <w:rPr>
          <w:vanish/>
        </w:rPr>
        <w:t>PE764.992</w:t>
      </w:r>
      <w:bookmarkEnd w:id="4"/>
    </w:p>
    <w:p w14:paraId="5E2656C7" w14:textId="77777777" w:rsidR="00B33187" w:rsidRPr="00181504" w:rsidRDefault="00A8605C" w:rsidP="00B33187">
      <w:pPr>
        <w:pStyle w:val="ATHeading3"/>
      </w:pPr>
      <w:bookmarkStart w:id="5" w:name="Sujet"/>
      <w:r>
        <w:t xml:space="preserve">1. </w:t>
      </w:r>
      <w:r w:rsidR="00B33187" w:rsidRPr="00181504">
        <w:t>Od</w:t>
      </w:r>
      <w:r w:rsidR="00181504">
        <w:t>luka Europskog parlamenta od 7</w:t>
      </w:r>
      <w:r w:rsidR="00B33187" w:rsidRPr="00181504">
        <w:t xml:space="preserve">. </w:t>
      </w:r>
      <w:r w:rsidR="00181504">
        <w:t xml:space="preserve">svibnja </w:t>
      </w:r>
      <w:r w:rsidR="00B33187" w:rsidRPr="00181504">
        <w:t>2025. o razrješnici za izvršenje općeg proračuna Europske unije za financijsku godinu 2023., dio VII. – Odbor regija</w:t>
      </w:r>
      <w:bookmarkEnd w:id="5"/>
      <w:r w:rsidR="00B33187" w:rsidRPr="00181504">
        <w:t xml:space="preserve"> </w:t>
      </w:r>
      <w:bookmarkStart w:id="6" w:name="References"/>
      <w:r w:rsidR="00B33187" w:rsidRPr="00181504">
        <w:t>(2024/2026(DEC))</w:t>
      </w:r>
      <w:bookmarkEnd w:id="6"/>
    </w:p>
    <w:p w14:paraId="7FDBF19F" w14:textId="77777777" w:rsidR="00B42768" w:rsidRPr="00181504" w:rsidRDefault="00B42768" w:rsidP="00B42768">
      <w:pPr>
        <w:pStyle w:val="EPComma"/>
      </w:pPr>
      <w:bookmarkStart w:id="7" w:name="TextBodyBegin"/>
      <w:bookmarkEnd w:id="7"/>
      <w:r w:rsidRPr="00181504">
        <w:rPr>
          <w:i/>
        </w:rPr>
        <w:t>Europski parlament</w:t>
      </w:r>
      <w:r w:rsidRPr="00181504">
        <w:t>,</w:t>
      </w:r>
    </w:p>
    <w:p w14:paraId="79CD2316" w14:textId="77777777" w:rsidR="00D41F76" w:rsidRPr="00D41F76" w:rsidRDefault="00B42768" w:rsidP="00D41F76">
      <w:pPr>
        <w:spacing w:after="240"/>
        <w:ind w:left="567" w:hanging="567"/>
        <w:rPr>
          <w:kern w:val="2"/>
          <w14:ligatures w14:val="standardContextual"/>
        </w:rPr>
      </w:pPr>
      <w:r w:rsidRPr="00181504">
        <w:t>–</w:t>
      </w:r>
      <w:r w:rsidRPr="00181504">
        <w:tab/>
      </w:r>
      <w:r w:rsidR="00D41F76" w:rsidRPr="00D41F76">
        <w:rPr>
          <w:kern w:val="2"/>
          <w14:ligatures w14:val="standardContextual"/>
        </w:rPr>
        <w:t>uzimajući u obzir opći proračun Europske unije za financijsku godinu 2023.</w:t>
      </w:r>
      <w:r w:rsidR="00D41F76" w:rsidRPr="00D41F76">
        <w:rPr>
          <w:kern w:val="2"/>
          <w:vertAlign w:val="superscript"/>
          <w14:ligatures w14:val="standardContextual"/>
        </w:rPr>
        <w:footnoteReference w:id="1"/>
      </w:r>
      <w:r w:rsidR="00D41F76" w:rsidRPr="00D41F76">
        <w:rPr>
          <w:kern w:val="2"/>
          <w14:ligatures w14:val="standardContextual"/>
        </w:rPr>
        <w:t>,</w:t>
      </w:r>
    </w:p>
    <w:p w14:paraId="4DC7F868"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w:t>
      </w:r>
      <w:r w:rsidRPr="00D41F76">
        <w:rPr>
          <w:kern w:val="2"/>
          <w14:ligatures w14:val="standardContextual"/>
        </w:rPr>
        <w:tab/>
        <w:t>uzimajući u obzir konsolidiranu godišnju računovodstvenu dokumentaciju Europske unije za financijsku godinu 2023. (COM(2024)272 – C10</w:t>
      </w:r>
      <w:r w:rsidRPr="00D41F76">
        <w:rPr>
          <w:kern w:val="2"/>
          <w14:ligatures w14:val="standardContextual"/>
        </w:rPr>
        <w:noBreakHyphen/>
        <w:t>0074/2024)</w:t>
      </w:r>
      <w:r w:rsidRPr="00D41F76">
        <w:rPr>
          <w:kern w:val="2"/>
          <w:vertAlign w:val="superscript"/>
          <w14:ligatures w14:val="standardContextual"/>
        </w:rPr>
        <w:footnoteReference w:id="2"/>
      </w:r>
      <w:r w:rsidRPr="00D41F76">
        <w:rPr>
          <w:kern w:val="2"/>
          <w14:ligatures w14:val="standardContextual"/>
        </w:rPr>
        <w:t>,</w:t>
      </w:r>
    </w:p>
    <w:p w14:paraId="0B91798A"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w:t>
      </w:r>
      <w:r w:rsidRPr="00D41F76">
        <w:rPr>
          <w:kern w:val="2"/>
          <w14:ligatures w14:val="standardContextual"/>
        </w:rPr>
        <w:tab/>
        <w:t>uzimajući u obzir godišnje izvješće o radu Odbora regija za 2023. i njegovo izvješće o proračunskom i financijskom upravljanju za financijsku godinu 2023.,</w:t>
      </w:r>
    </w:p>
    <w:p w14:paraId="66F048BF"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w:t>
      </w:r>
      <w:r w:rsidRPr="00D41F76">
        <w:rPr>
          <w:kern w:val="2"/>
          <w14:ligatures w14:val="standardContextual"/>
        </w:rPr>
        <w:tab/>
        <w:t>uzimajući u obzir godišnje izvješće Revizorskog suda o izvršenju proračuna za financijsku godinu 2023., s odgovorima institucija</w:t>
      </w:r>
      <w:r w:rsidRPr="00D41F76">
        <w:rPr>
          <w:kern w:val="2"/>
          <w:vertAlign w:val="superscript"/>
          <w14:ligatures w14:val="standardContextual"/>
        </w:rPr>
        <w:footnoteReference w:id="3"/>
      </w:r>
      <w:r w:rsidRPr="00D41F76">
        <w:rPr>
          <w:kern w:val="2"/>
          <w14:ligatures w14:val="standardContextual"/>
        </w:rPr>
        <w:t>,</w:t>
      </w:r>
    </w:p>
    <w:p w14:paraId="2B23A845"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w:t>
      </w:r>
      <w:r w:rsidRPr="00D41F76">
        <w:rPr>
          <w:kern w:val="2"/>
          <w14:ligatures w14:val="standardContextual"/>
        </w:rPr>
        <w:tab/>
        <w:t>uzimajući u obzir izjavu o jamstvu</w:t>
      </w:r>
      <w:r w:rsidRPr="00D41F76">
        <w:rPr>
          <w:kern w:val="2"/>
          <w:vertAlign w:val="superscript"/>
          <w14:ligatures w14:val="standardContextual"/>
        </w:rPr>
        <w:footnoteReference w:id="4"/>
      </w:r>
      <w:r w:rsidRPr="00D41F76">
        <w:rPr>
          <w:kern w:val="2"/>
          <w14:ligatures w14:val="standardContextual"/>
        </w:rPr>
        <w:t xml:space="preserve"> u pogledu pouzdanosti računovodstvene dokumentacije te zakonitosti i pravilnosti temeljnih transakcija koju je u skladu s člankom 287. Ugovora o funkcioniranju Europske unije Revizorski sud podnio za financijsku godinu 2023.,</w:t>
      </w:r>
    </w:p>
    <w:p w14:paraId="11FB3397"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w:t>
      </w:r>
      <w:r w:rsidRPr="00D41F76">
        <w:rPr>
          <w:kern w:val="2"/>
          <w14:ligatures w14:val="standardContextual"/>
        </w:rPr>
        <w:tab/>
        <w:t>uzimajući u obzir članak 314. stavak 10. te članke 317., 318. i 319. Ugovora o funkcioniranju Europske unije,</w:t>
      </w:r>
    </w:p>
    <w:p w14:paraId="6CF6D722"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w:t>
      </w:r>
      <w:r w:rsidRPr="00D41F76">
        <w:rPr>
          <w:kern w:val="2"/>
          <w14:ligatures w14:val="standardContextual"/>
        </w:rPr>
        <w:tab/>
        <w:t xml:space="preserve">uzimajući u obzir Uredbu (EU, Euratom) 2018/1046 Europskog parlamenta i Vijeća od 18. srpnja 2018. o financijskim pravilima koja se primjenjuju na opći proračun Unije, o izmjeni uredaba (EU) br. 1296/2013, (EU) br. 1301/2013, (EU) br. 1303/2013, (EU) br. </w:t>
      </w:r>
      <w:r w:rsidRPr="00D41F76">
        <w:rPr>
          <w:kern w:val="2"/>
          <w14:ligatures w14:val="standardContextual"/>
        </w:rPr>
        <w:lastRenderedPageBreak/>
        <w:t>1304/2013, (EU) br. 1309/2013, (EU) br. 1316/2013, (EU) br. 223/2014, (EU) br. 283/2014 i Odluke br. 541/2014/EU te o stavljanju izvan snage Uredbe (EU, Euratom) br. 966/2012</w:t>
      </w:r>
      <w:r w:rsidRPr="00D41F76">
        <w:rPr>
          <w:kern w:val="2"/>
          <w:vertAlign w:val="superscript"/>
          <w14:ligatures w14:val="standardContextual"/>
        </w:rPr>
        <w:footnoteReference w:id="5"/>
      </w:r>
      <w:r w:rsidRPr="00D41F76">
        <w:rPr>
          <w:kern w:val="2"/>
          <w14:ligatures w14:val="standardContextual"/>
        </w:rPr>
        <w:t>, a posebno njezine članke 59., 118., 260., 261. i 262.,</w:t>
      </w:r>
    </w:p>
    <w:p w14:paraId="54A824CB"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w:t>
      </w:r>
      <w:r w:rsidRPr="00D41F76">
        <w:rPr>
          <w:kern w:val="2"/>
          <w14:ligatures w14:val="standardContextual"/>
        </w:rPr>
        <w:tab/>
        <w:t xml:space="preserve">uzimajući u obzir </w:t>
      </w:r>
      <w:r w:rsidRPr="00D41F76">
        <w:rPr>
          <w:kern w:val="2"/>
          <w:shd w:val="clear" w:color="auto" w:fill="FFFFFF"/>
          <w14:ligatures w14:val="standardContextual"/>
        </w:rPr>
        <w:t>Uredbu (EU, Euratom) 2024/2509 Europskog parlamenta i Vijeća od 23. rujna 2024. o financijskim pravilima koja se primjenjuju na opći proračun Unije</w:t>
      </w:r>
      <w:r w:rsidRPr="00D41F76">
        <w:rPr>
          <w:bCs/>
          <w:kern w:val="2"/>
          <w:szCs w:val="24"/>
          <w:shd w:val="clear" w:color="auto" w:fill="FFFFFF"/>
          <w:vertAlign w:val="superscript"/>
          <w14:ligatures w14:val="standardContextual"/>
        </w:rPr>
        <w:footnoteReference w:id="6"/>
      </w:r>
      <w:r w:rsidRPr="00D41F76">
        <w:rPr>
          <w:kern w:val="2"/>
          <w:shd w:val="clear" w:color="auto" w:fill="FFFFFF"/>
          <w14:ligatures w14:val="standardContextual"/>
        </w:rPr>
        <w:t>, a posebno njezine članke 59., 118., 266., 267. i 268.</w:t>
      </w:r>
      <w:r w:rsidRPr="00D41F76">
        <w:rPr>
          <w:kern w:val="2"/>
          <w14:ligatures w14:val="standardContextual"/>
        </w:rPr>
        <w:t>,</w:t>
      </w:r>
    </w:p>
    <w:p w14:paraId="519859E2"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w:t>
      </w:r>
      <w:r w:rsidRPr="00D41F76">
        <w:rPr>
          <w:kern w:val="2"/>
          <w14:ligatures w14:val="standardContextual"/>
        </w:rPr>
        <w:tab/>
        <w:t>uzimajući u obzir članak 102. Poslovnika i Prilog V. Poslovniku,</w:t>
      </w:r>
    </w:p>
    <w:p w14:paraId="5CBD20A5"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w:t>
      </w:r>
      <w:r w:rsidRPr="00D41F76">
        <w:rPr>
          <w:kern w:val="2"/>
          <w14:ligatures w14:val="standardContextual"/>
        </w:rPr>
        <w:tab/>
        <w:t>uzimajući u obzir izvješće Odbora za proračunski nadzor (A10</w:t>
      </w:r>
      <w:r w:rsidRPr="00D41F76">
        <w:rPr>
          <w:kern w:val="2"/>
          <w14:ligatures w14:val="standardContextual"/>
        </w:rPr>
        <w:noBreakHyphen/>
        <w:t>0046/2025),</w:t>
      </w:r>
    </w:p>
    <w:p w14:paraId="5E9A4935"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1.</w:t>
      </w:r>
      <w:r w:rsidRPr="00D41F76">
        <w:rPr>
          <w:kern w:val="2"/>
          <w14:ligatures w14:val="standardContextual"/>
        </w:rPr>
        <w:tab/>
        <w:t>daje razrješnicu glavnom tajniku Odbora regija za izvršenje proračuna Odbora regija za financijsku godinu 2023.;</w:t>
      </w:r>
    </w:p>
    <w:p w14:paraId="5FF76C57"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2.</w:t>
      </w:r>
      <w:r w:rsidRPr="00D41F76">
        <w:rPr>
          <w:kern w:val="2"/>
          <w14:ligatures w14:val="standardContextual"/>
        </w:rPr>
        <w:tab/>
        <w:t>iznosi svoje primjedbe u Rezoluciji u nastavku;</w:t>
      </w:r>
    </w:p>
    <w:p w14:paraId="320429A3"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3.</w:t>
      </w:r>
      <w:r w:rsidRPr="00D41F76">
        <w:rPr>
          <w:kern w:val="2"/>
          <w14:ligatures w14:val="standardContextual"/>
        </w:rPr>
        <w:tab/>
        <w:t xml:space="preserve">nalaže svojoj predsjednici da ovu Odluku i Rezoluciju, koja je njezin sastavni dio, proslijedi Odboru regija, Vijeću, Komisiji i Revizorskom sudu te da ih da na objavu u </w:t>
      </w:r>
      <w:r w:rsidRPr="00D41F76">
        <w:rPr>
          <w:i/>
          <w:kern w:val="2"/>
          <w14:ligatures w14:val="standardContextual"/>
        </w:rPr>
        <w:t>Službenom listu Europske unije</w:t>
      </w:r>
      <w:r w:rsidRPr="00D41F76">
        <w:rPr>
          <w:kern w:val="2"/>
          <w14:ligatures w14:val="standardContextual"/>
        </w:rPr>
        <w:t xml:space="preserve"> (serija L).</w:t>
      </w:r>
    </w:p>
    <w:p w14:paraId="64BE187F" w14:textId="77777777" w:rsidR="00D41F76" w:rsidRPr="00D41F76" w:rsidRDefault="00D41F76" w:rsidP="00D41F76">
      <w:pPr>
        <w:widowControl/>
        <w:jc w:val="both"/>
        <w:rPr>
          <w:rFonts w:eastAsia="Aptos"/>
          <w:kern w:val="2"/>
          <w:szCs w:val="24"/>
          <w:lang w:eastAsia="en-US"/>
          <w14:ligatures w14:val="standardContextual"/>
        </w:rPr>
        <w:sectPr w:rsidR="00D41F76" w:rsidRPr="00D41F76" w:rsidSect="00D41F76">
          <w:footnotePr>
            <w:numRestart w:val="eachSect"/>
          </w:footnotePr>
          <w:endnotePr>
            <w:numFmt w:val="decimal"/>
          </w:endnotePr>
          <w:pgSz w:w="11906" w:h="16838"/>
          <w:pgMar w:top="1440" w:right="1440" w:bottom="1440" w:left="1440" w:header="708" w:footer="708" w:gutter="0"/>
          <w:cols w:space="708"/>
          <w:docGrid w:linePitch="360"/>
        </w:sectPr>
      </w:pPr>
    </w:p>
    <w:p w14:paraId="6BBEA882" w14:textId="77777777" w:rsidR="00D41F76" w:rsidRPr="00D41F76" w:rsidRDefault="00D41F76" w:rsidP="00D41F76">
      <w:pPr>
        <w:pStyle w:val="ATHeading3"/>
      </w:pPr>
      <w:r w:rsidRPr="00D41F76">
        <w:lastRenderedPageBreak/>
        <w:t>2. Rezolucija Europskog parlamenta od 7. svibnja 2025. s primjedbama koje su sastavni dio Odluke o razrješnici za izvršenje općeg proračuna Europske unije za financijsku godinu 2023., dio VII. – Odbor regija (2024/2026(DEC))</w:t>
      </w:r>
    </w:p>
    <w:p w14:paraId="0C538468" w14:textId="029562DA" w:rsidR="00D41F76" w:rsidRPr="00D41F76" w:rsidRDefault="00D41F76" w:rsidP="00D41F76">
      <w:pPr>
        <w:spacing w:before="480" w:after="240"/>
        <w:rPr>
          <w:iCs/>
          <w:kern w:val="2"/>
          <w14:ligatures w14:val="standardContextual"/>
        </w:rPr>
      </w:pPr>
      <w:r>
        <w:rPr>
          <w:i/>
          <w:kern w:val="2"/>
          <w14:ligatures w14:val="standardContextual"/>
        </w:rPr>
        <w:t>E</w:t>
      </w:r>
      <w:r w:rsidRPr="00D41F76">
        <w:rPr>
          <w:i/>
          <w:kern w:val="2"/>
          <w14:ligatures w14:val="standardContextual"/>
        </w:rPr>
        <w:t>uropski parlament</w:t>
      </w:r>
      <w:r w:rsidRPr="00D41F76">
        <w:rPr>
          <w:iCs/>
          <w:kern w:val="2"/>
          <w14:ligatures w14:val="standardContextual"/>
        </w:rPr>
        <w:t>,</w:t>
      </w:r>
    </w:p>
    <w:p w14:paraId="7B0B42F3" w14:textId="753E125B" w:rsidR="00D41F76" w:rsidRPr="00D41F76" w:rsidRDefault="00D41F76" w:rsidP="00D41F76">
      <w:pPr>
        <w:spacing w:after="240"/>
        <w:ind w:left="567" w:hanging="567"/>
        <w:rPr>
          <w:kern w:val="2"/>
          <w14:ligatures w14:val="standardContextual"/>
        </w:rPr>
      </w:pPr>
      <w:r w:rsidRPr="00181504">
        <w:t>–</w:t>
      </w:r>
      <w:r w:rsidRPr="00D41F76">
        <w:rPr>
          <w:kern w:val="2"/>
          <w14:ligatures w14:val="standardContextual"/>
        </w:rPr>
        <w:tab/>
        <w:t>uzimajući u obzir svoju Odluku o razrješnici za izvršenje općeg proračuna Europske unije za financijsku godinu 2023., dio VII. – Odbor regija,</w:t>
      </w:r>
    </w:p>
    <w:p w14:paraId="7A1454D1" w14:textId="57F68C27" w:rsidR="00D41F76" w:rsidRPr="00D41F76" w:rsidRDefault="00D41F76" w:rsidP="00D41F76">
      <w:pPr>
        <w:spacing w:after="240"/>
        <w:ind w:left="567" w:hanging="567"/>
        <w:rPr>
          <w:kern w:val="2"/>
          <w14:ligatures w14:val="standardContextual"/>
        </w:rPr>
      </w:pPr>
      <w:r w:rsidRPr="00181504">
        <w:t>–</w:t>
      </w:r>
      <w:r w:rsidRPr="00D41F76">
        <w:rPr>
          <w:kern w:val="2"/>
          <w14:ligatures w14:val="standardContextual"/>
        </w:rPr>
        <w:tab/>
        <w:t>uzimajući u obzir članak 102. Poslovnika i Prilog V. Poslovniku,</w:t>
      </w:r>
    </w:p>
    <w:p w14:paraId="7906CF88" w14:textId="286BA4C9" w:rsidR="00D41F76" w:rsidRPr="00D41F76" w:rsidRDefault="00D41F76" w:rsidP="00D41F76">
      <w:pPr>
        <w:spacing w:after="240"/>
        <w:ind w:left="567" w:hanging="567"/>
        <w:rPr>
          <w:kern w:val="2"/>
          <w14:ligatures w14:val="standardContextual"/>
        </w:rPr>
      </w:pPr>
      <w:r w:rsidRPr="00181504">
        <w:t>–</w:t>
      </w:r>
      <w:r w:rsidRPr="00D41F76">
        <w:rPr>
          <w:kern w:val="2"/>
          <w14:ligatures w14:val="standardContextual"/>
        </w:rPr>
        <w:tab/>
        <w:t>uzimajući u obzir izvješće Odbora za proračunski nadzor (A10-0046/2025),</w:t>
      </w:r>
    </w:p>
    <w:p w14:paraId="15548D1E"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A.</w:t>
      </w:r>
      <w:r w:rsidRPr="00D41F76">
        <w:rPr>
          <w:kern w:val="2"/>
          <w14:ligatures w14:val="standardContextual"/>
        </w:rPr>
        <w:tab/>
        <w:t>budući da u kontekstu postupka davanja razrješnice tijelo nadležno za davanje razrješnice želi istaknuti da je posebno važno nastaviti jačati demokratski legitimitet institucija Unije s pomoću veće transparentnosti i odgovornosti te uvođenjem koncepta izrade proračuna utemeljenog na uspješnosti i dobrog upravljanja ljudskim resursima;</w:t>
      </w:r>
    </w:p>
    <w:p w14:paraId="67B68359" w14:textId="77777777" w:rsidR="00D41F76" w:rsidRPr="00D41F76" w:rsidRDefault="00D41F76" w:rsidP="00D41F76">
      <w:pPr>
        <w:spacing w:after="240"/>
        <w:ind w:left="567" w:hanging="567"/>
        <w:rPr>
          <w:color w:val="000000"/>
          <w:kern w:val="2"/>
          <w14:ligatures w14:val="standardContextual"/>
        </w:rPr>
      </w:pPr>
      <w:r w:rsidRPr="00D41F76">
        <w:rPr>
          <w:kern w:val="2"/>
          <w14:ligatures w14:val="standardContextual"/>
        </w:rPr>
        <w:t>B.</w:t>
      </w:r>
      <w:r w:rsidRPr="00D41F76">
        <w:rPr>
          <w:kern w:val="2"/>
          <w14:ligatures w14:val="standardContextual"/>
        </w:rPr>
        <w:tab/>
      </w:r>
      <w:r w:rsidRPr="00D41F76">
        <w:rPr>
          <w:color w:val="000000"/>
          <w:kern w:val="2"/>
          <w14:ligatures w14:val="standardContextual"/>
        </w:rPr>
        <w:t>budući da je Odbor regija („Odbor”) politička skupština koja se sastoji od 329 članova izabranih u regijama, gradovima, selima i općinama 27 država članica Unije, koja djeluje kao savjetodavno tijelo institucija Unije i čija je zadaća doprinositi oblikovanju politika Unije i donošenju odluka sa stajališta lokalnih i regionalnih vlasti te istodobno doprinositi povećanju učinkovitosti Unije i njezinu približavanju građanima;</w:t>
      </w:r>
    </w:p>
    <w:p w14:paraId="5FD9EA29" w14:textId="77777777" w:rsidR="00D41F76" w:rsidRPr="00D41F76" w:rsidRDefault="00D41F76" w:rsidP="00D41F76">
      <w:pPr>
        <w:spacing w:after="240"/>
        <w:ind w:left="567" w:hanging="567"/>
        <w:rPr>
          <w:color w:val="000000"/>
          <w:kern w:val="2"/>
          <w14:ligatures w14:val="standardContextual"/>
        </w:rPr>
      </w:pPr>
      <w:r w:rsidRPr="00D41F76">
        <w:rPr>
          <w:color w:val="000000"/>
          <w:kern w:val="2"/>
          <w14:ligatures w14:val="standardContextual"/>
        </w:rPr>
        <w:t>C.</w:t>
      </w:r>
      <w:r w:rsidRPr="00D41F76">
        <w:rPr>
          <w:color w:val="000000"/>
          <w:kern w:val="2"/>
          <w14:ligatures w14:val="standardContextual"/>
        </w:rPr>
        <w:tab/>
        <w:t>budući da se Komisija ili Vijeće u određenim slučajevima moraju obavezno savjetovati s Odborom, no da Odbor može donijeti mišljenja i na vlastitu inicijativu, uz široko područje za koje može izraziti mišljenja, kako je utvrđeno u Ugovorima, što omogućuje savjetovanje Parlamenta s Odborom;</w:t>
      </w:r>
    </w:p>
    <w:p w14:paraId="45F91843" w14:textId="0D7B0269" w:rsidR="00D41F76" w:rsidRPr="00D41F76" w:rsidRDefault="00D41F76" w:rsidP="00D41F76">
      <w:pPr>
        <w:spacing w:after="240"/>
        <w:ind w:left="567" w:hanging="567"/>
        <w:rPr>
          <w:color w:val="000000"/>
          <w:kern w:val="2"/>
          <w14:ligatures w14:val="standardContextual"/>
        </w:rPr>
      </w:pPr>
      <w:r w:rsidRPr="00D41F76">
        <w:rPr>
          <w:color w:val="000000"/>
          <w:kern w:val="2"/>
          <w14:ligatures w14:val="standardContextual"/>
        </w:rPr>
        <w:t>D.</w:t>
      </w:r>
      <w:r w:rsidRPr="00D41F76">
        <w:rPr>
          <w:color w:val="000000"/>
          <w:kern w:val="2"/>
          <w14:ligatures w14:val="standardContextual"/>
        </w:rPr>
        <w:tab/>
        <w:t>budući da su aktivnosti Odbora definirane na temelju njegove opće političke strategije utvrđene u Rezoluciji od 2. srpnja 2020. o prioritetima za razdoblje 2020.– 2025.</w:t>
      </w:r>
      <w:r w:rsidRPr="00D41F76">
        <w:rPr>
          <w:color w:val="000000"/>
          <w:kern w:val="2"/>
          <w:vertAlign w:val="superscript"/>
          <w14:ligatures w14:val="standardContextual"/>
        </w:rPr>
        <w:footnoteReference w:id="7"/>
      </w:r>
      <w:r w:rsidRPr="00D41F76">
        <w:rPr>
          <w:color w:val="000000"/>
          <w:kern w:val="2"/>
          <w14:ligatures w14:val="standardContextual"/>
        </w:rPr>
        <w:t xml:space="preserve"> i budući da je Odbor usvojio tri politička prioriteta za svoj mandat od 2020. do 2025. popraćena trima komunikacijskim kampanjama: Približiti Europu građanima, Izgradnja otpornih regionalnih i lokalnih zajednica i Promicanje kohezije kao temeljne vrijednosti EU-a;</w:t>
      </w:r>
    </w:p>
    <w:p w14:paraId="0024955D" w14:textId="77777777" w:rsidR="00D41F76" w:rsidRPr="00D41F76" w:rsidRDefault="00D41F76" w:rsidP="00D41F76">
      <w:pPr>
        <w:spacing w:after="240"/>
        <w:ind w:left="567" w:hanging="567"/>
        <w:rPr>
          <w:color w:val="000000"/>
          <w:kern w:val="2"/>
          <w14:ligatures w14:val="standardContextual"/>
        </w:rPr>
      </w:pPr>
      <w:r w:rsidRPr="00D41F76">
        <w:rPr>
          <w:color w:val="000000"/>
          <w:kern w:val="2"/>
          <w14:ligatures w14:val="standardContextual"/>
        </w:rPr>
        <w:t>E.</w:t>
      </w:r>
      <w:r w:rsidRPr="00D41F76">
        <w:rPr>
          <w:color w:val="000000"/>
          <w:kern w:val="2"/>
          <w14:ligatures w14:val="standardContextual"/>
        </w:rPr>
        <w:tab/>
        <w:t>budući da na lokalne i regionalne uprave otpada trećina javne potrošnje, polovica javnih ulaganja i jedna četvrtina poreznih prihoda te da u mnogim državama članicama one imaju nadležnosti u ključnim područjima kao što su obrazovanje, gospodarski razvoj i kohezija, okoliš, socijalna zaštita, zdravstvo i usluge od općeg interesa, zbog čega se koordinacijom lokalne, regionalne, nacionalne i europske razine povećava legitimnost zakonodavstva, poboljšava odgovornost i učinkovitije ostvaruje korist za građane;</w:t>
      </w:r>
    </w:p>
    <w:p w14:paraId="1682CE27" w14:textId="77777777" w:rsidR="00D41F76" w:rsidRPr="00D41F76" w:rsidRDefault="00D41F76" w:rsidP="00D41F76">
      <w:pPr>
        <w:spacing w:after="240"/>
        <w:ind w:left="567" w:hanging="567"/>
        <w:rPr>
          <w:color w:val="000000"/>
          <w:kern w:val="2"/>
          <w14:ligatures w14:val="standardContextual"/>
        </w:rPr>
      </w:pPr>
      <w:r w:rsidRPr="00D41F76">
        <w:rPr>
          <w:color w:val="000000"/>
          <w:kern w:val="2"/>
          <w14:ligatures w14:val="standardContextual"/>
        </w:rPr>
        <w:t>F.</w:t>
      </w:r>
      <w:r w:rsidRPr="00D41F76">
        <w:rPr>
          <w:color w:val="000000"/>
          <w:kern w:val="2"/>
          <w14:ligatures w14:val="standardContextual"/>
        </w:rPr>
        <w:tab/>
        <w:t xml:space="preserve">budući da Odbor nastoji ostvariti svoj politički cilj jačanja svoje uključenosti u cijeli politički i zakonodavni ciklus Unije i pritom učiniti konkretnijom vezu s građanima Unije, koristeći se članovima Odbora kao snažnim multiplikatorima u njihovim </w:t>
      </w:r>
      <w:r w:rsidRPr="00D41F76">
        <w:rPr>
          <w:color w:val="000000"/>
          <w:kern w:val="2"/>
          <w14:ligatures w14:val="standardContextual"/>
        </w:rPr>
        <w:lastRenderedPageBreak/>
        <w:t>zajednicama i nacionalnim udrugama lokalnih i regionalnih vlasti;</w:t>
      </w:r>
    </w:p>
    <w:p w14:paraId="332B7EF1" w14:textId="77777777" w:rsidR="00D41F76" w:rsidRPr="00D41F76" w:rsidRDefault="00D41F76" w:rsidP="00D41F76">
      <w:pPr>
        <w:spacing w:after="240"/>
        <w:ind w:left="567" w:hanging="567"/>
        <w:rPr>
          <w:color w:val="000000"/>
          <w:kern w:val="2"/>
          <w14:ligatures w14:val="standardContextual"/>
        </w:rPr>
      </w:pPr>
      <w:r w:rsidRPr="00D41F76">
        <w:rPr>
          <w:color w:val="000000"/>
          <w:kern w:val="2"/>
          <w14:ligatures w14:val="standardContextual"/>
        </w:rPr>
        <w:t>G.</w:t>
      </w:r>
      <w:r w:rsidRPr="00D41F76">
        <w:rPr>
          <w:color w:val="000000"/>
          <w:kern w:val="2"/>
          <w14:ligatures w14:val="standardContextual"/>
        </w:rPr>
        <w:tab/>
        <w:t>budući da je Odbor utvrdio jedanaest ključnih prioritetnih područja kako bi njegovo djelovanje 2023. postalo više strateški usmjereno i učinkovitije: (1) daljnje postupanje nakon Konferencije o budućnosti Europe, aktivna supsidijarnost i bolja regulativa; (2) Ukrajina i proširenje; (3) energetska i klimatska kriza; (4) okoliš; (5) kohezijska politika – jačanje provedbe kohezijske politike i oblikovanje njezine budućnosti za razdoblje nakon 2027.; (6) višegodišnji financijski okvir; (7) gospodarsko upravljanje za pravednu i održivu Europu; (8) Europska godina vještina 2023.; (9) partnerstvo za regionalne inovacije i promicanje teritorijalnih misija; (10) civilna zaštita; (11) sigurnost opskrbe hranom;</w:t>
      </w:r>
    </w:p>
    <w:p w14:paraId="26B1C46B" w14:textId="4318214E" w:rsidR="00D41F76" w:rsidRPr="00D41F76" w:rsidRDefault="00D41F76" w:rsidP="00D41F76">
      <w:pPr>
        <w:spacing w:after="240"/>
        <w:ind w:left="567" w:hanging="567"/>
        <w:rPr>
          <w:kern w:val="2"/>
          <w14:ligatures w14:val="standardContextual"/>
        </w:rPr>
      </w:pPr>
      <w:r w:rsidRPr="00D41F76">
        <w:rPr>
          <w:kern w:val="2"/>
          <w14:ligatures w14:val="standardContextual"/>
        </w:rPr>
        <w:t>H.</w:t>
      </w:r>
      <w:r w:rsidRPr="00D41F76">
        <w:rPr>
          <w:kern w:val="2"/>
          <w14:ligatures w14:val="standardContextual"/>
        </w:rPr>
        <w:tab/>
        <w:t>budući da Uredba (EU) 2021/1060 Europskog parlamenta i Vijeća</w:t>
      </w:r>
      <w:r w:rsidRPr="00D41F76">
        <w:rPr>
          <w:kern w:val="2"/>
          <w:vertAlign w:val="superscript"/>
          <w14:ligatures w14:val="standardContextual"/>
        </w:rPr>
        <w:footnoteReference w:id="8"/>
      </w:r>
      <w:r w:rsidRPr="00D41F76">
        <w:rPr>
          <w:kern w:val="2"/>
          <w14:ligatures w14:val="standardContextual"/>
        </w:rPr>
        <w:t xml:space="preserve">, kojom se uređuju kohezijska politika i financiranje Unije između 2021. i 2027., koja je stupila na snagu u srpnju 2021., sadržava upućivanja na načelo partnerstva i višerazinskog upravljanja, koje podupiru Odbor i Parlament i koje podrazumijeva sudjelovanje regija i njihovih lokalnih i regionalnih vlasti; snažno podupire jačanje </w:t>
      </w:r>
      <w:proofErr w:type="spellStart"/>
      <w:r w:rsidRPr="00D41F76">
        <w:rPr>
          <w:kern w:val="2"/>
          <w14:ligatures w14:val="standardContextual"/>
        </w:rPr>
        <w:t>Unijinih</w:t>
      </w:r>
      <w:proofErr w:type="spellEnd"/>
      <w:r w:rsidRPr="00D41F76">
        <w:rPr>
          <w:kern w:val="2"/>
          <w14:ligatures w14:val="standardContextual"/>
        </w:rPr>
        <w:t xml:space="preserve"> ulaganja povezanih s otpornošću na regionalnoj i lokalnoj razini u sljedećem višegodišnjem financijskom okviru (VFO);</w:t>
      </w:r>
    </w:p>
    <w:p w14:paraId="0CC8F2E6"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I.</w:t>
      </w:r>
      <w:r w:rsidRPr="00D41F76">
        <w:rPr>
          <w:kern w:val="2"/>
          <w14:ligatures w14:val="standardContextual"/>
        </w:rPr>
        <w:tab/>
        <w:t>budući da će se u okviru više od 400 nacionalnih i regionalnih programa za provedbu kohezijske politike Unije u programskom razdoblju 2021. – 2027. staviti na raspolaganje oko 380 milijardi EUR iz različitih fondova za rješavanje gospodarskih, socijalnih i ekoloških izazova s kojima se suočavaju regije, gradovi, sela i općine u Uniji;</w:t>
      </w:r>
    </w:p>
    <w:p w14:paraId="141B139C" w14:textId="0FC2844B" w:rsidR="00D41F76" w:rsidRPr="00D41F76" w:rsidRDefault="00D41F76" w:rsidP="00D41F76">
      <w:pPr>
        <w:spacing w:after="240"/>
        <w:ind w:left="567" w:hanging="567"/>
        <w:rPr>
          <w:color w:val="000000"/>
          <w:kern w:val="2"/>
          <w14:ligatures w14:val="standardContextual"/>
        </w:rPr>
      </w:pPr>
      <w:r w:rsidRPr="00D41F76">
        <w:rPr>
          <w:color w:val="000000"/>
          <w:kern w:val="2"/>
          <w14:ligatures w14:val="standardContextual"/>
        </w:rPr>
        <w:t>J.</w:t>
      </w:r>
      <w:r w:rsidRPr="00D41F76">
        <w:rPr>
          <w:color w:val="000000"/>
          <w:kern w:val="2"/>
          <w14:ligatures w14:val="standardContextual"/>
        </w:rPr>
        <w:tab/>
        <w:t>budući da je 19. veljače 2021. na snagu stupila Uredba (EU) 2021/241 Europskog parlamenta i Vijeća</w:t>
      </w:r>
      <w:r w:rsidRPr="00D41F76">
        <w:rPr>
          <w:color w:val="000000"/>
          <w:kern w:val="2"/>
          <w:vertAlign w:val="superscript"/>
          <w14:ligatures w14:val="standardContextual"/>
        </w:rPr>
        <w:footnoteReference w:id="9"/>
      </w:r>
      <w:r w:rsidRPr="00D41F76">
        <w:rPr>
          <w:color w:val="000000"/>
          <w:kern w:val="2"/>
          <w14:ligatures w14:val="standardContextual"/>
        </w:rPr>
        <w:t xml:space="preserve"> o uspostavi Mehanizma Unije za oporavak i otpornost, kojom se pruža pravna osnova za raspodjelu sredstava i zajmova državama članicama u iznosu do 672,5 milijardi EUR (u cijenama iz 2018.) između 2021. i 2026. te kojom se nastoji poduprijeti ekonomska, socijalna i teritorijalna kohezija i ukloniti razlike među regijama Unije;</w:t>
      </w:r>
    </w:p>
    <w:p w14:paraId="6DCC0808" w14:textId="77777777" w:rsidR="00D41F76" w:rsidRPr="00D41F76" w:rsidRDefault="00D41F76" w:rsidP="00D41F76">
      <w:pPr>
        <w:spacing w:after="240"/>
        <w:ind w:left="567" w:hanging="567"/>
        <w:rPr>
          <w:color w:val="000000"/>
          <w:kern w:val="2"/>
          <w14:ligatures w14:val="standardContextual"/>
        </w:rPr>
      </w:pPr>
      <w:r w:rsidRPr="00D41F76">
        <w:rPr>
          <w:color w:val="000000"/>
          <w:kern w:val="2"/>
          <w14:ligatures w14:val="standardContextual"/>
        </w:rPr>
        <w:t>K.</w:t>
      </w:r>
      <w:r w:rsidRPr="00D41F76">
        <w:rPr>
          <w:color w:val="000000"/>
          <w:kern w:val="2"/>
          <w14:ligatures w14:val="standardContextual"/>
        </w:rPr>
        <w:tab/>
        <w:t>budući da je, kao institucija Unije u smislu Financijske uredbe, Odbor obvezan donijeti vlastitu godišnju računovodstvenu dokumentaciju, pripremljenu u skladu s računovodstvenim pravilima koja je usvojio računovodstveni službenik Komisije (računovodstvena pravila Europske unije) na temelju međunarodnih računovodstvenih standarda za javni sektor, koji se u konačnici objedinjuju u onima Unije;</w:t>
      </w:r>
    </w:p>
    <w:p w14:paraId="475D1C3B"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1.</w:t>
      </w:r>
      <w:r w:rsidRPr="00D41F76">
        <w:rPr>
          <w:kern w:val="2"/>
          <w14:ligatures w14:val="standardContextual"/>
        </w:rPr>
        <w:tab/>
        <w:t xml:space="preserve">konstatira da je proračun Odbora obuhvaćen naslovom 7. VFO-a „Europska javna uprava” (u daljnjem tekstu: naslov 7.), koji je 2023. iznosio ukupno 12,3 milijardi EUR, </w:t>
      </w:r>
      <w:r w:rsidRPr="00D41F76">
        <w:rPr>
          <w:kern w:val="2"/>
          <w14:ligatures w14:val="standardContextual"/>
        </w:rPr>
        <w:lastRenderedPageBreak/>
        <w:t xml:space="preserve">tj. 6,4 % rashoda proračuna Unije; napominje da je 2023. proračun </w:t>
      </w:r>
      <w:r w:rsidRPr="00D41F76">
        <w:rPr>
          <w:color w:val="000000"/>
          <w:kern w:val="2"/>
          <w14:ligatures w14:val="standardContextual"/>
        </w:rPr>
        <w:t>Odbora</w:t>
      </w:r>
      <w:r w:rsidRPr="00D41F76">
        <w:rPr>
          <w:kern w:val="2"/>
          <w14:ligatures w14:val="standardContextual"/>
        </w:rPr>
        <w:t xml:space="preserve"> činio 0,95 % odobrenih sredstava iz naslova 7. VFO-a;</w:t>
      </w:r>
    </w:p>
    <w:p w14:paraId="5A10F10D"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2.</w:t>
      </w:r>
      <w:r w:rsidRPr="00D41F76">
        <w:rPr>
          <w:kern w:val="2"/>
          <w14:ligatures w14:val="standardContextual"/>
        </w:rPr>
        <w:tab/>
        <w:t>konstatira da je Revizorski sud u godišnjem izvješću („izvješće Revizorskog suda”) za financijsku godinu 2023. ispitao uzorak od 70 transakcija obuhvaćenih naslovom 7., od kojih je njih 21 (30 %) sadržavala pogreške; nadalje napominje da je za pet od tih pogrešaka, koje je kvantificirao Revizorski sud, stopa pogreške procijenjena ispod praga značajnosti;</w:t>
      </w:r>
    </w:p>
    <w:p w14:paraId="56FC75F5"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3.</w:t>
      </w:r>
      <w:r w:rsidRPr="00D41F76">
        <w:rPr>
          <w:kern w:val="2"/>
          <w14:ligatures w14:val="standardContextual"/>
        </w:rPr>
        <w:tab/>
        <w:t xml:space="preserve">prima na znanje opažanje iz izvješća Revizorskog suda da administrativni rashodi obuhvaćaju rashode za ljudske resurse, uključujući mirovine, koji su 2023. činili otprilike 70 % ukupnih administrativnih rashoda, kao i rashode za zgrade, opremu, energiju, komunikacije i informacijsku tehnologiju; pozdravlja to što je Revizorski sud opet izrazio mišljenje da su administrativni rashodi općenito </w:t>
      </w:r>
      <w:proofErr w:type="spellStart"/>
      <w:r w:rsidRPr="00D41F76">
        <w:rPr>
          <w:kern w:val="2"/>
          <w14:ligatures w14:val="standardContextual"/>
        </w:rPr>
        <w:t>niskorizični</w:t>
      </w:r>
      <w:proofErr w:type="spellEnd"/>
      <w:r w:rsidRPr="00D41F76">
        <w:rPr>
          <w:kern w:val="2"/>
          <w14:ligatures w14:val="standardContextual"/>
        </w:rPr>
        <w:t>;</w:t>
      </w:r>
    </w:p>
    <w:p w14:paraId="2E4629F9"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4.</w:t>
      </w:r>
      <w:r w:rsidRPr="00D41F76">
        <w:rPr>
          <w:kern w:val="2"/>
          <w14:ligatures w14:val="standardContextual"/>
        </w:rPr>
        <w:tab/>
        <w:t>iz izvješća Revizorskog suda sa žaljenjem prima na znanje njegovo mišljenje o transakciji koju je Odbor izvršio 2023. jer desetogodišnje trajanje ugovora o održavanju zgrada nije bilo dostatno opravdano;</w:t>
      </w:r>
    </w:p>
    <w:p w14:paraId="54C4F37F" w14:textId="77777777" w:rsidR="00D41F76" w:rsidRPr="00D41F76" w:rsidRDefault="00D41F76" w:rsidP="00D41F76">
      <w:pPr>
        <w:spacing w:after="240"/>
        <w:ind w:left="567" w:hanging="567"/>
        <w:rPr>
          <w:b/>
          <w:iCs/>
          <w:kern w:val="2"/>
          <w14:ligatures w14:val="standardContextual"/>
        </w:rPr>
      </w:pPr>
      <w:r w:rsidRPr="00D41F76">
        <w:rPr>
          <w:b/>
          <w:iCs/>
          <w:kern w:val="2"/>
          <w14:ligatures w14:val="standardContextual"/>
        </w:rPr>
        <w:t>Upravljanje proračunom i financijama</w:t>
      </w:r>
    </w:p>
    <w:p w14:paraId="22BE3843"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5.</w:t>
      </w:r>
      <w:r w:rsidRPr="00D41F76">
        <w:rPr>
          <w:kern w:val="2"/>
          <w14:ligatures w14:val="standardContextual"/>
        </w:rPr>
        <w:tab/>
        <w:t>na temelju godišnjeg izvješća o radu Odbora za 2023. prima na znanje da je konačni doneseni proračun Odbora 2023. iznosio 116 675 392 EUR, uključujući izmjenu proračuna br. 4/2023 (povezanu s plaćama i energijom), što predstavlja povećanje od 6 698 534 EUR (odnosno + 6,10 %) u odnosu na 2022.; sa zadovoljstvom prima na znanje da se stopa izvršenja proračuna Odbora za odobrena sredstva za preuzimanje obveza za tekuću godinu dodatno povećala s 99,20 % u 2022. na 99,9 % u 2023., dok se stopa izvršenja odobrenih sredstava za plaćanje za tekuću godinu povećala s 88 % u 2022. na 91,20 % u 2023.; nadalje pozdravlja poboljšanje stope izvršenja odobrenih sredstava C8 s 81,60 % u 2022. na 85 % u 2023.; smatra da su te visoke stope izvršenja s jedne strane znak dobrog proračunskog i financijskog upravljanja Odbora zbog pojačanog praćenja izvršenja proračuna, pravodobnog predviđanja proračuna i preraspodjele resursa za odgovor na nepredviđene događaje, ali bi s druge strane također mogle biti znak da su Odboru potrebni dodatni resursi; poziva Komisiju i proračunsko tijelo da to uzmu u obzir u okviru proračunskog postupka;</w:t>
      </w:r>
    </w:p>
    <w:p w14:paraId="7681361B"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6.</w:t>
      </w:r>
      <w:r w:rsidRPr="00D41F76">
        <w:rPr>
          <w:kern w:val="2"/>
          <w14:ligatures w14:val="standardContextual"/>
        </w:rPr>
        <w:tab/>
        <w:t>napominje da je tijekom 2023. Odbor izvršio 31 prijenos u ukupnom iznosu od 2,84 milijuna EUR, od čega 25 internih prijenosa u ukupnom iznosu od 0,98 milijuna EUR i šest vanjskih prijenosa u ukupnom iznosu od 1,86 milijuna EUR, od čega je približno 0,8 milijuna EUR preneseno u proračunske linije koje pokrivaju ugovore na koje je utjecala visoka inflacija/</w:t>
      </w:r>
      <w:proofErr w:type="spellStart"/>
      <w:r w:rsidRPr="00D41F76">
        <w:rPr>
          <w:kern w:val="2"/>
          <w14:ligatures w14:val="standardContextual"/>
        </w:rPr>
        <w:t>indeksacija</w:t>
      </w:r>
      <w:proofErr w:type="spellEnd"/>
      <w:r w:rsidRPr="00D41F76">
        <w:rPr>
          <w:kern w:val="2"/>
          <w14:ligatures w14:val="standardContextual"/>
        </w:rPr>
        <w:t xml:space="preserve">; napominje da je tijekom 2023. učinak ruske ratne agresije na Ukrajinu nastavio stavljati proračunski pritisak na Odbor; u tom kontekstu napominje da je Odbor bio najviše pogođen visokom stopom inflacije, izravno ili neizravno, u područjima kao što su putni troškovi (službena putovanja), energija, najam i zakup zgrada, ugovori o održavanju, građevinski projekti te papir i </w:t>
      </w:r>
      <w:proofErr w:type="spellStart"/>
      <w:r w:rsidRPr="00D41F76">
        <w:rPr>
          <w:kern w:val="2"/>
          <w14:ligatures w14:val="standardContextual"/>
        </w:rPr>
        <w:t>offset</w:t>
      </w:r>
      <w:proofErr w:type="spellEnd"/>
      <w:r w:rsidRPr="00D41F76">
        <w:rPr>
          <w:kern w:val="2"/>
          <w14:ligatures w14:val="standardContextual"/>
        </w:rPr>
        <w:t xml:space="preserve"> ploče;</w:t>
      </w:r>
    </w:p>
    <w:p w14:paraId="5605ACDB"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7.</w:t>
      </w:r>
      <w:r w:rsidRPr="00D41F76">
        <w:rPr>
          <w:kern w:val="2"/>
          <w14:ligatures w14:val="standardContextual"/>
        </w:rPr>
        <w:tab/>
        <w:t>prima na znanje povećanje plaćanja članovima Odbora za otprilike 20 %, sa 6 573 307 EUR u 2022. na 7 955 968 EUR u 2023., uz plaćanja za putne troškove (8119 plaćanja), naknade za putne troškove (4449 plaćanja), naknade za sastanke za sudjelovanje uživo (7845 plaćanja) i sudjelovanje na daljinu (152 plaćanja);</w:t>
      </w:r>
    </w:p>
    <w:p w14:paraId="32C541EC"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lastRenderedPageBreak/>
        <w:t>8.</w:t>
      </w:r>
      <w:r w:rsidRPr="00D41F76">
        <w:rPr>
          <w:kern w:val="2"/>
          <w14:ligatures w14:val="standardContextual"/>
        </w:rPr>
        <w:tab/>
        <w:t>konstatira da je proračun za službena putovanja (odobrena sredstva za tekuću godinu) ostao stabilan s 420 833 EUR u 2023. (u usporedbi s 419 657 EUR u 2022.) i stopom izvršenja od približno 80 % u 2023. (slično kao 2022.); napominje da je, unatoč povećanju prosječnih troškova smještaja i putnih troškova, proračun za službena putovanja Odbora ostao stabilan zbog smanjenja broja službenih putovanja obavljenih 2023. od 13 % u odnosu na 2022.; pozdravlja činjenicu da se naknada za putne troškove i troškove sastanaka predsjedništva Odbora (predsjednik i prvi potpredsjednik), koja se financira iz općeg proračuna za troškove članova, smanjila sa 71 810 EUR na 62 268 EUR, što je smanjenje od 13 % između 2022. i 2023.; potiče Odbor da dodatno racionalizira i smanji rashode u tom području, osiguravajući optimalnu raspodjelu resursa u skladu s načelima dobrog financijskog upravljanja;</w:t>
      </w:r>
    </w:p>
    <w:p w14:paraId="547ED7F2"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9.</w:t>
      </w:r>
      <w:r w:rsidRPr="00D41F76">
        <w:rPr>
          <w:kern w:val="2"/>
          <w14:ligatures w14:val="standardContextual"/>
        </w:rPr>
        <w:tab/>
        <w:t>sa zabrinutošću primjećuje povećanje odobrenih sredstava za usluge usmenog prevođenja za tekuću godinu od oko 19 %, s 3,494 milijuna EUR u 2022. na 4,167 milijuna EUR u 2023.; traži od Odbora da objasni razloge za to povećanje s obzirom na činjenicu da je Odbor istodobno izvijestio o uštedama u vezi s upotrebom usmenog prevođenja na daljinu tijekom 2023.;</w:t>
      </w:r>
    </w:p>
    <w:p w14:paraId="212F3742"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10.</w:t>
      </w:r>
      <w:r w:rsidRPr="00D41F76">
        <w:rPr>
          <w:kern w:val="2"/>
          <w14:ligatures w14:val="standardContextual"/>
        </w:rPr>
        <w:tab/>
        <w:t>napominje da je do 23. srpnja 2023. paušalna naknada za sastanke na daljinu koju Odbor isplaćuje svojim članovima, njihovim zamjenicima, kao i stručnjacima koji rade za izvjestitelje i govornicima pozvanima na sudjelovanje na sastancima na daljinu ili hibridnim sastancima iznosila 200 EUR; nadalje napominje da su na taj datum stupila na snagu nova pravila o tom pitanju kojima se paušalna naknada za sastanke na daljinu utvrđuje na 50 % naknade za redovne sastanke, pri čemu naknada za redovne sastanke iznosi 359 EUR, a za sastanke na daljinu 179,50 EUR; u tom kontekstu prima na znanje znatno smanjenje ukupnog iznosa plaćenog za naknade za sastanke na daljinu s 1 742 000 EUR u 2021. i 489 600 EUR u 2022. na 32 632 EUR u 2023., dok su se ukupni rashodi povezani s proračunskom linijom 1 0 0 4 („ Naknade za putne troškove i troškove boravka, sudjelovanje na sastancima te povezani troškovi”) znatno povećali s približno 6,6 milijuna EUR u 2022. na otprilike 8 milijuna EUR u 2023., uglavnom zbog velikog povratka na sastanke uživo 2023. i povećanja cijena povezanih s putovanjima nakon pandemije bolesti COVID-19;</w:t>
      </w:r>
    </w:p>
    <w:p w14:paraId="2B679860"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11.</w:t>
      </w:r>
      <w:r w:rsidRPr="00D41F76">
        <w:rPr>
          <w:kern w:val="2"/>
          <w14:ligatures w14:val="standardContextual"/>
        </w:rPr>
        <w:tab/>
        <w:t>izražava zabrinutost zbog znatnog povećanja naknada za putovanja i sastanke koje se isplaćuju članovima i članicama Odbora, čiji se iznos povećao sa 6,6 milijuna EUR u 2022. na 8 milijuna EUR u 2023.; poziva Odbor da donese jasnu strategiju troškovne učinkovitosti putnih troškova, uključujući veću upotrebu sudjelovanja na daljinu i hibridnih sastanaka kako bi se smanjili nepotrebni troškovi i emisije uz istodobno održavanje političkog angažmana;</w:t>
      </w:r>
    </w:p>
    <w:p w14:paraId="404D5399"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12.</w:t>
      </w:r>
      <w:r w:rsidRPr="00D41F76">
        <w:rPr>
          <w:kern w:val="2"/>
          <w14:ligatures w14:val="standardContextual"/>
        </w:rPr>
        <w:tab/>
        <w:t>žali zbog toga što se prosječno vrijeme za plaćanje povećalo sa 17,87 dana 2022. na 21,88 dana 2023.; ipak shvaća da je do tog povećanja došlo zbog toga što je 2023. Odbor obradio i platio rekordan broj računa, tj. njih 5723 u usporedbi s 4260 tijekom 2022.; u tom kontekstu napominje da se udio komercijalnih računa koje je Odbor primio elektroničkim putem povećao sa 68 % u 2022. na 76 % u 2023. te se nastavio povećavati 2024.;</w:t>
      </w:r>
    </w:p>
    <w:p w14:paraId="718CDB50" w14:textId="77777777" w:rsidR="00D41F76" w:rsidRPr="00D41F76" w:rsidRDefault="00D41F76" w:rsidP="00D41F76">
      <w:pPr>
        <w:spacing w:after="240"/>
        <w:ind w:left="567" w:hanging="567"/>
        <w:rPr>
          <w:b/>
          <w:iCs/>
          <w:kern w:val="2"/>
          <w14:ligatures w14:val="standardContextual"/>
        </w:rPr>
      </w:pPr>
      <w:r w:rsidRPr="00D41F76">
        <w:rPr>
          <w:b/>
          <w:iCs/>
          <w:kern w:val="2"/>
          <w14:ligatures w14:val="standardContextual"/>
        </w:rPr>
        <w:t>Unutarnje upravljanje, uspješnost i unutarnja kontrola</w:t>
      </w:r>
    </w:p>
    <w:p w14:paraId="43C677E2"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13.</w:t>
      </w:r>
      <w:r w:rsidRPr="00D41F76">
        <w:rPr>
          <w:kern w:val="2"/>
          <w14:ligatures w14:val="standardContextual"/>
        </w:rPr>
        <w:tab/>
        <w:t xml:space="preserve">potvrđuje da Odbor ima ključnu ulogu u doprinosu razvoju politika Unije i procesima donošenja odluka tako što zastupa interese lokalnih i regionalnih vlasti unutar Unije; </w:t>
      </w:r>
      <w:r w:rsidRPr="00D41F76">
        <w:rPr>
          <w:kern w:val="2"/>
          <w14:ligatures w14:val="standardContextual"/>
        </w:rPr>
        <w:lastRenderedPageBreak/>
        <w:t>napominje da se za 2023. u okviru njegova godišnjeg operativnog plana izvješćivanje o uspješnosti Odbora temeljilo na 25 ciljeva, čije je ostvarenje ocijenjeno na temelju 80 kvantitativnih pokazatelja, dok su ciljne vrijednosti većine tih pokazatelja (otprilike 75 %) postignute 90 % ili više;</w:t>
      </w:r>
    </w:p>
    <w:p w14:paraId="2FF201A1"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14.</w:t>
      </w:r>
      <w:r w:rsidRPr="00D41F76">
        <w:rPr>
          <w:kern w:val="2"/>
          <w14:ligatures w14:val="standardContextual"/>
        </w:rPr>
        <w:tab/>
        <w:t>podsjeća da Odbor doprinosi postupku donošenja politika i odluka Unije iz perspektive regionalnih i lokalnih vlasti u Uniji te pruža okvir za jačanje suradnje između lokalne, regionalne, nacionalne i europske razine te za približavanje Europe njezinim građanima; žali zbog toga što su proračunska ograničenja ugrozila sposobnost Odbora da u potpunosti ostvari svoj cilj približavanja građana Uniji, čime se ograničava dodana vrijednost Odbora;</w:t>
      </w:r>
    </w:p>
    <w:p w14:paraId="72353FDF"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15.</w:t>
      </w:r>
      <w:r w:rsidRPr="00D41F76">
        <w:rPr>
          <w:kern w:val="2"/>
          <w14:ligatures w14:val="standardContextual"/>
        </w:rPr>
        <w:tab/>
        <w:t>s obzirom na važnu ulogu Odbora u povećanju demokratskog legitimiteta zakonodavstva Unije osiguravanjem aktivne koordinacije regionalnih i lokalnih vlasti, podržava Odbor u njegovim nastojanjima da osigura više procjena teritorijalnog učinka, također u skladu sa završnim izvješćem i preporukama Konferencije o budućnosti Europe;</w:t>
      </w:r>
    </w:p>
    <w:p w14:paraId="7FE04BAA" w14:textId="77777777" w:rsidR="00D41F76" w:rsidRPr="00D41F76" w:rsidRDefault="00D41F76" w:rsidP="00D41F76">
      <w:pPr>
        <w:spacing w:after="240"/>
        <w:ind w:left="567" w:hanging="567"/>
        <w:rPr>
          <w:kern w:val="2"/>
          <w:szCs w:val="24"/>
          <w14:ligatures w14:val="standardContextual"/>
        </w:rPr>
      </w:pPr>
      <w:r w:rsidRPr="00D41F76">
        <w:rPr>
          <w:kern w:val="2"/>
          <w14:ligatures w14:val="standardContextual"/>
        </w:rPr>
        <w:t>16.</w:t>
      </w:r>
      <w:r w:rsidRPr="00D41F76">
        <w:rPr>
          <w:kern w:val="2"/>
          <w14:ligatures w14:val="standardContextual"/>
        </w:rPr>
        <w:tab/>
        <w:t>pohvaljuje Odbor za njegova politička postignuća koja je 2023. ostvario u ključnim prioritetnim područjima; napominje da Odbor svoju misiju ostvaruje mišljenjima koja se odnose na zakonodavne prijedloge Komisije (zahtjevi za mišljenje), samoinicijativnim mišljenjima u kojima se institucije Unije pozivaju na djelovanje, i rezolucijama u kojima se ističu stajališta Odbora o određenim temama; napominje da je Odbor 2023. donio 53 mišljenja i šest rezolucija, što je smanjenje u odnosu na 55 mišljenja i osam rezolucija donesenih 2022. unatoč povećanju odobrenih sredstava i osoblja;</w:t>
      </w:r>
      <w:r w:rsidRPr="00D41F76">
        <w:rPr>
          <w:color w:val="FF0000"/>
          <w:kern w:val="2"/>
          <w14:ligatures w14:val="standardContextual"/>
        </w:rPr>
        <w:t xml:space="preserve"> </w:t>
      </w:r>
      <w:r w:rsidRPr="00D41F76">
        <w:rPr>
          <w:kern w:val="2"/>
          <w14:ligatures w14:val="standardContextual"/>
        </w:rPr>
        <w:t>potiče Odbor da nastavi raditi na poboljšanju uspješnosti i djelotvornosti; pozdravlja napore koje Odbor ulaže u uvođenje reformskih i inovativnih rješenja, racionalizaciju uprave i izbjegavanje preklapanja uloga s drugim tijelima;</w:t>
      </w:r>
    </w:p>
    <w:p w14:paraId="5AC3AA1F"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17.</w:t>
      </w:r>
      <w:r w:rsidRPr="00D41F76">
        <w:rPr>
          <w:kern w:val="2"/>
          <w14:ligatures w14:val="standardContextual"/>
        </w:rPr>
        <w:tab/>
        <w:t>cijeni to što je Odbor 2023. nastavio provoditi mjere za modernizaciju svoje uprave i povećanje troškovne učinkovitosti u kontekstu programa „</w:t>
      </w:r>
      <w:proofErr w:type="spellStart"/>
      <w:r w:rsidRPr="00D41F76">
        <w:rPr>
          <w:kern w:val="2"/>
          <w14:ligatures w14:val="standardContextual"/>
        </w:rPr>
        <w:t>Going</w:t>
      </w:r>
      <w:proofErr w:type="spellEnd"/>
      <w:r w:rsidRPr="00D41F76">
        <w:rPr>
          <w:kern w:val="2"/>
          <w14:ligatures w14:val="standardContextual"/>
        </w:rPr>
        <w:t xml:space="preserve"> for </w:t>
      </w:r>
      <w:proofErr w:type="spellStart"/>
      <w:r w:rsidRPr="00D41F76">
        <w:rPr>
          <w:kern w:val="2"/>
          <w14:ligatures w14:val="standardContextual"/>
        </w:rPr>
        <w:t>IMPact</w:t>
      </w:r>
      <w:proofErr w:type="spellEnd"/>
      <w:r w:rsidRPr="00D41F76">
        <w:rPr>
          <w:kern w:val="2"/>
          <w14:ligatures w14:val="standardContextual"/>
        </w:rPr>
        <w:t>”; u tom kontekstu prima na znanje napredak postignut u pogledu digitalizacije i optimizacije radnih postupaka, modernizacije instrumenata Odbora za planiranje i izvješćivanje, uspostave središnje službe za sastanke i poboljšanja suradnje s drugim institucijama ili tijelima (npr. s Europskim gospodarskim i socijalnim odborom (EGSO), Komisijom, Parlamentom, Uredom za infrastrukturu i logistiku); pohvaljuje Odbor zbog toga što je proveo gotovo 90 % projekata pojednostavnjenja pokrenutih 2021. u područjima administrativnih postupaka, pisanih postupaka i (internih) pravnih dokumenata;</w:t>
      </w:r>
    </w:p>
    <w:p w14:paraId="1F6260B9"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18.</w:t>
      </w:r>
      <w:r w:rsidRPr="00D41F76">
        <w:rPr>
          <w:kern w:val="2"/>
          <w14:ligatures w14:val="standardContextual"/>
        </w:rPr>
        <w:tab/>
        <w:t>sa zadovoljstvom prima na znanje odgovore Odbora na upitnik koji je podnio Odbor Parlamenta za proračunski nadzor za razrješnicu za proračun za 2023. (dalje u tekstu: upitnik) u kojima stoji da je, zahvaljujući programu „</w:t>
      </w:r>
      <w:proofErr w:type="spellStart"/>
      <w:r w:rsidRPr="00D41F76">
        <w:rPr>
          <w:kern w:val="2"/>
          <w14:ligatures w14:val="standardContextual"/>
        </w:rPr>
        <w:t>Going</w:t>
      </w:r>
      <w:proofErr w:type="spellEnd"/>
      <w:r w:rsidRPr="00D41F76">
        <w:rPr>
          <w:kern w:val="2"/>
          <w14:ligatures w14:val="standardContextual"/>
        </w:rPr>
        <w:t xml:space="preserve"> for </w:t>
      </w:r>
      <w:proofErr w:type="spellStart"/>
      <w:r w:rsidRPr="00D41F76">
        <w:rPr>
          <w:kern w:val="2"/>
          <w14:ligatures w14:val="standardContextual"/>
        </w:rPr>
        <w:t>IMPact</w:t>
      </w:r>
      <w:proofErr w:type="spellEnd"/>
      <w:r w:rsidRPr="00D41F76">
        <w:rPr>
          <w:kern w:val="2"/>
          <w14:ligatures w14:val="standardContextual"/>
        </w:rPr>
        <w:t>”, Odbor 2023. uspio uskladiti svoje ciljeve s dostupnim sredstvima koja su bila pod pritiskom zbog inflacijskih učinaka rata u Ukrajini; posebno pohvaljuje napredak koji je Odbor ostvario u provedbi alata za usklađivanje projekata (alata koji se temelji na SharePointu za planiranje, izvješćivanje, procjenu rizika i kontinuitet poslovanja) i u pogledu novih politika kontinuiteta poslovanja;</w:t>
      </w:r>
    </w:p>
    <w:p w14:paraId="1C255D8B"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19.</w:t>
      </w:r>
      <w:r w:rsidRPr="00D41F76">
        <w:rPr>
          <w:kern w:val="2"/>
          <w14:ligatures w14:val="standardContextual"/>
        </w:rPr>
        <w:tab/>
        <w:t xml:space="preserve">prima na znanje učinak rada Odbora, posebno njegovih mišljenja, koja su se odražavala u rezolucijama, stajalištima, prijedlozima, izvješćima, preispitivanjima, zaključcima ili </w:t>
      </w:r>
      <w:proofErr w:type="spellStart"/>
      <w:r w:rsidRPr="00D41F76">
        <w:rPr>
          <w:kern w:val="2"/>
          <w14:ligatures w14:val="standardContextual"/>
        </w:rPr>
        <w:t>trijalozima</w:t>
      </w:r>
      <w:proofErr w:type="spellEnd"/>
      <w:r w:rsidRPr="00D41F76">
        <w:rPr>
          <w:kern w:val="2"/>
          <w14:ligatures w14:val="standardContextual"/>
        </w:rPr>
        <w:t xml:space="preserve"> Komisije, Parlamenta ili Vijeća tijekom 2023.; poziva Odbor da </w:t>
      </w:r>
      <w:r w:rsidRPr="00D41F76">
        <w:rPr>
          <w:kern w:val="2"/>
          <w14:ligatures w14:val="standardContextual"/>
        </w:rPr>
        <w:lastRenderedPageBreak/>
        <w:t xml:space="preserve">institucijama Unije i drugim korisnicima politika Unije nastavi pružati korisne i relevantne doprinose, kao što su podaci s terena i analize; pozdravlja pojačano sudjelovanje Odbora u cijelom političkom i zakonodavnom ciklusu Unije putem sporazuma o suradnji i akcijskih planova s Komisijom, Parlamentom i Europskom investicijskom bankom; smatra da bi članove Odbora i Europskog gospodarskog i socijalnog odbora trebalo pozvati na relevantne parlamentarne sjednice o pitanjima u njihovoj nadležnosti; napominje da su se 2023. članovi Odbora također sastali s Vijećem i stalnim predstavništvima te sudjelovali u događanjima koja je organiziralo predsjedništvo Vijeća kako bi se osiguralo da se stajališta Odbora odražavaju u zakonodavstvu Unije; čestita Odboru na intenzivnijem sudjelovanju u zakonodavnim </w:t>
      </w:r>
      <w:proofErr w:type="spellStart"/>
      <w:r w:rsidRPr="00D41F76">
        <w:rPr>
          <w:kern w:val="2"/>
          <w14:ligatures w14:val="standardContextual"/>
        </w:rPr>
        <w:t>trijalozima</w:t>
      </w:r>
      <w:proofErr w:type="spellEnd"/>
      <w:r w:rsidRPr="00D41F76">
        <w:rPr>
          <w:kern w:val="2"/>
          <w14:ligatures w14:val="standardContextual"/>
        </w:rPr>
        <w:t xml:space="preserve">, posebno s obzirom na to da mu je 2023. prvi put odobren pristup dokumentima u okviru </w:t>
      </w:r>
      <w:proofErr w:type="spellStart"/>
      <w:r w:rsidRPr="00D41F76">
        <w:rPr>
          <w:kern w:val="2"/>
          <w14:ligatures w14:val="standardContextual"/>
        </w:rPr>
        <w:t>trijaloga</w:t>
      </w:r>
      <w:proofErr w:type="spellEnd"/>
      <w:r w:rsidRPr="00D41F76">
        <w:rPr>
          <w:kern w:val="2"/>
          <w14:ligatures w14:val="standardContextual"/>
        </w:rPr>
        <w:t>;</w:t>
      </w:r>
    </w:p>
    <w:p w14:paraId="60826A25"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20.</w:t>
      </w:r>
      <w:r w:rsidRPr="00D41F76">
        <w:rPr>
          <w:kern w:val="2"/>
          <w14:ligatures w14:val="standardContextual"/>
        </w:rPr>
        <w:tab/>
        <w:t xml:space="preserve">poziva Odbor da prije donošenja mišljenja osigura veću uključenost regionalnih i lokalnih vlasti u donošenje </w:t>
      </w:r>
      <w:proofErr w:type="spellStart"/>
      <w:r w:rsidRPr="00D41F76">
        <w:rPr>
          <w:kern w:val="2"/>
          <w14:ligatures w14:val="standardContextual"/>
        </w:rPr>
        <w:t>Unijinih</w:t>
      </w:r>
      <w:proofErr w:type="spellEnd"/>
      <w:r w:rsidRPr="00D41F76">
        <w:rPr>
          <w:kern w:val="2"/>
          <w14:ligatures w14:val="standardContextual"/>
        </w:rPr>
        <w:t xml:space="preserve"> odluka stvaranjem strukturiranih mehanizama savjetovanja s regionalnim i lokalnim vlastima, uključujući parlamente, općine i lokalne organizacije civilnog društva; potiče Odbor da se zalaže za obvezni postupak savjetovanja o zakonodavnim pitanjima koja znatno utječu na regionalni razvoj i kohezijsku politiku;</w:t>
      </w:r>
    </w:p>
    <w:p w14:paraId="062F06AE" w14:textId="77777777" w:rsidR="00D41F76" w:rsidRPr="00D41F76" w:rsidRDefault="00D41F76" w:rsidP="00D41F76">
      <w:pPr>
        <w:spacing w:after="240"/>
        <w:ind w:left="567" w:hanging="567"/>
        <w:rPr>
          <w:b/>
          <w:kern w:val="2"/>
          <w:szCs w:val="24"/>
          <w14:ligatures w14:val="standardContextual"/>
        </w:rPr>
      </w:pPr>
      <w:r w:rsidRPr="00D41F76">
        <w:rPr>
          <w:kern w:val="2"/>
          <w14:ligatures w14:val="standardContextual"/>
        </w:rPr>
        <w:t>21.</w:t>
      </w:r>
      <w:r w:rsidRPr="00D41F76">
        <w:rPr>
          <w:kern w:val="2"/>
          <w14:ligatures w14:val="standardContextual"/>
        </w:rPr>
        <w:tab/>
        <w:t xml:space="preserve">kad je riječ o novom okviru unutarnje kontrole, prima na znanje da je Odbor 2023. uveo novu metodologiju za </w:t>
      </w:r>
      <w:r w:rsidRPr="00D41F76">
        <w:rPr>
          <w:i/>
          <w:iCs/>
          <w:kern w:val="2"/>
          <w14:ligatures w14:val="standardContextual"/>
        </w:rPr>
        <w:t>ex post</w:t>
      </w:r>
      <w:r w:rsidRPr="00D41F76">
        <w:rPr>
          <w:kern w:val="2"/>
          <w14:ligatures w14:val="standardContextual"/>
        </w:rPr>
        <w:t xml:space="preserve"> kontrole s ciljem pojednostavnjenja i usklađivanja pristupa s praksom drugih institucija Unije, pri čemu su </w:t>
      </w:r>
      <w:r w:rsidRPr="00D41F76">
        <w:rPr>
          <w:i/>
          <w:iCs/>
          <w:kern w:val="2"/>
          <w14:ligatures w14:val="standardContextual"/>
        </w:rPr>
        <w:t xml:space="preserve">ex post </w:t>
      </w:r>
      <w:r w:rsidRPr="00D41F76">
        <w:rPr>
          <w:kern w:val="2"/>
          <w14:ligatures w14:val="standardContextual"/>
        </w:rPr>
        <w:t xml:space="preserve">kontrole sada centralizirane, dok to prije nisu bile; napominje da su 2023. </w:t>
      </w:r>
      <w:r w:rsidRPr="00D41F76">
        <w:rPr>
          <w:i/>
          <w:iCs/>
          <w:kern w:val="2"/>
          <w14:ligatures w14:val="standardContextual"/>
        </w:rPr>
        <w:t>ex post</w:t>
      </w:r>
      <w:r w:rsidRPr="00D41F76">
        <w:rPr>
          <w:kern w:val="2"/>
          <w14:ligatures w14:val="standardContextual"/>
        </w:rPr>
        <w:t xml:space="preserve"> kontrole bile usmjerene na osnovnu plaću i odrađeno vrijeme, pri čemu je provjereno 55 predmeta, te da je statistička procjena pogreške u referentnoj populaciji iznosila 0 %; nadalje napominje da je 2023. Odbor ponovno obavio provjeru usklađenosti i djelotvornosti kako bi procijenio koliko je usklađen s određenim standardima unutarnje kontrole, kao i koliko je djelotvorna njihova provedba; pohvaljuje Odbor što je izvještavao o poboljšanju u tom pogledu u usporedbi s rezultatima za proračunsku godinu 2022.;</w:t>
      </w:r>
      <w:r w:rsidRPr="00D41F76">
        <w:rPr>
          <w:color w:val="FF0000"/>
          <w:kern w:val="2"/>
          <w14:ligatures w14:val="standardContextual"/>
        </w:rPr>
        <w:t xml:space="preserve"> </w:t>
      </w:r>
      <w:r w:rsidRPr="00D41F76">
        <w:rPr>
          <w:kern w:val="2"/>
          <w14:ligatures w14:val="standardContextual"/>
        </w:rPr>
        <w:t>potiče Odbor da nastavi ulagati napore u daljnje povećanje razine usklađenosti i stupnja djelotvornosti postojećih mjera unutarnje kontrole; kad je riječ o novoj politici za osjetljiva radna mjesta, sa zadovoljstvom prima na znanje da je Odbor 2023. proveo analitički pregled kako bi utvrdio razinu rizika za svako radno mjesto, a time i razinu osjetljivosti tog radnog mjesta, kao i potrebne mjere za ublažavanje tih rizika;</w:t>
      </w:r>
    </w:p>
    <w:p w14:paraId="551FF0A4"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22.</w:t>
      </w:r>
      <w:r w:rsidRPr="00D41F76">
        <w:rPr>
          <w:kern w:val="2"/>
          <w14:ligatures w14:val="standardContextual"/>
        </w:rPr>
        <w:tab/>
        <w:t>napominje da je Odbor 2023. pokrenuo dvije nove revizije: jednu o usklađenosti različitih funkcija (npr. upravljanje rizicima, planiranje, sustav kontrole) s relevantnim zakonodavstvom o zaštiti podataka i drugu o uspješnosti informacijsko-tehnološke organizacije u zajedničkim službama (nova zajednička Uprava Odbora i EGSO-a za inovacije i informacijsku tehnologiju); prima na znanje da je tijekom svake od tih revizija: izneseno 11 preporuka, pri čemu se sedam preporuka smatralo vrlo važnima; nadalje napominje da je nakon revizije upravljanja slobodnim radnim mjestima koja je pokrenuta 2022. izneseno 10 preporuka, od kojih su tri bile vrlo važne; poziva Odbor da što je prije moguće provede preporuke koje još nije proveo i da obavješćuje tijelo nadležno za davanje razrješnice o napretku postignutom u tom pogledu;</w:t>
      </w:r>
    </w:p>
    <w:p w14:paraId="455F9C98" w14:textId="77777777" w:rsidR="00D41F76" w:rsidRPr="00D41F76" w:rsidRDefault="00D41F76" w:rsidP="00D41F76">
      <w:pPr>
        <w:spacing w:after="240"/>
        <w:ind w:left="567" w:hanging="567"/>
        <w:rPr>
          <w:b/>
          <w:bCs/>
          <w:iCs/>
          <w:kern w:val="2"/>
          <w14:ligatures w14:val="standardContextual"/>
        </w:rPr>
      </w:pPr>
      <w:r w:rsidRPr="00D41F76">
        <w:rPr>
          <w:b/>
          <w:iCs/>
          <w:kern w:val="2"/>
          <w14:ligatures w14:val="standardContextual"/>
        </w:rPr>
        <w:t>Ljudski resursi, jednakost i dobrobit osoblja</w:t>
      </w:r>
    </w:p>
    <w:p w14:paraId="000744F8"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23.</w:t>
      </w:r>
      <w:r w:rsidRPr="00D41F76">
        <w:rPr>
          <w:kern w:val="2"/>
          <w14:ligatures w14:val="standardContextual"/>
        </w:rPr>
        <w:tab/>
        <w:t xml:space="preserve">napominje da je krajem 2023. Odbor imao ukupno 559 članova osoblja (u što nisu uključeni upućeni nacionalni stručnjaci, privremeni službenici, unutarnji stručnjaci i </w:t>
      </w:r>
      <w:r w:rsidRPr="00D41F76">
        <w:rPr>
          <w:kern w:val="2"/>
          <w14:ligatures w14:val="standardContextual"/>
        </w:rPr>
        <w:lastRenderedPageBreak/>
        <w:t>stažisti), u usporedbi s 533 člana osoblja 2022.; konstatira da je krajem 2023. Odbor zapošljavao 74 ugovorna djelatnika, u usporedbi s 56 ugovornih djelatnika 2022., i 96 privremenih djelatnika, u usporedbi s 89 privremenih djelatnika 2022., od čega je 21 ugovorni djelatnik imao ugovor na neodređeno vrijeme, 53 ugovorna djelatnika imala su ugovor na određeno vrijeme, 53 privremena djelatnika imala su stalna radna mjesta i ugovore na neodređeno vrijeme, 50 privremenih djelatnika imalo je ugovor na neodređeno vrijeme, a tri privremena djelatnika bila su na privremenim radnim mjestima (u dva slučaja s ugovorom na neodređeno vrijeme i, u slučaju glavnog tajnika, na određeno vrijeme od pet godina); osim toga, napominje da je Odbor zapošljavao 5 privremenih službenika i 12 vanjskih članova osoblja koji rade na licu mjesta, ne računajući vanjske pružatelje usluga u području logistike i informacijske tehnologije; nada se da je povećanje broja osoblja opravdano; napominje da je 2023. stopa popunjenosti radnih mjesta u planu radnih mjesta iznosila 98 % (povećanje u odnosu na 96 % u 2022.), a stopa fluktuacije 6,6 % (smanjenje u odnosu na 10,80 % u 2022.);</w:t>
      </w:r>
    </w:p>
    <w:p w14:paraId="31ED9817" w14:textId="77777777" w:rsidR="00D41F76" w:rsidRPr="00D41F76" w:rsidRDefault="00D41F76" w:rsidP="00D41F76">
      <w:pPr>
        <w:spacing w:after="240"/>
        <w:ind w:left="567" w:hanging="567"/>
        <w:rPr>
          <w:kern w:val="2"/>
          <w:szCs w:val="24"/>
          <w14:ligatures w14:val="standardContextual"/>
        </w:rPr>
      </w:pPr>
      <w:r w:rsidRPr="00D41F76">
        <w:rPr>
          <w:kern w:val="2"/>
          <w14:ligatures w14:val="standardContextual"/>
        </w:rPr>
        <w:t>24.</w:t>
      </w:r>
      <w:r w:rsidRPr="00D41F76">
        <w:rPr>
          <w:kern w:val="2"/>
          <w14:ligatures w14:val="standardContextual"/>
        </w:rPr>
        <w:tab/>
        <w:t>primjećuje da Odbor sve više zapošljava ugovorno i privremeno osoblje (koji čine do 26 % osoblja Odbora); prima na znanje informacije iz upitnika prema kojima razlog leži u tome što od 2018. ne postoji EPSO-ov (Europski ured za odabir osoblja) popis uspješnih kandidata za administratore; zabrinut je zbog toga što su dugoročna stabilnost i kontinuitet poslovanja Odbora ugroženi zbog nedovoljne privlačnosti ugovora na određeno vrijeme; naglašava važnost stalnog osoblja zbog održavanja vještina, kontinuiteta i produktivnog radnog okruženja; napominje da je Odbor 2024. organizirao interni natječaj za opće profile u pet razreda (AST/SC 1, AST 1, AST 3, AD 5 i AD 7);</w:t>
      </w:r>
      <w:r w:rsidRPr="00D41F76">
        <w:rPr>
          <w:color w:val="FF0000"/>
          <w:kern w:val="2"/>
          <w14:ligatures w14:val="standardContextual"/>
        </w:rPr>
        <w:t xml:space="preserve"> </w:t>
      </w:r>
      <w:r w:rsidRPr="00D41F76">
        <w:rPr>
          <w:kern w:val="2"/>
          <w14:ligatures w14:val="standardContextual"/>
        </w:rPr>
        <w:t>podržava Odbor u njegovim nastojanjima da odgovori na te izazove; poziva Odbor da obavijesti tijelo nadležno za davanje razrješnice o takvim natječajima organiziranima 2024.;</w:t>
      </w:r>
    </w:p>
    <w:p w14:paraId="02F07477" w14:textId="77777777" w:rsidR="00D41F76" w:rsidRPr="00D41F76" w:rsidRDefault="00D41F76" w:rsidP="00D41F76">
      <w:pPr>
        <w:spacing w:after="240"/>
        <w:ind w:left="567" w:hanging="567"/>
        <w:rPr>
          <w:kern w:val="2"/>
          <w:szCs w:val="24"/>
          <w14:ligatures w14:val="standardContextual"/>
        </w:rPr>
      </w:pPr>
      <w:r w:rsidRPr="00D41F76">
        <w:rPr>
          <w:kern w:val="2"/>
          <w14:ligatures w14:val="standardContextual"/>
        </w:rPr>
        <w:t>25.</w:t>
      </w:r>
      <w:r w:rsidRPr="00D41F76">
        <w:rPr>
          <w:kern w:val="2"/>
          <w14:ligatures w14:val="standardContextual"/>
        </w:rPr>
        <w:tab/>
        <w:t>napominje da je krajem 2023. Odbor zapošljavao 56,9 % žena i 43,1 % muškaraca;</w:t>
      </w:r>
      <w:r w:rsidRPr="00D41F76">
        <w:rPr>
          <w:color w:val="FF0000"/>
          <w:kern w:val="2"/>
          <w14:ligatures w14:val="standardContextual"/>
        </w:rPr>
        <w:t xml:space="preserve"> </w:t>
      </w:r>
      <w:r w:rsidRPr="00D41F76">
        <w:rPr>
          <w:kern w:val="2"/>
          <w14:ligatures w14:val="standardContextual"/>
        </w:rPr>
        <w:t xml:space="preserve">žali zbog toga što Odbor još nije postigao rodni paritet na vodećim položajima, ali prima na znanje znatan napredak postignut u okviru petogodišnje strategije i akcijskog plana Odbora za raznolikost i uključivanje za razdoblje 2022. – 2026., uključujući znatno povećanje udjela žena na višim rukovodećim položajima s 37,5 % u 2022. na 44,4 % u 2023.; preporučuje mjere za povećanje </w:t>
      </w:r>
      <w:proofErr w:type="spellStart"/>
      <w:r w:rsidRPr="00D41F76">
        <w:rPr>
          <w:kern w:val="2"/>
          <w14:ligatures w14:val="standardContextual"/>
        </w:rPr>
        <w:t>uključivosti</w:t>
      </w:r>
      <w:proofErr w:type="spellEnd"/>
      <w:r w:rsidRPr="00D41F76">
        <w:rPr>
          <w:kern w:val="2"/>
          <w14:ligatures w14:val="standardContextual"/>
        </w:rPr>
        <w:t xml:space="preserve"> u oglasima za slobodna radna mjesta i poticanje većeg sudjelovanja žena na položajima višeg i srednjeg rukovodstva, među ostalim postavljanjem ciljnih vrijednosti za rodnu ravnotežu, postizanjem uravnotežene zastupljenosti u povjerenstvima za odabir, omogućivanjem ciljnog osposobljavanja za žensko osoblje koje teži rukovodećim položajima i promicanjem fleksibilnijih radnih uvjeta; potiče Odbor da nastavi ulagati napore u postizanje rodne ravnoteže te u tom kontekstu zahtijeva da države članice imenuju i muškog i ženskog kandidata za imenovanja za članstvo u Odboru kako bi se poboljšala zastupljenost na svim razinama;</w:t>
      </w:r>
    </w:p>
    <w:p w14:paraId="5DB0ACA1"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26.</w:t>
      </w:r>
      <w:r w:rsidRPr="00D41F76">
        <w:rPr>
          <w:kern w:val="2"/>
          <w14:ligatures w14:val="standardContextual"/>
        </w:rPr>
        <w:tab/>
        <w:t>napominje da je, kao rezultat pilot-projekta o hibridnom režimu rada i ankete o zadovoljstvu osoblja pokrenute 2022., Odbor 1. siječnja 2024. donio odluku kojom se predviđa hibridni režim rada i personalizirani tjedni raspored rada za svakog člana osoblja, kao i mogućnost rada od kuće do 60 % radnog vremena (osim za kategorije osoblja čiji je posao nespojiv s radom na daljinu) i rada izvan grada zaposlenja do 15 dana godišnje; uviđa da je cilj tih mjera poboljšati ravnotežu između poslovnog i privatnog života uz istodobno održavanje operativne učinkovitosti i zadovoljstva osoblja;</w:t>
      </w:r>
    </w:p>
    <w:p w14:paraId="5DDB8D8E"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lastRenderedPageBreak/>
        <w:t>27.</w:t>
      </w:r>
      <w:r w:rsidRPr="00D41F76">
        <w:rPr>
          <w:kern w:val="2"/>
          <w14:ligatures w14:val="standardContextual"/>
        </w:rPr>
        <w:tab/>
        <w:t>sa zadovoljstvom primjećuje da je hibridni sustav rada Odbora imao pozitivan učinak u pogledu kratkotrajnog bolovanja, budući da se: – broj članova osoblja bez bolovanja povećao sa 71 (ili 12 % ukupnog osoblja) 2018. na 211 (ili 36 % ukupnog osoblja) 2023.; – broj članova osoblja na bolovanju u trajanju kraćem od sedam dana smanjio s 257 (ili 46 % ukupnog osoblja) 2018. na 201 (ili 35 % ukupnog osoblja) 2023., a; – broj članova osoblja na bolovanju u trajanju od 7,5 do 21 dana smanjio sa 140 (ili 25 % ukupnog osoblja) 2018. na 92 (ili 16 % ukupnog osoblja) 2023.; poziva Odbor da prati učinak novog radnog režima i da to pitanje i dalje bude zastupljeno u predstojećim anketama o zadovoljstvu osoblja; sa zadovoljstvom napominje da je 90,25 % (82 % u slučaju rukovoditelja) onih koji su odgovorili na anketu za osoblje iz prosinca 2022. izrazilo zadovoljstvo tim fleksibilnim mogućnostima;</w:t>
      </w:r>
    </w:p>
    <w:p w14:paraId="4AD27519" w14:textId="77777777" w:rsidR="00D41F76" w:rsidRPr="00D41F76" w:rsidRDefault="00D41F76" w:rsidP="00D41F76">
      <w:pPr>
        <w:spacing w:after="240"/>
        <w:ind w:left="567" w:hanging="567"/>
        <w:rPr>
          <w:kern w:val="2"/>
          <w:szCs w:val="24"/>
          <w14:ligatures w14:val="standardContextual"/>
        </w:rPr>
      </w:pPr>
      <w:r w:rsidRPr="00D41F76">
        <w:rPr>
          <w:kern w:val="2"/>
          <w14:ligatures w14:val="standardContextual"/>
        </w:rPr>
        <w:t>28.</w:t>
      </w:r>
      <w:r w:rsidRPr="00D41F76">
        <w:rPr>
          <w:kern w:val="2"/>
          <w14:ligatures w14:val="standardContextual"/>
        </w:rPr>
        <w:tab/>
        <w:t xml:space="preserve">sa zabrinutošću prima na znanje da je 2023. u Odboru prijavljeno 18 slučajeva izgaranja na poslu, što je povećanje u odnosu na 16 slučajeva 2022.; ističe znatan društveni i profesionalni učinak izgaranja na poslu na dobrobit i uspješnost osoblja; nadalje napominje da je Odbor 2023. uspio reintegrirati 16 članova osoblja nakon dugotrajnog izbivanja zbog izgaranja na poslu, zahvaljujući personaliziranim daljnjim mjerama nakon dugotrajnog bolovanja; pozdravlja preventivne mjere koje je Odbor poduzeo kako bi smanjio psihosocijalne rizike i rizik od izgaranja na poslu; u tom pogledu cijeni </w:t>
      </w:r>
      <w:proofErr w:type="spellStart"/>
      <w:r w:rsidRPr="00D41F76">
        <w:rPr>
          <w:kern w:val="2"/>
          <w14:ligatures w14:val="standardContextual"/>
        </w:rPr>
        <w:t>proaktivan</w:t>
      </w:r>
      <w:proofErr w:type="spellEnd"/>
      <w:r w:rsidRPr="00D41F76">
        <w:rPr>
          <w:kern w:val="2"/>
          <w14:ligatures w14:val="standardContextual"/>
        </w:rPr>
        <w:t xml:space="preserve"> pristup zdravstvene službe, konferencije za podizanje razine osviještenosti, osposobljavanja i tečajeve koje je organizirao Odbor; međutim, naglašava potrebu za daljnjim jačanjem napora za rješavanje temeljnih uzroka izgaranja na poslu i za poticanje zdravijeg radnog okruženja;</w:t>
      </w:r>
    </w:p>
    <w:p w14:paraId="06E32B3C" w14:textId="77777777" w:rsidR="00D41F76" w:rsidRPr="00D41F76" w:rsidRDefault="00D41F76" w:rsidP="00D41F76">
      <w:pPr>
        <w:spacing w:after="240"/>
        <w:ind w:left="567" w:hanging="567"/>
        <w:rPr>
          <w:kern w:val="2"/>
          <w:szCs w:val="24"/>
          <w14:ligatures w14:val="standardContextual"/>
        </w:rPr>
      </w:pPr>
      <w:r w:rsidRPr="00D41F76">
        <w:rPr>
          <w:kern w:val="2"/>
          <w14:ligatures w14:val="standardContextual"/>
        </w:rPr>
        <w:t>29.</w:t>
      </w:r>
      <w:r w:rsidRPr="00D41F76">
        <w:rPr>
          <w:kern w:val="2"/>
          <w14:ligatures w14:val="standardContextual"/>
        </w:rPr>
        <w:tab/>
        <w:t>konstatira da je Odbor 2023. nastavio podizati razinu osviještenosti o mjerama za borbu protiv sprečavanja uznemiravanja na radnome mjestu, u skladu sa svojom Odlukom od 26. travnja 2021. o zaštiti dostojanstva na radnome mjestu, upravljanju sukobima i borbi protiv uznemiravanja, ponajprije posebnim smjernicama, internom komunikacijom i organiziranjem nekoliko informativnih sastanaka za osoblje i rukovoditelje; posebno pozdravlja činjenicu da je tijekom 2023. organizirano pet tečajeva osposobljavanja na temu sprečavanja psihološkog i seksualnog uznemiravanja te temu poštovanja i dostojanstva za postizanje vrhunskih rezultata u timu i preporučuje da se ta inicijativa nastavi; nadalje sa zadovoljstvom primjećuje da tijekom godine nisu prijavljeni novi, tekući ili zaključeni slučajevi u vezi sa seksualnim uznemiravanjem;</w:t>
      </w:r>
    </w:p>
    <w:p w14:paraId="53FE4688"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30.</w:t>
      </w:r>
      <w:r w:rsidRPr="00D41F76">
        <w:rPr>
          <w:kern w:val="2"/>
          <w14:ligatures w14:val="standardContextual"/>
        </w:rPr>
        <w:tab/>
        <w:t>pohvaljuje Odbor za mjere poduzete 2023. u vezi s integracijom osoba s invaliditetom, kao što su osiguravanje dostupnosti zgrada Odbora osobama sa smanjenom pokretljivošću i osiguravanje da sva slobodna radna mjesta budu dostupna kandidatima s invaliditetom;</w:t>
      </w:r>
    </w:p>
    <w:p w14:paraId="5CE4AFEA"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31.</w:t>
      </w:r>
      <w:r w:rsidRPr="00D41F76">
        <w:rPr>
          <w:kern w:val="2"/>
          <w14:ligatures w14:val="standardContextual"/>
        </w:rPr>
        <w:tab/>
        <w:t>napominje da je 2023. Odbor zapošljavao članove osoblja svih nacionalnosti Unije (kao i jednog člana osoblja iz Ukrajine), pri čemu su neki od njih bili prekomjerno zastupljeni (npr. Belgija); pozdravlja dodatne napore Odbora usmjerene na bolju ravnotežu u pogledu geografske raspodjele među osobljem, kao što su dopiranje do šire publike objavljivanjem poziva na iskaz interesa za ugovorno i privremeno osoblje na svojim internetskim stranicama i društvenim mrežama; žali zbog postojanog nedostatka geografske ravnoteže među osobljem Odbora, pri čemu su određene nacionalnosti i dalje prekomjerno zastupljene u odnosu na druge; potiče Odbor da pojača napore za postizanje uravnoteženije geografske raspodjele, posebno na rukovoditeljskoj razini; poziva Odbor da o ishodima takve mjere redovito obavješćuje tijelo nadležno za davanje razrješnice;</w:t>
      </w:r>
    </w:p>
    <w:p w14:paraId="4C3D7C0C"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lastRenderedPageBreak/>
        <w:t>32.</w:t>
      </w:r>
      <w:r w:rsidRPr="00D41F76">
        <w:rPr>
          <w:kern w:val="2"/>
          <w14:ligatures w14:val="standardContextual"/>
        </w:rPr>
        <w:tab/>
        <w:t xml:space="preserve">pozdravlja sudjelovanje Ureda za stažiranje Odbora, po drugi put zaredom, na sjednici pod nazivom „Prilike za mlade Rome” u travnju 2023.; pohvaljuje inicijativu da se program stažiranja Odbora predstavi mladim i motiviranim romskim i </w:t>
      </w:r>
      <w:proofErr w:type="spellStart"/>
      <w:r w:rsidRPr="00D41F76">
        <w:rPr>
          <w:kern w:val="2"/>
          <w14:ligatures w14:val="standardContextual"/>
        </w:rPr>
        <w:t>neromskim</w:t>
      </w:r>
      <w:proofErr w:type="spellEnd"/>
      <w:r w:rsidRPr="00D41F76">
        <w:rPr>
          <w:kern w:val="2"/>
          <w14:ligatures w14:val="standardContextual"/>
        </w:rPr>
        <w:t xml:space="preserve"> sudionicima, čime bi se pokazala snažna predanost promicanju </w:t>
      </w:r>
      <w:proofErr w:type="spellStart"/>
      <w:r w:rsidRPr="00D41F76">
        <w:rPr>
          <w:kern w:val="2"/>
          <w14:ligatures w14:val="standardContextual"/>
        </w:rPr>
        <w:t>uključivosti</w:t>
      </w:r>
      <w:proofErr w:type="spellEnd"/>
      <w:r w:rsidRPr="00D41F76">
        <w:rPr>
          <w:kern w:val="2"/>
          <w14:ligatures w14:val="standardContextual"/>
        </w:rPr>
        <w:t xml:space="preserve">, raznolikosti i jednakih mogućnosti; potiče nastavak i širenje takvih inicijativa kako bi se dodatno uključile nedovoljno zastupljene zajednice i potaknula </w:t>
      </w:r>
      <w:proofErr w:type="spellStart"/>
      <w:r w:rsidRPr="00D41F76">
        <w:rPr>
          <w:kern w:val="2"/>
          <w14:ligatures w14:val="standardContextual"/>
        </w:rPr>
        <w:t>uključivija</w:t>
      </w:r>
      <w:proofErr w:type="spellEnd"/>
      <w:r w:rsidRPr="00D41F76">
        <w:rPr>
          <w:kern w:val="2"/>
          <w14:ligatures w14:val="standardContextual"/>
        </w:rPr>
        <w:t xml:space="preserve"> europska radna snaga;</w:t>
      </w:r>
    </w:p>
    <w:p w14:paraId="6DCCC29B"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33.</w:t>
      </w:r>
      <w:r w:rsidRPr="00D41F76">
        <w:rPr>
          <w:kern w:val="2"/>
          <w14:ligatures w14:val="standardContextual"/>
        </w:rPr>
        <w:tab/>
        <w:t>pozdravlja napredak postignut u pogledu rodne ravnoteže na rukovodećim položajima, uz povećanje postotka žena na srednjim rukovodećim položajima (s 29,7 % u 2022. na 32,5 % u 2023.) i na višim rukovodećim položajima (s 37,5 % u 2022. na 44,4 % u 2023.);</w:t>
      </w:r>
    </w:p>
    <w:p w14:paraId="6352A3E0" w14:textId="77777777" w:rsidR="00D41F76" w:rsidRPr="00D41F76" w:rsidRDefault="00D41F76" w:rsidP="00D41F76">
      <w:pPr>
        <w:spacing w:after="240"/>
        <w:ind w:left="567" w:hanging="567"/>
        <w:rPr>
          <w:b/>
          <w:iCs/>
          <w:kern w:val="2"/>
          <w14:ligatures w14:val="standardContextual"/>
        </w:rPr>
      </w:pPr>
      <w:r w:rsidRPr="00D41F76">
        <w:rPr>
          <w:b/>
          <w:iCs/>
          <w:kern w:val="2"/>
          <w14:ligatures w14:val="standardContextual"/>
        </w:rPr>
        <w:t>Etički okvir i transparentnost</w:t>
      </w:r>
    </w:p>
    <w:p w14:paraId="7465B40B"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34.</w:t>
      </w:r>
      <w:r w:rsidRPr="00D41F76">
        <w:rPr>
          <w:kern w:val="2"/>
          <w14:ligatures w14:val="standardContextual"/>
        </w:rPr>
        <w:tab/>
        <w:t>pozdravlja rad Odbora tijekom 2023. na konsolidaciji etičkih pravila i praksi u jedinstveni etički pravni okvir (Odluka br. 157/2023) koji, među ostalim, obuhvaća stegovni postupak, dostojanstvo na radnom mjestu, upravljanje sukobima, borbu protiv uznemiravanja, vanjske aktivnosti i zviždače; napominje da je vrhunac tog rada bila odluka (br. 157/2023) koja je rezultat sveobuhvatnih savjetovanja s različitim dionicima, kao i praćenja interne ankete o informiranosti osoblja o etici i provedbe preporuke unutarnje revizije o tom pitanju; pohvaljuje Odbor zbog toga što je 2023. različitim skupinama osoblja nastavio nuditi tečajeve osposobljavanja o etici, integritetu te poštovanju i dostojanstvu na radnom mjestu, kako novim zaposlenicima, tako i rukovoditeljima i ukupnom osoblju;</w:t>
      </w:r>
    </w:p>
    <w:p w14:paraId="7CB90ADF"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35.</w:t>
      </w:r>
      <w:r w:rsidRPr="00D41F76">
        <w:rPr>
          <w:kern w:val="2"/>
          <w14:ligatures w14:val="standardContextual"/>
        </w:rPr>
        <w:tab/>
        <w:t>napominje da je Europski ured za borbu protiv prijevara (OLAF) 2023. obradio dva predmeta: jedan predmet o navodnim vanjskim dohodovnim aktivnostima člana Odbora i drugi o navodnim ponovnim neovlaštenim vanjskim aktivnostima jednog člana osoblja; napominje da u prvom predmetu OLAF-ova istraga nije pokrenuta zbog nedostatka proporcionalnosti između resursa potrebnih za provođenje istrage i očekivanih rezultata, dok je Odbor smatrao da nije bilo sukoba interesa na temelju toga što članovi Odbora ne primaju nikakvu naknadu od Unije niti moraju prijaviti svoje profesionalne aktivnosti, za koje mogu biti plaćeni u okviru lokalnog ili regionalnog mandata koji ti članovi mogu imati; u pogledu drugog predmeta napominje da je OLAF pokrenuo istragu koja je zaključena dvjema preporukama, koje je Odbor proveo pokretanjem stegovnog postupka protiv dotičnog člana osoblja i povratom dobiti ostvarene neovlaštenim vanjskim aktivnostima te osobe; podsjeća da je slučaj s navodnim financijskim prijestupima, uznemiravanjem i lošim upravljanjem u zajedničkoj službi Odbora i EGSO-a koji je zaključen 2022. doveo do pokretanja postupka upravljanja sukobima u kojem su sudjelovale dotične osobe i akcijskog plana u pet točaka; sa zadovoljstvom prima na znanje informaciju iz izvješća Odbora o daljnjem postupanju u vezi s odlukom Parlamenta o razrješnici za godinu izvršenja proračuna 2022. o tome da je taj akcijski plan u potpunosti proveden do kraja 2023.;</w:t>
      </w:r>
    </w:p>
    <w:p w14:paraId="61E2F709" w14:textId="77777777" w:rsidR="00D41F76" w:rsidRPr="00D41F76" w:rsidRDefault="00D41F76" w:rsidP="00D41F76">
      <w:pPr>
        <w:widowControl/>
        <w:spacing w:after="240"/>
        <w:ind w:left="567" w:hanging="567"/>
        <w:rPr>
          <w:b/>
          <w:bCs/>
          <w:i/>
          <w:iCs/>
          <w:kern w:val="2"/>
          <w:szCs w:val="24"/>
          <w14:ligatures w14:val="standardContextual"/>
        </w:rPr>
      </w:pPr>
      <w:r w:rsidRPr="00D41F76">
        <w:rPr>
          <w:kern w:val="2"/>
          <w14:ligatures w14:val="standardContextual"/>
        </w:rPr>
        <w:t>36.</w:t>
      </w:r>
      <w:r w:rsidRPr="00D41F76">
        <w:rPr>
          <w:kern w:val="2"/>
          <w14:ligatures w14:val="standardContextual"/>
        </w:rPr>
        <w:tab/>
        <w:t>podsjeća da je Odbor donio Uredbu br. 6/2023 od 4. srpnja 2023. o utvrđivanju mjera transparentnosti usmjerenih na članove i izvjestitelje koji obnašaju dužnost; u tom kontekstu pohvaljuje Odbor zbog službenog pristupanja registru transparentnosti EU-a 1. siječnja 2024.;</w:t>
      </w:r>
    </w:p>
    <w:p w14:paraId="5B2BEF02" w14:textId="77777777" w:rsidR="00D41F76" w:rsidRPr="00D41F76" w:rsidRDefault="00D41F76" w:rsidP="00D41F76">
      <w:pPr>
        <w:spacing w:after="240"/>
        <w:ind w:left="567" w:hanging="567"/>
        <w:rPr>
          <w:b/>
          <w:i/>
          <w:kern w:val="2"/>
          <w14:ligatures w14:val="standardContextual"/>
        </w:rPr>
      </w:pPr>
      <w:r w:rsidRPr="00D41F76">
        <w:rPr>
          <w:kern w:val="2"/>
          <w14:ligatures w14:val="standardContextual"/>
        </w:rPr>
        <w:t>37.</w:t>
      </w:r>
      <w:r w:rsidRPr="00D41F76">
        <w:rPr>
          <w:kern w:val="2"/>
          <w14:ligatures w14:val="standardContextual"/>
        </w:rPr>
        <w:tab/>
        <w:t xml:space="preserve">potiče Odbor da poboljša otkrivanje i sprečavanje sukoba interesa uvođenjem obveznog razdoblja mirovanja za članove na odlasku prije nego što mogu sudjelovati u lobiranju </w:t>
      </w:r>
      <w:r w:rsidRPr="00D41F76">
        <w:rPr>
          <w:kern w:val="2"/>
          <w14:ligatures w14:val="standardContextual"/>
        </w:rPr>
        <w:lastRenderedPageBreak/>
        <w:t>ili savjetodavnim ulogama koje uključuju institucije Unije; poziva na proaktivno objavljivanje svih odluka o izuzeću koje su donijeli članovi Odbora zbog sukoba interesa;</w:t>
      </w:r>
    </w:p>
    <w:p w14:paraId="3F7CF84B"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38.</w:t>
      </w:r>
      <w:r w:rsidRPr="00D41F76">
        <w:rPr>
          <w:kern w:val="2"/>
          <w14:ligatures w14:val="standardContextual"/>
        </w:rPr>
        <w:tab/>
        <w:t>pozdravlja to što je Odbor 2023. nastavio ulagati napore u području otkrivanja i sprečavanja sukoba interesa; napominje da je Odbor u svojoj Odluci br. 157/2023 definirao koncept sukoba interesa i uspostavio mehanizam za njegovo otkrivanje i sprečavanje, pri čemu je osoblje dužno prijaviti bi li moglo doći do (mogućeg budućeg ili trenutačnog) sukoba interesa ispunjavanjem obrasca u različitim ključnim trenucima svoje karijere ili profesionalnih aktivnosti; sa zadovoljstvom ističe da je u upitniku navedeno da se godišnje informacije o profesionalnim aktivnostima bivših viših dužnosnika objavljuju na transparentan način na internetskim stranicama Odbora; konstatira da 2023. Odbor nije otkrio nijedan sukob interesa zbog kojega bi uprava trebala poduzeti daljnje mjere;</w:t>
      </w:r>
    </w:p>
    <w:p w14:paraId="384E238C" w14:textId="77777777" w:rsidR="00D41F76" w:rsidRPr="00D41F76" w:rsidRDefault="00D41F76" w:rsidP="00D41F76">
      <w:pPr>
        <w:spacing w:after="240"/>
        <w:ind w:left="567" w:hanging="567"/>
        <w:rPr>
          <w:kern w:val="2"/>
          <w:szCs w:val="24"/>
          <w14:ligatures w14:val="standardContextual"/>
        </w:rPr>
      </w:pPr>
      <w:r w:rsidRPr="00D41F76">
        <w:rPr>
          <w:kern w:val="2"/>
          <w14:ligatures w14:val="standardContextual"/>
        </w:rPr>
        <w:t>39.</w:t>
      </w:r>
      <w:r w:rsidRPr="00D41F76">
        <w:rPr>
          <w:kern w:val="2"/>
          <w14:ligatures w14:val="standardContextual"/>
        </w:rPr>
        <w:tab/>
        <w:t>napominje da 2023. Odboru nije prijavljen nijedan slučaj zviždanja, osim informacija primljenih od OLAF-a o slučaju zviždanja protiv člana osoblja Odbora, koji je OLAF naposljetku odbacio; napominje da Odbor 2023. nije donio nikakve nove mjere u vezi s aktivnostima zviždača te se nastavio oslanjati na mjere koje su na snazi od 2015. i promicati ih u okviru osposobljavanja o etici i senzibiliziranja; podržava redovito obvezno osposobljavanje o etici, kako za osoblje tako i za rukovoditelje;</w:t>
      </w:r>
    </w:p>
    <w:p w14:paraId="28B68495" w14:textId="77777777" w:rsidR="00D41F76" w:rsidRPr="00D41F76" w:rsidRDefault="00D41F76" w:rsidP="00D41F76">
      <w:pPr>
        <w:spacing w:after="240"/>
        <w:ind w:left="567" w:hanging="567"/>
        <w:rPr>
          <w:kern w:val="2"/>
          <w:szCs w:val="24"/>
          <w14:ligatures w14:val="standardContextual"/>
        </w:rPr>
      </w:pPr>
      <w:r w:rsidRPr="00D41F76">
        <w:rPr>
          <w:kern w:val="2"/>
          <w14:ligatures w14:val="standardContextual"/>
        </w:rPr>
        <w:t>40.</w:t>
      </w:r>
      <w:r w:rsidRPr="00D41F76">
        <w:rPr>
          <w:kern w:val="2"/>
          <w14:ligatures w14:val="standardContextual"/>
        </w:rPr>
        <w:tab/>
        <w:t xml:space="preserve">napominje da je Odbor uspostavio niz mjera za borbu protiv prijevara koje se primjenjuju na njegove članove i osoblje, a koje provode različite službe; primjećuje da 2023. nije postojala strategija za borbu protiv prijevara unatoč zahtjevima Parlamenta iz prethodnih rezolucija o razrješnici; nakon preporuke Parlamenta i kako je navedeno u upitniku, sa zadovoljstvom prima na znanje da je Odbor predan daljnjem jačanju postojećih mjera za borbu protiv prijevara donošenjem strategije za borbu protiv prijevara 2025.; potiče Odbor da u okviru te strategije olakša redovito i obvezno osposobljavanje o borbi protiv prijevara; traži od Odbora da o </w:t>
      </w:r>
      <w:proofErr w:type="spellStart"/>
      <w:r w:rsidRPr="00D41F76">
        <w:rPr>
          <w:kern w:val="2"/>
          <w14:ligatures w14:val="standardContextual"/>
        </w:rPr>
        <w:t>o</w:t>
      </w:r>
      <w:proofErr w:type="spellEnd"/>
      <w:r w:rsidRPr="00D41F76">
        <w:rPr>
          <w:kern w:val="2"/>
          <w14:ligatures w14:val="standardContextual"/>
        </w:rPr>
        <w:t xml:space="preserve"> tome redovito obavještava tijelo nadležno za davanje razrješnice;</w:t>
      </w:r>
    </w:p>
    <w:p w14:paraId="7D090FFB" w14:textId="77777777" w:rsidR="00D41F76" w:rsidRPr="00D41F76" w:rsidRDefault="00D41F76" w:rsidP="00D41F76">
      <w:pPr>
        <w:spacing w:after="240"/>
        <w:ind w:left="567" w:hanging="567"/>
        <w:rPr>
          <w:b/>
          <w:iCs/>
          <w:kern w:val="2"/>
          <w14:ligatures w14:val="standardContextual"/>
        </w:rPr>
      </w:pPr>
      <w:r w:rsidRPr="00D41F76">
        <w:rPr>
          <w:b/>
          <w:iCs/>
          <w:kern w:val="2"/>
          <w14:ligatures w14:val="standardContextual"/>
        </w:rPr>
        <w:t>Digitalizacija, kibernetička sigurnost i zaštita podataka</w:t>
      </w:r>
    </w:p>
    <w:p w14:paraId="5FB717CD"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41.</w:t>
      </w:r>
      <w:r w:rsidRPr="00D41F76">
        <w:rPr>
          <w:kern w:val="2"/>
          <w14:ligatures w14:val="standardContextual"/>
        </w:rPr>
        <w:tab/>
        <w:t>prima na znanje da je kombinirani proračun za IT Odbora i EGSO-a 2023. iznosio 12,7 milijuna EUR, u usporedbi s 11,712 milijuna EUR u 2022., što je povećanje od 8,40 %, pri čemu je 350 000 EUR tog proračuna 2023. isplaćeno za kibernetičku sigurnost;</w:t>
      </w:r>
    </w:p>
    <w:p w14:paraId="0E190AFD"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42.</w:t>
      </w:r>
      <w:r w:rsidRPr="00D41F76">
        <w:rPr>
          <w:kern w:val="2"/>
          <w14:ligatures w14:val="standardContextual"/>
        </w:rPr>
        <w:tab/>
        <w:t>pozdravlja novu „Digitalnu strategiju Odbora za razdoblje 2024. – 2026.” donesenu krajem 2023.; u tom kontekstu pohvaljuje napredak Odbora u pogledu digitalizacije ostvaren 2023. u različitim područjima kao što su, među ostalim, administrativni postupci (uključujući odabir osoblja), javna nabava i usmeno prevođenje; poziva Odbor da ubrza napore u području digitalne transformacije osiguravanjem potpune provedbe elektroničkih radnih postupaka, e-potpisa i digitalnih alata za upravljanje predmetima do 2026., čime bi se smanjio obujam procesa koji se temelje na papirnatoj dokumentaciji u skladu s obvezama održivosti i prešlo na administraciju u kojoj bi se manje trošio papir;</w:t>
      </w:r>
    </w:p>
    <w:p w14:paraId="71C73485"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43.</w:t>
      </w:r>
      <w:r w:rsidRPr="00D41F76">
        <w:rPr>
          <w:kern w:val="2"/>
          <w14:ligatures w14:val="standardContextual"/>
        </w:rPr>
        <w:tab/>
        <w:t>sa zadovoljstvom napominje da je 90 % projekata pojednostavnjenja kroz digitalizaciju u okviru inicijative „</w:t>
      </w:r>
      <w:proofErr w:type="spellStart"/>
      <w:r w:rsidRPr="00D41F76">
        <w:rPr>
          <w:kern w:val="2"/>
          <w14:ligatures w14:val="standardContextual"/>
        </w:rPr>
        <w:t>Going</w:t>
      </w:r>
      <w:proofErr w:type="spellEnd"/>
      <w:r w:rsidRPr="00D41F76">
        <w:rPr>
          <w:kern w:val="2"/>
          <w14:ligatures w14:val="standardContextual"/>
        </w:rPr>
        <w:t xml:space="preserve"> for </w:t>
      </w:r>
      <w:proofErr w:type="spellStart"/>
      <w:r w:rsidRPr="00D41F76">
        <w:rPr>
          <w:kern w:val="2"/>
          <w14:ligatures w14:val="standardContextual"/>
        </w:rPr>
        <w:t>impact</w:t>
      </w:r>
      <w:proofErr w:type="spellEnd"/>
      <w:r w:rsidRPr="00D41F76">
        <w:rPr>
          <w:kern w:val="2"/>
          <w14:ligatures w14:val="standardContextual"/>
        </w:rPr>
        <w:t xml:space="preserve">” u potpunosti provedeno do kraja 2023.; osim toga, napominje da je postignuta dodatna učinkovitost zbog informatičkog projekta za </w:t>
      </w:r>
      <w:r w:rsidRPr="00D41F76">
        <w:rPr>
          <w:kern w:val="2"/>
          <w14:ligatures w14:val="standardContextual"/>
        </w:rPr>
        <w:lastRenderedPageBreak/>
        <w:t>definiranje najboljeg alata za elektroničko upravljanje radnim postupcima koji se temelje na obrascima, zbog čega se započelo s pojednostavnjenjem velikog broja postupaka Odbora te je započela njihova digitalizacija s pomoću alata Microsoft 365; sa zadovoljstvom napominje da se Odbor za potpisivanje ugovora koristi modulima javne nabave kao što su e-</w:t>
      </w:r>
      <w:proofErr w:type="spellStart"/>
      <w:r w:rsidRPr="00D41F76">
        <w:rPr>
          <w:kern w:val="2"/>
          <w14:ligatures w14:val="standardContextual"/>
        </w:rPr>
        <w:t>Tendering</w:t>
      </w:r>
      <w:proofErr w:type="spellEnd"/>
      <w:r w:rsidRPr="00D41F76">
        <w:rPr>
          <w:kern w:val="2"/>
          <w14:ligatures w14:val="standardContextual"/>
        </w:rPr>
        <w:t>, e-</w:t>
      </w:r>
      <w:proofErr w:type="spellStart"/>
      <w:r w:rsidRPr="00D41F76">
        <w:rPr>
          <w:kern w:val="2"/>
          <w14:ligatures w14:val="standardContextual"/>
        </w:rPr>
        <w:t>Notices</w:t>
      </w:r>
      <w:proofErr w:type="spellEnd"/>
      <w:r w:rsidRPr="00D41F76">
        <w:rPr>
          <w:kern w:val="2"/>
          <w14:ligatures w14:val="standardContextual"/>
        </w:rPr>
        <w:t>, e-</w:t>
      </w:r>
      <w:proofErr w:type="spellStart"/>
      <w:r w:rsidRPr="00D41F76">
        <w:rPr>
          <w:kern w:val="2"/>
          <w14:ligatures w14:val="standardContextual"/>
        </w:rPr>
        <w:t>Submission</w:t>
      </w:r>
      <w:proofErr w:type="spellEnd"/>
      <w:r w:rsidRPr="00D41F76">
        <w:rPr>
          <w:kern w:val="2"/>
          <w14:ligatures w14:val="standardContextual"/>
        </w:rPr>
        <w:t xml:space="preserve">, </w:t>
      </w:r>
      <w:proofErr w:type="spellStart"/>
      <w:r w:rsidRPr="00D41F76">
        <w:rPr>
          <w:kern w:val="2"/>
          <w14:ligatures w14:val="standardContextual"/>
        </w:rPr>
        <w:t>MyWorkplace</w:t>
      </w:r>
      <w:proofErr w:type="spellEnd"/>
      <w:r w:rsidRPr="00D41F76">
        <w:rPr>
          <w:kern w:val="2"/>
          <w14:ligatures w14:val="standardContextual"/>
        </w:rPr>
        <w:t>, kao i kvalificiranim elektroničkim potpisom koji je uveden 2023.; pozdravlja činjenicu da je Odbor donio interne smjernice o upotrebi umjetne inteligencije kojima se postavljaju temelji za moguća buduća rješenja i potiče uvođenje redovitih obveznih osposobljavanja o sigurnoj upotrebi umjetne inteligencije;</w:t>
      </w:r>
    </w:p>
    <w:p w14:paraId="0236BD65"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44.</w:t>
      </w:r>
      <w:r w:rsidRPr="00D41F76">
        <w:rPr>
          <w:kern w:val="2"/>
          <w14:ligatures w14:val="standardContextual"/>
        </w:rPr>
        <w:tab/>
        <w:t>nadalje napominje da Europski nadzornik za zaštitu podataka 2023. nije proveo nijednu istragu ili ispitivanje u vezi s obradom osobnih podataka koju provodi Odbor; napominje da je Europski nadzornik za zaštitu podataka 2023. pokrenuo opći upitnik o imenovanju i položaju službenika za zaštitu podataka, na koji je službenik za zaštitu podataka Odbora pružio odgovore;</w:t>
      </w:r>
    </w:p>
    <w:p w14:paraId="090C6E89"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45.</w:t>
      </w:r>
      <w:r w:rsidRPr="00D41F76">
        <w:rPr>
          <w:kern w:val="2"/>
          <w14:ligatures w14:val="standardContextual"/>
        </w:rPr>
        <w:tab/>
        <w:t>nadalje napominje da Odbor 2023. nije zabilježio nijedan kibernetički napad, osim određenih napada uskraćivanjem usluga na stranicama Odbora s vanjskim poslužiteljem; prima na znanje informacije iz upitnika o alatima i strategijama Odbora za praćenje prijetnji u stvarnom vremenu i utvrđivanje slabih točaka u sustavima Odbora; pohvaljuje Odbor za poštovanje normi u pitanjima u vezi s procjenama rizika povezanih s kibernetičkom sigurnošću, kao i za to što je uspostavio sustav koji se temelji na planovima odgovora na incidente, mjerama oporavka i stečenim iskustvima; sa zadovoljstvom primjećuje da su Odbor i EGSO 2023. usvojili okvir za kibernetičku sigurnost Nacionalnog instituta za norme i tehnologiju (NIST) s naglaskom na načelima: „zaštite” i „otkrivanja”; potiče Odbor da podigne razinu osviještenosti o kibernetičkoj sigurnosti svojih članova i osoblja, da provodi redovite procjene rizika svoje informatičke infrastrukture te da osigura redovite revizije i testiranja svoje kibernetičke obrane;</w:t>
      </w:r>
    </w:p>
    <w:p w14:paraId="3CF94302" w14:textId="77777777" w:rsidR="00D41F76" w:rsidRPr="00D41F76" w:rsidRDefault="00D41F76" w:rsidP="00D41F76">
      <w:pPr>
        <w:spacing w:after="240"/>
        <w:rPr>
          <w:b/>
          <w:iCs/>
          <w:kern w:val="2"/>
          <w14:ligatures w14:val="standardContextual"/>
        </w:rPr>
      </w:pPr>
      <w:r w:rsidRPr="00D41F76">
        <w:rPr>
          <w:b/>
          <w:iCs/>
          <w:kern w:val="2"/>
          <w14:ligatures w14:val="standardContextual"/>
        </w:rPr>
        <w:t>Zgrade</w:t>
      </w:r>
    </w:p>
    <w:p w14:paraId="418C67E7"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46.</w:t>
      </w:r>
      <w:r w:rsidRPr="00D41F76">
        <w:rPr>
          <w:kern w:val="2"/>
          <w14:ligatures w14:val="standardContextual"/>
        </w:rPr>
        <w:tab/>
        <w:t>prima na znanje da je proračun Odbora (odobrena sredstva za tekuću godinu) za 2023. iznosio 18,594 milijuna EUR (u usporedbi s 18,930 milijuna EUR u 2022.), uz stopu izvršenja plaćanja od 93,70 % (u usporedbi s 82,60 % u 2022.); sa zadovoljstvom napominje da su zamjenom zgrada B68 i TRE74 za zgradu VMA 2022. ostvarene uštede zbog nižih troškova najma cijele zgrade VMA tijekom 2023.;</w:t>
      </w:r>
    </w:p>
    <w:p w14:paraId="427ADEB6"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47.</w:t>
      </w:r>
      <w:r w:rsidRPr="00D41F76">
        <w:rPr>
          <w:kern w:val="2"/>
          <w14:ligatures w14:val="standardContextual"/>
        </w:rPr>
        <w:tab/>
        <w:t>napominje da su se radovi na obnovi zgrade VMA (od trećeg do devetog kata) nastavili 2023.; nadalje prima na znanje nisku stopu izvršenja plaćanja u pogledu odobrenih sredstava C8 (prenesenih iz 2022. u 2023.) od 18,90 %, koja se odnose za opremanje prostora u zgradi VMA; prima na znanje objašnjenje Odbora za tu nisku stopu, odnosno da izvođač nije mogao dovršiti dijelove radova na obnovi zgrada VMA; ponavlja svoj poziv Odboru da tijelu nadležnom za davanje razrješnice dostavi najnovije informacije o povratu ulaganja u vezi s pametnim tehnologijama ugrađenima u zgradu VMA;</w:t>
      </w:r>
    </w:p>
    <w:p w14:paraId="7EBEC521"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48.</w:t>
      </w:r>
      <w:r w:rsidRPr="00D41F76">
        <w:rPr>
          <w:kern w:val="2"/>
          <w14:ligatures w14:val="standardContextual"/>
        </w:rPr>
        <w:tab/>
        <w:t>pozdravlja predanost Odbora i EGSO-a sustavnoj primjeni načela „dizajn za sve” na svoju infrastrukturu kako bi se osigurala tehnička pristupačnost njihove zgrade; napominje da su Odbori poduzeli niz različitih mjera kako bi se osigurala pristupačnost zgrada osobama s različitim vrstama invaliditeta (osobe koje se služe kolicima, slijepe i slabovidne osobe, gluhe osobe i starije osobe s mišićnim ili vaskularnim poteškoćama);</w:t>
      </w:r>
    </w:p>
    <w:p w14:paraId="779D7B18" w14:textId="77777777" w:rsidR="00D41F76" w:rsidRPr="00D41F76" w:rsidRDefault="00D41F76" w:rsidP="00D41F76">
      <w:pPr>
        <w:spacing w:after="240"/>
        <w:rPr>
          <w:b/>
          <w:iCs/>
          <w:kern w:val="2"/>
          <w14:ligatures w14:val="standardContextual"/>
        </w:rPr>
      </w:pPr>
      <w:r w:rsidRPr="00D41F76">
        <w:rPr>
          <w:b/>
          <w:iCs/>
          <w:kern w:val="2"/>
          <w14:ligatures w14:val="standardContextual"/>
        </w:rPr>
        <w:lastRenderedPageBreak/>
        <w:t>Okoliš i održivost</w:t>
      </w:r>
    </w:p>
    <w:p w14:paraId="6F884E83"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49.</w:t>
      </w:r>
      <w:r w:rsidRPr="00D41F76">
        <w:rPr>
          <w:kern w:val="2"/>
          <w14:ligatures w14:val="standardContextual"/>
        </w:rPr>
        <w:tab/>
        <w:t>napominje da je Odbor 2023. nastavio provoditi razne zelene prakse, kao što su upotreba inovativnih energetski učinkovitih građevinskih instalacija, nabava isključivo zelene električne energije, zamjena radnih postupaka bez papira digitalnim potpisima, primjena ekoloških kriterija u svim natječajnim postupcima (s prilagođenim zelenim kriterijima za pozive na podnošenje ponuda iznad 60 000 EUR), stavljanje naglaska na smanjenje otpada i povećanje stope recikliranja, provedba mjera za održivija putovanja osoblja, uključujući financijske doprinose Odbora za troškove javnog prijevoza osoblja, upotreba isključivo usmenog prevođenja na daljinu za statutarne sastanke i druge mjere za uštedu energije; sa zadovoljstvom prima na znanje informacije iz upitnika o smanjenju emisija ugljika povezanih s aktivnostima uprave Odbora za 18 % u odnosu na 2019.;</w:t>
      </w:r>
    </w:p>
    <w:p w14:paraId="5B38EF19"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50.</w:t>
      </w:r>
      <w:r w:rsidRPr="00D41F76">
        <w:rPr>
          <w:kern w:val="2"/>
          <w14:ligatures w14:val="standardContextual"/>
        </w:rPr>
        <w:tab/>
        <w:t>sa zadovoljstvom prima na znanje informacije iz upitnika o tome da je zahvaljujući mjerama uštede energije 2023. potrošnja energije u Odboru smanjena za 3,4 % u odnosu na 2022., što odgovara financijskoj dobiti od 64 240 EUR; čestita Odborima na premašivanju ciljeva EMAS-a za razdoblje 2021. – 2025. u svim područjima (električna energija, plin, voda, otpad, razvrstavanje otpada, papir za uredsku uporabu, emisije CO</w:t>
      </w:r>
      <w:r w:rsidRPr="00D41F76">
        <w:rPr>
          <w:kern w:val="2"/>
          <w:vertAlign w:val="subscript"/>
          <w14:ligatures w14:val="standardContextual"/>
        </w:rPr>
        <w:t>2</w:t>
      </w:r>
      <w:r w:rsidRPr="00D41F76">
        <w:rPr>
          <w:kern w:val="2"/>
          <w14:ligatures w14:val="standardContextual"/>
        </w:rPr>
        <w:t>);</w:t>
      </w:r>
    </w:p>
    <w:p w14:paraId="3239877F" w14:textId="77777777" w:rsidR="00D41F76" w:rsidRPr="00D41F76" w:rsidRDefault="00D41F76" w:rsidP="00D41F76">
      <w:pPr>
        <w:spacing w:after="240"/>
        <w:ind w:left="567" w:hanging="567"/>
        <w:rPr>
          <w:b/>
          <w:iCs/>
          <w:kern w:val="2"/>
          <w14:ligatures w14:val="standardContextual"/>
        </w:rPr>
      </w:pPr>
      <w:proofErr w:type="spellStart"/>
      <w:r w:rsidRPr="00D41F76">
        <w:rPr>
          <w:b/>
          <w:iCs/>
          <w:kern w:val="2"/>
          <w14:ligatures w14:val="standardContextual"/>
        </w:rPr>
        <w:t>Međuinstitucijska</w:t>
      </w:r>
      <w:proofErr w:type="spellEnd"/>
      <w:r w:rsidRPr="00D41F76">
        <w:rPr>
          <w:b/>
          <w:iCs/>
          <w:kern w:val="2"/>
          <w14:ligatures w14:val="standardContextual"/>
        </w:rPr>
        <w:t xml:space="preserve"> suradnja</w:t>
      </w:r>
    </w:p>
    <w:p w14:paraId="640FDED0"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51.</w:t>
      </w:r>
      <w:r w:rsidRPr="00D41F76">
        <w:rPr>
          <w:kern w:val="2"/>
          <w14:ligatures w14:val="standardContextual"/>
        </w:rPr>
        <w:tab/>
        <w:t xml:space="preserve">pozdravlja proračunske i administrativne uštede ostvarene </w:t>
      </w:r>
      <w:proofErr w:type="spellStart"/>
      <w:r w:rsidRPr="00D41F76">
        <w:rPr>
          <w:kern w:val="2"/>
          <w14:ligatures w14:val="standardContextual"/>
        </w:rPr>
        <w:t>međuinstitucijskom</w:t>
      </w:r>
      <w:proofErr w:type="spellEnd"/>
      <w:r w:rsidRPr="00D41F76">
        <w:rPr>
          <w:kern w:val="2"/>
          <w14:ligatures w14:val="standardContextual"/>
        </w:rPr>
        <w:t xml:space="preserve"> suradnjom, posebno blisku suradnju uspostavljenu na administrativnoj razini s EGSO-om s kojim Odbor dijeli prostore i zajedničke službe u području prevođenja, infrastrukture, logistike i IT-a, pri čemu su 2023. u tim službama obje institucije zajedno raspolagale sa 470 članova osoblja i otprilike 60 milijuna EUR (bez rashoda povezanih s plaćama); sa zadovoljstvom napominje da je Odbor dodatno proširio svoju suradnju s EGSO-om iskorištavanjem dodatnih sinergija, primjer čega je zajednička zdravstvena služba i zajednički središnji registar zaštite podataka i postupaka obrade na temelju Zajedničkog sporazuma o vođenju obrade koji su Odbor i EGSO potpisali 2023.; ponovno poziva Odbor da nastavi i proširi tu suradnju u drugim područjima kako bi se izbjeglo udvostručavanje i dodatno racionalizirali operativni troškovi usluga dostupnih u prostorijama koje dijele Odbor i EGSO; poziva Odbor i EGSO da istraže mogućnost uspostave jedinstvene administracije za svoje zajedničke službe, uz zadržavanje zasebnih uprava ili jedinica za službe koje se bave pitanjima povezanima s njihovim posebnim i neovisnim mandatima; potiče Odbor i EGSO da nastave ulagati napore u daljnji razvoj suradnje i sinergija;</w:t>
      </w:r>
    </w:p>
    <w:p w14:paraId="4FE3BCEF"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52.</w:t>
      </w:r>
      <w:r w:rsidRPr="00D41F76">
        <w:rPr>
          <w:kern w:val="2"/>
          <w14:ligatures w14:val="standardContextual"/>
        </w:rPr>
        <w:tab/>
        <w:t xml:space="preserve">pozdravlja nastojanje Odbora da ostvari sinergije kupnjom usluga od drugih institucija putem sporazuma o razini usluga i sudjelovanjem u </w:t>
      </w:r>
      <w:proofErr w:type="spellStart"/>
      <w:r w:rsidRPr="00D41F76">
        <w:rPr>
          <w:kern w:val="2"/>
          <w14:ligatures w14:val="standardContextual"/>
        </w:rPr>
        <w:t>međuinstitucijskim</w:t>
      </w:r>
      <w:proofErr w:type="spellEnd"/>
      <w:r w:rsidRPr="00D41F76">
        <w:rPr>
          <w:kern w:val="2"/>
          <w14:ligatures w14:val="standardContextual"/>
        </w:rPr>
        <w:t xml:space="preserve"> koordinacijskim tijelima i </w:t>
      </w:r>
      <w:proofErr w:type="spellStart"/>
      <w:r w:rsidRPr="00D41F76">
        <w:rPr>
          <w:kern w:val="2"/>
          <w14:ligatures w14:val="standardContextual"/>
        </w:rPr>
        <w:t>međuinstitucijskim</w:t>
      </w:r>
      <w:proofErr w:type="spellEnd"/>
      <w:r w:rsidRPr="00D41F76">
        <w:rPr>
          <w:kern w:val="2"/>
          <w14:ligatures w14:val="standardContextual"/>
        </w:rPr>
        <w:t xml:space="preserve"> postupcima javne nabave; pozdravlja veću učinkovitost u pogledu komunikacije o europskim izborima 2024., o kojoj je Odbor izvijestio u upitniku; napominje da je to povećanje bilo moguće jer je Odbor u veljači 2024. s Parlamentom potpisao memorandum o razumijevanju, a u svibnju 2024. i novi sporazum o suradnji; nadalje napominje da je sporazumom o suradnji obuhvaćena i suradnja na političkoj i administrativnoj razini između tih dviju institucija;</w:t>
      </w:r>
    </w:p>
    <w:p w14:paraId="6ED401D3"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53.</w:t>
      </w:r>
      <w:r w:rsidRPr="00D41F76">
        <w:rPr>
          <w:kern w:val="2"/>
          <w14:ligatures w14:val="standardContextual"/>
        </w:rPr>
        <w:tab/>
        <w:t xml:space="preserve">poziva Odbor da produbi suradnju s Parlamentom i Komisijom uspostavom strukturiranog godišnjeg dijaloga između predstavnika Odbora i zakonodavaca Unije o </w:t>
      </w:r>
      <w:r w:rsidRPr="00D41F76">
        <w:rPr>
          <w:kern w:val="2"/>
          <w14:ligatures w14:val="standardContextual"/>
        </w:rPr>
        <w:lastRenderedPageBreak/>
        <w:t>ključnim zakonodavnim portfeljima koji utječu na regionalni razvoj, klimatsku politiku i socijalnu koheziju; potiče Odbor da istraži zajedničke inicijative s parlamentarnim Odborom za regionalni razvoj (REGI) i Odborom za okoliš, klimu i sigurnost hrane (ENVI) kako bi se promicala održiva regionalna ulaganja;</w:t>
      </w:r>
    </w:p>
    <w:p w14:paraId="5656F629"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54.</w:t>
      </w:r>
      <w:r w:rsidRPr="00D41F76">
        <w:rPr>
          <w:kern w:val="2"/>
          <w14:ligatures w14:val="standardContextual"/>
        </w:rPr>
        <w:tab/>
        <w:t>napominje da Odbor surađuje s Komisijom (za godišnju naknadu) na rješavanju pitanja ljudskih resursa i upotrebi raznih informatičkih platformi za financijsko upravljanje i kadrovske poslove; nadalje napominje da Odbor svoje plenarne sjednice održava u prostorijama Parlamenta i Komisije kako bi nadoknadio nedostatak kapaciteta vlastitih konferencijskih dvorana te da nabavlja usluge usmenog prevođenja od tih dviju institucija;</w:t>
      </w:r>
    </w:p>
    <w:p w14:paraId="612E5C22"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55.</w:t>
      </w:r>
      <w:r w:rsidRPr="00D41F76">
        <w:rPr>
          <w:kern w:val="2"/>
          <w14:ligatures w14:val="standardContextual"/>
        </w:rPr>
        <w:tab/>
        <w:t xml:space="preserve">pozdravlja preispitivanje Sporazuma o suradnji Odbora s Parlamentom tijekom 2023. s ciljem njegova konačnog potpisivanja 2024.; podržava suradnju Odbora s nekoliko parlamentarnih odbora, </w:t>
      </w:r>
      <w:proofErr w:type="spellStart"/>
      <w:r w:rsidRPr="00D41F76">
        <w:rPr>
          <w:kern w:val="2"/>
          <w14:ligatures w14:val="standardContextual"/>
        </w:rPr>
        <w:t>međuklubova</w:t>
      </w:r>
      <w:proofErr w:type="spellEnd"/>
      <w:r w:rsidRPr="00D41F76">
        <w:rPr>
          <w:kern w:val="2"/>
          <w14:ligatures w14:val="standardContextual"/>
        </w:rPr>
        <w:t xml:space="preserve"> i glavnih uprava Parlamenta te smatra ključnim da se članove Odbora i EGSO-a redovito i sustavno poziva na relevantne parlamentarne rasprave, uključujući sastanke odbora, o pitanjima kojima se bave;</w:t>
      </w:r>
    </w:p>
    <w:p w14:paraId="4A916B01" w14:textId="77777777" w:rsidR="00D41F76" w:rsidRPr="00D41F76" w:rsidRDefault="00D41F76" w:rsidP="00D41F76">
      <w:pPr>
        <w:spacing w:after="240"/>
        <w:ind w:left="567" w:hanging="567"/>
        <w:rPr>
          <w:b/>
          <w:iCs/>
          <w:kern w:val="2"/>
          <w14:ligatures w14:val="standardContextual"/>
        </w:rPr>
      </w:pPr>
      <w:r w:rsidRPr="00D41F76">
        <w:rPr>
          <w:b/>
          <w:iCs/>
          <w:kern w:val="2"/>
          <w14:ligatures w14:val="standardContextual"/>
        </w:rPr>
        <w:t>Komunikacija</w:t>
      </w:r>
    </w:p>
    <w:p w14:paraId="47C2D95C"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56.</w:t>
      </w:r>
      <w:r w:rsidRPr="00D41F76">
        <w:rPr>
          <w:kern w:val="2"/>
          <w14:ligatures w14:val="standardContextual"/>
        </w:rPr>
        <w:tab/>
        <w:t>napominje da su komunikacijske aktivnosti Odbora usmjerene na odnose s medijima, organizaciju događanja i digitalni sadržaj te društvene mreže s ukupnim proračunom za 2023. (odobrena sredstva za tekuću godinu) od otprilike 2,8 milijuna EUR; žali zbog vrlo niske stope izvršenja plaćanja u tim područjima (u rasponu od 24,70 % do 48,20 %); međutim, konstatira visoku stopu izvršenja u pogledu odobrenih sredstava C8 (prenesenih iz 2022. u 2023.) od 98 % do 100 %; poziva Odbor da poduzme mjere za poboljšanje svojeg proračunskog planiranja u pogledu proračunskih stavki povezanih s komunikacijom;</w:t>
      </w:r>
    </w:p>
    <w:p w14:paraId="191969A7"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57.</w:t>
      </w:r>
      <w:r w:rsidRPr="00D41F76">
        <w:rPr>
          <w:kern w:val="2"/>
          <w14:ligatures w14:val="standardContextual"/>
        </w:rPr>
        <w:tab/>
        <w:t xml:space="preserve">sa zadovoljstvom prima na znanje postignuća Odbora u promicanju politika i programa Unije na lokalnoj i regionalnoj razini, poboljšanju dosega njegova savjetodavnog rada i povećanju njegove vidljivosti i učinka; napominje da se komunikacijskom strategijom Odbora nastoji ojačati njegov institucijski i politički profil kao glasa regija, gradova, sela i općina Unije, uz istodobno predstavljanje ključnih doprinosa njegovih članova povezivanju politika Unije s građanima i poticanju angažmana na lokalnoj i regionalnoj razini; u tom kontekstu prima na znanje komunikacijske aktivnosti Odbora tijekom 2023. u područjima kao što su: – kohezija (npr. kampanja „Promicanje kohezije kao temeljne vrijednosti Unije” u okviru Europskog tjedna regija i gradova s više od 8000 sudionika); – klimatske promjene (npr. kampanja „Izgradnja otpornih i inovativnih lokalnih zajednica”); – demokracija (npr. kampanja „Novo poglavlje za demokraciju EU-a” s 1400 prijava za sudjelovanje na 14. konferenciji </w:t>
      </w:r>
      <w:proofErr w:type="spellStart"/>
      <w:r w:rsidRPr="00D41F76">
        <w:rPr>
          <w:kern w:val="2"/>
          <w14:ligatures w14:val="standardContextual"/>
        </w:rPr>
        <w:t>EuropCom</w:t>
      </w:r>
      <w:proofErr w:type="spellEnd"/>
      <w:r w:rsidRPr="00D41F76">
        <w:rPr>
          <w:kern w:val="2"/>
          <w14:ligatures w14:val="standardContextual"/>
        </w:rPr>
        <w:t>-a); – ruralni razvoj (konferencija „Europski kongres LEADER 2023.”) tijekom 2023.; pohvaljuje Odbor za povećanje broja osoba registriranih u Mreži regionalnih i lokalnih savjetnika i savjetnica za EU (s 2307 u 2022. na 3000 u 2023.) i broja sudionika u programu za mlade izabrane političare i političarke (sa 775 u 2022. na 836 u 2023.);</w:t>
      </w:r>
    </w:p>
    <w:p w14:paraId="7EF6ED3A"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t>58.</w:t>
      </w:r>
      <w:r w:rsidRPr="00D41F76">
        <w:rPr>
          <w:kern w:val="2"/>
          <w14:ligatures w14:val="standardContextual"/>
        </w:rPr>
        <w:tab/>
        <w:t>pozdravlja napore koje Odbor ulaže u poboljšanje komunikacije s regionalnim vlastima i lokalnim zajednicama, uključujući širenje Europske mreže regionalnih i lokalnih savjetnika i savjetnica te programa za mlade izabrane političare i političarke; poziva Odbor da dodijeli dodatna sredstva za potporu regionalnim programima izgradnje kapaciteta kojima se lokalne vlasti osnažuju za bolju provedbu politika Unije;</w:t>
      </w:r>
    </w:p>
    <w:p w14:paraId="61F7C7CC" w14:textId="77777777" w:rsidR="00D41F76" w:rsidRPr="00D41F76" w:rsidRDefault="00D41F76" w:rsidP="00D41F76">
      <w:pPr>
        <w:spacing w:after="240"/>
        <w:ind w:left="567" w:hanging="567"/>
        <w:rPr>
          <w:kern w:val="2"/>
          <w14:ligatures w14:val="standardContextual"/>
        </w:rPr>
      </w:pPr>
      <w:r w:rsidRPr="00D41F76">
        <w:rPr>
          <w:kern w:val="2"/>
          <w14:ligatures w14:val="standardContextual"/>
        </w:rPr>
        <w:lastRenderedPageBreak/>
        <w:t>59.</w:t>
      </w:r>
      <w:r w:rsidRPr="00D41F76">
        <w:rPr>
          <w:kern w:val="2"/>
          <w14:ligatures w14:val="standardContextual"/>
        </w:rPr>
        <w:tab/>
        <w:t>prima na znanje uspjeh Odbora u pogledu informiranja medija, kao što je, među ostalim, vidljivo iz ukupnih parametara za 2023.: 13 210 spominjanja u medijima, povećanje broja posjetitelja na internetu za 129 % i povećanje broja pratitelja od 11 %; napominje da u pogledu digitalnog angažmana Odbor nije uspio ostvariti svoj cilj za 2023.; konstatira da je krajem 2023. Odbor imao 200 000 pratitelja na svojim kanalima društvenih mreža, tj. 15 % više nego 2022., od čega 57 603 pratitelja (+ 5 %) na X-u (bivšem Twitteru), 61 170 (+ 5 %) na Facebooku, 68 613 (+ 31 %) na LinkedInu i 15 392 (+ 47 %) na Instagramu;</w:t>
      </w:r>
    </w:p>
    <w:p w14:paraId="79B8D584" w14:textId="77777777" w:rsidR="00D41F76" w:rsidRPr="00D41F76" w:rsidRDefault="00D41F76" w:rsidP="00D41F76">
      <w:pPr>
        <w:ind w:left="567" w:hanging="567"/>
        <w:rPr>
          <w:kern w:val="2"/>
          <w14:ligatures w14:val="standardContextual"/>
        </w:rPr>
      </w:pPr>
      <w:r w:rsidRPr="00D41F76">
        <w:rPr>
          <w:kern w:val="2"/>
          <w14:ligatures w14:val="standardContextual"/>
        </w:rPr>
        <w:t>60.</w:t>
      </w:r>
      <w:r w:rsidRPr="00D41F76">
        <w:rPr>
          <w:kern w:val="2"/>
          <w14:ligatures w14:val="standardContextual"/>
        </w:rPr>
        <w:tab/>
        <w:t>sa zadovoljstvom prima na znanje informacije iz upitnika o inicijativama koje je Odbor pokrenuo za podizanje razine osviještenosti o konkretnim mjerama iz Akta o digitalnim uslugama i Akta o digitalnim tržištima, kao i o kibernetičkoj sigurnosti i sigurnosti na internetu; prepoznaje ulogu Odbora u napredovanju Unije prema digitalnoj budućnosti; u tom kontekstu pohvaljuje Odbor za organizaciju serije edukacija o digitalnom sektoru za osoblje i vanjsku publiku tijekom 2023.</w:t>
      </w:r>
    </w:p>
    <w:p w14:paraId="090EBC8B" w14:textId="42E4252F" w:rsidR="00E365E1" w:rsidRPr="00181504" w:rsidRDefault="00E365E1" w:rsidP="00D41F76">
      <w:pPr>
        <w:pStyle w:val="NormalHanging12a"/>
      </w:pPr>
    </w:p>
    <w:sectPr w:rsidR="00E365E1" w:rsidRPr="00181504" w:rsidSect="001000E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6CE9A" w14:textId="77777777" w:rsidR="00B33187" w:rsidRPr="001000EB" w:rsidRDefault="00B33187">
      <w:r w:rsidRPr="001000EB">
        <w:separator/>
      </w:r>
    </w:p>
  </w:endnote>
  <w:endnote w:type="continuationSeparator" w:id="0">
    <w:p w14:paraId="32AFACD9" w14:textId="77777777" w:rsidR="00B33187" w:rsidRPr="001000EB" w:rsidRDefault="00B33187">
      <w:r w:rsidRPr="001000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5CD4B" w14:textId="77777777" w:rsidR="00064002" w:rsidRPr="001000E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C9621" w14:textId="77777777" w:rsidR="00064002" w:rsidRPr="001000E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61259" w14:textId="77777777" w:rsidR="00064002" w:rsidRPr="001000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BB7B4" w14:textId="77777777" w:rsidR="00B33187" w:rsidRPr="001000EB" w:rsidRDefault="00B33187">
      <w:r w:rsidRPr="001000EB">
        <w:separator/>
      </w:r>
    </w:p>
  </w:footnote>
  <w:footnote w:type="continuationSeparator" w:id="0">
    <w:p w14:paraId="3E339CA6" w14:textId="77777777" w:rsidR="00B33187" w:rsidRPr="001000EB" w:rsidRDefault="00B33187">
      <w:r w:rsidRPr="001000EB">
        <w:continuationSeparator/>
      </w:r>
    </w:p>
  </w:footnote>
  <w:footnote w:id="1">
    <w:p w14:paraId="75A538D0" w14:textId="77777777" w:rsidR="00D41F76" w:rsidRPr="001D4EA8" w:rsidRDefault="00D41F76" w:rsidP="00D41F76">
      <w:pPr>
        <w:pStyle w:val="Style1"/>
      </w:pPr>
      <w:r w:rsidRPr="001D4EA8">
        <w:rPr>
          <w:rStyle w:val="FootnoteReference"/>
          <w:rFonts w:eastAsia="Yu Gothic Light"/>
        </w:rPr>
        <w:footnoteRef/>
      </w:r>
      <w:r w:rsidRPr="001D4EA8">
        <w:t xml:space="preserve"> </w:t>
      </w:r>
      <w:r w:rsidRPr="001D4EA8">
        <w:tab/>
        <w:t xml:space="preserve">SL L 58, 23.2.2023., str. 1., ELI: </w:t>
      </w:r>
      <w:hyperlink r:id="rId1" w:tooltip="Omogućuje pristup tom dokumentu putem identifikatora ELI URI." w:history="1">
        <w:r w:rsidRPr="001D4EA8">
          <w:rPr>
            <w:rStyle w:val="Hyperlink1"/>
          </w:rPr>
          <w:t>http://data.europa.eu/eli/budget/2023/1/oj</w:t>
        </w:r>
      </w:hyperlink>
      <w:r w:rsidRPr="001D4EA8">
        <w:t>.</w:t>
      </w:r>
    </w:p>
  </w:footnote>
  <w:footnote w:id="2">
    <w:p w14:paraId="5E81826A" w14:textId="77777777" w:rsidR="00D41F76" w:rsidRPr="001D4EA8" w:rsidRDefault="00D41F76" w:rsidP="00D41F76">
      <w:pPr>
        <w:pStyle w:val="FootnoteText"/>
        <w:ind w:left="567" w:hanging="567"/>
        <w:rPr>
          <w:sz w:val="24"/>
          <w:szCs w:val="24"/>
          <w:lang w:val="hr-HR"/>
        </w:rPr>
      </w:pPr>
      <w:r w:rsidRPr="001D4EA8">
        <w:rPr>
          <w:rStyle w:val="FootnoteReference"/>
          <w:sz w:val="24"/>
          <w:szCs w:val="24"/>
          <w:lang w:val="hr-HR"/>
        </w:rPr>
        <w:footnoteRef/>
      </w:r>
      <w:r w:rsidRPr="001D4EA8">
        <w:rPr>
          <w:sz w:val="24"/>
          <w:szCs w:val="24"/>
          <w:lang w:val="hr-HR"/>
        </w:rPr>
        <w:t xml:space="preserve"> </w:t>
      </w:r>
      <w:r w:rsidRPr="001D4EA8">
        <w:rPr>
          <w:sz w:val="24"/>
          <w:szCs w:val="24"/>
          <w:lang w:val="hr-HR"/>
        </w:rPr>
        <w:tab/>
      </w:r>
      <w:r w:rsidRPr="001D4EA8">
        <w:rPr>
          <w:sz w:val="24"/>
          <w:szCs w:val="24"/>
          <w:lang w:val="hr-HR"/>
        </w:rPr>
        <w:t xml:space="preserve">SL C, C/2024/5462, 10.10.2024., ELI: </w:t>
      </w:r>
      <w:hyperlink r:id="rId2" w:history="1">
        <w:r w:rsidRPr="001D4EA8">
          <w:rPr>
            <w:rStyle w:val="Hyperlink1"/>
            <w:sz w:val="24"/>
            <w:szCs w:val="24"/>
            <w:lang w:val="fi-FI"/>
          </w:rPr>
          <w:t>http://data.europa.eu/eli/C/2024/5462/oj</w:t>
        </w:r>
      </w:hyperlink>
      <w:r w:rsidRPr="001D4EA8">
        <w:rPr>
          <w:sz w:val="24"/>
          <w:szCs w:val="24"/>
          <w:lang w:val="hr-HR"/>
        </w:rPr>
        <w:t>.</w:t>
      </w:r>
    </w:p>
  </w:footnote>
  <w:footnote w:id="3">
    <w:p w14:paraId="29750A48" w14:textId="77777777" w:rsidR="00D41F76" w:rsidRPr="001D4EA8" w:rsidRDefault="00D41F76" w:rsidP="00D41F76">
      <w:pPr>
        <w:pStyle w:val="FootnoteText"/>
        <w:ind w:left="567" w:hanging="567"/>
        <w:rPr>
          <w:sz w:val="24"/>
          <w:szCs w:val="24"/>
          <w:lang w:val="hr-HR"/>
        </w:rPr>
      </w:pPr>
      <w:r w:rsidRPr="001D4EA8">
        <w:rPr>
          <w:rStyle w:val="FootnoteReference"/>
          <w:sz w:val="24"/>
          <w:szCs w:val="24"/>
          <w:lang w:val="hr-HR"/>
        </w:rPr>
        <w:footnoteRef/>
      </w:r>
      <w:r w:rsidRPr="001D4EA8">
        <w:rPr>
          <w:sz w:val="24"/>
          <w:szCs w:val="24"/>
          <w:lang w:val="hr-HR"/>
        </w:rPr>
        <w:t xml:space="preserve"> </w:t>
      </w:r>
      <w:r w:rsidRPr="001D4EA8">
        <w:rPr>
          <w:sz w:val="24"/>
          <w:szCs w:val="24"/>
          <w:lang w:val="hr-HR"/>
        </w:rPr>
        <w:tab/>
      </w:r>
      <w:r w:rsidRPr="001D4EA8">
        <w:rPr>
          <w:sz w:val="24"/>
          <w:szCs w:val="24"/>
          <w:lang w:val="hr-HR"/>
        </w:rPr>
        <w:t xml:space="preserve">SL C, C/2024/5882, 9.10.2024., ELI: </w:t>
      </w:r>
      <w:hyperlink r:id="rId3" w:history="1">
        <w:r w:rsidRPr="001D4EA8">
          <w:rPr>
            <w:rStyle w:val="Hyperlink1"/>
            <w:sz w:val="24"/>
            <w:szCs w:val="24"/>
            <w:lang w:val="fi-FI"/>
          </w:rPr>
          <w:t>http://data.europa.eu/eli/C/2024/5882/oj</w:t>
        </w:r>
      </w:hyperlink>
      <w:r w:rsidRPr="001D4EA8">
        <w:rPr>
          <w:sz w:val="24"/>
          <w:szCs w:val="24"/>
          <w:lang w:val="hr-HR"/>
        </w:rPr>
        <w:t>.</w:t>
      </w:r>
    </w:p>
  </w:footnote>
  <w:footnote w:id="4">
    <w:p w14:paraId="0A18239B" w14:textId="77777777" w:rsidR="00D41F76" w:rsidRPr="001D4EA8" w:rsidRDefault="00D41F76" w:rsidP="00D41F76">
      <w:pPr>
        <w:pStyle w:val="FootnoteText"/>
        <w:ind w:left="567" w:hanging="567"/>
        <w:rPr>
          <w:sz w:val="24"/>
          <w:szCs w:val="24"/>
          <w:lang w:val="hr-HR"/>
        </w:rPr>
      </w:pPr>
      <w:r w:rsidRPr="001D4EA8">
        <w:rPr>
          <w:rStyle w:val="FootnoteReference"/>
          <w:sz w:val="24"/>
          <w:szCs w:val="24"/>
          <w:lang w:val="hr-HR"/>
        </w:rPr>
        <w:footnoteRef/>
      </w:r>
      <w:r w:rsidRPr="001D4EA8">
        <w:rPr>
          <w:sz w:val="24"/>
          <w:szCs w:val="24"/>
          <w:lang w:val="hr-HR"/>
        </w:rPr>
        <w:t xml:space="preserve"> </w:t>
      </w:r>
      <w:r w:rsidRPr="001D4EA8">
        <w:rPr>
          <w:sz w:val="24"/>
          <w:szCs w:val="24"/>
          <w:lang w:val="hr-HR"/>
        </w:rPr>
        <w:tab/>
      </w:r>
      <w:r w:rsidRPr="001D4EA8">
        <w:rPr>
          <w:sz w:val="24"/>
          <w:szCs w:val="24"/>
          <w:lang w:val="hr-HR"/>
        </w:rPr>
        <w:t xml:space="preserve">SL C, C/2024/6041, 10.10.2024., ELI: </w:t>
      </w:r>
      <w:hyperlink r:id="rId4" w:history="1">
        <w:r w:rsidRPr="001D4EA8">
          <w:rPr>
            <w:rStyle w:val="Hyperlink1"/>
            <w:sz w:val="24"/>
            <w:szCs w:val="24"/>
            <w:lang w:val="fi-FI"/>
          </w:rPr>
          <w:t>http://data.europa.eu/eli/C/2024/6041/oj</w:t>
        </w:r>
      </w:hyperlink>
      <w:r w:rsidRPr="001D4EA8">
        <w:rPr>
          <w:sz w:val="24"/>
          <w:szCs w:val="24"/>
          <w:lang w:val="hr-HR"/>
        </w:rPr>
        <w:t>.</w:t>
      </w:r>
    </w:p>
  </w:footnote>
  <w:footnote w:id="5">
    <w:p w14:paraId="5B1AB4AB" w14:textId="77777777" w:rsidR="00D41F76" w:rsidRPr="001D4EA8" w:rsidRDefault="00D41F76" w:rsidP="00D41F76">
      <w:pPr>
        <w:pStyle w:val="FootnoteText"/>
        <w:ind w:left="567" w:hanging="567"/>
        <w:rPr>
          <w:sz w:val="24"/>
          <w:szCs w:val="24"/>
          <w:lang w:val="hr-HR"/>
        </w:rPr>
      </w:pPr>
      <w:r w:rsidRPr="001D4EA8">
        <w:rPr>
          <w:rStyle w:val="FootnoteReference"/>
          <w:sz w:val="24"/>
          <w:szCs w:val="24"/>
          <w:lang w:val="hr-HR"/>
        </w:rPr>
        <w:footnoteRef/>
      </w:r>
      <w:r w:rsidRPr="001D4EA8">
        <w:rPr>
          <w:sz w:val="24"/>
          <w:szCs w:val="24"/>
          <w:lang w:val="hr-HR"/>
        </w:rPr>
        <w:t xml:space="preserve"> </w:t>
      </w:r>
      <w:r w:rsidRPr="001D4EA8">
        <w:rPr>
          <w:sz w:val="24"/>
          <w:szCs w:val="24"/>
          <w:lang w:val="hr-HR"/>
        </w:rPr>
        <w:tab/>
      </w:r>
      <w:r w:rsidRPr="001D4EA8">
        <w:rPr>
          <w:sz w:val="24"/>
          <w:szCs w:val="24"/>
          <w:lang w:val="hr-HR"/>
        </w:rPr>
        <w:t xml:space="preserve">SL L 193, 30.7.2018., str. 1., ELI: </w:t>
      </w:r>
      <w:hyperlink r:id="rId5" w:history="1">
        <w:r w:rsidRPr="001D4EA8">
          <w:rPr>
            <w:rStyle w:val="Hyperlink1"/>
            <w:sz w:val="24"/>
            <w:szCs w:val="24"/>
            <w:lang w:val="fi-FI"/>
          </w:rPr>
          <w:t>http://data.europa.eu/eli/reg/2018/1046/oj</w:t>
        </w:r>
      </w:hyperlink>
      <w:r w:rsidRPr="001D4EA8">
        <w:rPr>
          <w:sz w:val="24"/>
          <w:szCs w:val="24"/>
          <w:lang w:val="hr-HR"/>
        </w:rPr>
        <w:t>.</w:t>
      </w:r>
    </w:p>
  </w:footnote>
  <w:footnote w:id="6">
    <w:p w14:paraId="2A91E947" w14:textId="77777777" w:rsidR="00D41F76" w:rsidRPr="001D4EA8" w:rsidRDefault="00D41F76" w:rsidP="00D41F76">
      <w:pPr>
        <w:pStyle w:val="FootnoteText"/>
        <w:ind w:left="567" w:hanging="567"/>
        <w:rPr>
          <w:sz w:val="24"/>
          <w:szCs w:val="24"/>
          <w:lang w:val="hr-HR"/>
        </w:rPr>
      </w:pPr>
      <w:r w:rsidRPr="001D4EA8">
        <w:rPr>
          <w:rStyle w:val="FootnoteReference"/>
          <w:sz w:val="24"/>
          <w:szCs w:val="24"/>
          <w:lang w:val="hr-HR"/>
        </w:rPr>
        <w:footnoteRef/>
      </w:r>
      <w:r w:rsidRPr="001D4EA8">
        <w:rPr>
          <w:sz w:val="24"/>
          <w:szCs w:val="24"/>
          <w:lang w:val="hr-HR"/>
        </w:rPr>
        <w:t xml:space="preserve"> </w:t>
      </w:r>
      <w:r w:rsidRPr="001D4EA8">
        <w:rPr>
          <w:sz w:val="24"/>
          <w:szCs w:val="24"/>
          <w:lang w:val="hr-HR"/>
        </w:rPr>
        <w:tab/>
      </w:r>
      <w:r w:rsidRPr="001D4EA8">
        <w:rPr>
          <w:sz w:val="24"/>
          <w:szCs w:val="24"/>
          <w:lang w:val="hr-HR"/>
        </w:rPr>
        <w:t xml:space="preserve">SL L, 2024/2509, 26.9.2024., ELI: </w:t>
      </w:r>
      <w:hyperlink r:id="rId6" w:history="1">
        <w:r w:rsidRPr="001D4EA8">
          <w:rPr>
            <w:rStyle w:val="Hyperlink"/>
            <w:sz w:val="24"/>
            <w:szCs w:val="24"/>
            <w:lang w:val="hr-HR"/>
          </w:rPr>
          <w:t>https://data.europa.eu/eli/reg/2024/2509/oj</w:t>
        </w:r>
      </w:hyperlink>
      <w:r w:rsidRPr="001D4EA8">
        <w:rPr>
          <w:rStyle w:val="Hyperlink1"/>
          <w:sz w:val="24"/>
          <w:szCs w:val="24"/>
          <w:lang w:val="fi-FI"/>
        </w:rPr>
        <w:t>.</w:t>
      </w:r>
    </w:p>
  </w:footnote>
  <w:footnote w:id="7">
    <w:p w14:paraId="3AAF0483" w14:textId="77777777" w:rsidR="00D41F76" w:rsidRPr="001D4EA8" w:rsidRDefault="00D41F76" w:rsidP="00D41F76">
      <w:pPr>
        <w:pStyle w:val="FootnoteText"/>
        <w:ind w:left="567" w:hanging="567"/>
        <w:rPr>
          <w:sz w:val="24"/>
          <w:szCs w:val="24"/>
          <w:lang w:val="hr-HR"/>
        </w:rPr>
      </w:pPr>
      <w:r w:rsidRPr="001D4EA8">
        <w:rPr>
          <w:rStyle w:val="FootnoteReference"/>
          <w:sz w:val="24"/>
          <w:szCs w:val="24"/>
          <w:lang w:val="hr-HR"/>
        </w:rPr>
        <w:footnoteRef/>
      </w:r>
      <w:r w:rsidRPr="001D4EA8">
        <w:rPr>
          <w:sz w:val="24"/>
          <w:szCs w:val="24"/>
          <w:lang w:val="hr-HR"/>
        </w:rPr>
        <w:tab/>
      </w:r>
      <w:r w:rsidRPr="001D4EA8">
        <w:rPr>
          <w:sz w:val="24"/>
          <w:szCs w:val="24"/>
          <w:lang w:val="hr-HR"/>
        </w:rPr>
        <w:t>Rezolucija Europskog odbora regija – Prioriteti Europskog odbora regija za razdoblje 2020. – 2025. – Europa se približava građanima zahvaljujući svojim selima, gradovima i regijama (SL C 324, 1.10.2020., str. 8.).</w:t>
      </w:r>
    </w:p>
  </w:footnote>
  <w:footnote w:id="8">
    <w:p w14:paraId="674CE683" w14:textId="77777777" w:rsidR="00D41F76" w:rsidRPr="001D4EA8" w:rsidRDefault="00D41F76" w:rsidP="00D41F76">
      <w:pPr>
        <w:pStyle w:val="FootnoteText"/>
        <w:ind w:left="567" w:hanging="567"/>
        <w:rPr>
          <w:sz w:val="24"/>
          <w:szCs w:val="24"/>
          <w:lang w:val="hr-HR"/>
        </w:rPr>
      </w:pPr>
      <w:r w:rsidRPr="001D4EA8">
        <w:rPr>
          <w:rStyle w:val="FootnoteReference"/>
          <w:sz w:val="24"/>
          <w:szCs w:val="24"/>
          <w:lang w:val="hr-HR"/>
        </w:rPr>
        <w:footnoteRef/>
      </w:r>
      <w:r w:rsidRPr="001D4EA8">
        <w:rPr>
          <w:sz w:val="24"/>
          <w:szCs w:val="24"/>
          <w:lang w:val="hr-HR"/>
        </w:rPr>
        <w:tab/>
      </w:r>
      <w:r w:rsidRPr="001D4EA8">
        <w:rPr>
          <w:sz w:val="24"/>
          <w:szCs w:val="24"/>
          <w:lang w:val="hr-HR"/>
        </w:rPr>
        <w:t xml:space="preserve">Uredba (EU) 2021/1060 Europskog parlamenta i Vijeća od 24. lipnja 2021. o utvrđivanju zajedničkih odredaba o Europskom fondu za regionalni razvoj, Europskom socijalnom fondu plus, Kohezijskom fondu, Fondu za pravednu tranziciju i Europskom fondu za pomorstvo, ribarstvo i akvakulturu te financijskih pravila za njih i za Fond za azil, migracije i integraciju, Fond za unutarnju sigurnost i Instrument za financijsku potporu u području upravljanja granicama i vizne politike (SL L 231, 30.6.2021., str. 159., ELI: </w:t>
      </w:r>
      <w:hyperlink r:id="rId7" w:history="1">
        <w:r w:rsidRPr="001D4EA8">
          <w:rPr>
            <w:rStyle w:val="Hyperlink1"/>
            <w:sz w:val="24"/>
            <w:szCs w:val="24"/>
            <w:lang w:val="hr-HR"/>
          </w:rPr>
          <w:t>http://data.europa.eu/eli/reg/2021/1060/2024-06-30</w:t>
        </w:r>
      </w:hyperlink>
      <w:r w:rsidRPr="001D4EA8">
        <w:rPr>
          <w:sz w:val="24"/>
          <w:szCs w:val="24"/>
          <w:lang w:val="hr-HR"/>
        </w:rPr>
        <w:t>).</w:t>
      </w:r>
    </w:p>
  </w:footnote>
  <w:footnote w:id="9">
    <w:p w14:paraId="0C341007" w14:textId="77777777" w:rsidR="00D41F76" w:rsidRPr="001D4EA8" w:rsidRDefault="00D41F76" w:rsidP="00D41F76">
      <w:pPr>
        <w:pStyle w:val="FootnoteText"/>
        <w:ind w:left="567" w:hanging="567"/>
        <w:rPr>
          <w:sz w:val="24"/>
          <w:szCs w:val="24"/>
          <w:lang w:val="hr-HR"/>
        </w:rPr>
      </w:pPr>
      <w:r w:rsidRPr="001D4EA8">
        <w:rPr>
          <w:rStyle w:val="FootnoteReference"/>
          <w:sz w:val="24"/>
          <w:szCs w:val="24"/>
          <w:lang w:val="hr-HR"/>
        </w:rPr>
        <w:footnoteRef/>
      </w:r>
      <w:r w:rsidRPr="001D4EA8">
        <w:rPr>
          <w:sz w:val="24"/>
          <w:szCs w:val="24"/>
          <w:lang w:val="hr-HR"/>
        </w:rPr>
        <w:tab/>
      </w:r>
      <w:r w:rsidRPr="001D4EA8">
        <w:rPr>
          <w:sz w:val="24"/>
          <w:szCs w:val="24"/>
          <w:lang w:val="hr-HR"/>
        </w:rPr>
        <w:t xml:space="preserve">Uredba (EU) 2021/241 Europskog parlamenta i Vijeća od 12. veljače 2021. o uspostavi Mehanizma za oporavak i otpornost (SL L 57, 18.2.2021., str. 17., </w:t>
      </w:r>
      <w:r w:rsidRPr="001D4EA8">
        <w:rPr>
          <w:color w:val="333333"/>
          <w:sz w:val="24"/>
          <w:szCs w:val="24"/>
          <w:shd w:val="clear" w:color="auto" w:fill="FFFFFF"/>
          <w:lang w:val="hr-HR"/>
        </w:rPr>
        <w:t xml:space="preserve">ELI: </w:t>
      </w:r>
      <w:hyperlink r:id="rId8" w:tooltip="Omogućuje pristup tom dokumentu putem identifikatora ELI URI." w:history="1">
        <w:r w:rsidRPr="001D4EA8">
          <w:rPr>
            <w:color w:val="23527C"/>
            <w:sz w:val="24"/>
            <w:szCs w:val="24"/>
            <w:u w:val="single"/>
            <w:shd w:val="clear" w:color="auto" w:fill="FFFFFF"/>
            <w:lang w:val="hr-HR"/>
          </w:rPr>
          <w:t>http://data.europa.eu/eli/reg/2021/241/2024-03-01</w:t>
        </w:r>
      </w:hyperlink>
      <w:r w:rsidRPr="001D4EA8">
        <w:rPr>
          <w:sz w:val="24"/>
          <w:szCs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8B223" w14:textId="77777777" w:rsidR="00064002" w:rsidRPr="001000E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1C1C2" w14:textId="77777777" w:rsidR="00064002" w:rsidRPr="001000E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940EF" w14:textId="77777777" w:rsidR="00064002" w:rsidRPr="001000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77502491">
    <w:abstractNumId w:val="9"/>
  </w:num>
  <w:num w:numId="2" w16cid:durableId="1085490737">
    <w:abstractNumId w:val="9"/>
  </w:num>
  <w:num w:numId="3" w16cid:durableId="1810585565">
    <w:abstractNumId w:val="7"/>
  </w:num>
  <w:num w:numId="4" w16cid:durableId="897399166">
    <w:abstractNumId w:val="7"/>
  </w:num>
  <w:num w:numId="5" w16cid:durableId="900749944">
    <w:abstractNumId w:val="6"/>
  </w:num>
  <w:num w:numId="6" w16cid:durableId="847871689">
    <w:abstractNumId w:val="6"/>
  </w:num>
  <w:num w:numId="7" w16cid:durableId="266814279">
    <w:abstractNumId w:val="5"/>
  </w:num>
  <w:num w:numId="8" w16cid:durableId="807017143">
    <w:abstractNumId w:val="5"/>
  </w:num>
  <w:num w:numId="9" w16cid:durableId="606279570">
    <w:abstractNumId w:val="4"/>
  </w:num>
  <w:num w:numId="10" w16cid:durableId="487864022">
    <w:abstractNumId w:val="4"/>
  </w:num>
  <w:num w:numId="11" w16cid:durableId="1848475045">
    <w:abstractNumId w:val="8"/>
  </w:num>
  <w:num w:numId="12" w16cid:durableId="532886189">
    <w:abstractNumId w:val="8"/>
  </w:num>
  <w:num w:numId="13" w16cid:durableId="2071227422">
    <w:abstractNumId w:val="3"/>
  </w:num>
  <w:num w:numId="14" w16cid:durableId="879050900">
    <w:abstractNumId w:val="3"/>
  </w:num>
  <w:num w:numId="15" w16cid:durableId="1788281733">
    <w:abstractNumId w:val="2"/>
  </w:num>
  <w:num w:numId="16" w16cid:durableId="691683055">
    <w:abstractNumId w:val="2"/>
  </w:num>
  <w:num w:numId="17" w16cid:durableId="452096583">
    <w:abstractNumId w:val="1"/>
  </w:num>
  <w:num w:numId="18" w16cid:durableId="43987898">
    <w:abstractNumId w:val="1"/>
  </w:num>
  <w:num w:numId="19" w16cid:durableId="824666512">
    <w:abstractNumId w:val="0"/>
  </w:num>
  <w:num w:numId="20" w16cid:durableId="597906790">
    <w:abstractNumId w:val="0"/>
  </w:num>
  <w:num w:numId="21" w16cid:durableId="851724091">
    <w:abstractNumId w:val="9"/>
  </w:num>
  <w:num w:numId="22" w16cid:durableId="551307934">
    <w:abstractNumId w:val="7"/>
  </w:num>
  <w:num w:numId="23" w16cid:durableId="445008962">
    <w:abstractNumId w:val="6"/>
  </w:num>
  <w:num w:numId="24" w16cid:durableId="883756309">
    <w:abstractNumId w:val="5"/>
  </w:num>
  <w:num w:numId="25" w16cid:durableId="1497183043">
    <w:abstractNumId w:val="4"/>
  </w:num>
  <w:num w:numId="26" w16cid:durableId="1628580380">
    <w:abstractNumId w:val="8"/>
  </w:num>
  <w:num w:numId="27" w16cid:durableId="1049260172">
    <w:abstractNumId w:val="3"/>
  </w:num>
  <w:num w:numId="28" w16cid:durableId="844630234">
    <w:abstractNumId w:val="2"/>
  </w:num>
  <w:num w:numId="29" w16cid:durableId="426392595">
    <w:abstractNumId w:val="1"/>
  </w:num>
  <w:num w:numId="30" w16cid:durableId="1263954008">
    <w:abstractNumId w:val="0"/>
  </w:num>
  <w:num w:numId="31" w16cid:durableId="120727401">
    <w:abstractNumId w:val="9"/>
  </w:num>
  <w:num w:numId="32" w16cid:durableId="2074035093">
    <w:abstractNumId w:val="7"/>
  </w:num>
  <w:num w:numId="33" w16cid:durableId="871961916">
    <w:abstractNumId w:val="6"/>
  </w:num>
  <w:num w:numId="34" w16cid:durableId="1856528537">
    <w:abstractNumId w:val="5"/>
  </w:num>
  <w:num w:numId="35" w16cid:durableId="954168439">
    <w:abstractNumId w:val="4"/>
  </w:num>
  <w:num w:numId="36" w16cid:durableId="1988046272">
    <w:abstractNumId w:val="8"/>
  </w:num>
  <w:num w:numId="37" w16cid:durableId="1078091810">
    <w:abstractNumId w:val="3"/>
  </w:num>
  <w:num w:numId="38" w16cid:durableId="65688658">
    <w:abstractNumId w:val="2"/>
  </w:num>
  <w:num w:numId="39" w16cid:durableId="331639088">
    <w:abstractNumId w:val="1"/>
  </w:num>
  <w:num w:numId="40" w16cid:durableId="105538067">
    <w:abstractNumId w:val="0"/>
  </w:num>
  <w:num w:numId="41" w16cid:durableId="1776552637">
    <w:abstractNumId w:val="10"/>
  </w:num>
  <w:num w:numId="42" w16cid:durableId="1239441420">
    <w:abstractNumId w:val="10"/>
  </w:num>
  <w:num w:numId="43" w16cid:durableId="1867520488">
    <w:abstractNumId w:val="10"/>
  </w:num>
  <w:num w:numId="44" w16cid:durableId="13143338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6/2025"/>
    <w:docVar w:name="dvlangue" w:val="HR"/>
    <w:docVar w:name="dvnumam" w:val="0"/>
    <w:docVar w:name="dvpe" w:val="764.992"/>
    <w:docVar w:name="dvrapporteur" w:val="Izvjestitelj: "/>
    <w:docVar w:name="dvtitre" w:val="Odluka Europskog parlamenta od .... 2025. o razrješnici za izvršenje općeg proračuna Europske unije za financijsku godinu 2023., dio VII. – Odbor regija(2024/2026(DEC))"/>
  </w:docVars>
  <w:rsids>
    <w:rsidRoot w:val="00B33187"/>
    <w:rsid w:val="00002272"/>
    <w:rsid w:val="00064002"/>
    <w:rsid w:val="000677B9"/>
    <w:rsid w:val="000831BA"/>
    <w:rsid w:val="000A42CC"/>
    <w:rsid w:val="000E7DD9"/>
    <w:rsid w:val="001000EB"/>
    <w:rsid w:val="0010095E"/>
    <w:rsid w:val="00125B37"/>
    <w:rsid w:val="00181504"/>
    <w:rsid w:val="00187494"/>
    <w:rsid w:val="001D4EA8"/>
    <w:rsid w:val="001F32AE"/>
    <w:rsid w:val="0023346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73FF"/>
    <w:rsid w:val="005C2568"/>
    <w:rsid w:val="005F1B17"/>
    <w:rsid w:val="006037C0"/>
    <w:rsid w:val="006631B6"/>
    <w:rsid w:val="00680577"/>
    <w:rsid w:val="006B71A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605C"/>
    <w:rsid w:val="00AB441E"/>
    <w:rsid w:val="00AB6293"/>
    <w:rsid w:val="00AE0928"/>
    <w:rsid w:val="00AF3B82"/>
    <w:rsid w:val="00B12E95"/>
    <w:rsid w:val="00B22876"/>
    <w:rsid w:val="00B33187"/>
    <w:rsid w:val="00B42768"/>
    <w:rsid w:val="00B558F0"/>
    <w:rsid w:val="00BD48FE"/>
    <w:rsid w:val="00BD7BD8"/>
    <w:rsid w:val="00BE6ADC"/>
    <w:rsid w:val="00C05BFE"/>
    <w:rsid w:val="00C23CD4"/>
    <w:rsid w:val="00C61C0C"/>
    <w:rsid w:val="00C941CB"/>
    <w:rsid w:val="00CC2357"/>
    <w:rsid w:val="00CF071A"/>
    <w:rsid w:val="00D058B8"/>
    <w:rsid w:val="00D41F7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008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FC554D"/>
  <w15:chartTrackingRefBased/>
  <w15:docId w15:val="{5A36F519-C3B1-4599-9A80-2446BFF3F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4276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42768"/>
    <w:pPr>
      <w:spacing w:before="480" w:after="240"/>
    </w:pPr>
  </w:style>
  <w:style w:type="paragraph" w:customStyle="1" w:styleId="PageHeading">
    <w:name w:val="PageHeading"/>
    <w:basedOn w:val="Normal"/>
    <w:rsid w:val="00B42768"/>
    <w:pPr>
      <w:keepNext/>
      <w:spacing w:after="480"/>
      <w:jc w:val="center"/>
    </w:pPr>
    <w:rPr>
      <w:rFonts w:ascii="Arial" w:hAnsi="Arial" w:cs="Arial"/>
      <w:b/>
    </w:rPr>
  </w:style>
  <w:style w:type="paragraph" w:customStyle="1" w:styleId="NormalBold">
    <w:name w:val="NormalBold"/>
    <w:basedOn w:val="Normal"/>
    <w:rsid w:val="00B42768"/>
    <w:rPr>
      <w:b/>
    </w:rPr>
  </w:style>
  <w:style w:type="paragraph" w:customStyle="1" w:styleId="NormalHanging12a">
    <w:name w:val="NormalHanging12a"/>
    <w:basedOn w:val="Normal"/>
    <w:link w:val="NormalHanging12aChar"/>
    <w:qFormat/>
    <w:rsid w:val="00B42768"/>
    <w:pPr>
      <w:spacing w:after="240"/>
      <w:ind w:left="567" w:hanging="567"/>
    </w:pPr>
  </w:style>
  <w:style w:type="paragraph" w:styleId="Header">
    <w:name w:val="header"/>
    <w:basedOn w:val="Normal"/>
    <w:link w:val="HeaderChar"/>
    <w:rsid w:val="00B42768"/>
    <w:pPr>
      <w:tabs>
        <w:tab w:val="center" w:pos="4513"/>
        <w:tab w:val="right" w:pos="9026"/>
      </w:tabs>
    </w:pPr>
  </w:style>
  <w:style w:type="character" w:customStyle="1" w:styleId="HeaderChar">
    <w:name w:val="Header Char"/>
    <w:basedOn w:val="DefaultParagraphFont"/>
    <w:link w:val="Header"/>
    <w:rsid w:val="00B42768"/>
    <w:rPr>
      <w:sz w:val="24"/>
      <w:lang w:val="hr-HR"/>
    </w:rPr>
  </w:style>
  <w:style w:type="paragraph" w:customStyle="1" w:styleId="EPFooter">
    <w:name w:val="EPFooter"/>
    <w:basedOn w:val="Normal"/>
    <w:rsid w:val="00B42768"/>
    <w:pPr>
      <w:tabs>
        <w:tab w:val="center" w:pos="4535"/>
        <w:tab w:val="right" w:pos="9071"/>
      </w:tabs>
      <w:spacing w:before="240" w:after="240"/>
    </w:pPr>
    <w:rPr>
      <w:color w:val="010000"/>
      <w:sz w:val="22"/>
    </w:rPr>
  </w:style>
  <w:style w:type="character" w:styleId="Hyperlink">
    <w:name w:val="Hyperlink"/>
    <w:basedOn w:val="DefaultParagraphFont"/>
    <w:uiPriority w:val="99"/>
    <w:rsid w:val="00B42768"/>
    <w:rPr>
      <w:color w:val="0563C1" w:themeColor="hyperlink"/>
      <w:u w:val="single"/>
    </w:rPr>
  </w:style>
  <w:style w:type="character" w:customStyle="1" w:styleId="NormalHanging12aChar">
    <w:name w:val="NormalHanging12a Char"/>
    <w:basedOn w:val="DefaultParagraphFont"/>
    <w:link w:val="NormalHanging12a"/>
    <w:locked/>
    <w:rsid w:val="00B42768"/>
    <w:rPr>
      <w:sz w:val="24"/>
      <w:lang w:val="hr-HR"/>
    </w:rPr>
  </w:style>
  <w:style w:type="paragraph" w:customStyle="1" w:styleId="Style1">
    <w:name w:val="Style1"/>
    <w:basedOn w:val="FootnoteText"/>
    <w:qFormat/>
    <w:rsid w:val="00B42768"/>
    <w:pPr>
      <w:keepLines w:val="0"/>
      <w:widowControl w:val="0"/>
      <w:spacing w:line="240" w:lineRule="auto"/>
      <w:ind w:left="567" w:hanging="567"/>
    </w:pPr>
    <w:rPr>
      <w:sz w:val="24"/>
      <w:szCs w:val="24"/>
      <w:lang w:val="hr-HR" w:eastAsia="en-GB"/>
    </w:rPr>
  </w:style>
  <w:style w:type="paragraph" w:customStyle="1" w:styleId="Normal6a">
    <w:name w:val="Normal6a"/>
    <w:basedOn w:val="Normal"/>
    <w:rsid w:val="00B42768"/>
    <w:pPr>
      <w:spacing w:after="120"/>
    </w:pPr>
  </w:style>
  <w:style w:type="character" w:customStyle="1" w:styleId="Normal6Char">
    <w:name w:val="Normal6 Char"/>
    <w:basedOn w:val="DefaultParagraphFont"/>
    <w:link w:val="Normal6"/>
    <w:locked/>
    <w:rsid w:val="00B42768"/>
    <w:rPr>
      <w:lang w:val="hr-HR"/>
    </w:rPr>
  </w:style>
  <w:style w:type="paragraph" w:customStyle="1" w:styleId="Normal6">
    <w:name w:val="Normal6"/>
    <w:basedOn w:val="Normal"/>
    <w:link w:val="Normal6Char"/>
    <w:rsid w:val="00B42768"/>
    <w:pPr>
      <w:spacing w:after="120"/>
    </w:pPr>
    <w:rPr>
      <w:sz w:val="20"/>
    </w:rPr>
  </w:style>
  <w:style w:type="paragraph" w:styleId="Footer">
    <w:name w:val="footer"/>
    <w:basedOn w:val="Normal"/>
    <w:link w:val="FooterChar"/>
    <w:rsid w:val="00181504"/>
    <w:pPr>
      <w:tabs>
        <w:tab w:val="center" w:pos="4513"/>
        <w:tab w:val="right" w:pos="9026"/>
      </w:tabs>
    </w:pPr>
  </w:style>
  <w:style w:type="character" w:customStyle="1" w:styleId="FooterChar">
    <w:name w:val="Footer Char"/>
    <w:basedOn w:val="DefaultParagraphFont"/>
    <w:link w:val="Footer"/>
    <w:rsid w:val="00181504"/>
    <w:rPr>
      <w:sz w:val="24"/>
      <w:lang w:val="hr-HR"/>
    </w:rPr>
  </w:style>
  <w:style w:type="character" w:customStyle="1" w:styleId="Hyperlink1">
    <w:name w:val="Hyperlink1"/>
    <w:basedOn w:val="DefaultParagraphFont"/>
    <w:rsid w:val="00D41F76"/>
    <w:rPr>
      <w:color w:val="0563C1"/>
      <w:u w:val="single"/>
    </w:rPr>
  </w:style>
  <w:style w:type="character" w:styleId="CommentReference">
    <w:name w:val="annotation reference"/>
    <w:basedOn w:val="DefaultParagraphFont"/>
    <w:uiPriority w:val="99"/>
    <w:unhideWhenUsed/>
    <w:rsid w:val="00D41F76"/>
    <w:rPr>
      <w:sz w:val="16"/>
      <w:szCs w:val="16"/>
    </w:rPr>
  </w:style>
  <w:style w:type="paragraph" w:styleId="CommentText">
    <w:name w:val="annotation text"/>
    <w:basedOn w:val="Normal"/>
    <w:link w:val="CommentTextChar"/>
    <w:uiPriority w:val="99"/>
    <w:unhideWhenUsed/>
    <w:rsid w:val="00D41F76"/>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D41F76"/>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2024-03-01"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060/2024-06-30"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781AB-5C79-4B28-84FB-1E55DCDB9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6956</Words>
  <Characters>41017</Characters>
  <Application>Microsoft Office Word</Application>
  <DocSecurity>0</DocSecurity>
  <Lines>341</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2025-12-05T12:15:00Z</dcterms:created>
  <dcterms:modified xsi:type="dcterms:W3CDTF">2025-12-05T12:15:00Z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P10_TA(2025)0083_</vt:lpwstr>
  </property>
  <property fmtid="{D5CDD505-2E9C-101B-9397-08002B2CF9AE}" pid="4" name="&lt;Type&gt;">
    <vt:lpwstr>RR</vt:lpwstr>
  </property>
</Properties>
</file>