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8F8" w14:paraId="76D8D565" w14:textId="77777777" w:rsidTr="0010095E">
        <w:trPr>
          <w:trHeight w:hRule="exact" w:val="1418"/>
        </w:trPr>
        <w:tc>
          <w:tcPr>
            <w:tcW w:w="6804" w:type="dxa"/>
            <w:shd w:val="clear" w:color="auto" w:fill="auto"/>
            <w:vAlign w:val="center"/>
          </w:tcPr>
          <w:p w14:paraId="3067D968" w14:textId="77777777" w:rsidR="00751A4A" w:rsidRPr="00BD18F8" w:rsidRDefault="001763ED" w:rsidP="0010095E">
            <w:pPr>
              <w:pStyle w:val="EPName"/>
            </w:pPr>
            <w:r w:rsidRPr="00BD18F8">
              <w:t>Parlamentul European</w:t>
            </w:r>
          </w:p>
          <w:p w14:paraId="1B0C3BEE" w14:textId="77777777" w:rsidR="00751A4A" w:rsidRPr="00BD18F8" w:rsidRDefault="005F1B17" w:rsidP="005F1B17">
            <w:pPr>
              <w:pStyle w:val="EPTerm"/>
              <w:rPr>
                <w:rStyle w:val="HideTWBExt"/>
                <w:noProof w:val="0"/>
                <w:vanish w:val="0"/>
                <w:color w:val="auto"/>
              </w:rPr>
            </w:pPr>
            <w:r w:rsidRPr="00BD18F8">
              <w:t>2024</w:t>
            </w:r>
            <w:r w:rsidR="00817416" w:rsidRPr="00BD18F8">
              <w:t>-202</w:t>
            </w:r>
            <w:r w:rsidRPr="00BD18F8">
              <w:t>9</w:t>
            </w:r>
          </w:p>
        </w:tc>
        <w:tc>
          <w:tcPr>
            <w:tcW w:w="2268" w:type="dxa"/>
            <w:shd w:val="clear" w:color="auto" w:fill="auto"/>
          </w:tcPr>
          <w:p w14:paraId="3F63E870" w14:textId="77777777" w:rsidR="00751A4A" w:rsidRPr="00BD18F8" w:rsidRDefault="00187494" w:rsidP="0010095E">
            <w:pPr>
              <w:pStyle w:val="EPLogo"/>
            </w:pPr>
            <w:r w:rsidRPr="00BD18F8">
              <w:rPr>
                <w:noProof/>
                <w:lang w:eastAsia="ro-RO"/>
              </w:rPr>
              <w:drawing>
                <wp:inline distT="0" distB="0" distL="0" distR="0" wp14:anchorId="358C744D" wp14:editId="685675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7F732F" w14:textId="77777777" w:rsidR="00D058B8" w:rsidRPr="00BD18F8" w:rsidRDefault="00D058B8" w:rsidP="004C5D52">
      <w:pPr>
        <w:pStyle w:val="LineTop"/>
      </w:pPr>
    </w:p>
    <w:p w14:paraId="6F72B6B3" w14:textId="77777777" w:rsidR="00680577" w:rsidRPr="00BD18F8" w:rsidRDefault="001763ED" w:rsidP="00680577">
      <w:pPr>
        <w:pStyle w:val="EPBodyTA1"/>
      </w:pPr>
      <w:r w:rsidRPr="00BD18F8">
        <w:t>TEXTE ADOPTATE</w:t>
      </w:r>
    </w:p>
    <w:p w14:paraId="1ED7EF22" w14:textId="77777777" w:rsidR="00D058B8" w:rsidRPr="00BD18F8" w:rsidRDefault="00D058B8" w:rsidP="00D058B8">
      <w:pPr>
        <w:pStyle w:val="LineBottom"/>
      </w:pPr>
    </w:p>
    <w:p w14:paraId="5CFDB9CD" w14:textId="6456C7F6" w:rsidR="001763ED" w:rsidRPr="00BD18F8" w:rsidRDefault="001763ED" w:rsidP="001763ED">
      <w:pPr>
        <w:pStyle w:val="ATHeading1"/>
      </w:pPr>
      <w:bookmarkStart w:id="0" w:name="TANumber"/>
      <w:r w:rsidRPr="00BD18F8">
        <w:t>P10_TA(2025)00</w:t>
      </w:r>
      <w:bookmarkEnd w:id="0"/>
      <w:r w:rsidR="00BD18F8" w:rsidRPr="00BD18F8">
        <w:t>83</w:t>
      </w:r>
    </w:p>
    <w:p w14:paraId="0CCDCE22" w14:textId="77777777" w:rsidR="001763ED" w:rsidRPr="00BD18F8" w:rsidRDefault="001763ED" w:rsidP="001763ED">
      <w:pPr>
        <w:pStyle w:val="ATHeading2"/>
      </w:pPr>
      <w:bookmarkStart w:id="1" w:name="title"/>
      <w:r w:rsidRPr="00BD18F8">
        <w:t>Descărcarea de gestiune 2023: Bugetul general al UE - Comitetul Regiunilor</w:t>
      </w:r>
      <w:bookmarkEnd w:id="1"/>
    </w:p>
    <w:p w14:paraId="4E69ADF7" w14:textId="77777777" w:rsidR="001763ED" w:rsidRPr="00BD18F8" w:rsidRDefault="001763ED" w:rsidP="001763ED">
      <w:pPr>
        <w:rPr>
          <w:i/>
          <w:vanish/>
        </w:rPr>
      </w:pPr>
      <w:r w:rsidRPr="00BD18F8">
        <w:rPr>
          <w:i/>
        </w:rPr>
        <w:fldChar w:fldCharType="begin"/>
      </w:r>
      <w:r w:rsidRPr="00BD18F8">
        <w:rPr>
          <w:i/>
        </w:rPr>
        <w:instrText xml:space="preserve"> TC"(</w:instrText>
      </w:r>
      <w:bookmarkStart w:id="2" w:name="DocNumber"/>
      <w:r w:rsidRPr="00BD18F8">
        <w:rPr>
          <w:i/>
        </w:rPr>
        <w:instrText>A10-0046/2025</w:instrText>
      </w:r>
      <w:bookmarkEnd w:id="2"/>
      <w:r w:rsidRPr="00BD18F8">
        <w:rPr>
          <w:i/>
        </w:rPr>
        <w:instrText xml:space="preserve"> - Raportor: Joachim </w:instrText>
      </w:r>
      <w:proofErr w:type="spellStart"/>
      <w:r w:rsidRPr="00BD18F8">
        <w:rPr>
          <w:i/>
        </w:rPr>
        <w:instrText>Stanisław</w:instrText>
      </w:r>
      <w:proofErr w:type="spellEnd"/>
      <w:r w:rsidRPr="00BD18F8">
        <w:rPr>
          <w:i/>
        </w:rPr>
        <w:instrText xml:space="preserve"> </w:instrText>
      </w:r>
      <w:proofErr w:type="spellStart"/>
      <w:r w:rsidRPr="00BD18F8">
        <w:rPr>
          <w:i/>
        </w:rPr>
        <w:instrText>Brudziński</w:instrText>
      </w:r>
      <w:proofErr w:type="spellEnd"/>
      <w:r w:rsidRPr="00BD18F8">
        <w:rPr>
          <w:i/>
        </w:rPr>
        <w:instrText xml:space="preserve">)"\l3 \n&gt; \* MERGEFORMAT </w:instrText>
      </w:r>
      <w:r w:rsidRPr="00BD18F8">
        <w:rPr>
          <w:i/>
        </w:rPr>
        <w:fldChar w:fldCharType="end"/>
      </w:r>
    </w:p>
    <w:p w14:paraId="4743BEBD" w14:textId="77777777" w:rsidR="001763ED" w:rsidRPr="00BD18F8" w:rsidRDefault="001763ED" w:rsidP="001763ED">
      <w:pPr>
        <w:rPr>
          <w:vanish/>
        </w:rPr>
      </w:pPr>
      <w:bookmarkStart w:id="3" w:name="Commission"/>
      <w:r w:rsidRPr="00BD18F8">
        <w:rPr>
          <w:vanish/>
        </w:rPr>
        <w:t>Comisia pentru control bugetar</w:t>
      </w:r>
      <w:bookmarkEnd w:id="3"/>
    </w:p>
    <w:p w14:paraId="0CF9229E" w14:textId="77777777" w:rsidR="001763ED" w:rsidRDefault="001763ED" w:rsidP="001763ED">
      <w:pPr>
        <w:rPr>
          <w:vanish/>
        </w:rPr>
      </w:pPr>
      <w:bookmarkStart w:id="4" w:name="PE"/>
      <w:r w:rsidRPr="00BD18F8">
        <w:rPr>
          <w:vanish/>
        </w:rPr>
        <w:t>PE764.992</w:t>
      </w:r>
      <w:bookmarkEnd w:id="4"/>
    </w:p>
    <w:p w14:paraId="140BA265" w14:textId="77777777" w:rsidR="00C71605" w:rsidRPr="00C71605" w:rsidRDefault="00C71605" w:rsidP="00C71605">
      <w:pPr>
        <w:pStyle w:val="ATHeading3"/>
      </w:pPr>
      <w:r w:rsidRPr="00C71605">
        <w:t>1. Decizia Parlamentului European din 7 mai 2025 privind descărcarea de gestiune pentru execuția bugetului general al Uniunii Europene aferent exercițiului financiar 2023, secțiunea VII – Comitetul Regiunilor (2024/2026(DEC))</w:t>
      </w:r>
    </w:p>
    <w:p w14:paraId="1D61ACA6" w14:textId="5852A1DD" w:rsidR="00C71605" w:rsidRPr="00C71605" w:rsidRDefault="00C71605" w:rsidP="00C71605">
      <w:pPr>
        <w:spacing w:before="480" w:after="240"/>
        <w:rPr>
          <w:i/>
          <w:kern w:val="2"/>
          <w14:ligatures w14:val="standardContextual"/>
        </w:rPr>
      </w:pPr>
      <w:r w:rsidRPr="00C71605">
        <w:rPr>
          <w:i/>
          <w:kern w:val="2"/>
          <w14:ligatures w14:val="standardContextual"/>
        </w:rPr>
        <w:t>Parlamentul European,</w:t>
      </w:r>
    </w:p>
    <w:p w14:paraId="4729195F" w14:textId="4ACDE495"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având în vedere bugetul general al Uniunii Europene aferent exercițiului financiar 2023 </w:t>
      </w:r>
      <w:r w:rsidR="00C71605" w:rsidRPr="00C71605">
        <w:rPr>
          <w:rFonts w:eastAsia="Aptos"/>
          <w:szCs w:val="24"/>
          <w:vertAlign w:val="superscript"/>
        </w:rPr>
        <w:footnoteReference w:id="1"/>
      </w:r>
      <w:r w:rsidR="00C71605" w:rsidRPr="00C71605">
        <w:rPr>
          <w:rFonts w:eastAsia="Aptos"/>
          <w:szCs w:val="24"/>
        </w:rPr>
        <w:t>,</w:t>
      </w:r>
    </w:p>
    <w:p w14:paraId="0EBF2CC7" w14:textId="0A8C02C9"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 xml:space="preserve">având în vedere conturile anuale consolidate ale Uniunii Europene pentru exercițiul financiar 2023 </w:t>
      </w:r>
      <w:r w:rsidR="0094495C">
        <w:rPr>
          <w:rFonts w:eastAsia="Aptos"/>
          <w:szCs w:val="24"/>
        </w:rPr>
        <w:t>(</w:t>
      </w:r>
      <w:r w:rsidR="00C71605" w:rsidRPr="00C71605">
        <w:rPr>
          <w:rFonts w:eastAsia="Aptos"/>
          <w:szCs w:val="24"/>
        </w:rPr>
        <w:t>COM(2024)272 – C10-0074/2024</w:t>
      </w:r>
      <w:r w:rsidR="0094495C">
        <w:rPr>
          <w:rFonts w:eastAsia="Aptos"/>
          <w:szCs w:val="24"/>
        </w:rPr>
        <w:t>)</w:t>
      </w:r>
      <w:r w:rsidR="00C71605" w:rsidRPr="00C71605">
        <w:rPr>
          <w:rFonts w:eastAsia="Aptos"/>
          <w:szCs w:val="24"/>
        </w:rPr>
        <w:t> </w:t>
      </w:r>
      <w:r w:rsidR="00C71605" w:rsidRPr="00C71605">
        <w:rPr>
          <w:rFonts w:eastAsia="Aptos"/>
          <w:szCs w:val="24"/>
          <w:vertAlign w:val="superscript"/>
        </w:rPr>
        <w:footnoteReference w:id="2"/>
      </w:r>
      <w:r w:rsidR="00C71605" w:rsidRPr="00C71605">
        <w:rPr>
          <w:rFonts w:eastAsia="Aptos"/>
          <w:szCs w:val="24"/>
        </w:rPr>
        <w:t>,</w:t>
      </w:r>
    </w:p>
    <w:p w14:paraId="57258AE9" w14:textId="76AF47E9"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având în vedere Raportul anual de activitate pentru 2023 al Comitetului Regiunilor și Raportul său privind gestiunea bugetară și financiară pentru exercițiul financiar 2023,</w:t>
      </w:r>
    </w:p>
    <w:p w14:paraId="564EE476" w14:textId="288355C5"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având în vedere Raportul anual al Curții de Conturi referitor la execuția bugetului privind exercițiul financiar 2023, însoțit de răspunsurile instituțiilor </w:t>
      </w:r>
      <w:r w:rsidR="00C71605" w:rsidRPr="00C71605">
        <w:rPr>
          <w:rFonts w:eastAsia="Aptos"/>
          <w:szCs w:val="24"/>
          <w:vertAlign w:val="superscript"/>
        </w:rPr>
        <w:footnoteReference w:id="3"/>
      </w:r>
      <w:r w:rsidR="00C71605" w:rsidRPr="00C71605">
        <w:rPr>
          <w:rFonts w:eastAsia="Aptos"/>
          <w:szCs w:val="24"/>
        </w:rPr>
        <w:t>,</w:t>
      </w:r>
    </w:p>
    <w:p w14:paraId="2B9F5836" w14:textId="718E1D91"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având în vedere declarația de asigurare </w:t>
      </w:r>
      <w:r w:rsidR="00C71605" w:rsidRPr="00C71605">
        <w:rPr>
          <w:rFonts w:eastAsia="Aptos"/>
          <w:szCs w:val="24"/>
          <w:vertAlign w:val="superscript"/>
        </w:rPr>
        <w:footnoteReference w:id="4"/>
      </w:r>
      <w:r w:rsidR="00C71605" w:rsidRPr="00C71605">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1B07E530" w14:textId="51B42B1C"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având în vedere articolul 314 alineatul (10) și articolele 317, 318 și 319 din Tratatul privind funcționarea Uniunii Europene,</w:t>
      </w:r>
    </w:p>
    <w:p w14:paraId="18F0268D" w14:textId="357AF7F0"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 xml:space="preserve">având în vedere Regulamentul (UE, Euratom) 2018/1046 al Parlamentului European și al Consiliului din 18 iulie 2018 privind normele financiare aplicabile bugetului general al Uniunii, de modificare a Regulamentelor (UE) nr. 1296/2013, (UE) nr. 1301/2013, (UE) </w:t>
      </w:r>
      <w:r w:rsidR="00C71605" w:rsidRPr="00C71605">
        <w:rPr>
          <w:rFonts w:eastAsia="Aptos"/>
          <w:szCs w:val="24"/>
        </w:rPr>
        <w:lastRenderedPageBreak/>
        <w:t>nr. 1303/2013, (UE) nr. 1304/2013, (UE) nr. 1309/2013, (UE) nr. 1316/2013, (UE) nr. 223/2014, (UE) nr. 283/2014 și a Deciziei nr. 541/2014/UE și de abrogare a Regulamentului (UE, Euratom) nr. 966/2012 </w:t>
      </w:r>
      <w:r w:rsidR="00C71605" w:rsidRPr="00C71605">
        <w:rPr>
          <w:rFonts w:eastAsia="Aptos"/>
          <w:szCs w:val="24"/>
          <w:vertAlign w:val="superscript"/>
        </w:rPr>
        <w:footnoteReference w:id="5"/>
      </w:r>
      <w:r w:rsidR="00C71605" w:rsidRPr="00C71605">
        <w:rPr>
          <w:rFonts w:eastAsia="Aptos"/>
          <w:szCs w:val="24"/>
        </w:rPr>
        <w:t>, în special articolele 59, 118, 260, 261 și 262,</w:t>
      </w:r>
    </w:p>
    <w:p w14:paraId="5003A6F8" w14:textId="48410B07"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 xml:space="preserve">având în vedere </w:t>
      </w:r>
      <w:r w:rsidR="00C71605" w:rsidRPr="00C71605">
        <w:rPr>
          <w:rFonts w:eastAsia="Aptos"/>
          <w:szCs w:val="24"/>
          <w:shd w:val="clear" w:color="auto" w:fill="FFFFFF"/>
        </w:rPr>
        <w:t>Regulamentul (UE, Euratom) 2024/2509 al Parlamentului European și al Consiliului din 23 septembrie 2024 privind normele financiare aplicabile bugetului general al Uniunii </w:t>
      </w:r>
      <w:r w:rsidR="00C71605" w:rsidRPr="00C71605">
        <w:rPr>
          <w:rFonts w:eastAsia="Aptos"/>
          <w:bCs/>
          <w:szCs w:val="24"/>
          <w:shd w:val="clear" w:color="auto" w:fill="FFFFFF"/>
          <w:vertAlign w:val="superscript"/>
        </w:rPr>
        <w:footnoteReference w:id="6"/>
      </w:r>
      <w:r w:rsidR="00C71605" w:rsidRPr="00C71605">
        <w:rPr>
          <w:rFonts w:eastAsia="Aptos"/>
          <w:szCs w:val="24"/>
          <w:shd w:val="clear" w:color="auto" w:fill="FFFFFF"/>
        </w:rPr>
        <w:t>, în special articolele 59, 118, 266, 267 și 268</w:t>
      </w:r>
      <w:r w:rsidR="00C71605" w:rsidRPr="00C71605">
        <w:rPr>
          <w:rFonts w:eastAsia="Aptos"/>
          <w:szCs w:val="24"/>
        </w:rPr>
        <w:t>,</w:t>
      </w:r>
    </w:p>
    <w:p w14:paraId="37295754" w14:textId="7437B560"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având în vedere articolul 102 și anexa V la Regulamentul său de procedură,</w:t>
      </w:r>
    </w:p>
    <w:p w14:paraId="4808062F" w14:textId="6D94D8A6" w:rsidR="00C71605" w:rsidRPr="00C71605" w:rsidRDefault="00022566" w:rsidP="001C0845">
      <w:pPr>
        <w:widowControl/>
        <w:spacing w:after="240"/>
        <w:ind w:left="567" w:hanging="567"/>
        <w:jc w:val="both"/>
        <w:rPr>
          <w:rFonts w:eastAsia="Aptos"/>
          <w:szCs w:val="24"/>
        </w:rPr>
      </w:pPr>
      <w:r>
        <w:rPr>
          <w:rFonts w:eastAsia="Aptos"/>
          <w:szCs w:val="24"/>
        </w:rPr>
        <w:t>–</w:t>
      </w:r>
      <w:r w:rsidR="00C71605" w:rsidRPr="00C71605">
        <w:rPr>
          <w:rFonts w:eastAsia="Aptos"/>
          <w:szCs w:val="24"/>
        </w:rPr>
        <w:tab/>
        <w:t>având în vedere raportul Comisiei pentru control bugetar (A10-0046/2025),</w:t>
      </w:r>
    </w:p>
    <w:p w14:paraId="76E21CA7"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w:t>
      </w:r>
      <w:r w:rsidRPr="00C71605">
        <w:rPr>
          <w:kern w:val="2"/>
          <w14:ligatures w14:val="standardContextual"/>
        </w:rPr>
        <w:tab/>
        <w:t>acordă secretarului general al Comitetului Regiunilor descărcarea de gestiune pentru execuția bugetului Comitetului Regiunilor aferent exercițiului financiar 2023;</w:t>
      </w:r>
    </w:p>
    <w:p w14:paraId="5B721BD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2.</w:t>
      </w:r>
      <w:r w:rsidRPr="00C71605">
        <w:rPr>
          <w:kern w:val="2"/>
          <w14:ligatures w14:val="standardContextual"/>
        </w:rPr>
        <w:tab/>
        <w:t>își prezintă observațiile în cadrul rezoluției de mai jos;</w:t>
      </w:r>
    </w:p>
    <w:p w14:paraId="43A3EE63" w14:textId="4368434D" w:rsidR="00C71605" w:rsidRPr="00C71605" w:rsidRDefault="00C71605" w:rsidP="001C0845">
      <w:pPr>
        <w:spacing w:after="240"/>
        <w:ind w:left="567" w:hanging="567"/>
        <w:rPr>
          <w:kern w:val="2"/>
          <w14:ligatures w14:val="standardContextual"/>
        </w:rPr>
      </w:pPr>
      <w:r w:rsidRPr="00C71605">
        <w:rPr>
          <w:kern w:val="2"/>
          <w14:ligatures w14:val="standardContextual"/>
        </w:rPr>
        <w:t>3.</w:t>
      </w:r>
      <w:r w:rsidRPr="00C71605">
        <w:rPr>
          <w:kern w:val="2"/>
          <w14:ligatures w14:val="standardContextual"/>
        </w:rPr>
        <w:tab/>
        <w:t xml:space="preserve">încredințează </w:t>
      </w:r>
      <w:r w:rsidR="00022566">
        <w:rPr>
          <w:kern w:val="2"/>
          <w14:ligatures w14:val="standardContextual"/>
        </w:rPr>
        <w:t>P</w:t>
      </w:r>
      <w:r w:rsidRPr="00C71605">
        <w:rPr>
          <w:kern w:val="2"/>
          <w14:ligatures w14:val="standardContextual"/>
        </w:rPr>
        <w:t xml:space="preserve">reședintei sarcina de a transmite prezenta decizie împreună cu rezoluția Parlamentului, ca parte integrantă a acesteia, Comitetului Regiunilor, Consiliului, Comisiei și Curții de Conturi și de a asigura publicarea acestora în </w:t>
      </w:r>
      <w:r w:rsidRPr="00C71605">
        <w:rPr>
          <w:i/>
          <w:kern w:val="2"/>
          <w14:ligatures w14:val="standardContextual"/>
        </w:rPr>
        <w:t>Jurnalul Oficial al Uniunii Europene</w:t>
      </w:r>
      <w:r w:rsidRPr="00C71605">
        <w:rPr>
          <w:kern w:val="2"/>
          <w14:ligatures w14:val="standardContextual"/>
        </w:rPr>
        <w:t xml:space="preserve"> (seria L).</w:t>
      </w:r>
    </w:p>
    <w:p w14:paraId="02FD2489" w14:textId="77777777" w:rsidR="00C71605" w:rsidRPr="00C71605" w:rsidRDefault="00C71605" w:rsidP="00C71605">
      <w:pPr>
        <w:widowControl/>
        <w:jc w:val="both"/>
        <w:rPr>
          <w:rFonts w:eastAsia="Aptos"/>
          <w:kern w:val="2"/>
          <w:szCs w:val="24"/>
          <w:lang w:eastAsia="en-US"/>
          <w14:ligatures w14:val="standardContextual"/>
        </w:rPr>
        <w:sectPr w:rsidR="00C71605" w:rsidRPr="00C71605" w:rsidSect="0094495C">
          <w:footnotePr>
            <w:numRestart w:val="eachSect"/>
          </w:footnotePr>
          <w:pgSz w:w="11906" w:h="16838"/>
          <w:pgMar w:top="1134" w:right="1418" w:bottom="1418" w:left="1418" w:header="709" w:footer="709" w:gutter="0"/>
          <w:cols w:space="708"/>
          <w:docGrid w:linePitch="360"/>
        </w:sectPr>
      </w:pPr>
    </w:p>
    <w:p w14:paraId="446F43B5" w14:textId="77777777" w:rsidR="00C71605" w:rsidRPr="00C71605" w:rsidRDefault="00C71605" w:rsidP="00C71605">
      <w:pPr>
        <w:pStyle w:val="ATHeading3"/>
      </w:pPr>
      <w:r w:rsidRPr="00C71605">
        <w:lastRenderedPageBreak/>
        <w:t>2. Rezoluția Parlamentului European din 7 mai 2025 conținând observațiile care fac parte integrantă din decizia privind descărcarea de gestiune pentru execuția bugetului general al Uniunii Europene aferent exercițiului financiar 2023, secțiunea VII – Comitetul Regiunilor (2024/2026(DEC))</w:t>
      </w:r>
    </w:p>
    <w:p w14:paraId="7B854979" w14:textId="15A74E2B" w:rsidR="00C71605" w:rsidRPr="00C71605" w:rsidRDefault="00C71605" w:rsidP="00C71605">
      <w:pPr>
        <w:spacing w:before="480" w:after="240"/>
        <w:rPr>
          <w:i/>
          <w:kern w:val="2"/>
          <w14:ligatures w14:val="standardContextual"/>
        </w:rPr>
      </w:pPr>
      <w:r w:rsidRPr="00C71605">
        <w:rPr>
          <w:i/>
          <w:kern w:val="2"/>
          <w14:ligatures w14:val="standardContextual"/>
        </w:rPr>
        <w:t>Parlamentul European,</w:t>
      </w:r>
    </w:p>
    <w:p w14:paraId="4360AC2E" w14:textId="2A2AFF90" w:rsidR="00C71605" w:rsidRPr="00C71605" w:rsidRDefault="00022566" w:rsidP="001C0845">
      <w:pPr>
        <w:spacing w:after="240"/>
        <w:ind w:left="567" w:hanging="567"/>
        <w:rPr>
          <w:kern w:val="2"/>
          <w14:ligatures w14:val="standardContextual"/>
        </w:rPr>
      </w:pPr>
      <w:r>
        <w:rPr>
          <w:kern w:val="2"/>
          <w14:ligatures w14:val="standardContextual"/>
        </w:rPr>
        <w:t>–</w:t>
      </w:r>
      <w:r w:rsidR="00C71605" w:rsidRPr="00C71605">
        <w:rPr>
          <w:kern w:val="2"/>
          <w14:ligatures w14:val="standardContextual"/>
        </w:rPr>
        <w:tab/>
        <w:t>având în vedere decizia sa privind descărcarea de gestiune pentru execuția bugetului general al Uniunii Europene aferent exercițiului financiar 2023, secțiunea VII – Comitetul Regiunilor,</w:t>
      </w:r>
    </w:p>
    <w:p w14:paraId="6EBA390D" w14:textId="2A53375C" w:rsidR="00C71605" w:rsidRPr="00C71605" w:rsidRDefault="00022566" w:rsidP="001C0845">
      <w:pPr>
        <w:spacing w:after="240"/>
        <w:ind w:left="567" w:hanging="567"/>
        <w:rPr>
          <w:kern w:val="2"/>
          <w14:ligatures w14:val="standardContextual"/>
        </w:rPr>
      </w:pPr>
      <w:r>
        <w:rPr>
          <w:kern w:val="2"/>
          <w14:ligatures w14:val="standardContextual"/>
        </w:rPr>
        <w:t>–</w:t>
      </w:r>
      <w:r w:rsidR="00C71605" w:rsidRPr="00C71605">
        <w:rPr>
          <w:kern w:val="2"/>
          <w14:ligatures w14:val="standardContextual"/>
        </w:rPr>
        <w:tab/>
        <w:t>având în vedere articolul 102 și anexa V la Regulamentul său de procedură,</w:t>
      </w:r>
    </w:p>
    <w:p w14:paraId="792B877A" w14:textId="178074B6" w:rsidR="00C71605" w:rsidRPr="00C71605" w:rsidRDefault="00022566" w:rsidP="001C0845">
      <w:pPr>
        <w:spacing w:after="240"/>
        <w:ind w:left="567" w:hanging="567"/>
        <w:rPr>
          <w:kern w:val="2"/>
          <w14:ligatures w14:val="standardContextual"/>
        </w:rPr>
      </w:pPr>
      <w:r>
        <w:rPr>
          <w:kern w:val="2"/>
          <w14:ligatures w14:val="standardContextual"/>
        </w:rPr>
        <w:t>–</w:t>
      </w:r>
      <w:r w:rsidR="00C71605" w:rsidRPr="00C71605">
        <w:rPr>
          <w:kern w:val="2"/>
          <w14:ligatures w14:val="standardContextual"/>
        </w:rPr>
        <w:tab/>
        <w:t>având în vedere raportul Comisiei pentru control bugetar (A10-0046/2025),</w:t>
      </w:r>
    </w:p>
    <w:p w14:paraId="15F958EC"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A.</w:t>
      </w:r>
      <w:r w:rsidRPr="00C71605">
        <w:rPr>
          <w:kern w:val="2"/>
          <w14:ligatures w14:val="standardContextual"/>
        </w:rPr>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19D5041E" w14:textId="77777777" w:rsidR="00C71605" w:rsidRPr="00C71605" w:rsidRDefault="00C71605" w:rsidP="001C0845">
      <w:pPr>
        <w:spacing w:after="240"/>
        <w:ind w:left="567" w:hanging="567"/>
        <w:rPr>
          <w:color w:val="000000"/>
          <w:kern w:val="2"/>
          <w14:ligatures w14:val="standardContextual"/>
        </w:rPr>
      </w:pPr>
      <w:r w:rsidRPr="00C71605">
        <w:rPr>
          <w:kern w:val="2"/>
          <w14:ligatures w14:val="standardContextual"/>
        </w:rPr>
        <w:t>B.</w:t>
      </w:r>
      <w:r w:rsidRPr="00C71605">
        <w:rPr>
          <w:kern w:val="2"/>
          <w14:ligatures w14:val="standardContextual"/>
        </w:rPr>
        <w:tab/>
      </w:r>
      <w:r w:rsidRPr="00C71605">
        <w:rPr>
          <w:color w:val="000000"/>
          <w:kern w:val="2"/>
          <w14:ligatures w14:val="standardContextual"/>
        </w:rPr>
        <w:t>întrucât Comitetul Regiunilor (denumit în continuare „Comitetul”) este o adunare politică formată din 329 de membri aleși în regiunile, orașele, satele și municipalitățile din cele 27 de state membre ale Uniunii, care funcționează ca organ consultativ al instituțiilor Uniunii, cu misiunea de a contribui la elaborarea politicilor Uniunii și la procesul decizional din punctul de vedere al autorităților locale și regionale și, în același timp, de a contribui la o Uniune mai eficace și mai aproape de cetățeni;</w:t>
      </w:r>
    </w:p>
    <w:p w14:paraId="1C0BB716" w14:textId="77777777" w:rsidR="00C71605" w:rsidRPr="00C71605" w:rsidRDefault="00C71605" w:rsidP="001C0845">
      <w:pPr>
        <w:spacing w:after="240"/>
        <w:ind w:left="567" w:hanging="567"/>
        <w:rPr>
          <w:color w:val="000000"/>
          <w:kern w:val="2"/>
          <w14:ligatures w14:val="standardContextual"/>
        </w:rPr>
      </w:pPr>
      <w:r w:rsidRPr="00C71605">
        <w:rPr>
          <w:color w:val="000000"/>
          <w:kern w:val="2"/>
          <w14:ligatures w14:val="standardContextual"/>
        </w:rPr>
        <w:t>C.</w:t>
      </w:r>
      <w:r w:rsidRPr="00C71605">
        <w:rPr>
          <w:color w:val="000000"/>
          <w:kern w:val="2"/>
          <w14:ligatures w14:val="standardContextual"/>
        </w:rPr>
        <w:tab/>
        <w:t>întrucât consultarea Comitetului de către Comisie sau Consiliu este obligatorie în anumite cazuri, iar Comitetul poate adopta și avize din proprie inițiativă, beneficiind de o marjă largă de sesizare, astfel cum este definită în tratate, ceea ce îi permite să fie consultat de Parlament;</w:t>
      </w:r>
    </w:p>
    <w:p w14:paraId="087B85B6" w14:textId="77777777" w:rsidR="00C71605" w:rsidRPr="00C71605" w:rsidRDefault="00C71605" w:rsidP="001C0845">
      <w:pPr>
        <w:spacing w:after="240"/>
        <w:ind w:left="567" w:hanging="567"/>
        <w:rPr>
          <w:color w:val="000000"/>
          <w:kern w:val="2"/>
          <w14:ligatures w14:val="standardContextual"/>
        </w:rPr>
      </w:pPr>
      <w:r w:rsidRPr="00C71605">
        <w:rPr>
          <w:color w:val="000000"/>
          <w:kern w:val="2"/>
          <w14:ligatures w14:val="standardContextual"/>
        </w:rPr>
        <w:t>D.</w:t>
      </w:r>
      <w:r w:rsidRPr="00C71605">
        <w:rPr>
          <w:color w:val="000000"/>
          <w:kern w:val="2"/>
          <w14:ligatures w14:val="standardContextual"/>
        </w:rPr>
        <w:tab/>
        <w:t>întrucât activitățile Comitetului sunt definite pe baza strategiei sale politice globale, astfel cum a fost prezentată în rezoluția sa din 2 iulie 2020 privind prioritățile sale pentru perioada 2020-2025 </w:t>
      </w:r>
      <w:r w:rsidRPr="00C71605">
        <w:rPr>
          <w:color w:val="000000"/>
          <w:kern w:val="2"/>
          <w:vertAlign w:val="superscript"/>
          <w14:ligatures w14:val="standardContextual"/>
        </w:rPr>
        <w:footnoteReference w:id="7"/>
      </w:r>
      <w:r w:rsidRPr="00C71605">
        <w:rPr>
          <w:color w:val="000000"/>
          <w:kern w:val="2"/>
          <w14:ligatures w14:val="standardContextual"/>
        </w:rPr>
        <w:t xml:space="preserve">, și întrucât Comitetul a adoptat trei priorități politice pentru mandatul 2020-2025, însoțite de trei campanii de comunicare: apropierea Europei de cetățeni, construirea unor comunități regionale și locale </w:t>
      </w:r>
      <w:proofErr w:type="spellStart"/>
      <w:r w:rsidRPr="00C71605">
        <w:rPr>
          <w:color w:val="000000"/>
          <w:kern w:val="2"/>
          <w14:ligatures w14:val="standardContextual"/>
        </w:rPr>
        <w:t>reziliente</w:t>
      </w:r>
      <w:proofErr w:type="spellEnd"/>
      <w:r w:rsidRPr="00C71605">
        <w:rPr>
          <w:color w:val="000000"/>
          <w:kern w:val="2"/>
          <w14:ligatures w14:val="standardContextual"/>
        </w:rPr>
        <w:t xml:space="preserve"> și promovarea coeziunii ca valoare fundamentală a UE;</w:t>
      </w:r>
    </w:p>
    <w:p w14:paraId="05C54BDF" w14:textId="77777777" w:rsidR="00C71605" w:rsidRPr="00C71605" w:rsidRDefault="00C71605" w:rsidP="001C0845">
      <w:pPr>
        <w:spacing w:after="240"/>
        <w:ind w:left="567" w:hanging="567"/>
        <w:rPr>
          <w:color w:val="000000"/>
          <w:kern w:val="2"/>
          <w14:ligatures w14:val="standardContextual"/>
        </w:rPr>
      </w:pPr>
      <w:r w:rsidRPr="00C71605">
        <w:rPr>
          <w:color w:val="000000"/>
          <w:kern w:val="2"/>
          <w14:ligatures w14:val="standardContextual"/>
        </w:rPr>
        <w:t>E.</w:t>
      </w:r>
      <w:r w:rsidRPr="00C71605">
        <w:rPr>
          <w:color w:val="000000"/>
          <w:kern w:val="2"/>
          <w14:ligatures w14:val="standardContextual"/>
        </w:rPr>
        <w:tab/>
        <w:t xml:space="preserve">întrucât administrațiile locale și regionale reprezintă o treime din cheltuielile publice, jumătate din investițiile publice și o pătrime din veniturile fiscale și, în multe state membre, dețin competențe în domenii-cheie precum educația, dezvoltarea economică și coeziunea, mediul, protecția socială, sănătatea și serviciile de interes general, astfel încât coordonarea la nivel local, regional, național și european sporește legitimitatea legislației, îmbunătățește asumarea responsabilității și apără mai eficient interesele </w:t>
      </w:r>
      <w:r w:rsidRPr="00C71605">
        <w:rPr>
          <w:color w:val="000000"/>
          <w:kern w:val="2"/>
          <w14:ligatures w14:val="standardContextual"/>
        </w:rPr>
        <w:lastRenderedPageBreak/>
        <w:t>cetățenilor;</w:t>
      </w:r>
    </w:p>
    <w:p w14:paraId="7CFC58B0" w14:textId="77777777" w:rsidR="00C71605" w:rsidRPr="00C71605" w:rsidRDefault="00C71605" w:rsidP="001C0845">
      <w:pPr>
        <w:spacing w:after="240"/>
        <w:ind w:left="567" w:hanging="567"/>
        <w:rPr>
          <w:color w:val="000000"/>
          <w:kern w:val="2"/>
          <w14:ligatures w14:val="standardContextual"/>
        </w:rPr>
      </w:pPr>
      <w:r w:rsidRPr="00C71605">
        <w:rPr>
          <w:color w:val="000000"/>
          <w:kern w:val="2"/>
          <w14:ligatures w14:val="standardContextual"/>
        </w:rPr>
        <w:t>F.</w:t>
      </w:r>
      <w:r w:rsidRPr="00C71605">
        <w:rPr>
          <w:color w:val="000000"/>
          <w:kern w:val="2"/>
          <w14:ligatures w14:val="standardContextual"/>
        </w:rPr>
        <w:tab/>
        <w:t>întrucât Comitetul își urmărește obiectivul politic de a-și consolida implicarea în întregul ciclu politic și legislativ al Uniunii, asigurând în același timp o legătură mai tangibilă cu cetățenii Uniunii prin activitatea membrilor Comitetului ca multiplicatori puternici în comunitățile lor și în asociațiile lor naționale de autorități locale și regionale;</w:t>
      </w:r>
    </w:p>
    <w:p w14:paraId="77E35E5B" w14:textId="77777777" w:rsidR="00C71605" w:rsidRPr="00C71605" w:rsidRDefault="00C71605" w:rsidP="001C0845">
      <w:pPr>
        <w:spacing w:after="240"/>
        <w:ind w:left="567" w:hanging="567"/>
        <w:rPr>
          <w:color w:val="000000"/>
          <w:kern w:val="2"/>
          <w14:ligatures w14:val="standardContextual"/>
        </w:rPr>
      </w:pPr>
      <w:r w:rsidRPr="00C71605">
        <w:rPr>
          <w:color w:val="000000"/>
          <w:kern w:val="2"/>
          <w14:ligatures w14:val="standardContextual"/>
        </w:rPr>
        <w:t>G.</w:t>
      </w:r>
      <w:r w:rsidRPr="00C71605">
        <w:rPr>
          <w:color w:val="000000"/>
          <w:kern w:val="2"/>
          <w14:ligatures w14:val="standardContextual"/>
        </w:rPr>
        <w:tab/>
        <w:t xml:space="preserve">întrucât Comitetul a identificat 11 domenii-cheie prioritare pentru ca acțiunile sale să devină mai strategice și cu un impact mai mare în 2023: (1) acțiunile ulterioare Conferinței privind viitorul Europei, subsidiaritatea activă și o mai bună legiferare; (2) Ucraina și extinderea; (3) Energia și criza climatică; (4) Mediul; (5) Politica de coeziune – impulsionarea punerii în aplicare a politicii de coeziune și conturarea viitorului acesteia pentru perioada de după 2027; (6) Cadrul financiar multianual; (7) Guvernarea economică pentru o </w:t>
      </w:r>
      <w:proofErr w:type="spellStart"/>
      <w:r w:rsidRPr="00C71605">
        <w:rPr>
          <w:color w:val="000000"/>
          <w:kern w:val="2"/>
          <w14:ligatures w14:val="standardContextual"/>
        </w:rPr>
        <w:t>Europă</w:t>
      </w:r>
      <w:proofErr w:type="spellEnd"/>
      <w:r w:rsidRPr="00C71605">
        <w:rPr>
          <w:color w:val="000000"/>
          <w:kern w:val="2"/>
          <w14:ligatures w14:val="standardContextual"/>
        </w:rPr>
        <w:t xml:space="preserve"> echitabilă și sustenabilă; (8) Anul european al competențelor 2023; (9) Parteneriatul pentru inovare regională și promovarea misiunilor teritoriale; (10) Protecția civilă; (11) Siguranța alimentară;</w:t>
      </w:r>
    </w:p>
    <w:p w14:paraId="68A7C42A"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H.</w:t>
      </w:r>
      <w:r w:rsidRPr="00C71605">
        <w:rPr>
          <w:kern w:val="2"/>
          <w14:ligatures w14:val="standardContextual"/>
        </w:rPr>
        <w:tab/>
        <w:t xml:space="preserve">întrucât Regulamentul (UE) 2021/1060 </w:t>
      </w:r>
      <w:r w:rsidRPr="00C71605">
        <w:rPr>
          <w:bCs/>
          <w:kern w:val="2"/>
          <w14:ligatures w14:val="standardContextual"/>
        </w:rPr>
        <w:t>al Parlamentului European și al Consiliului</w:t>
      </w:r>
      <w:r w:rsidRPr="00C71605">
        <w:rPr>
          <w:kern w:val="2"/>
          <w14:ligatures w14:val="standardContextual"/>
        </w:rPr>
        <w:t> </w:t>
      </w:r>
      <w:r w:rsidRPr="00C71605">
        <w:rPr>
          <w:kern w:val="2"/>
          <w:vertAlign w:val="superscript"/>
          <w14:ligatures w14:val="standardContextual"/>
        </w:rPr>
        <w:footnoteReference w:id="8"/>
      </w:r>
      <w:r w:rsidRPr="00C71605">
        <w:rPr>
          <w:kern w:val="2"/>
          <w14:ligatures w14:val="standardContextual"/>
        </w:rPr>
        <w:t>, care reglementează politica de coeziune a Uniunii și finanțarea în perioada 2021-2027 și care a intrat în vigoare în iulie 2021, cuprinde trimiteri la principiul parteneriatului și al guvernanței pe mai multe niveluri, susținut de Comitet și de Parlament și implicând participarea regiunilor; sprijină în mod ferm consolidarea investițiilor Uniunii legate de reziliența regională și locală în următorul Cadru Financiar Multianual (CFM);</w:t>
      </w:r>
    </w:p>
    <w:p w14:paraId="071D69E2"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I.</w:t>
      </w:r>
      <w:r w:rsidRPr="00C71605">
        <w:rPr>
          <w:kern w:val="2"/>
          <w14:ligatures w14:val="standardContextual"/>
        </w:rPr>
        <w:tab/>
        <w:t>întrucât cele peste 400 de programe naționale și regionale create pentru punerea în aplicare a politicii de coeziune a Uniunii în perioada de programare 2021-2027 vor pune la dispoziție aproximativ 380 de miliarde EUR, în cadrul unor fonduri diferite, pentru a face față încercărilor economice, sociale și de mediu cu care se confruntă regiunile, orașele, satele și municipalitățile Uniunii;</w:t>
      </w:r>
    </w:p>
    <w:p w14:paraId="0E73C8CA" w14:textId="77777777" w:rsidR="00C71605" w:rsidRPr="00C71605" w:rsidRDefault="00C71605" w:rsidP="001C0845">
      <w:pPr>
        <w:spacing w:after="240"/>
        <w:ind w:left="567" w:hanging="567"/>
        <w:rPr>
          <w:color w:val="000000"/>
          <w:kern w:val="2"/>
          <w14:ligatures w14:val="standardContextual"/>
        </w:rPr>
      </w:pPr>
      <w:r w:rsidRPr="00C71605">
        <w:rPr>
          <w:color w:val="000000"/>
          <w:kern w:val="2"/>
          <w14:ligatures w14:val="standardContextual"/>
        </w:rPr>
        <w:t>J.</w:t>
      </w:r>
      <w:r w:rsidRPr="00C71605">
        <w:rPr>
          <w:color w:val="000000"/>
          <w:kern w:val="2"/>
          <w14:ligatures w14:val="standardContextual"/>
        </w:rPr>
        <w:tab/>
        <w:t xml:space="preserve">întrucât, la 19 februarie 2021, a intrat în vigoare Regulamentul (UE) 2021/241 </w:t>
      </w:r>
      <w:r w:rsidRPr="00C71605">
        <w:rPr>
          <w:bCs/>
          <w:color w:val="000000"/>
          <w:kern w:val="2"/>
          <w14:ligatures w14:val="standardContextual"/>
        </w:rPr>
        <w:t>al Parlamentului European și al Consiliului</w:t>
      </w:r>
      <w:r w:rsidRPr="00C71605">
        <w:rPr>
          <w:color w:val="000000"/>
          <w:kern w:val="2"/>
          <w14:ligatures w14:val="standardContextual"/>
        </w:rPr>
        <w:t> </w:t>
      </w:r>
      <w:r w:rsidRPr="00C71605">
        <w:rPr>
          <w:color w:val="000000"/>
          <w:kern w:val="2"/>
          <w:vertAlign w:val="superscript"/>
          <w14:ligatures w14:val="standardContextual"/>
        </w:rPr>
        <w:footnoteReference w:id="9"/>
      </w:r>
      <w:r w:rsidRPr="00C71605">
        <w:rPr>
          <w:color w:val="000000"/>
          <w:kern w:val="2"/>
          <w14:ligatures w14:val="standardContextual"/>
        </w:rPr>
        <w:t xml:space="preserve"> de instituire a Mecanismului de redresare și reziliență al Uniunii, oferind temeiul juridic pentru distribuirea de fonduri și împrumuturi în valoare de până la 672,5 miliarde EUR (la prețurile din 2018) statelor membre între 2021 și 2026 și vizând, de asemenea, sprijinirea coeziunii economice, sociale și teritoriale și abordarea disparităților dintre regiunile Uniunii;</w:t>
      </w:r>
    </w:p>
    <w:p w14:paraId="0AEA9E04" w14:textId="77777777" w:rsidR="00C71605" w:rsidRPr="00C71605" w:rsidRDefault="00C71605" w:rsidP="001C0845">
      <w:pPr>
        <w:spacing w:after="240"/>
        <w:ind w:left="567" w:hanging="567"/>
        <w:rPr>
          <w:color w:val="000000"/>
          <w:kern w:val="2"/>
          <w14:ligatures w14:val="standardContextual"/>
        </w:rPr>
      </w:pPr>
      <w:r w:rsidRPr="00C71605">
        <w:rPr>
          <w:color w:val="000000"/>
          <w:kern w:val="2"/>
          <w14:ligatures w14:val="standardContextual"/>
        </w:rPr>
        <w:t>K.</w:t>
      </w:r>
      <w:r w:rsidRPr="00C71605">
        <w:rPr>
          <w:color w:val="000000"/>
          <w:kern w:val="2"/>
          <w14:ligatures w14:val="standardContextual"/>
        </w:rPr>
        <w:tab/>
        <w:t xml:space="preserve">întrucât, în calitate de instituție a Uniunii în sensul Regulamentului financiar, Comitetul trebuie să își adopte propriile conturi anuale, întocmite în conformitate cu normele </w:t>
      </w:r>
      <w:r w:rsidRPr="00C71605">
        <w:rPr>
          <w:color w:val="000000"/>
          <w:kern w:val="2"/>
          <w14:ligatures w14:val="standardContextual"/>
        </w:rPr>
        <w:lastRenderedPageBreak/>
        <w:t>contabile adoptate de contabilul Comisiei (normele contabile ale Uniunii Europene), pe baza Standardelor internaționale de contabilitate pentru sectorul public, care sunt în final consolidate în cele ale Uniunii,</w:t>
      </w:r>
    </w:p>
    <w:p w14:paraId="65BCAE82"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w:t>
      </w:r>
      <w:r w:rsidRPr="00C71605">
        <w:rPr>
          <w:kern w:val="2"/>
          <w14:ligatures w14:val="standardContextual"/>
        </w:rPr>
        <w:tab/>
        <w:t>constată că bugetul Comitetului se încadrează la rubrica 7 din CFM, „Administrația publică europeană” („rubrica 7”), care a avut un cuantum total de 12,3 miliarde EUR, adică 6,4 % din cheltuielile de la bugetul Uniunii în 2023; constată că, în 2023, bugetul Comitetului a reprezentat 0,95 % din creditele de la rubrica 7 din CFM;</w:t>
      </w:r>
    </w:p>
    <w:p w14:paraId="127F8DC4"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2.</w:t>
      </w:r>
      <w:r w:rsidRPr="00C71605">
        <w:rPr>
          <w:kern w:val="2"/>
          <w14:ligatures w14:val="standardContextual"/>
        </w:rPr>
        <w:tab/>
        <w:t>constată că în raportul său anual pentru exercițiul financiar 2023, Curtea de Conturi („Curtea”) a examinat un eșantion de 70 de operațiuni de la rubrica 7, din care 21 (30 %) conțineau erori; constată, de asemenea, că, pentru cinci dintre aceste erori care au fost cuantificate de Curte, Curtea a estimat un nivel de eroare sub pragul de semnificație;</w:t>
      </w:r>
    </w:p>
    <w:p w14:paraId="426E5831"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3.</w:t>
      </w:r>
      <w:r w:rsidRPr="00C71605">
        <w:rPr>
          <w:kern w:val="2"/>
          <w14:ligatures w14:val="standardContextual"/>
        </w:rPr>
        <w:tab/>
        <w:t>ia notă, din raportul Curții, de observația acesteia potrivit căreia cheltuielile administrative cuprind cheltuielile cu resursele umane, inclusiv pensiile, care în 2023 au constituit aproximativ 70 % din totalul cheltuielilor administrative, precum și cheltuielile legate de clădiri, echipamente, energie, comunicații și tehnologia informației; salută opinia reînnoită a Curții potrivit căreia, în general, cheltuielile administrative prezintă un risc scăzut;</w:t>
      </w:r>
    </w:p>
    <w:p w14:paraId="1E3A2E4A"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w:t>
      </w:r>
      <w:r w:rsidRPr="00C71605">
        <w:rPr>
          <w:kern w:val="2"/>
          <w14:ligatures w14:val="standardContextual"/>
        </w:rPr>
        <w:tab/>
        <w:t>ia act, cu regret, din raportul Curții, de avizul său privind o tranzacție efectuată de Comitet în 2023, potrivit căruia durata de 10 ani a unui contract de întreținere a clădirilor nu a fost justificată suficient;</w:t>
      </w:r>
    </w:p>
    <w:p w14:paraId="390E823C" w14:textId="77777777" w:rsidR="00C71605" w:rsidRPr="00C71605" w:rsidRDefault="00C71605" w:rsidP="001C0845">
      <w:pPr>
        <w:spacing w:after="240"/>
        <w:ind w:left="567" w:hanging="567"/>
        <w:rPr>
          <w:b/>
          <w:i/>
          <w:kern w:val="2"/>
          <w14:ligatures w14:val="standardContextual"/>
        </w:rPr>
      </w:pPr>
      <w:r w:rsidRPr="00C71605">
        <w:rPr>
          <w:b/>
          <w:i/>
          <w:kern w:val="2"/>
          <w14:ligatures w14:val="standardContextual"/>
        </w:rPr>
        <w:t>Gestiunea bugetară și financiară</w:t>
      </w:r>
    </w:p>
    <w:p w14:paraId="7CA6F7DB"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w:t>
      </w:r>
      <w:r w:rsidRPr="00C71605">
        <w:rPr>
          <w:kern w:val="2"/>
          <w14:ligatures w14:val="standardContextual"/>
        </w:rPr>
        <w:tab/>
        <w:t>constată, pe baza raportului anual de activitate al Comitetului pentru 2023, că bugetul final adoptat al Comitetului a fost de 116 675 392 EUR în 2023, inclusiv bugetul rectificativ 4/2023 (salarii și energie), ceea ce reprezintă o creștere de 6 698 534 EUR (adică + 6,10 %) față de 2022; constată cu satisfacție că rata de execuție bugetară a Comitetului pentru creditele de angajament din exercițiul curent a crescut de la 99,20 % în 2022 la 99,9 % în 2023, iar rata de execuție a creditelor de plată din exercițiul curent a crescut de la 88 % în 2022 la 91,20 % în 2023; salută, de asemenea, creșterea ratei de execuție a creditelor C8 de la 81,60 % în 2022 la 85 % în 2023; consideră că aceste rate ridicate de execuție sunt, pe de o parte, un semn de bună gestiune bugetară și financiară din partea Comitetului, datorită monitorizării consolidate a execuției bugetare, previziunilor bugetare în timp util și realocării resurselor pentru a face față unor evenimente neprevăzute, dar, pe de altă parte, ar putea fi, de asemenea, un semn că Comitetul are nevoie de resurse suplimentare; invită Comisia și autoritatea bugetară să țină seama de acest lucru în cadrul procedurii bugetare;</w:t>
      </w:r>
    </w:p>
    <w:p w14:paraId="2C7F9860"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6.</w:t>
      </w:r>
      <w:r w:rsidRPr="00C71605">
        <w:rPr>
          <w:kern w:val="2"/>
          <w14:ligatures w14:val="standardContextual"/>
        </w:rPr>
        <w:tab/>
        <w:t xml:space="preserve">ia act de faptul că, în cursul anului 2023, Comitetul a executat 31 de transferuri în valoare totală de 2,84 milioane EUR, din care 25 de transferuri interne în valoare totală de 0,98 milioane EUR și șase transferuri externe în valoare totală de 1,86 milioane EUR, din care aproximativ 0,8 milioane EUR transferate către linii bugetare care cuprind contracte afectate de o inflație/indexare ridicată; constată că impactul războiului de agresiune al Rusiei împotriva Ucrainei a continuat să creeze presiune bugetară pentru Comitet în 2023; constată, în acest context, că Comitetul a fost cel mai afectat de rata ridicată a inflației, în mod direct sau indirect, în domenii precum costurile de deplasare </w:t>
      </w:r>
      <w:r w:rsidRPr="00C71605">
        <w:rPr>
          <w:kern w:val="2"/>
          <w14:ligatures w14:val="standardContextual"/>
        </w:rPr>
        <w:lastRenderedPageBreak/>
        <w:t xml:space="preserve">(misiuni), energia, chiriile și închirierea clădirilor, contractele de întreținere, proiectele de construcție, hârtia și plăcile </w:t>
      </w:r>
      <w:proofErr w:type="spellStart"/>
      <w:r w:rsidRPr="00C71605">
        <w:rPr>
          <w:kern w:val="2"/>
          <w14:ligatures w14:val="standardContextual"/>
        </w:rPr>
        <w:t>offset</w:t>
      </w:r>
      <w:proofErr w:type="spellEnd"/>
      <w:r w:rsidRPr="00C71605">
        <w:rPr>
          <w:kern w:val="2"/>
          <w14:ligatures w14:val="standardContextual"/>
        </w:rPr>
        <w:t>;</w:t>
      </w:r>
    </w:p>
    <w:p w14:paraId="3605729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7.</w:t>
      </w:r>
      <w:r w:rsidRPr="00C71605">
        <w:rPr>
          <w:kern w:val="2"/>
          <w14:ligatures w14:val="standardContextual"/>
        </w:rPr>
        <w:tab/>
        <w:t>ia act de o creștere cu aproximativ 20 % a plăților efectuate pentru membrii Comitetului, de la 6 573 307 EUR în 2022 la 7 955 968 EUR în 2023, plățile fiind efectuate pentru cheltuielile de deplasare (8 119 plăți), indemnizațiile de deplasare (4 449 de plăți), indemnizațiile de ședință pentru participarea cu prezență fizică (7 845 de plăți) și participarea de la distanță (152 de plăți);</w:t>
      </w:r>
    </w:p>
    <w:p w14:paraId="0A0AE5C7"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8.</w:t>
      </w:r>
      <w:r w:rsidRPr="00C71605">
        <w:rPr>
          <w:kern w:val="2"/>
          <w14:ligatures w14:val="standardContextual"/>
        </w:rPr>
        <w:tab/>
        <w:t>constată că bugetul pentru misiuni (creditele exercițiului curent) a rămas stabil, cu 420 833 EUR în 2023 (față de 419 657 EUR în 2022) și o rată de execuție de aproximativ 80 % în 2023 (similară cu rata pe 2022); ia act de faptul că, în pofida unei creșteri a costurilor medii de cazare și de deplasare, bugetul pentru misiuni al Comitetului a rămas stabil, grație unei reduceri cu 13 % a numărului de misiuni efectuate în 2023 comparativ cu 2022; salută faptul că indemnizația pentru președinția Comitetului (președintele și primul vicepreședinte) pentru cheltuieli de călătorie și aferente ședințelor, finanțate de la bugetul general pentru cheltuielile membrilor, a scăzut de la 71 810 EUR la 62 268 EUR, reprezentând o scădere de 13 % în perioada 2022-2023; încurajează Comitetul să raționalizeze și să reducă în continuare cheltuielile în acest domeniu, asigurând o alocare optimă a resurselor în concordanță cu principiile bunei gestiuni financiare;</w:t>
      </w:r>
    </w:p>
    <w:p w14:paraId="5F1DB69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9.</w:t>
      </w:r>
      <w:r w:rsidRPr="00C71605">
        <w:rPr>
          <w:kern w:val="2"/>
          <w14:ligatures w14:val="standardContextual"/>
        </w:rPr>
        <w:tab/>
        <w:t>observă cu îngrijorare o creștere de aproximativ 19 % a creditelor pentru serviciile de interpretare în anul în curs, de la 3,494 milioane EUR în 2022 la 4,167 milioane EUR în 2023; solicită Comitetului să explice motivele acestei creșteri, având în vedere faptul că, în același timp, Comitetul a comunicat economii în legătură cu utilizarea interpretării de la distanță în 2023;</w:t>
      </w:r>
    </w:p>
    <w:p w14:paraId="11F3B580"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10.</w:t>
      </w:r>
      <w:r w:rsidRPr="00C71605">
        <w:rPr>
          <w:kern w:val="2"/>
          <w14:ligatures w14:val="standardContextual"/>
        </w:rPr>
        <w:tab/>
        <w:t>ia act de faptul că, până la 23 iulie 2023, indemnizația forfetară de ședință la distanță plătită de Comitet membrilor săi, supleanților acestora, precum și experților raportorilor și vorbitorilor invitați să participe la ședințe la distanță sau în format hibrid a fost de 200 EUR; constată, de asemenea, că, la acea dată, au intrat în vigoare noi norme pe această temă, care stabilesc indemnizația forfetară de ședință la distanță la 50 % din indemnizația obișnuită de ședință, cea din urmă fiind de 359 EUR, iar prima de 179,50 EUR; ia act, în acest context, de o scădere semnificativă a cuantumului total plătit pentru indemnizațiile de ședință la distanță, de la 1 742 000 EUR în 2021 și 489 600 EUR în 2022, la 32 632 EUR în 2023, în timp ce cheltuielile totale legate de linia bugetară 1 0 0 4 („Indemnizații de deplasare și de ședere, participarea la reuniuni și cheltuieli conexe”) au crescut considerabil, de la aproximativ 6,6 milioane EUR în 2022 la aproximativ 8 milioane EUR în 2023, în principal din cauza unei reveniri puternice la reuniunile cu prezență fizică în 2023 și a creșterii prețurilor aferente deplasărilor în urma pandemiei de COVID-19;</w:t>
      </w:r>
    </w:p>
    <w:p w14:paraId="4D86AAC5"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11.</w:t>
      </w:r>
      <w:r w:rsidRPr="00C71605">
        <w:rPr>
          <w:kern w:val="2"/>
          <w14:ligatures w14:val="standardContextual"/>
        </w:rPr>
        <w:tab/>
        <w:t>își exprimă îngrijorarea cu privire la creșterea semnificativă a indemnizațiilor de deplasare și ședință plătite membrilor Comitetului, de la 6,6 milioane EUR în 2022 la 8 milioane EUR în 2023; invită Comitetul să adopte o strategie clară de rentabilitate pentru cheltuielile de deplasare, inclusiv utilizarea pe scară mai largă a participării de la distanță și a reuniunilor în format hibrid pentru a reduce costurile și emisiile inutile, menținând în același timp angajamentul politic;</w:t>
      </w:r>
    </w:p>
    <w:p w14:paraId="4252150B"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12.</w:t>
      </w:r>
      <w:r w:rsidRPr="00C71605">
        <w:rPr>
          <w:kern w:val="2"/>
          <w14:ligatures w14:val="standardContextual"/>
        </w:rPr>
        <w:tab/>
        <w:t xml:space="preserve">regretă că termenul mediu de plată a crescut de la 17,87 zile în 2022 la 21,88 zile în </w:t>
      </w:r>
      <w:r w:rsidRPr="00C71605">
        <w:rPr>
          <w:kern w:val="2"/>
          <w14:ligatures w14:val="standardContextual"/>
        </w:rPr>
        <w:lastRenderedPageBreak/>
        <w:t>2023; înțelege totuși că această creștere este rezultatul faptului că, în 2023, Comitetul a prelucrat și a plătit un număr record de facturi, și anume 5 723 comparativ cu 4 260 în 2022; constată, în acest context, că ponderea facturilor comerciale primite electronic de Comitet a crescut de la 68 % în 2022 la 76 % în 2023 și a continuat să crească în 2024;</w:t>
      </w:r>
    </w:p>
    <w:p w14:paraId="61FE19CA" w14:textId="77777777" w:rsidR="00C71605" w:rsidRPr="00C71605" w:rsidRDefault="00C71605" w:rsidP="001C0845">
      <w:pPr>
        <w:spacing w:after="240"/>
        <w:ind w:left="567" w:hanging="567"/>
        <w:rPr>
          <w:b/>
          <w:i/>
          <w:kern w:val="2"/>
          <w14:ligatures w14:val="standardContextual"/>
        </w:rPr>
      </w:pPr>
      <w:r w:rsidRPr="00C71605">
        <w:rPr>
          <w:b/>
          <w:i/>
          <w:kern w:val="2"/>
          <w14:ligatures w14:val="standardContextual"/>
        </w:rPr>
        <w:t>Gestiunea internă, performanța și controlul intern</w:t>
      </w:r>
    </w:p>
    <w:p w14:paraId="6C304F91"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13.</w:t>
      </w:r>
      <w:r w:rsidRPr="00C71605">
        <w:rPr>
          <w:kern w:val="2"/>
          <w14:ligatures w14:val="standardContextual"/>
        </w:rPr>
        <w:tab/>
        <w:t>recunoaște că Comitetul joacă un rol fundamental în ceea ce privește contribuția la elaborarea politicilor și la procesele decizionale ale Uniunii, prin reprezentarea intereselor autorităților locale și regionale din Uniune; ia act de faptul că, pentru 2023, ca parte a planului său operațional anual, informarea privind performanța Comitetului s-a bazat pe 25 de obiective, a căror realizare a fost evaluată prin intermediul a 80 de indicatori cantitativi, în timp ce țintele majorității acestor indicatori (aproximativ 75 %) au fost atinse cu un nivel de 90 % sau mai mult;</w:t>
      </w:r>
    </w:p>
    <w:p w14:paraId="1469712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14.</w:t>
      </w:r>
      <w:r w:rsidRPr="00C71605">
        <w:rPr>
          <w:kern w:val="2"/>
          <w14:ligatures w14:val="standardContextual"/>
        </w:rPr>
        <w:tab/>
        <w:t>reamintește că Comitetul contribuie la procesul Uniunii de elaborare a politicilor și la procesul decizional al Uniunii din perspectiva autorităților locale și regionale din Uniune, oferind un cadru pentru a îmbunătăți cooperarea dintre nivelurile locale, regionale, naționale și europene și pentru a aduce Europa mai aproape de cetățenii săi; regretă că limitările bugetare au afectat capacitatea Comitetului de a-și îndeplini pe deplin obiectivul de a aduce cetățenii mai aproape de Uniune, limitând valoarea adăugată a Comitetului;</w:t>
      </w:r>
    </w:p>
    <w:p w14:paraId="2C279CCC"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15.</w:t>
      </w:r>
      <w:r w:rsidRPr="00C71605">
        <w:rPr>
          <w:kern w:val="2"/>
          <w14:ligatures w14:val="standardContextual"/>
        </w:rPr>
        <w:tab/>
        <w:t>având în vedere rolul important al Comitetului în creșterea legitimității democratice a legislației Uniunii prin asigurarea unei coordonări active a autorităților locale și regionale, sprijină Comitetul în eforturile sale de a furniza mai multe evaluări ale impactului teritorial (EIT), în conformitate, de asemenea, cu raportul final și recomandările Conferinței privind viitorul Europei;</w:t>
      </w:r>
    </w:p>
    <w:p w14:paraId="06B70299" w14:textId="77777777" w:rsidR="00C71605" w:rsidRPr="00C71605" w:rsidRDefault="00C71605" w:rsidP="001C0845">
      <w:pPr>
        <w:spacing w:after="240"/>
        <w:ind w:left="567" w:hanging="567"/>
        <w:rPr>
          <w:color w:val="000000"/>
          <w:kern w:val="2"/>
          <w:szCs w:val="24"/>
          <w14:ligatures w14:val="standardContextual"/>
        </w:rPr>
      </w:pPr>
      <w:r w:rsidRPr="00C71605">
        <w:rPr>
          <w:kern w:val="2"/>
          <w14:ligatures w14:val="standardContextual"/>
        </w:rPr>
        <w:t>16.</w:t>
      </w:r>
      <w:r w:rsidRPr="00C71605">
        <w:rPr>
          <w:kern w:val="2"/>
          <w14:ligatures w14:val="standardContextual"/>
        </w:rPr>
        <w:tab/>
        <w:t>felicită Comitetul pentru realizările sale politice din principalele sale domenii prioritare în 2023; constată că Comitetul își îndeplinește misiunea prin avize, care se referă la propunerile legislative ale Comisiei (sesizări), prin avize din proprie inițiativă, care invită instituțiile Uniunii să ia măsuri, precum și prin rezoluții, care evidențiază poziția Comitetului cu privire la anumite subiecte; ia act de faptul că, în 2023, Comitetul a adoptat 53 de avize și 6 rezoluții, în scădere de la 55 de avize și 8 rezoluții adoptate în 2022 în pofida creșterii în credite și în personal;</w:t>
      </w:r>
      <w:r w:rsidRPr="00C71605">
        <w:rPr>
          <w:color w:val="000000"/>
          <w:kern w:val="2"/>
          <w14:ligatures w14:val="standardContextual"/>
        </w:rPr>
        <w:t xml:space="preserve"> </w:t>
      </w:r>
      <w:r w:rsidRPr="00C71605">
        <w:rPr>
          <w:kern w:val="2"/>
          <w14:ligatures w14:val="standardContextual"/>
        </w:rPr>
        <w:t>încurajează Comitetul să continue să lucreze la îmbunătățirea performanței, precum și la îmbunătățirea eficacității; salută eforturile Comitetului de a introduce soluții reformatoare și inovatoare, de a raționaliza administrația și de a evita suprapunerea rolurilor cu alte organisme;</w:t>
      </w:r>
    </w:p>
    <w:p w14:paraId="35EB5BCF" w14:textId="25A7B3A3" w:rsidR="00C71605" w:rsidRPr="00C71605" w:rsidRDefault="00C71605" w:rsidP="001C0845">
      <w:pPr>
        <w:spacing w:after="240"/>
        <w:ind w:left="567" w:hanging="567"/>
        <w:rPr>
          <w:kern w:val="2"/>
          <w14:ligatures w14:val="standardContextual"/>
        </w:rPr>
      </w:pPr>
      <w:r w:rsidRPr="00C71605">
        <w:rPr>
          <w:kern w:val="2"/>
          <w14:ligatures w14:val="standardContextual"/>
        </w:rPr>
        <w:t>17.</w:t>
      </w:r>
      <w:r w:rsidRPr="00C71605">
        <w:rPr>
          <w:kern w:val="2"/>
          <w14:ligatures w14:val="standardContextual"/>
        </w:rPr>
        <w:tab/>
        <w:t>apreciază faptul că, în 2023, Comitetul a continuat să pună în aplicare măsuri de modernizare a administrației sale și de îmbunătățire a raportului cost-eficacitate în contextul programului „</w:t>
      </w:r>
      <w:proofErr w:type="spellStart"/>
      <w:r w:rsidRPr="00C71605">
        <w:rPr>
          <w:kern w:val="2"/>
          <w14:ligatures w14:val="standardContextual"/>
        </w:rPr>
        <w:t>Going</w:t>
      </w:r>
      <w:proofErr w:type="spellEnd"/>
      <w:r w:rsidRPr="00C71605">
        <w:rPr>
          <w:kern w:val="2"/>
          <w14:ligatures w14:val="standardContextual"/>
        </w:rPr>
        <w:t xml:space="preserve"> for </w:t>
      </w:r>
      <w:proofErr w:type="spellStart"/>
      <w:r w:rsidRPr="00C71605">
        <w:rPr>
          <w:kern w:val="2"/>
          <w14:ligatures w14:val="standardContextual"/>
        </w:rPr>
        <w:t>IMPact</w:t>
      </w:r>
      <w:proofErr w:type="spellEnd"/>
      <w:r w:rsidRPr="00C71605">
        <w:rPr>
          <w:kern w:val="2"/>
          <w14:ligatures w14:val="standardContextual"/>
        </w:rPr>
        <w:t xml:space="preserve">”; ia act, în acest context, de progresele înregistrate în ceea ce privește digitalizarea și optimizarea fluxului de lucru, modernizarea instrumentelor de planificare și informare ale Comitetului, crearea unui serviciu central pentru reuniuni și consolidarea cooperării cu alte instituții sau organisme </w:t>
      </w:r>
      <w:r w:rsidR="0094495C">
        <w:rPr>
          <w:kern w:val="2"/>
          <w14:ligatures w14:val="standardContextual"/>
        </w:rPr>
        <w:t>(</w:t>
      </w:r>
      <w:r w:rsidRPr="00C71605">
        <w:rPr>
          <w:kern w:val="2"/>
          <w14:ligatures w14:val="standardContextual"/>
        </w:rPr>
        <w:t xml:space="preserve">de exemplu, </w:t>
      </w:r>
      <w:r w:rsidRPr="00C71605">
        <w:rPr>
          <w:kern w:val="2"/>
          <w:shd w:val="clear" w:color="auto" w:fill="FFFFFF"/>
          <w14:ligatures w14:val="standardContextual"/>
        </w:rPr>
        <w:t>Comitetul Economic și Social European („CESE”)</w:t>
      </w:r>
      <w:r w:rsidRPr="00C71605">
        <w:rPr>
          <w:kern w:val="2"/>
          <w14:ligatures w14:val="standardContextual"/>
        </w:rPr>
        <w:t>, Comisia, Parlamentul, Oficiul pentru Infrastructură și Logistică</w:t>
      </w:r>
      <w:r w:rsidR="0094495C">
        <w:rPr>
          <w:kern w:val="2"/>
          <w14:ligatures w14:val="standardContextual"/>
        </w:rPr>
        <w:t>)</w:t>
      </w:r>
      <w:r w:rsidRPr="00C71605">
        <w:rPr>
          <w:kern w:val="2"/>
          <w14:ligatures w14:val="standardContextual"/>
        </w:rPr>
        <w:t>, printre altele; felicită Comitetul pentru punerea în aplicare a aproape 90 % din proiectele de simplificare lansate în 2021, în domeniul proceselor administrative, al procedurilor scrise și al documentelor juridice (interne);</w:t>
      </w:r>
    </w:p>
    <w:p w14:paraId="212DDED4"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lastRenderedPageBreak/>
        <w:t>18.</w:t>
      </w:r>
      <w:r w:rsidRPr="00C71605">
        <w:rPr>
          <w:kern w:val="2"/>
          <w14:ligatures w14:val="standardContextual"/>
        </w:rPr>
        <w:tab/>
        <w:t>constată cu satisfacție, pe baza răspunsurilor Comitetului la chestionarul prezentat de Comisia pentru control bugetar a Parlamentului pentru descărcarea de gestiune pentru exercițiul financiar 2023 (denumit în continuare „chestionarul”), că, datorită programului „</w:t>
      </w:r>
      <w:proofErr w:type="spellStart"/>
      <w:r w:rsidRPr="00C71605">
        <w:rPr>
          <w:kern w:val="2"/>
          <w14:ligatures w14:val="standardContextual"/>
        </w:rPr>
        <w:t>Going</w:t>
      </w:r>
      <w:proofErr w:type="spellEnd"/>
      <w:r w:rsidRPr="00C71605">
        <w:rPr>
          <w:kern w:val="2"/>
          <w14:ligatures w14:val="standardContextual"/>
        </w:rPr>
        <w:t xml:space="preserve"> for </w:t>
      </w:r>
      <w:proofErr w:type="spellStart"/>
      <w:r w:rsidRPr="00C71605">
        <w:rPr>
          <w:kern w:val="2"/>
          <w14:ligatures w14:val="standardContextual"/>
        </w:rPr>
        <w:t>IMPact</w:t>
      </w:r>
      <w:proofErr w:type="spellEnd"/>
      <w:r w:rsidRPr="00C71605">
        <w:rPr>
          <w:kern w:val="2"/>
          <w14:ligatures w14:val="standardContextual"/>
        </w:rPr>
        <w:t>”, Comitetul a reușit în 2023 să își alinieze obiectivele la resursele disponibile aflate sub presiune ca urmare a efectelor inflaționiste ale războiului din Ucraina; salută, în special, progresele înregistrate de Comitet în ceea ce privește punerea în aplicare a „convergenței proiectelor” (un instrument bazat pe SharePoint pentru planificare, informare, evaluarea riscurilor și continuitatea activității) și a noii politici de continuitate a activității;</w:t>
      </w:r>
    </w:p>
    <w:p w14:paraId="77CA418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19.</w:t>
      </w:r>
      <w:r w:rsidRPr="00C71605">
        <w:rPr>
          <w:kern w:val="2"/>
          <w14:ligatures w14:val="standardContextual"/>
        </w:rPr>
        <w:tab/>
        <w:t xml:space="preserve">recunoaște impactul activității Comitetului, în special al avizelor sale, unele dintre acestea fiind reflectate în rezoluții, poziții, propuneri, rapoarte, reexaminări, concluzii sau </w:t>
      </w:r>
      <w:proofErr w:type="spellStart"/>
      <w:r w:rsidRPr="00C71605">
        <w:rPr>
          <w:kern w:val="2"/>
          <w14:ligatures w14:val="standardContextual"/>
        </w:rPr>
        <w:t>triloguri</w:t>
      </w:r>
      <w:proofErr w:type="spellEnd"/>
      <w:r w:rsidRPr="00C71605">
        <w:rPr>
          <w:kern w:val="2"/>
          <w14:ligatures w14:val="standardContextual"/>
        </w:rPr>
        <w:t xml:space="preserve"> ale Comisiei, Parlamentului sau Consiliului în 2023; invită Comitetul să continue să furnizeze informații utile și pertinente, cum ar fi date de pe teren și analize, instituțiilor Uniunii și altor beneficiari ai politicilor Uniunii; salută implicarea mai fermă a Comitetului de-a lungul întregului ciclu politic și legislativ al Uniunii prin acorduri de cooperare și planuri de acțiune cu Comisia, Parlamentul și Banca Europeană de Investiții; consideră că membrii Comitetului și ai Comitetului Economic și Social European ar trebui invitați la reuniunile parlamentare relevante în chestiuni care țin de competența lor; ia act de faptul că, în 2023, membrii Comitetului s-au întâlnit, de asemenea, cu Consiliul și cu reprezentanțele permanente și au participat la evenimentele organizate de președinția Consiliului, pentru a se asigura că pozițiile Comitetului se reflectă în legislația Uniunii; felicită Comitetul pentru că și-a întărit implicarea în </w:t>
      </w:r>
      <w:proofErr w:type="spellStart"/>
      <w:r w:rsidRPr="00C71605">
        <w:rPr>
          <w:kern w:val="2"/>
          <w14:ligatures w14:val="standardContextual"/>
        </w:rPr>
        <w:t>trilogurile</w:t>
      </w:r>
      <w:proofErr w:type="spellEnd"/>
      <w:r w:rsidRPr="00C71605">
        <w:rPr>
          <w:kern w:val="2"/>
          <w14:ligatures w14:val="standardContextual"/>
        </w:rPr>
        <w:t xml:space="preserve"> legislative, în special prin faptul că, în 2023, i s-a acordat acces pentru prima oară la documentele </w:t>
      </w:r>
      <w:proofErr w:type="spellStart"/>
      <w:r w:rsidRPr="00C71605">
        <w:rPr>
          <w:kern w:val="2"/>
          <w14:ligatures w14:val="standardContextual"/>
        </w:rPr>
        <w:t>trilogurilor</w:t>
      </w:r>
      <w:proofErr w:type="spellEnd"/>
      <w:r w:rsidRPr="00C71605">
        <w:rPr>
          <w:kern w:val="2"/>
          <w14:ligatures w14:val="standardContextual"/>
        </w:rPr>
        <w:t>;</w:t>
      </w:r>
    </w:p>
    <w:p w14:paraId="2541DCEC"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20.</w:t>
      </w:r>
      <w:r w:rsidRPr="00C71605">
        <w:rPr>
          <w:kern w:val="2"/>
          <w14:ligatures w14:val="standardContextual"/>
        </w:rPr>
        <w:tab/>
        <w:t>invită Comitetul să asigure o implicare mai puternică a autorităților regionale și locale în procesul decizional al Uniunii prin crearea unor mecanisme structurate de consultare cu autoritățile regionale și locale, inclusiv cu parlamentele, municipalitățile și organizațiile locale ale societății civile, înainte de a emite avize; îndeamnă Comitetul să pledeze pentru un proces obligatoriu de consultare cu privire la chestiunile legislative care au un impact semnificativ asupra politicii de dezvoltare regională și de coeziune;</w:t>
      </w:r>
    </w:p>
    <w:p w14:paraId="6AC518C8" w14:textId="77777777" w:rsidR="00C71605" w:rsidRPr="00C71605" w:rsidRDefault="00C71605" w:rsidP="001C0845">
      <w:pPr>
        <w:spacing w:after="240"/>
        <w:ind w:left="567" w:hanging="567"/>
        <w:rPr>
          <w:b/>
          <w:kern w:val="2"/>
          <w:szCs w:val="24"/>
          <w14:ligatures w14:val="standardContextual"/>
        </w:rPr>
      </w:pPr>
      <w:r w:rsidRPr="00C71605">
        <w:rPr>
          <w:kern w:val="2"/>
          <w14:ligatures w14:val="standardContextual"/>
        </w:rPr>
        <w:t>21.</w:t>
      </w:r>
      <w:r w:rsidRPr="00C71605">
        <w:rPr>
          <w:kern w:val="2"/>
          <w14:ligatures w14:val="standardContextual"/>
        </w:rPr>
        <w:tab/>
        <w:t xml:space="preserve">constată, în ceea ce privește noul său cadru de control intern, că Comitetul a pus în aplicare o nouă metodologie privind controalele </w:t>
      </w:r>
      <w:r w:rsidRPr="00C71605">
        <w:rPr>
          <w:i/>
          <w:iCs/>
          <w:kern w:val="2"/>
          <w14:ligatures w14:val="standardContextual"/>
        </w:rPr>
        <w:t>ex post</w:t>
      </w:r>
      <w:r w:rsidRPr="00C71605">
        <w:rPr>
          <w:kern w:val="2"/>
          <w14:ligatures w14:val="standardContextual"/>
        </w:rPr>
        <w:t xml:space="preserve"> începând din 2023, cu scopul de a simplifica și a alinia abordarea la practica altor instituții ale Uniunii, controalele </w:t>
      </w:r>
      <w:r w:rsidRPr="00C71605">
        <w:rPr>
          <w:i/>
          <w:iCs/>
          <w:kern w:val="2"/>
          <w14:ligatures w14:val="standardContextual"/>
        </w:rPr>
        <w:t>ex post</w:t>
      </w:r>
      <w:r w:rsidRPr="00C71605">
        <w:rPr>
          <w:kern w:val="2"/>
          <w14:ligatures w14:val="standardContextual"/>
        </w:rPr>
        <w:t xml:space="preserve"> fiind în prezent centralizate în locul practicii descentralizate anterioare; observă că, în 2023, controalele </w:t>
      </w:r>
      <w:r w:rsidRPr="00C71605">
        <w:rPr>
          <w:i/>
          <w:iCs/>
          <w:kern w:val="2"/>
          <w14:ligatures w14:val="standardContextual"/>
        </w:rPr>
        <w:t>ex post</w:t>
      </w:r>
      <w:r w:rsidRPr="00C71605">
        <w:rPr>
          <w:kern w:val="2"/>
          <w14:ligatures w14:val="standardContextual"/>
        </w:rPr>
        <w:t xml:space="preserve"> s-au axat pe salariul de bază și pe timpul lucrat, fiind verificate 55 de dosare, și că estimarea statistică a erorii care afectează populația de referință a fost de 0 %; constată, de asemenea, că, în 2023, Comitetul și-a reînnoit exercițiul de asigurare a conformității și a eficacității pentru a evalua măsura în care acesta respectă anumite standarde de control intern și eficacitatea punerii lor în aplicare; felicită Comitetul pentru faptul că a informat cu privire la o îmbunătățire a acestei chestiuni în comparație cu rezultatele exercițiului din 2022;</w:t>
      </w:r>
      <w:r w:rsidRPr="00C71605">
        <w:rPr>
          <w:color w:val="FF0000"/>
          <w:kern w:val="2"/>
          <w14:ligatures w14:val="standardContextual"/>
        </w:rPr>
        <w:t xml:space="preserve"> </w:t>
      </w:r>
      <w:r w:rsidRPr="00C71605">
        <w:rPr>
          <w:kern w:val="2"/>
          <w14:ligatures w14:val="standardContextual"/>
        </w:rPr>
        <w:t>încurajează Comitetul să își continue eforturile pentru a crește în continuare nivelul de conformitate și gradul de eficacitate al măsurilor de control intern în vigoare; constată cu satisfacție, în ceea ce privește noua politică privind posturile sensibile, că, în 2023, Comitetul a efectuat un exercițiu de evaluare pentru a identifica nivelul de risc al fiecărui post și, prin urmare, nivelul de sensibilitate al acestuia, precum și măsurile necesare pentru a atenua aceste riscuri;</w:t>
      </w:r>
    </w:p>
    <w:p w14:paraId="2654A2B3"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lastRenderedPageBreak/>
        <w:t>22.</w:t>
      </w:r>
      <w:r w:rsidRPr="00C71605">
        <w:rPr>
          <w:kern w:val="2"/>
          <w14:ligatures w14:val="standardContextual"/>
        </w:rPr>
        <w:tab/>
        <w:t>ia act de faptul că, în 2023, Comitetul a lansat două noi audituri: unul privind conformitatea diferitelor funcții (de exemplu, gestionarea riscurilor, planificarea, sistemul de control) cu legislația pertinentă privind protecția datelor și altul privind performanța organizației de TI în cadrul Serviciilor comune (noua Direcție comună pentru inovare și tehnologia informației a Comitetului și a CESE); constată că, pentru fiecare dintre aceste audituri: au fost emise 11 recomandări, iar șapte recomandări au fost considerate foarte importante; constată, de asemenea, că, în urma auditului privind gestionarea posturilor vacante lansat în 2022, au fost emise 10 recomandări, dintre care trei au fost foarte importante; invită Comitetul să pună în aplicare toate recomandările pendinte cât mai curând cu putință și să informeze autoritatea care acordă descărcarea de gestiune despre progresele înregistrate în acest sens;</w:t>
      </w:r>
    </w:p>
    <w:p w14:paraId="17F27230" w14:textId="77777777" w:rsidR="00C71605" w:rsidRPr="00C71605" w:rsidRDefault="00C71605" w:rsidP="001C0845">
      <w:pPr>
        <w:spacing w:after="240"/>
        <w:ind w:left="567" w:hanging="567"/>
        <w:rPr>
          <w:b/>
          <w:bCs/>
          <w:i/>
          <w:kern w:val="2"/>
          <w14:ligatures w14:val="standardContextual"/>
        </w:rPr>
      </w:pPr>
      <w:r w:rsidRPr="00C71605">
        <w:rPr>
          <w:b/>
          <w:i/>
          <w:kern w:val="2"/>
          <w14:ligatures w14:val="standardContextual"/>
        </w:rPr>
        <w:t>Resursele umane, egalitatea și starea de bine a personalului</w:t>
      </w:r>
    </w:p>
    <w:p w14:paraId="4B136804"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23.</w:t>
      </w:r>
      <w:r w:rsidRPr="00C71605">
        <w:rPr>
          <w:kern w:val="2"/>
          <w14:ligatures w14:val="standardContextual"/>
        </w:rPr>
        <w:tab/>
        <w:t xml:space="preserve">ia act de faptul că, la sfârșitul anului 2023, Comitetul avea în total 559 de membri ai personalului (experți naționali detașați, experți interimari, </w:t>
      </w:r>
      <w:r w:rsidRPr="00C71605">
        <w:rPr>
          <w:i/>
          <w:iCs/>
          <w:kern w:val="2"/>
          <w14:ligatures w14:val="standardContextual"/>
        </w:rPr>
        <w:t>intra </w:t>
      </w:r>
      <w:proofErr w:type="spellStart"/>
      <w:r w:rsidRPr="00C71605">
        <w:rPr>
          <w:i/>
          <w:iCs/>
          <w:kern w:val="2"/>
          <w14:ligatures w14:val="standardContextual"/>
        </w:rPr>
        <w:t>muros</w:t>
      </w:r>
      <w:proofErr w:type="spellEnd"/>
      <w:r w:rsidRPr="00C71605">
        <w:rPr>
          <w:kern w:val="2"/>
          <w14:ligatures w14:val="standardContextual"/>
        </w:rPr>
        <w:t xml:space="preserve"> și stagiari neincluși), față de 533 în 2022; constată că, la sfârșitul anului 2023, la Comitet erau angajați 74 de agenți contractuali față de 56 de agenți contractuali în 2022 și 96 de agenți temporari față de 89 de agenți temporari în 2022, dintre care 21 de agenți contractuali aveau un contract pe durată nedeterminată, 53 de agenți contractuali aveau un contract pe durată determinată, 53 de agenți temporari erau pe posturi permanente cu contracte pe durată determinată, 50 de agenți temporari aveau un contract pe durată nedeterminată și 3 agenți temporari aveau un post temporar (în două cazuri cu contract pe durată nedeterminată și, în cazul secretarului general, pe o durată determinată de cinci ani); remarcă, în plus, că Comitetul a angajat cinci agenți interimari și 12 membri externi ai personalului care lucrează la fața locului, excluzând prestatorii externi de servicii din domeniile logisticii și TI; speră ca această creștere a personalului să fie justificată în mod rezonabil; constată că, în 2023, rata de ocupare a posturilor din schema de personal a fost de 98 % (o creștere de la 96 % în 2022), iar rata de rotație a fost, respectiv, de 6,6 % (o scădere de la 10,80 % în 2022);</w:t>
      </w:r>
    </w:p>
    <w:p w14:paraId="428A2D5B" w14:textId="77777777" w:rsidR="00C71605" w:rsidRPr="00C71605" w:rsidRDefault="00C71605" w:rsidP="001C0845">
      <w:pPr>
        <w:spacing w:after="240"/>
        <w:ind w:left="567" w:hanging="567"/>
        <w:rPr>
          <w:kern w:val="2"/>
          <w:szCs w:val="24"/>
          <w14:ligatures w14:val="standardContextual"/>
        </w:rPr>
      </w:pPr>
      <w:r w:rsidRPr="00C71605">
        <w:rPr>
          <w:kern w:val="2"/>
          <w14:ligatures w14:val="standardContextual"/>
        </w:rPr>
        <w:t>24.</w:t>
      </w:r>
      <w:r w:rsidRPr="00C71605">
        <w:rPr>
          <w:kern w:val="2"/>
          <w14:ligatures w14:val="standardContextual"/>
        </w:rPr>
        <w:tab/>
        <w:t>observă o creștere a dependenței Comitetului de agenți contractuali și de agenți temporari (reprezentând până la 26 % din personalul Comitetului); constată, pe baza chestionarului, că această dependență se datorează în special absenței, din 2018, a listelor de rezervă EPSO (Oficiul European pentru Selecția Personalului) pentru profilurile de administratori generaliști; este îngrijorat de faptul că stabilitatea pe termen lung și continuitatea activității Comitetului sunt amenințate de lipsa atractivității contractelor cu durată limitată oferite; subliniază importanța personalului permanent în menținerea competențelor, a continuității și a unui mediu de lucru productiv; ia act de faptul că, în 2024, Comitetul a organizat un concurs intern pentru generaliști în cinci grade (AST/SC 1, AST 1, AST 3, AD 5 și AD 7);</w:t>
      </w:r>
      <w:r w:rsidRPr="00C71605">
        <w:rPr>
          <w:color w:val="FF0000"/>
          <w:kern w:val="2"/>
          <w14:ligatures w14:val="standardContextual"/>
        </w:rPr>
        <w:t xml:space="preserve"> </w:t>
      </w:r>
      <w:r w:rsidRPr="00C71605">
        <w:rPr>
          <w:kern w:val="2"/>
          <w14:ligatures w14:val="standardContextual"/>
        </w:rPr>
        <w:t>sprijină Comitetul în eforturile sale de a răspunde acestor încercări; solicită Comitetului să informeze autoritatea care acordă descărcarea de gestiune cu privire la astfel de concursuri organizate în 2024;</w:t>
      </w:r>
    </w:p>
    <w:p w14:paraId="49FAD5F9" w14:textId="77777777" w:rsidR="00C71605" w:rsidRPr="00C71605" w:rsidRDefault="00C71605" w:rsidP="001C0845">
      <w:pPr>
        <w:spacing w:after="240"/>
        <w:ind w:left="567" w:hanging="567"/>
        <w:rPr>
          <w:kern w:val="2"/>
          <w:szCs w:val="24"/>
          <w14:ligatures w14:val="standardContextual"/>
        </w:rPr>
      </w:pPr>
      <w:r w:rsidRPr="00C71605">
        <w:rPr>
          <w:kern w:val="2"/>
          <w14:ligatures w14:val="standardContextual"/>
        </w:rPr>
        <w:t>25.</w:t>
      </w:r>
      <w:r w:rsidRPr="00C71605">
        <w:rPr>
          <w:kern w:val="2"/>
          <w14:ligatures w14:val="standardContextual"/>
        </w:rPr>
        <w:tab/>
        <w:t>ia act de faptul că, la sfârșitul anului 2023, Comitetul număra 56,9 % femei și 43,1 % bărbați;</w:t>
      </w:r>
      <w:r w:rsidRPr="00C71605">
        <w:rPr>
          <w:color w:val="000000"/>
          <w:kern w:val="2"/>
          <w14:ligatures w14:val="standardContextual"/>
        </w:rPr>
        <w:t xml:space="preserve"> </w:t>
      </w:r>
      <w:r w:rsidRPr="00C71605">
        <w:rPr>
          <w:kern w:val="2"/>
          <w14:ligatures w14:val="standardContextual"/>
        </w:rPr>
        <w:t xml:space="preserve">regretă că Comitetul nu a atins încă paritatea de gen în posturile de conducere, dar recunoaște progresele semnificative înregistrate în cadrul strategiei și planului de acțiune pe cinci ani ale Comitetului privind diversitatea și incluziunea pentru perioada 2022-2026, inclusiv o creștere semnificativă a proporției femeilor în posturi de conducere de nivel superior de la 37,5 % în 2022 la 44,4 % în 2023; recomandă măsuri de consolidare a includerii în anunțurile de posturi vacante și de încurajare a unei mai </w:t>
      </w:r>
      <w:r w:rsidRPr="00C71605">
        <w:rPr>
          <w:kern w:val="2"/>
          <w14:ligatures w14:val="standardContextual"/>
        </w:rPr>
        <w:lastRenderedPageBreak/>
        <w:t>mari participări a femeilor la rolurile de conducere de nivel superior și mediu, inclusiv prin obiective privind echilibrul de gen, o reprezentare echilibrată în comisiile de selecție, oportunități de formare specifice pentru personalul feminin care aspiră la posturi de conducere și promovarea unor formule de lucru mai flexibile; încurajează Comitetul să își continue eforturile de realizare a echilibrului de gen și solicită, în acest context, statelor membre să desemneze atât un candidat de sex masculin, cât și un candidat de sex feminin pentru numirea în calitate de membru al Comitetului, pentru a îmbunătăți reprezentarea la toate nivelurile;</w:t>
      </w:r>
    </w:p>
    <w:p w14:paraId="36EF8A19"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26.</w:t>
      </w:r>
      <w:r w:rsidRPr="00C71605">
        <w:rPr>
          <w:kern w:val="2"/>
          <w14:ligatures w14:val="standardContextual"/>
        </w:rPr>
        <w:tab/>
        <w:t xml:space="preserve">ia act de faptul că, în urma unui proiect-pilot privind un regim de lucru hibrid și a unui sondaj privind satisfacția personalului lansat în 2022, Comitetul a adoptat, la 1 ianuarie 2024, o decizie care prevede un regim de lucru hibrid și un program de lucru săptămânal personalizat pentru fiecare membru al personalului, precum și posibilitatea de a lucra de acasă până la 60 % din timpul de lucru al personalului (cu excepția categoriilor de personal incompatibile cu </w:t>
      </w:r>
      <w:proofErr w:type="spellStart"/>
      <w:r w:rsidRPr="00C71605">
        <w:rPr>
          <w:kern w:val="2"/>
          <w14:ligatures w14:val="standardContextual"/>
        </w:rPr>
        <w:t>telemunca</w:t>
      </w:r>
      <w:proofErr w:type="spellEnd"/>
      <w:r w:rsidRPr="00C71605">
        <w:rPr>
          <w:kern w:val="2"/>
          <w14:ligatures w14:val="standardContextual"/>
        </w:rPr>
        <w:t>) și de a lucra din afara orașului de angajare timp de până la 15 zile pe an; recunoaște că aceste măsuri vizează îmbunătățirea echilibrului dintre viața profesională și cea privată, menținând în același timp eficiența operațională și satisfacția personalului;</w:t>
      </w:r>
    </w:p>
    <w:p w14:paraId="1E91B65A" w14:textId="2BBE0C1F" w:rsidR="00C71605" w:rsidRPr="00C71605" w:rsidRDefault="00C71605" w:rsidP="001C0845">
      <w:pPr>
        <w:spacing w:after="240"/>
        <w:ind w:left="567" w:hanging="567"/>
        <w:rPr>
          <w:kern w:val="2"/>
          <w14:ligatures w14:val="standardContextual"/>
        </w:rPr>
      </w:pPr>
      <w:r w:rsidRPr="00C71605">
        <w:rPr>
          <w:kern w:val="2"/>
          <w14:ligatures w14:val="standardContextual"/>
        </w:rPr>
        <w:t>27.</w:t>
      </w:r>
      <w:r w:rsidRPr="00C71605">
        <w:rPr>
          <w:kern w:val="2"/>
          <w14:ligatures w14:val="standardContextual"/>
        </w:rPr>
        <w:tab/>
        <w:t xml:space="preserve">constată cu satisfacție că regimul de lucru hibrid al Comitetului a avut un impact pozitiv în ceea ce privește concediul medical de scurtă durată, în timp ce: </w:t>
      </w:r>
      <w:r w:rsidR="00022566">
        <w:rPr>
          <w:kern w:val="2"/>
          <w14:ligatures w14:val="standardContextual"/>
        </w:rPr>
        <w:t>–</w:t>
      </w:r>
      <w:r w:rsidRPr="00C71605">
        <w:rPr>
          <w:kern w:val="2"/>
          <w14:ligatures w14:val="standardContextual"/>
        </w:rPr>
        <w:t xml:space="preserve"> numărul de angajați fără concediu medical a crescut de la 71 (sau 12 % din întregul personal) în 2018 la 211 (sau 36 % din întregul personal) în 2023; </w:t>
      </w:r>
      <w:r w:rsidR="00022566">
        <w:rPr>
          <w:kern w:val="2"/>
          <w14:ligatures w14:val="standardContextual"/>
        </w:rPr>
        <w:t>–</w:t>
      </w:r>
      <w:r w:rsidRPr="00C71605">
        <w:rPr>
          <w:kern w:val="2"/>
          <w14:ligatures w14:val="standardContextual"/>
        </w:rPr>
        <w:t xml:space="preserve"> numărul angajaților aflați în concediu medical timp de mai puțin de șapte zile a scăzut de la 257 (sau 46 % din întregul personal) în 2018 la 201 (sau 35 % din întregul personal) în 2023 și; </w:t>
      </w:r>
      <w:r w:rsidR="00022566">
        <w:rPr>
          <w:kern w:val="2"/>
          <w14:ligatures w14:val="standardContextual"/>
        </w:rPr>
        <w:t>–</w:t>
      </w:r>
      <w:r w:rsidRPr="00C71605">
        <w:rPr>
          <w:kern w:val="2"/>
          <w14:ligatures w14:val="standardContextual"/>
        </w:rPr>
        <w:t> numărul angajaților aflați în concediu medical pentru o durată cuprinsă între 7,5 și 21 de zile a scăzut de la 140 (sau 25 % din întregul personal) în 2018 la 92 (sau 16 % din totalul angajaților) în 2023; invită Comitetul să monitorizeze impactul noului regim de lucru și să mențină acest subiect în viitoarele sondaje privind satisfacția personalului; observă cu satisfacție că 90,25 % (82 % în cazul managerilor) dintre cei care au răspuns la sondajul în rândul personalului din decembrie 2022 s-au declarat încântați de formulele flexibile;</w:t>
      </w:r>
    </w:p>
    <w:p w14:paraId="570D694B" w14:textId="77777777" w:rsidR="00C71605" w:rsidRPr="00C71605" w:rsidRDefault="00C71605" w:rsidP="001C0845">
      <w:pPr>
        <w:spacing w:after="240"/>
        <w:ind w:left="567" w:hanging="567"/>
        <w:rPr>
          <w:b/>
          <w:i/>
          <w:kern w:val="2"/>
          <w:szCs w:val="24"/>
          <w14:ligatures w14:val="standardContextual"/>
        </w:rPr>
      </w:pPr>
      <w:r w:rsidRPr="00C71605">
        <w:rPr>
          <w:kern w:val="2"/>
          <w14:ligatures w14:val="standardContextual"/>
        </w:rPr>
        <w:t>28.</w:t>
      </w:r>
      <w:r w:rsidRPr="00C71605">
        <w:rPr>
          <w:kern w:val="2"/>
          <w14:ligatures w14:val="standardContextual"/>
        </w:rPr>
        <w:tab/>
        <w:t xml:space="preserve">observă cu îngrijorare că, în 2023, Comitetul a comunicat 18 cazuri de epuizare profesională, ceea ce reprezintă o creștere de la 16 cazuri în 2022; subliniază impactul social și profesional semnificativ al epuizării asupra stării de bine și performanței personalului; remarcă și că, în 2023, Comitetul a reușit să reintegreze 16 membri ai personalului după o absență îndelungată ca urmare a epuizării profesionale, grație unei urmăriri personalizate a concediului medical pe termen lung; felicită Comitetul pentru măsurile preventive luate pentru a reduce riscurile psihosociale și epuizarea profesională; apreciază, în acest sens, abordarea </w:t>
      </w:r>
      <w:proofErr w:type="spellStart"/>
      <w:r w:rsidRPr="00C71605">
        <w:rPr>
          <w:kern w:val="2"/>
          <w14:ligatures w14:val="standardContextual"/>
        </w:rPr>
        <w:t>proactivă</w:t>
      </w:r>
      <w:proofErr w:type="spellEnd"/>
      <w:r w:rsidRPr="00C71605">
        <w:rPr>
          <w:kern w:val="2"/>
          <w14:ligatures w14:val="standardContextual"/>
        </w:rPr>
        <w:t xml:space="preserve"> a serviciului medical, conferințele de informare, cursurile de formare și cursurile organizate de Comitet; subliniază, cu toate acestea, necesitatea amplificării în continuare a eforturilor de a aborda cauzele profunde ale epuizării și de a promova un mediu de lucru mai sănătos;</w:t>
      </w:r>
    </w:p>
    <w:p w14:paraId="388D50D7" w14:textId="77777777" w:rsidR="00C71605" w:rsidRPr="00C71605" w:rsidRDefault="00C71605" w:rsidP="001C0845">
      <w:pPr>
        <w:spacing w:after="240"/>
        <w:ind w:left="567" w:hanging="567"/>
        <w:rPr>
          <w:kern w:val="2"/>
          <w:szCs w:val="24"/>
          <w14:ligatures w14:val="standardContextual"/>
        </w:rPr>
      </w:pPr>
      <w:r w:rsidRPr="00C71605">
        <w:rPr>
          <w:kern w:val="2"/>
          <w14:ligatures w14:val="standardContextual"/>
        </w:rPr>
        <w:t>29.</w:t>
      </w:r>
      <w:r w:rsidRPr="00C71605">
        <w:rPr>
          <w:kern w:val="2"/>
          <w14:ligatures w14:val="standardContextual"/>
        </w:rPr>
        <w:tab/>
        <w:t xml:space="preserve">observă că, în 2023, Comitetul a continuat sensibilizarea cu privire la măsurile instituite pentru a împiedica și combate hărțuirea la locul de muncă, în concordanță cu decizia sa din 26 aprilie 2021 privind protecția demnității la locul de muncă, gestionarea conflictelor și combaterea hărțuirii, în special prin orientări specifice, comunicare internă și organizarea mai multor sesiuni de informare pentru personal și manageri; salută în special organizarea în 2023 a cinci sesiuni de formare privind „Împiedicarea hărțuirii psihologice și sexuale” și „Respectul și demnitatea într-o echipă de înaltă </w:t>
      </w:r>
      <w:r w:rsidRPr="00C71605">
        <w:rPr>
          <w:kern w:val="2"/>
          <w14:ligatures w14:val="standardContextual"/>
        </w:rPr>
        <w:lastRenderedPageBreak/>
        <w:t>performanță” și recomandă continuarea acestei inițiative; constată, de asemenea, cu satisfacție că în cursul anului nu au fost raportate cazuri noi, în curs sau închise privind hărțuirea sexuală;</w:t>
      </w:r>
    </w:p>
    <w:p w14:paraId="206325D8"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30.</w:t>
      </w:r>
      <w:r w:rsidRPr="00C71605">
        <w:rPr>
          <w:kern w:val="2"/>
          <w14:ligatures w14:val="standardContextual"/>
        </w:rPr>
        <w:tab/>
        <w:t>felicită Comitetul pentru acțiunile întreprinse în 2023 în legătură cu integrarea persoanelor cu handicap, cum ar fi punerea la dispoziția persoanelor cu mobilitate redusă a clădirilor Comitetului și asigurarea faptului că toate posturile vacante sunt accesibile candidaților cu handicap;</w:t>
      </w:r>
    </w:p>
    <w:p w14:paraId="16AF8BDD"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31.</w:t>
      </w:r>
      <w:r w:rsidRPr="00C71605">
        <w:rPr>
          <w:kern w:val="2"/>
          <w14:ligatures w14:val="standardContextual"/>
        </w:rPr>
        <w:tab/>
        <w:t>ia act de faptul că, în 2023, Comitetul avea angajați reprezentând toate naționalitățile Uniunii (și un angajat de cetățenie ucraineană), unele dintre acestea fiind suprareprezentate (de exemplu, Belgia); salută eforturile suplimentare ale Comitetului de a echilibra distribuția geografică în rândul personalului prin vizarea unui public mai larg prin publicarea pe site-ul său și pe rețelele de socializare a cererilor de exprimare a interesului pentru personalul contractual și temporar; regretă lipsa persistentă a echilibrului geografic în cadrul personalului Comitetului, anumite naționalități rămânând suprareprezentate în comparație cu altele; încurajează Comitetul să își intensifice eforturile pentru a realiza o distribuție geografică mai echilibrată, îndeosebi la nivel de conducere; invită Comitetul să informeze autoritatea care acordă descărcarea de gestiune cu privire la rezultatele acestui tip de acțiune;</w:t>
      </w:r>
    </w:p>
    <w:p w14:paraId="67956032"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32.</w:t>
      </w:r>
      <w:r w:rsidRPr="00C71605">
        <w:rPr>
          <w:kern w:val="2"/>
          <w14:ligatures w14:val="standardContextual"/>
        </w:rPr>
        <w:tab/>
        <w:t>salută participarea Biroului pentru stagii al Comitetului, în aprilie 2023, pentru a doua oară consecutiv, la sesiunea intitulată „Oportunități pentru tinerii romi”; salută inițiativa de a prezenta programul de stagii al Comitetului participanților romi și non-romi tineri și motivați, reflectând un angajament ferm de a promova includerea, diversitatea și egalitatea de șanse; încurajează continuarea și extinderea unor astfel de inițiative pentru a implica în continuare comunitățile subreprezentate și pentru a promova o forță de muncă europeană mai favorabilă includerii;</w:t>
      </w:r>
    </w:p>
    <w:p w14:paraId="68983FD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33.</w:t>
      </w:r>
      <w:r w:rsidRPr="00C71605">
        <w:rPr>
          <w:kern w:val="2"/>
          <w14:ligatures w14:val="standardContextual"/>
        </w:rPr>
        <w:tab/>
        <w:t>salută progresele înregistrate în ceea ce privește echilibrul de gen în conducere, cu o creștere a procentului femeilor atât în posturile de conducere de nivel mediu (de la 29,7 % în 2022 la 32,5 % în 2023), cât și în posturile de conducere de nivel superior (de la 37,5 % în 2022 la 44,4 % în 2023);</w:t>
      </w:r>
    </w:p>
    <w:p w14:paraId="33D72275" w14:textId="77777777" w:rsidR="00C71605" w:rsidRPr="00C71605" w:rsidRDefault="00C71605" w:rsidP="001C0845">
      <w:pPr>
        <w:spacing w:after="240"/>
        <w:ind w:left="567" w:hanging="567"/>
        <w:rPr>
          <w:b/>
          <w:i/>
          <w:kern w:val="2"/>
          <w14:ligatures w14:val="standardContextual"/>
        </w:rPr>
      </w:pPr>
      <w:r w:rsidRPr="00C71605">
        <w:rPr>
          <w:b/>
          <w:i/>
          <w:kern w:val="2"/>
          <w14:ligatures w14:val="standardContextual"/>
        </w:rPr>
        <w:t>Cadrul de etică și transparența</w:t>
      </w:r>
    </w:p>
    <w:p w14:paraId="5F51B12D"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34.</w:t>
      </w:r>
      <w:r w:rsidRPr="00C71605">
        <w:rPr>
          <w:kern w:val="2"/>
          <w14:ligatures w14:val="standardContextual"/>
        </w:rPr>
        <w:tab/>
        <w:t>salută activitatea desfășurată de Comitete în 2023 pentru a consolida normele și practicile etice într-un cadru juridic etic unic (Decizia nr. 157/2023), care cuprinde, printre altele, procedura disciplinară, demnitatea la locul de muncă, gestionarea conflictelor, combaterea hărțuirii, activitățile externe și avertizarea de integritate; ia act de faptul că această activitate a culminat cu o decizie (nr. 157/2023), care a fost rezultatul unor consultări cuprinzătoare cu diferite părți interesate, precum și cu o monitorizare a unui sondaj intern privind sensibilizarea personalului cu privire la etica și punerea în aplicare a unei recomandări de audit intern pe această temă; felicită Comitetul pentru faptul că a continuat, în 2023, să ofere cursuri de formare privind etica, integritatea și respectul și demnitatea la locul de muncă pentru diferite grupuri de angajați, de la nou-veniți, la manageri și angajați în general;</w:t>
      </w:r>
    </w:p>
    <w:p w14:paraId="5C0700E9"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35.</w:t>
      </w:r>
      <w:r w:rsidRPr="00C71605">
        <w:rPr>
          <w:kern w:val="2"/>
          <w14:ligatures w14:val="standardContextual"/>
        </w:rPr>
        <w:tab/>
        <w:t xml:space="preserve">ia act de faptul că Oficiul European de Luptă Antifraudă (OLAF) a tratat două cazuri în 2023: un caz privind presupuse activități lucrative externe ale unui membru al Comitetului și un alt caz privind acuzații de recidivă privind activitățile externe </w:t>
      </w:r>
      <w:r w:rsidRPr="00C71605">
        <w:rPr>
          <w:kern w:val="2"/>
          <w14:ligatures w14:val="standardContextual"/>
        </w:rPr>
        <w:lastRenderedPageBreak/>
        <w:t>neautorizate ale unui angajat; ia act de faptul că, în primul caz, OLAF nu a lansat nicio investigație din cauza lipsei de proporționalitate dintre resursele necesare pentru efectuarea unei investigații și rezultatele preconizate, în timp ce Comitetul a considerat că nu există conflicte de interese pe motiv că membrii Comitetului nu primesc nicio remunerație din partea Uniunii și nici nu au obligația de a-și declara activitățile profesionale, pentru care pot fi plătiți pentru mandatele locale sau regionale pe care le-ar putea avea membrii respectivi; constată, în ceea ce privește acest din urmă caz, că OLAF a inițiat o anchetă care s-a încheiat cu două recomandări, pe care Comitetul le-a pus în aplicare prin inițierea unei proceduri disciplinare împotriva angajatului în cauză și prin recuperarea câștigurilor rezultate din activitățile externe neautorizate ale persoanei respective; reamintește că cazul închis în 2022 privind acuzații de nereguli financiare, hărțuire și gestionare defectuoasă în cadrul unui serviciu comun Comitet-CESE a condus la un exercițiu de gestionare a conflictelor care a implicat persoanele în cauză și la un plan de acțiune în cinci puncte; constată cu satisfacție, pe baza raportului Comitetului privind acțiunile întreprinse ca urmare a deciziei Parlamentului de descărcare de gestiune referitoare la execuția bugetului Comitetului pentru exercițiul 2022, că planul de acțiune respectiv a fost pus în aplicare integral până la sfârșitul anului 2023;</w:t>
      </w:r>
    </w:p>
    <w:p w14:paraId="13BAC443" w14:textId="77777777" w:rsidR="00C71605" w:rsidRPr="00C71605" w:rsidRDefault="00C71605" w:rsidP="001C0845">
      <w:pPr>
        <w:widowControl/>
        <w:spacing w:after="240"/>
        <w:ind w:left="567" w:hanging="567"/>
        <w:rPr>
          <w:b/>
          <w:bCs/>
          <w:i/>
          <w:iCs/>
          <w:kern w:val="2"/>
          <w:szCs w:val="24"/>
          <w14:ligatures w14:val="standardContextual"/>
        </w:rPr>
      </w:pPr>
      <w:r w:rsidRPr="00C71605">
        <w:rPr>
          <w:kern w:val="2"/>
          <w14:ligatures w14:val="standardContextual"/>
        </w:rPr>
        <w:t>36.</w:t>
      </w:r>
      <w:r w:rsidRPr="00C71605">
        <w:rPr>
          <w:kern w:val="2"/>
          <w14:ligatures w14:val="standardContextual"/>
        </w:rPr>
        <w:tab/>
        <w:t>reamintește că Comitetul a adoptat Regulamentul nr. 6/2023 din 4 iulie 2023 de stabilire a unor măsuri de transparență care se axează pe membrii care dețin o funcție și pe raportori; felicită, în acest context, Comitetul pentru aderarea oficială la Registrul de transparență al UE la 1 ianuarie 2024;</w:t>
      </w:r>
    </w:p>
    <w:p w14:paraId="7F07FB1A" w14:textId="77777777" w:rsidR="00C71605" w:rsidRPr="00C71605" w:rsidRDefault="00C71605" w:rsidP="001C0845">
      <w:pPr>
        <w:spacing w:after="240"/>
        <w:ind w:left="567" w:hanging="567"/>
        <w:rPr>
          <w:b/>
          <w:i/>
          <w:kern w:val="2"/>
          <w14:ligatures w14:val="standardContextual"/>
        </w:rPr>
      </w:pPr>
      <w:r w:rsidRPr="00C71605">
        <w:rPr>
          <w:kern w:val="2"/>
          <w14:ligatures w14:val="standardContextual"/>
        </w:rPr>
        <w:t>37.</w:t>
      </w:r>
      <w:r w:rsidRPr="00C71605">
        <w:rPr>
          <w:kern w:val="2"/>
          <w14:ligatures w14:val="standardContextual"/>
        </w:rPr>
        <w:tab/>
        <w:t xml:space="preserve">îndeamnă Comitetul să îmbunătățească detectarea și prevenirea conflictelor de interese prin introducerea unei perioade obligatorii de existență a stării de incompatibilitate pentru membrii al căror mandat se încheie înainte ca aceștia să se poată implica în activități de lobby sau de consiliere care implică instituțiile Uniunii; solicită publicarea </w:t>
      </w:r>
      <w:proofErr w:type="spellStart"/>
      <w:r w:rsidRPr="00C71605">
        <w:rPr>
          <w:kern w:val="2"/>
          <w14:ligatures w14:val="standardContextual"/>
        </w:rPr>
        <w:t>proactivă</w:t>
      </w:r>
      <w:proofErr w:type="spellEnd"/>
      <w:r w:rsidRPr="00C71605">
        <w:rPr>
          <w:kern w:val="2"/>
          <w14:ligatures w14:val="standardContextual"/>
        </w:rPr>
        <w:t xml:space="preserve"> a tuturor deciziilor de recuzare luate de membrii Comitetului din cauza conflictelor de interese;</w:t>
      </w:r>
    </w:p>
    <w:p w14:paraId="7039208F"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38.</w:t>
      </w:r>
      <w:r w:rsidRPr="00C71605">
        <w:rPr>
          <w:kern w:val="2"/>
          <w14:ligatures w14:val="standardContextual"/>
        </w:rPr>
        <w:tab/>
        <w:t>salută eforturile reînnoite ale Comitetului în domeniul detectării și prevenirii conflictelor de interese în 2023; ia act de faptul că, grație Deciziei nr. 157/2023, Comitetul a definit conceptul de conflict de interese și a instituit un mecanism de detectare și prevenire a acestuia, prin care personalul este obligat să declare dacă ar putea avea un conflict de interese (potențial sau posibil), completând un formular în diferite momente esențiale ale carierei sau ale activităților sale profesionale; constată cu satisfacție, pe baza chestionarului, că informațiile anuale privind activitățile profesionale ale foștilor înalți funcționari sunt publicate în mod transparent pe site-ul internet al Comitetului; constată că, în 2023, Comitetul nu a detectat nicio situație de conflict de interese care ar fi necesitat urmărirea de către administrație;</w:t>
      </w:r>
    </w:p>
    <w:p w14:paraId="5AA30190" w14:textId="77777777" w:rsidR="00C71605" w:rsidRPr="00C71605" w:rsidRDefault="00C71605" w:rsidP="001C0845">
      <w:pPr>
        <w:spacing w:after="240"/>
        <w:ind w:left="567" w:hanging="567"/>
        <w:rPr>
          <w:kern w:val="2"/>
          <w:szCs w:val="24"/>
          <w14:ligatures w14:val="standardContextual"/>
        </w:rPr>
      </w:pPr>
      <w:r w:rsidRPr="00C71605">
        <w:rPr>
          <w:kern w:val="2"/>
          <w14:ligatures w14:val="standardContextual"/>
        </w:rPr>
        <w:t>39.</w:t>
      </w:r>
      <w:r w:rsidRPr="00C71605">
        <w:rPr>
          <w:kern w:val="2"/>
          <w14:ligatures w14:val="standardContextual"/>
        </w:rPr>
        <w:tab/>
        <w:t>ia act de faptul că niciun caz de avertizare de integritate nu a fost comunicat Comitetului în 2023, cu excepția informațiilor primite de la OLAF cu privire la un caz de avertizare de integritate împotriva unui angajat al Comitetului, caz respins în cele din urmă de către OLAF; observă că în 2023 Comitetul nu a adoptat nicio măsură nouă privind avertizarea de integritate și a continuat să se bazeze pe normele existente din 2015 și să le promoveze prin cursuri în materie de etică și de sensibilizare; sprijină formarea etică obligatorie periodică atât pentru personal, cât și pentru nivelul de conducere;</w:t>
      </w:r>
    </w:p>
    <w:p w14:paraId="3A7FD5A4" w14:textId="77777777" w:rsidR="00C71605" w:rsidRPr="00C71605" w:rsidRDefault="00C71605" w:rsidP="001C0845">
      <w:pPr>
        <w:spacing w:after="240"/>
        <w:ind w:left="567" w:hanging="567"/>
        <w:rPr>
          <w:kern w:val="2"/>
          <w:szCs w:val="24"/>
          <w14:ligatures w14:val="standardContextual"/>
        </w:rPr>
      </w:pPr>
      <w:r w:rsidRPr="00C71605">
        <w:rPr>
          <w:kern w:val="2"/>
          <w14:ligatures w14:val="standardContextual"/>
        </w:rPr>
        <w:t>40.</w:t>
      </w:r>
      <w:r w:rsidRPr="00C71605">
        <w:rPr>
          <w:kern w:val="2"/>
          <w14:ligatures w14:val="standardContextual"/>
        </w:rPr>
        <w:tab/>
        <w:t xml:space="preserve">ia act de faptul că Comitetul a instituit o serie de măsuri și acțiuni antifraudă aplicabile </w:t>
      </w:r>
      <w:r w:rsidRPr="00C71605">
        <w:rPr>
          <w:kern w:val="2"/>
          <w14:ligatures w14:val="standardContextual"/>
        </w:rPr>
        <w:lastRenderedPageBreak/>
        <w:t>membrilor săi și personalului său, care sunt puse în aplicare de diferite servicii; observă că, în 2023, nu a fost instituită nicio strategie antifraudă, în pofida solicitărilor Parlamentului din rezoluțiile anterioare referitoare la descărcarea de gestiune; ia act cu satisfacție, în urma recomandării Parlamentului și precum s-a indicat în chestionar, de angajamentul Comitetului de a întări și mai mult măsurile antifraudă existente prin adoptarea unei strategii antifraudă în 2025; încurajează Comitetul să înlesnească, ca parte a strategiei, cursuri periodice și obligatorii de formare antifraudă; solicită Comitetului să țină la curent autoritatea de descărcare de gestiune în această privință;</w:t>
      </w:r>
    </w:p>
    <w:p w14:paraId="5533D6BC" w14:textId="77777777" w:rsidR="00C71605" w:rsidRPr="00C71605" w:rsidRDefault="00C71605" w:rsidP="001C0845">
      <w:pPr>
        <w:spacing w:after="240"/>
        <w:ind w:left="567" w:hanging="567"/>
        <w:rPr>
          <w:b/>
          <w:i/>
          <w:kern w:val="2"/>
          <w14:ligatures w14:val="standardContextual"/>
        </w:rPr>
      </w:pPr>
      <w:r w:rsidRPr="00C71605">
        <w:rPr>
          <w:b/>
          <w:i/>
          <w:kern w:val="2"/>
          <w14:ligatures w14:val="standardContextual"/>
        </w:rPr>
        <w:t>Digitalizarea, securitatea cibernetică și protecția datelor</w:t>
      </w:r>
    </w:p>
    <w:p w14:paraId="40C1C230"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41.</w:t>
      </w:r>
      <w:r w:rsidRPr="00C71605">
        <w:rPr>
          <w:kern w:val="2"/>
          <w14:ligatures w14:val="standardContextual"/>
        </w:rPr>
        <w:tab/>
        <w:t>ia act de faptul că bugetul combinat pentru TI al Comitetului și al CESE a fost de 12,7 milioane EUR în 2023, față de 11,712 milioane EUR în 2022, ceea ce constituie o creștere de 8,40 %, în timp ce 350 000 EUR din acest buget au fost plătiți pentru securitatea cibernetică în 2023;</w:t>
      </w:r>
    </w:p>
    <w:p w14:paraId="644387BF"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42.</w:t>
      </w:r>
      <w:r w:rsidRPr="00C71605">
        <w:rPr>
          <w:kern w:val="2"/>
          <w14:ligatures w14:val="standardContextual"/>
        </w:rPr>
        <w:tab/>
        <w:t>salută noua „Strategie digitală 2024-2026” a Comitetului, adoptată la sfârșitul anului 2023; salută, în acest context, Comitetul pentru progresele sale în materie de digitalizare înregistrate în 2023 în diferite domenii, cum ar fi procesele administrative (inclusiv selecția personalului), achizițiile publice și interpretarea, printre altele; invită Comitetul să accelereze eforturile de transformare digitală prin asigurarea punerii depline în aplicare a fluxurilor de lucru electronice, a semnăturilor electronice și a instrumentelor digitale de gestionare a cazurilor până în 2026, reducând procesele pe suport de hârtie în conformitate cu angajamentele în materie de sustenabilitate, trecând la o administrație mai informatizată;</w:t>
      </w:r>
    </w:p>
    <w:p w14:paraId="0DBBA233"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43.</w:t>
      </w:r>
      <w:r w:rsidRPr="00C71605">
        <w:rPr>
          <w:kern w:val="2"/>
          <w14:ligatures w14:val="standardContextual"/>
        </w:rPr>
        <w:tab/>
        <w:t>constată cu satisfacție că 90 % dintre proiectele de simplificare prin digitalizare din cadrul inițiativei „</w:t>
      </w:r>
      <w:proofErr w:type="spellStart"/>
      <w:r w:rsidRPr="00C71605">
        <w:rPr>
          <w:kern w:val="2"/>
          <w14:ligatures w14:val="standardContextual"/>
        </w:rPr>
        <w:t>Going</w:t>
      </w:r>
      <w:proofErr w:type="spellEnd"/>
      <w:r w:rsidRPr="00C71605">
        <w:rPr>
          <w:kern w:val="2"/>
          <w14:ligatures w14:val="standardContextual"/>
        </w:rPr>
        <w:t xml:space="preserve"> for impact” au fost puse în aplicare integral până la sfârșitul anului 2023; constată, în plus, că au fost valorificate și mai multe creșteri ale eficienței ca urmare a unui proiect informatic pentru a defini cel mai bun instrument pentru gestionarea electronică a fluxurilor de lucru bazate pe formă, prin urmare, multe dintre procesele Comitetului au început să fie simplificate și digitalizate prin intermediul instrumentelor Microsoft 365; ia act cu satisfacție de faptul că Comitetul utilizează module de achiziții publice, cum ar fi licitațiile electronice, notificările electronice, depunerea electronică, </w:t>
      </w:r>
      <w:proofErr w:type="spellStart"/>
      <w:r w:rsidRPr="00C71605">
        <w:rPr>
          <w:kern w:val="2"/>
          <w14:ligatures w14:val="standardContextual"/>
        </w:rPr>
        <w:t>MyWorkplace</w:t>
      </w:r>
      <w:proofErr w:type="spellEnd"/>
      <w:r w:rsidRPr="00C71605">
        <w:rPr>
          <w:kern w:val="2"/>
          <w14:ligatures w14:val="standardContextual"/>
        </w:rPr>
        <w:t>, precum și semnătura electronică calificată, introdusă în 2023 pentru semnarea contractelor; salută adoptarea de către Comitet a unor orientări interne privind utilizarea inteligenței artificiale care pun bazele unor posibile soluții viitoare și încurajează introducerea unor cursuri de formare obligatorii periodice privind utilizarea în condiții de siguranță a inteligenței artificiale;</w:t>
      </w:r>
    </w:p>
    <w:p w14:paraId="724A4302"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44.</w:t>
      </w:r>
      <w:r w:rsidRPr="00C71605">
        <w:rPr>
          <w:kern w:val="2"/>
          <w14:ligatures w14:val="standardContextual"/>
        </w:rPr>
        <w:tab/>
        <w:t>remarcă, de asemenea, că în 2023 Autoritatea Europeană pentru Protecția Datelor (AEPD) nu a efectuat nicio investigație sau anchetă cu privire la prelucrarea datelor cu caracter personal de către Comitet; ia act de faptul că, în 2023, AEPD a lansat un chestionar general privind desemnarea și funcția responsabilului cu protecția datelor (RPD), la care a răspuns RPD al Comitetului;</w:t>
      </w:r>
    </w:p>
    <w:p w14:paraId="25F9A4A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45.</w:t>
      </w:r>
      <w:r w:rsidRPr="00C71605">
        <w:rPr>
          <w:kern w:val="2"/>
          <w14:ligatures w14:val="standardContextual"/>
        </w:rPr>
        <w:tab/>
        <w:t xml:space="preserve">ia act de faptul că Comitetul nu s-a confruntat cu niciun atac cibernetic în 2023, cu excepția anumitor atacuri de refuz al serviciului împotriva site-ului găzduit extern al Comitetului; ia act, pe baza chestionarului, de instrumentele și strategiile Comitetului pentru monitorizarea în timp real a amenințărilor și identificarea vulnerabilităților sistemelor Comitetului; felicită Comitetul pentru aderarea la standarde în chestiuni </w:t>
      </w:r>
      <w:r w:rsidRPr="00C71605">
        <w:rPr>
          <w:kern w:val="2"/>
          <w14:ligatures w14:val="standardContextual"/>
        </w:rPr>
        <w:lastRenderedPageBreak/>
        <w:t>legate de evaluările riscurilor legate de securitatea cibernetică, precum și pentru instituirea unui sistem bazat pe planuri de răspuns la incidente, pe măsuri de redresare și pe învățămintele desprinse; constată cu satisfacție că Comitetul și CESE au adoptat cadrul de securitate cibernetică al NIST, cu accent, în 2023, pe principiile „protecție” și „detectare”; încurajează Comitetul să informeze membrii și personalul său cu privire la securitatea cibernetică, să efectueze evaluări periodice ale riscurilor legate de infrastructura sa informatică și să asigure audituri și teste periodice ale sistemelor sale de apărare cibernetică;</w:t>
      </w:r>
    </w:p>
    <w:p w14:paraId="752F71E9" w14:textId="77777777" w:rsidR="00C71605" w:rsidRPr="00C71605" w:rsidRDefault="00C71605" w:rsidP="001C0845">
      <w:pPr>
        <w:spacing w:after="240"/>
        <w:ind w:left="567" w:hanging="567"/>
        <w:rPr>
          <w:b/>
          <w:i/>
          <w:kern w:val="2"/>
          <w14:ligatures w14:val="standardContextual"/>
        </w:rPr>
      </w:pPr>
      <w:r w:rsidRPr="00C71605">
        <w:rPr>
          <w:b/>
          <w:i/>
          <w:kern w:val="2"/>
          <w14:ligatures w14:val="standardContextual"/>
        </w:rPr>
        <w:t>Clădirile</w:t>
      </w:r>
    </w:p>
    <w:p w14:paraId="3831FB85"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46.</w:t>
      </w:r>
      <w:r w:rsidRPr="00C71605">
        <w:rPr>
          <w:kern w:val="2"/>
          <w14:ligatures w14:val="standardContextual"/>
        </w:rPr>
        <w:tab/>
        <w:t>constată că bugetul Comitetului (creditele exercițiului curent) în 2023 a fost de 18,594 milioane EUR (față de 18,930 milioane EUR în 2022), cu o rată de execuție a plăților de 93,70 % (față de 82,60 % în 2022); constată cu satisfacție că, în urma schimbului de clădiri B68 și TRE74 pentru clădirea VMA în 2022, s-au realizat economii datorită costurilor mai mici de închiriere a întregii clădiri VMA în 2023;</w:t>
      </w:r>
    </w:p>
    <w:p w14:paraId="708AEB2A"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47.</w:t>
      </w:r>
      <w:r w:rsidRPr="00C71605">
        <w:rPr>
          <w:kern w:val="2"/>
          <w14:ligatures w14:val="standardContextual"/>
        </w:rPr>
        <w:tab/>
        <w:t>ia act de faptul că lucrările de renovare a clădirii VMA (etajul al treilea până la al nouălea) au continuat în 2023; constată, de asemenea, o rată scăzută de execuție a plăților în ceea ce privește creditele C8 (reportate din 2022 în 2023), și anume 18,90 %, utilizate pentru amenajarea clădirii VMA; înțelege explicația Comitetului pentru această rată scăzută, în timp ce contractantul nu a fost în măsură să finalizeze părți din lucrările de renovare în clădirile VMA; își reiterează apelul adresat Comitetului de a furniza autorității care acordă descărcarea de gestiune informații actualizate cu privire la randamentul investițiilor în ceea ce privește tehnologiile inteligente instalate în VMA;</w:t>
      </w:r>
    </w:p>
    <w:p w14:paraId="1C6C9FE6"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48.</w:t>
      </w:r>
      <w:r w:rsidRPr="00C71605">
        <w:rPr>
          <w:kern w:val="2"/>
          <w14:ligatures w14:val="standardContextual"/>
        </w:rPr>
        <w:tab/>
        <w:t>salută angajamentul Comitetului și al CESE de a aplica în mod sistematic principiul „proiectării universale” pentru infrastructura lor, asigurând accesibilitatea clădirii lor din faza de proiectare; ia act de faptul că Comitetele au luat o serie de măsuri diferite pentru a asigura accesibilitatea clădirilor lor pentru persoanele cu diferite tipuri de handicap (utilizatori de scaune cu rotile, persoane nevăzătoare și cu deficiențe de vedere, persoane surde, persoane în vârstă cu probleme musculare sau vasculare);</w:t>
      </w:r>
    </w:p>
    <w:p w14:paraId="0E3EF4ED" w14:textId="77777777" w:rsidR="00C71605" w:rsidRPr="00C71605" w:rsidRDefault="00C71605" w:rsidP="001C0845">
      <w:pPr>
        <w:spacing w:after="240"/>
        <w:ind w:left="567" w:hanging="567"/>
        <w:rPr>
          <w:b/>
          <w:i/>
          <w:kern w:val="2"/>
          <w14:ligatures w14:val="standardContextual"/>
        </w:rPr>
      </w:pPr>
      <w:r w:rsidRPr="00C71605">
        <w:rPr>
          <w:b/>
          <w:i/>
          <w:kern w:val="2"/>
          <w14:ligatures w14:val="standardContextual"/>
        </w:rPr>
        <w:t>Mediu și sustenabilitate</w:t>
      </w:r>
    </w:p>
    <w:p w14:paraId="2046EEAF"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49.</w:t>
      </w:r>
      <w:r w:rsidRPr="00C71605">
        <w:rPr>
          <w:kern w:val="2"/>
          <w14:ligatures w14:val="standardContextual"/>
        </w:rPr>
        <w:tab/>
        <w:t>ia act de faptul că Comitetul a continuat să pună în aplicare o varietate de practici ecologice în 2023, cum ar fi utilizarea unor instalații de construcții inovatoare eficiente din punct de vedere energetic, achiziționarea a 100 % energie electrică ecologică, înlocuirea fluxurilor de lucru fără hârtie cu semnături digitale, aplicarea criteriilor de mediu în toate procedurile de licitație (cu criterii ecologice personalizate pentru cererile de oferte de peste 60 000 EUR), concentrarea pe reducerea deșeurilor și creșterea ratei de reciclare, punerea în aplicare a unor măsuri pentru o deplasare mai sustenabilă a personalului, inclusiv contribuții financiare din partea Comitetului la costurile de transport public ale personalului său, utilizarea interpretării complete de la distanță pentru reuniunile statutare și alte măsuri de economisire a energiei; constată cu satisfacție, pe baza chestionarului, o reducere a emisiilor de carbon legate de activitățile administrației Comitetului cu 18 % față de 2019;</w:t>
      </w:r>
    </w:p>
    <w:p w14:paraId="5C3F6718"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50.</w:t>
      </w:r>
      <w:r w:rsidRPr="00C71605">
        <w:rPr>
          <w:kern w:val="2"/>
          <w14:ligatures w14:val="standardContextual"/>
        </w:rPr>
        <w:tab/>
        <w:t xml:space="preserve">constată cu satisfacție, pe baza chestionarului, că, datorită măsurilor sale de economisire a energiei, consumul de energie al Comitetului a fost redus cu aproximativ 3,4 % în 2023 comparativ cu 2022, ceea ce corespunde unui câștig financiar de 64 240 EUR; </w:t>
      </w:r>
      <w:r w:rsidRPr="00C71605">
        <w:rPr>
          <w:kern w:val="2"/>
          <w14:ligatures w14:val="standardContextual"/>
        </w:rPr>
        <w:lastRenderedPageBreak/>
        <w:t>felicită Comitetele pentru depășirea obiectivelor EMAS pentru perioada 2021-2025 în toate domeniile (electricitate, gaz, apă, deșeuri, sortarea deșeurilor, hârtie pentru birou, emisii de CO</w:t>
      </w:r>
      <w:r w:rsidRPr="00C71605">
        <w:rPr>
          <w:kern w:val="2"/>
          <w:vertAlign w:val="subscript"/>
          <w14:ligatures w14:val="standardContextual"/>
        </w:rPr>
        <w:t>2</w:t>
      </w:r>
      <w:r w:rsidRPr="00C71605">
        <w:rPr>
          <w:kern w:val="2"/>
          <w14:ligatures w14:val="standardContextual"/>
        </w:rPr>
        <w:t>);</w:t>
      </w:r>
    </w:p>
    <w:p w14:paraId="0762F46A" w14:textId="77777777" w:rsidR="00C71605" w:rsidRPr="00022566" w:rsidRDefault="00C71605" w:rsidP="001C0845">
      <w:pPr>
        <w:spacing w:after="240"/>
        <w:ind w:left="567" w:hanging="567"/>
        <w:rPr>
          <w:b/>
          <w:i/>
          <w:kern w:val="2"/>
          <w14:ligatures w14:val="standardContextual"/>
        </w:rPr>
      </w:pPr>
      <w:r w:rsidRPr="00022566">
        <w:rPr>
          <w:b/>
          <w:i/>
          <w:kern w:val="2"/>
          <w14:ligatures w14:val="standardContextual"/>
        </w:rPr>
        <w:t>Cooperare interinstituțională</w:t>
      </w:r>
    </w:p>
    <w:p w14:paraId="7A47412C"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51.</w:t>
      </w:r>
      <w:r w:rsidRPr="00C71605">
        <w:rPr>
          <w:kern w:val="2"/>
          <w14:ligatures w14:val="standardContextual"/>
        </w:rPr>
        <w:tab/>
        <w:t xml:space="preserve">salută economiile bugetare și administrative realizate prin cooperare interinstituțională, în special cooperarea strânsă stabilită la nivel administrativ cu CESE cu care Comitetul împarte spații și servicii comune în domeniile traducerii, infrastructurii, logisticii și TI, cu 470 de angajați și aproximativ 60 de milioane EUR (excluzând cheltuielile legate de salarii) puse în comun de ambele instituții în 2023; constată cu satisfacție că Comitetul și-a extins și mai mult cooperarea cu CESE prin exploatarea unor sinergii suplimentare prin intermediul serviciilor medicale comune și al registrului central comun de protecție a datelor și al operațiunilor de prelucrare bazate pe Acordul privind controlul comun semnat de Comitet și de CESE în 2023; își reiterează apelul adresat Comitetului de a susține și a extinde această cooperare și în alte domenii, pentru a evita suprapunerile și a raționaliza în continuare costurile de funcționare ale serviciilor disponibile în spațiile comune ale Comitetului și CESE; invită Comitetul și CESE să analizeze posibilitatea de a institui o singură administrație pentru Serviciile lor comune, păstrând direcții sau unități separate pentru serviciile care se ocupă de aspecte legate de mandatele lor specifice și independente; încurajează Comitetul și CESE să își continue eforturile de a dezvolta în continuare cooperarea și </w:t>
      </w:r>
      <w:proofErr w:type="spellStart"/>
      <w:r w:rsidRPr="00C71605">
        <w:rPr>
          <w:kern w:val="2"/>
          <w14:ligatures w14:val="standardContextual"/>
        </w:rPr>
        <w:t>sinergiile</w:t>
      </w:r>
      <w:proofErr w:type="spellEnd"/>
      <w:r w:rsidRPr="00C71605">
        <w:rPr>
          <w:kern w:val="2"/>
          <w14:ligatures w14:val="standardContextual"/>
        </w:rPr>
        <w:t>;</w:t>
      </w:r>
    </w:p>
    <w:p w14:paraId="1A9C3DC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52.</w:t>
      </w:r>
      <w:r w:rsidRPr="00C71605">
        <w:rPr>
          <w:kern w:val="2"/>
          <w14:ligatures w14:val="standardContextual"/>
        </w:rPr>
        <w:tab/>
        <w:t>salută faptul că Comitetul caută sinergii prin achiziția de servicii de la alte instituții pe baza unor acorduri privind nivelul serviciilor și prin participarea la organisme de coordonare interinstituționale și la proceduri de achiziții interinstituționale; salută creșterea eficienței în ceea ce privește comunicarea pentru alegerile europene din 2024, comunicată de Comitet în chestionar; constată că aceste câștiguri au fost posibile deoarece Comitetul a semnat cu Parlamentul un memorandum de înțelegere în februarie 2024 și un nou acord de cooperare (PC) în mai 2024; constată, de asemenea, că PC a cuprins, de asemenea, cooperarea la nivel politic și administrativ între cele două instituții;</w:t>
      </w:r>
    </w:p>
    <w:p w14:paraId="76FBD562"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53.</w:t>
      </w:r>
      <w:r w:rsidRPr="00C71605">
        <w:rPr>
          <w:kern w:val="2"/>
          <w14:ligatures w14:val="standardContextual"/>
        </w:rPr>
        <w:tab/>
        <w:t>invită Comitetul să își aprofundeze cooperarea cu Parlamentul și cu Comisia prin stabilirea unui dialog anual structurat între reprezentanții Comitetului și legiuitorii Uniunii cu privire la principalele dosare legislative care afectează dezvoltarea regională, politica privind clima și coeziunea socială; îndeamnă Comisia să exploreze inițiative comune cu Comisia pentru dezvoltare regională (REGI) a Parlamentului și cu Comisia pentru mediu, climă și siguranță alimentară (ENVI) pentru a promova investițiile regionale sustenabile;</w:t>
      </w:r>
    </w:p>
    <w:p w14:paraId="363610BB"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54.</w:t>
      </w:r>
      <w:r w:rsidRPr="00C71605">
        <w:rPr>
          <w:kern w:val="2"/>
          <w14:ligatures w14:val="standardContextual"/>
        </w:rPr>
        <w:tab/>
        <w:t>constată că Comitetul cooperează cu Comisia (în schimbul unui comision anual) pentru gestionarea aspectelor legate de resursele umane și utilizarea a diferite platforme de TI pentru gestiune bugetară și resurse umane; observă de asemenea că Comitetul își organizează sesiunile plenare la sediul Parlamentului și al Comisiei pentru a compensa lipsa de capacitate a propriilor sale săli de conferințe și că Comitetul cumpără servicii de interpretare de la aceste două instituții;</w:t>
      </w:r>
    </w:p>
    <w:p w14:paraId="532CA0C9"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55.</w:t>
      </w:r>
      <w:r w:rsidRPr="00C71605">
        <w:rPr>
          <w:kern w:val="2"/>
          <w14:ligatures w14:val="standardContextual"/>
        </w:rPr>
        <w:tab/>
        <w:t xml:space="preserve">salută reexaminarea, în 2023, a Acordului de cooperare al Comitetului cu Parlamentul, în vederea semnării sale finale în 2024; sprijină cooperarea Comitetului cu mai multe comisii parlamentare, </w:t>
      </w:r>
      <w:proofErr w:type="spellStart"/>
      <w:r w:rsidRPr="00C71605">
        <w:rPr>
          <w:kern w:val="2"/>
          <w14:ligatures w14:val="standardContextual"/>
        </w:rPr>
        <w:t>intergrupuri</w:t>
      </w:r>
      <w:proofErr w:type="spellEnd"/>
      <w:r w:rsidRPr="00C71605">
        <w:rPr>
          <w:kern w:val="2"/>
          <w14:ligatures w14:val="standardContextual"/>
        </w:rPr>
        <w:t xml:space="preserve"> și direcții generale ale Parlamentului și consideră </w:t>
      </w:r>
      <w:r w:rsidRPr="00C71605">
        <w:rPr>
          <w:kern w:val="2"/>
          <w14:ligatures w14:val="standardContextual"/>
        </w:rPr>
        <w:lastRenderedPageBreak/>
        <w:t>esențial ca membrii Comitetului și ai CESE să fie invitați în mod regulat și sistematic la schimburile parlamentare relevante, inclusiv la reuniunile comisiilor, cu privire la chestiunile de care se ocupă;</w:t>
      </w:r>
    </w:p>
    <w:p w14:paraId="72212A77" w14:textId="77777777" w:rsidR="00C71605" w:rsidRPr="00C71605" w:rsidRDefault="00C71605" w:rsidP="001C0845">
      <w:pPr>
        <w:spacing w:after="240"/>
        <w:ind w:left="567" w:hanging="567"/>
        <w:rPr>
          <w:b/>
          <w:i/>
          <w:kern w:val="2"/>
          <w14:ligatures w14:val="standardContextual"/>
        </w:rPr>
      </w:pPr>
      <w:r w:rsidRPr="00C71605">
        <w:rPr>
          <w:b/>
          <w:i/>
          <w:kern w:val="2"/>
          <w14:ligatures w14:val="standardContextual"/>
        </w:rPr>
        <w:t>Comunicarea</w:t>
      </w:r>
    </w:p>
    <w:p w14:paraId="7D670333"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56.</w:t>
      </w:r>
      <w:r w:rsidRPr="00C71605">
        <w:rPr>
          <w:kern w:val="2"/>
          <w14:ligatures w14:val="standardContextual"/>
        </w:rPr>
        <w:tab/>
        <w:t>ia act de faptul că activitățile de comunicare ale Comitetului se axează pe relația cu presa, pe organizarea de evenimente, pe conținutul digital și pe rețelele de socializare, cu un buget total (credite pentru anul curent) de aproximativ 2,8 milioane EUR în 2023; regretă o rată foarte scăzută de execuție a plăților în aceste domenii (mergând de la 24,70 % la 48,20 %); constată, cu toate acestea, o rată ridicată de execuție a creditelor C8 (reportate din 2022 în 2023), cuprinsă între 98 % și 100 %; invită Comitetul să ia măsuri pentru a-și îmbunătăți planificarea bugetară în ceea ce privește posturile bugetare legate de comunicare;</w:t>
      </w:r>
    </w:p>
    <w:p w14:paraId="73F2B1FC" w14:textId="312E4D27" w:rsidR="00C71605" w:rsidRPr="00C71605" w:rsidRDefault="00C71605" w:rsidP="001C0845">
      <w:pPr>
        <w:spacing w:after="240"/>
        <w:ind w:left="567" w:hanging="567"/>
        <w:rPr>
          <w:kern w:val="2"/>
          <w14:ligatures w14:val="standardContextual"/>
        </w:rPr>
      </w:pPr>
      <w:r w:rsidRPr="00C71605">
        <w:rPr>
          <w:kern w:val="2"/>
          <w14:ligatures w14:val="standardContextual"/>
        </w:rPr>
        <w:t>57.</w:t>
      </w:r>
      <w:r w:rsidRPr="00C71605">
        <w:rPr>
          <w:kern w:val="2"/>
          <w14:ligatures w14:val="standardContextual"/>
        </w:rPr>
        <w:tab/>
        <w:t xml:space="preserve">ia act cu satisfacție de realizările Comitetului în ceea ce privește promovarea politicilor și a programelor Uniunii la nivel local și regional, îmbunătățind raza de acțiune a lucrărilor sale consultative și mărind vizibilitatea și impactul acestora; ia act de faptul că strategia de comunicare a Comitetului urmărește să își întărească profilul instituțional și politic ca voce a regiunilor, orașelor, satelor și localităților Uniunii, evidențiind în același timp contribuțiile esențiale ale membrilor săi la conectarea politicilor Uniunii cu cetățenii și la promovarea implicării la nivel local și regional; ia act, în acest context, de acțiunile de comunicare ale Comitetului din 2023 în domenii precum: </w:t>
      </w:r>
      <w:r w:rsidR="00022566">
        <w:rPr>
          <w:kern w:val="2"/>
          <w14:ligatures w14:val="standardContextual"/>
        </w:rPr>
        <w:t>–</w:t>
      </w:r>
      <w:r w:rsidRPr="00C71605">
        <w:rPr>
          <w:kern w:val="2"/>
          <w14:ligatures w14:val="standardContextual"/>
        </w:rPr>
        <w:t xml:space="preserve"> coeziunea (de exemplu, campania „Promovarea coeziunii ca valoare fundamentală a Uniunii” în cadrul Săptămânii europene a regiunilor și orașelor, cu peste 8 000 de participanți); </w:t>
      </w:r>
      <w:r w:rsidR="00022566">
        <w:rPr>
          <w:kern w:val="2"/>
          <w14:ligatures w14:val="standardContextual"/>
        </w:rPr>
        <w:t>–</w:t>
      </w:r>
      <w:r w:rsidRPr="00C71605">
        <w:rPr>
          <w:kern w:val="2"/>
          <w14:ligatures w14:val="standardContextual"/>
        </w:rPr>
        <w:t xml:space="preserve"> schimbările climatice (de exemplu, campania „Construirea unor comunități locale </w:t>
      </w:r>
      <w:proofErr w:type="spellStart"/>
      <w:r w:rsidRPr="00C71605">
        <w:rPr>
          <w:kern w:val="2"/>
          <w14:ligatures w14:val="standardContextual"/>
        </w:rPr>
        <w:t>reziliente</w:t>
      </w:r>
      <w:proofErr w:type="spellEnd"/>
      <w:r w:rsidRPr="00C71605">
        <w:rPr>
          <w:kern w:val="2"/>
          <w14:ligatures w14:val="standardContextual"/>
        </w:rPr>
        <w:t xml:space="preserve"> și inovatoare”); </w:t>
      </w:r>
      <w:r w:rsidR="00022566">
        <w:rPr>
          <w:kern w:val="2"/>
          <w14:ligatures w14:val="standardContextual"/>
        </w:rPr>
        <w:t>–</w:t>
      </w:r>
      <w:r w:rsidRPr="00C71605">
        <w:rPr>
          <w:kern w:val="2"/>
          <w14:ligatures w14:val="standardContextual"/>
        </w:rPr>
        <w:t xml:space="preserve"> democrația (de exemplu, campania „Un nou capitol pentru democrația UE”, cu 1 400 de înregistrări pentru a participa la cea de-a 14-a conferință </w:t>
      </w:r>
      <w:proofErr w:type="spellStart"/>
      <w:r w:rsidRPr="00C71605">
        <w:rPr>
          <w:kern w:val="2"/>
          <w14:ligatures w14:val="standardContextual"/>
        </w:rPr>
        <w:t>EuropCom</w:t>
      </w:r>
      <w:proofErr w:type="spellEnd"/>
      <w:r w:rsidRPr="00C71605">
        <w:rPr>
          <w:kern w:val="2"/>
          <w14:ligatures w14:val="standardContextual"/>
        </w:rPr>
        <w:t xml:space="preserve">); </w:t>
      </w:r>
      <w:r w:rsidR="00022566">
        <w:rPr>
          <w:kern w:val="2"/>
          <w14:ligatures w14:val="standardContextual"/>
        </w:rPr>
        <w:t>–</w:t>
      </w:r>
      <w:r w:rsidRPr="00C71605">
        <w:rPr>
          <w:kern w:val="2"/>
          <w14:ligatures w14:val="standardContextual"/>
        </w:rPr>
        <w:t> dezvoltarea rurală („Conferința Congresului european LEADER pe 2023”) în 2023; felicită Comitetul pentru creșterea numărului de persoane înregistrate în Rețeaua consilierilor locali și regionali ai UE (de la 2 307 în 2022 la 3 000 în 2023) și a numărului de participanți la programul „Tineri politicieni aleși” (de la 775 în 2022 la 836 în 2023);</w:t>
      </w:r>
    </w:p>
    <w:p w14:paraId="40A3177E"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58.</w:t>
      </w:r>
      <w:r w:rsidRPr="00C71605">
        <w:rPr>
          <w:kern w:val="2"/>
          <w14:ligatures w14:val="standardContextual"/>
        </w:rPr>
        <w:tab/>
        <w:t>salută eforturile Comitetului de a spori nivelul de informare a autorităților regionale și a comunităților locale, inclusiv extinderea Rețelei consilierilor locali și regionali ai UE și a programului „Tineri politicieni aleși”; invită Comitetul să aloce resurse suplimentare pentru a sprijini programele regionale de consolidare a capacităților care capacitează autoritățile locale să pună mai bine în aplicare politicile Uniunii;</w:t>
      </w:r>
    </w:p>
    <w:p w14:paraId="4BC91BDB"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59.</w:t>
      </w:r>
      <w:r w:rsidRPr="00C71605">
        <w:rPr>
          <w:kern w:val="2"/>
          <w14:ligatures w14:val="standardContextual"/>
        </w:rPr>
        <w:tab/>
        <w:t xml:space="preserve">ia act de succesul Comitetului în ceea ce privește comunicarea cu mass-media, astfel cum reiese din indicatorii generali pentru 2023, cum ar fi: 13 210 mențiuni în mass-media, o creștere de 129 % pentru vizitatorii site-urilor web și o creștere de 11 % pentru urmăritori; constată că, în ceea ce privește implicarea digitală, Comitetul nu și-a atins obiectivul pentru 2023; constată că, la sfârșitul exercițiului financiar 2023, Comitetul avea 200 000 de urmăritori pe rețelele sale de socializare, cu 15 % mai mulți decât în 2022, dintre care 57 603 urmăritori (o creștere de + 5 %) pe X (fosta </w:t>
      </w:r>
      <w:proofErr w:type="spellStart"/>
      <w:r w:rsidRPr="00C71605">
        <w:rPr>
          <w:kern w:val="2"/>
          <w14:ligatures w14:val="standardContextual"/>
        </w:rPr>
        <w:t>Twitter</w:t>
      </w:r>
      <w:proofErr w:type="spellEnd"/>
      <w:r w:rsidRPr="00C71605">
        <w:rPr>
          <w:kern w:val="2"/>
          <w14:ligatures w14:val="standardContextual"/>
        </w:rPr>
        <w:t xml:space="preserve">), 61 170 de urmăritori (o creștere de + 5 %) pe Facebook, 68 613 urmăritori (o creștere de + 31 %) pe </w:t>
      </w:r>
      <w:proofErr w:type="spellStart"/>
      <w:r w:rsidRPr="00C71605">
        <w:rPr>
          <w:kern w:val="2"/>
          <w14:ligatures w14:val="standardContextual"/>
        </w:rPr>
        <w:t>LinkedIn</w:t>
      </w:r>
      <w:proofErr w:type="spellEnd"/>
      <w:r w:rsidRPr="00C71605">
        <w:rPr>
          <w:kern w:val="2"/>
          <w14:ligatures w14:val="standardContextual"/>
        </w:rPr>
        <w:t xml:space="preserve"> și 15 392 de urmăritori (o creștere de + 47 %) pe </w:t>
      </w:r>
      <w:proofErr w:type="spellStart"/>
      <w:r w:rsidRPr="00C71605">
        <w:rPr>
          <w:kern w:val="2"/>
          <w14:ligatures w14:val="standardContextual"/>
        </w:rPr>
        <w:t>Instagram</w:t>
      </w:r>
      <w:proofErr w:type="spellEnd"/>
      <w:r w:rsidRPr="00C71605">
        <w:rPr>
          <w:kern w:val="2"/>
          <w14:ligatures w14:val="standardContextual"/>
        </w:rPr>
        <w:t>;</w:t>
      </w:r>
    </w:p>
    <w:p w14:paraId="7D3E8DA7" w14:textId="77777777" w:rsidR="00C71605" w:rsidRPr="00C71605" w:rsidRDefault="00C71605" w:rsidP="001C0845">
      <w:pPr>
        <w:spacing w:after="240"/>
        <w:ind w:left="567" w:hanging="567"/>
        <w:rPr>
          <w:kern w:val="2"/>
          <w14:ligatures w14:val="standardContextual"/>
        </w:rPr>
      </w:pPr>
      <w:r w:rsidRPr="00C71605">
        <w:rPr>
          <w:kern w:val="2"/>
          <w14:ligatures w14:val="standardContextual"/>
        </w:rPr>
        <w:t>60.</w:t>
      </w:r>
      <w:r w:rsidRPr="00C71605">
        <w:rPr>
          <w:kern w:val="2"/>
          <w14:ligatures w14:val="standardContextual"/>
        </w:rPr>
        <w:tab/>
        <w:t xml:space="preserve">ia act cu satisfacție, pe baza chestionarului, de inițiativele Comitetului de sensibilizare </w:t>
      </w:r>
      <w:r w:rsidRPr="00C71605">
        <w:rPr>
          <w:kern w:val="2"/>
          <w14:ligatures w14:val="standardContextual"/>
        </w:rPr>
        <w:lastRenderedPageBreak/>
        <w:t xml:space="preserve">cu privire la măsurile specifice prevăzute de Regulamentul privind serviciile digitale și de Regulamentul privind piețele digitale, precum și cu privire la securitatea cibernetică și siguranța online; recunoaște rolul Comitetului în promovarea traiectoriei Uniunii către un viitor digital; felicită, în acest context, Comitetul pentru organizarea în 2023 a seriilor „Digital </w:t>
      </w:r>
      <w:proofErr w:type="spellStart"/>
      <w:r w:rsidRPr="00C71605">
        <w:rPr>
          <w:kern w:val="2"/>
          <w14:ligatures w14:val="standardContextual"/>
        </w:rPr>
        <w:t>Masterclass</w:t>
      </w:r>
      <w:proofErr w:type="spellEnd"/>
      <w:r w:rsidRPr="00C71605">
        <w:rPr>
          <w:kern w:val="2"/>
          <w14:ligatures w14:val="standardContextual"/>
        </w:rPr>
        <w:t>”, atât pentru personal, cât și pentru publicul extern.</w:t>
      </w:r>
    </w:p>
    <w:p w14:paraId="3E0D01D2" w14:textId="77777777" w:rsidR="00C71605" w:rsidRPr="00BD18F8" w:rsidRDefault="00C71605" w:rsidP="001C0845">
      <w:pPr>
        <w:ind w:left="567" w:hanging="567"/>
        <w:rPr>
          <w:vanish/>
        </w:rPr>
      </w:pPr>
    </w:p>
    <w:sectPr w:rsidR="00C71605" w:rsidRPr="00BD18F8" w:rsidSect="00C716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C7329" w14:textId="77777777" w:rsidR="001763ED" w:rsidRPr="00BA20C0" w:rsidRDefault="001763ED">
      <w:r w:rsidRPr="00BA20C0">
        <w:separator/>
      </w:r>
    </w:p>
  </w:endnote>
  <w:endnote w:type="continuationSeparator" w:id="0">
    <w:p w14:paraId="10014BAA" w14:textId="77777777" w:rsidR="001763ED" w:rsidRPr="00BA20C0" w:rsidRDefault="001763ED">
      <w:r w:rsidRPr="00BA20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F1EDE" w14:textId="77777777" w:rsidR="00064002" w:rsidRPr="00BA20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48A4" w14:textId="77777777" w:rsidR="00064002" w:rsidRPr="00BA20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4E0B" w14:textId="77777777" w:rsidR="00064002" w:rsidRPr="00BA20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24837" w14:textId="77777777" w:rsidR="001763ED" w:rsidRPr="00BA20C0" w:rsidRDefault="001763ED">
      <w:r w:rsidRPr="00BA20C0">
        <w:separator/>
      </w:r>
    </w:p>
  </w:footnote>
  <w:footnote w:type="continuationSeparator" w:id="0">
    <w:p w14:paraId="2011A62F" w14:textId="77777777" w:rsidR="001763ED" w:rsidRPr="00BA20C0" w:rsidRDefault="001763ED">
      <w:r w:rsidRPr="00BA20C0">
        <w:continuationSeparator/>
      </w:r>
    </w:p>
  </w:footnote>
  <w:footnote w:id="1">
    <w:p w14:paraId="11B6B394" w14:textId="77777777" w:rsidR="00C71605" w:rsidRPr="008A42FF" w:rsidRDefault="00C71605" w:rsidP="00C71605">
      <w:pPr>
        <w:ind w:left="567" w:hanging="567"/>
        <w:rPr>
          <w:lang w:val="fi-FI"/>
        </w:rPr>
      </w:pPr>
      <w:r w:rsidRPr="00F4088A">
        <w:rPr>
          <w:rStyle w:val="FootnoteReference"/>
        </w:rPr>
        <w:footnoteRef/>
      </w:r>
      <w:r w:rsidRPr="008A42FF">
        <w:rPr>
          <w:lang w:val="fi-FI"/>
        </w:rPr>
        <w:tab/>
        <w:t xml:space="preserve">JO L 58, 23.2.2023, p. 1, ELI: </w:t>
      </w:r>
      <w:hyperlink r:id="rId1" w:tooltip="Gives access to this document through its ELI URI." w:history="1">
        <w:r w:rsidRPr="008A42FF">
          <w:rPr>
            <w:rStyle w:val="Hyperlink1"/>
            <w:shd w:val="clear" w:color="auto" w:fill="FFFFFF"/>
            <w:lang w:val="fi-FI"/>
          </w:rPr>
          <w:t>http://data.europa.eu/eli/budget/2023/1/oj</w:t>
        </w:r>
      </w:hyperlink>
      <w:r w:rsidRPr="008A42FF">
        <w:rPr>
          <w:shd w:val="clear" w:color="auto" w:fill="FFFFFF"/>
          <w:lang w:val="fi-FI"/>
        </w:rPr>
        <w:t>.</w:t>
      </w:r>
    </w:p>
  </w:footnote>
  <w:footnote w:id="2">
    <w:p w14:paraId="2913E5B2" w14:textId="77777777" w:rsidR="00C71605" w:rsidRPr="00F4088A" w:rsidRDefault="00C71605" w:rsidP="00C71605">
      <w:pPr>
        <w:pStyle w:val="FootnoteText"/>
        <w:ind w:left="567" w:hanging="567"/>
        <w:rPr>
          <w:sz w:val="24"/>
          <w:lang w:val="ro-RO"/>
        </w:rPr>
      </w:pPr>
      <w:r w:rsidRPr="00F4088A">
        <w:rPr>
          <w:rStyle w:val="FootnoteReference"/>
          <w:sz w:val="24"/>
          <w:lang w:val="ro-RO"/>
        </w:rPr>
        <w:footnoteRef/>
      </w:r>
      <w:r w:rsidRPr="00403879">
        <w:rPr>
          <w:sz w:val="24"/>
          <w:lang w:val="ro-RO"/>
        </w:rPr>
        <w:tab/>
        <w:t xml:space="preserve">JO C, C/2024/5462, 10.10.2024, ELI: </w:t>
      </w:r>
      <w:hyperlink r:id="rId2" w:history="1">
        <w:r w:rsidRPr="00C71605">
          <w:rPr>
            <w:rStyle w:val="Hyperlink1"/>
            <w:lang w:val="fi-FI"/>
          </w:rPr>
          <w:t>http://data.europa.eu/eli/C/2024/5462/oj</w:t>
        </w:r>
      </w:hyperlink>
      <w:r w:rsidRPr="00C71605">
        <w:rPr>
          <w:rStyle w:val="Hyperlink1"/>
          <w:lang w:val="fi-FI"/>
        </w:rPr>
        <w:t>.</w:t>
      </w:r>
    </w:p>
  </w:footnote>
  <w:footnote w:id="3">
    <w:p w14:paraId="7B5FA897" w14:textId="77777777" w:rsidR="00C71605" w:rsidRPr="00F4088A" w:rsidRDefault="00C71605" w:rsidP="00C71605">
      <w:pPr>
        <w:pStyle w:val="FootnoteText"/>
        <w:ind w:left="567" w:hanging="567"/>
        <w:rPr>
          <w:sz w:val="24"/>
          <w:lang w:val="ro-RO"/>
        </w:rPr>
      </w:pPr>
      <w:r w:rsidRPr="00F4088A">
        <w:rPr>
          <w:rStyle w:val="FootnoteReference"/>
          <w:sz w:val="24"/>
          <w:lang w:val="ro-RO"/>
        </w:rPr>
        <w:footnoteRef/>
      </w:r>
      <w:r w:rsidRPr="00403879">
        <w:rPr>
          <w:sz w:val="24"/>
          <w:lang w:val="ro-RO"/>
        </w:rPr>
        <w:tab/>
        <w:t xml:space="preserve">JO C, C/2024/5882, 9.10.2024, ELI: </w:t>
      </w:r>
      <w:hyperlink r:id="rId3" w:history="1">
        <w:r w:rsidRPr="00C71605">
          <w:rPr>
            <w:rStyle w:val="Hyperlink1"/>
            <w:lang w:val="fi-FI"/>
          </w:rPr>
          <w:t>http://data.europa.eu/eli/C/2024/5882/oj</w:t>
        </w:r>
      </w:hyperlink>
      <w:r w:rsidRPr="00C71605">
        <w:rPr>
          <w:rStyle w:val="Hyperlink1"/>
          <w:lang w:val="fi-FI"/>
        </w:rPr>
        <w:t>.</w:t>
      </w:r>
    </w:p>
  </w:footnote>
  <w:footnote w:id="4">
    <w:p w14:paraId="1FD39B46" w14:textId="77777777" w:rsidR="00C71605" w:rsidRPr="00F4088A" w:rsidRDefault="00C71605" w:rsidP="00C71605">
      <w:pPr>
        <w:pStyle w:val="FootnoteText"/>
        <w:ind w:left="567" w:hanging="567"/>
        <w:rPr>
          <w:sz w:val="24"/>
          <w:lang w:val="ro-RO"/>
        </w:rPr>
      </w:pPr>
      <w:r w:rsidRPr="00F4088A">
        <w:rPr>
          <w:rStyle w:val="FootnoteReference"/>
          <w:sz w:val="24"/>
          <w:lang w:val="ro-RO"/>
        </w:rPr>
        <w:footnoteRef/>
      </w:r>
      <w:r w:rsidRPr="00403879">
        <w:rPr>
          <w:sz w:val="24"/>
          <w:lang w:val="ro-RO"/>
        </w:rPr>
        <w:tab/>
        <w:t xml:space="preserve">JO C, C/2024/6041, 10.10.2024, ELI: </w:t>
      </w:r>
      <w:hyperlink r:id="rId4" w:history="1">
        <w:r w:rsidRPr="00C71605">
          <w:rPr>
            <w:rStyle w:val="Hyperlink1"/>
            <w:lang w:val="fi-FI"/>
          </w:rPr>
          <w:t>http://data.europa.eu/eli/C/2024/6041/oj</w:t>
        </w:r>
      </w:hyperlink>
      <w:r w:rsidRPr="00C71605">
        <w:rPr>
          <w:rStyle w:val="Hyperlink1"/>
          <w:lang w:val="fi-FI"/>
        </w:rPr>
        <w:t>.</w:t>
      </w:r>
    </w:p>
  </w:footnote>
  <w:footnote w:id="5">
    <w:p w14:paraId="13F88DFF" w14:textId="77777777" w:rsidR="00C71605" w:rsidRPr="00F4088A" w:rsidRDefault="00C71605" w:rsidP="00C71605">
      <w:pPr>
        <w:pStyle w:val="FootnoteText"/>
        <w:ind w:left="567" w:hanging="567"/>
        <w:rPr>
          <w:sz w:val="24"/>
          <w:lang w:val="ro-RO"/>
        </w:rPr>
      </w:pPr>
      <w:r w:rsidRPr="00F4088A">
        <w:rPr>
          <w:rStyle w:val="FootnoteReference"/>
          <w:sz w:val="24"/>
          <w:lang w:val="ro-RO"/>
        </w:rPr>
        <w:footnoteRef/>
      </w:r>
      <w:r w:rsidRPr="00403879">
        <w:rPr>
          <w:sz w:val="24"/>
          <w:lang w:val="ro-RO"/>
        </w:rPr>
        <w:tab/>
        <w:t xml:space="preserve">JO L 193, 30.7.2018, p. 1, ELI: </w:t>
      </w:r>
      <w:hyperlink r:id="rId5" w:history="1">
        <w:r w:rsidRPr="00C71605">
          <w:rPr>
            <w:rStyle w:val="Hyperlink1"/>
            <w:lang w:val="fi-FI"/>
          </w:rPr>
          <w:t>http://data.europa.eu/eli/reg/2018/1046/oj</w:t>
        </w:r>
      </w:hyperlink>
      <w:r w:rsidRPr="00403879">
        <w:rPr>
          <w:sz w:val="24"/>
          <w:lang w:val="ro-RO"/>
        </w:rPr>
        <w:t>.</w:t>
      </w:r>
    </w:p>
  </w:footnote>
  <w:footnote w:id="6">
    <w:p w14:paraId="416C20A4" w14:textId="77777777" w:rsidR="00C71605" w:rsidRPr="00F4088A" w:rsidRDefault="00C71605" w:rsidP="00C71605">
      <w:pPr>
        <w:pStyle w:val="FootnoteText"/>
        <w:ind w:left="567" w:hanging="567"/>
        <w:rPr>
          <w:sz w:val="24"/>
          <w:lang w:val="ro-RO"/>
        </w:rPr>
      </w:pPr>
      <w:r w:rsidRPr="00F4088A">
        <w:rPr>
          <w:rStyle w:val="FootnoteReference"/>
          <w:sz w:val="24"/>
          <w:lang w:val="ro-RO"/>
        </w:rPr>
        <w:footnoteRef/>
      </w:r>
      <w:r w:rsidRPr="00403879">
        <w:rPr>
          <w:sz w:val="24"/>
          <w:lang w:val="ro-RO"/>
        </w:rPr>
        <w:tab/>
        <w:t xml:space="preserve">JO L, 2024/2509, 26.9.2024, ELI: </w:t>
      </w:r>
      <w:hyperlink r:id="rId6" w:tooltip="Oferă acces la acest document prin intermediul URI-ului pentru ELI aferent." w:history="1">
        <w:r w:rsidRPr="008A42FF">
          <w:rPr>
            <w:rStyle w:val="Hyperlink"/>
            <w:sz w:val="24"/>
            <w:lang w:val="fi-FI"/>
          </w:rPr>
          <w:t>http://data.europa.eu/eli/reg/2024/2509/oj</w:t>
        </w:r>
      </w:hyperlink>
      <w:r w:rsidRPr="00C71605">
        <w:rPr>
          <w:rStyle w:val="Hyperlink1"/>
          <w:lang w:val="fi-FI"/>
        </w:rPr>
        <w:t>.</w:t>
      </w:r>
    </w:p>
  </w:footnote>
  <w:footnote w:id="7">
    <w:p w14:paraId="6C2D0579" w14:textId="77777777" w:rsidR="00C71605" w:rsidRPr="00084E73" w:rsidRDefault="00C71605" w:rsidP="00C71605">
      <w:pPr>
        <w:pStyle w:val="FootnoteText"/>
        <w:ind w:left="567" w:hanging="567"/>
        <w:rPr>
          <w:sz w:val="24"/>
          <w:lang w:val="ro-RO"/>
        </w:rPr>
      </w:pPr>
      <w:r w:rsidRPr="00084E73">
        <w:rPr>
          <w:rStyle w:val="FootnoteReference"/>
          <w:sz w:val="24"/>
          <w:lang w:val="ro-RO"/>
        </w:rPr>
        <w:footnoteRef/>
      </w:r>
      <w:r w:rsidRPr="00403879">
        <w:rPr>
          <w:sz w:val="24"/>
          <w:lang w:val="ro-RO"/>
        </w:rPr>
        <w:tab/>
        <w:t>Rezoluția Comitetului European al Regiunilor – Prioritățile Comitetului European al Regiunilor pentru perioada 2020-2025 – Europa mai aproape de cetățeni prin intermediul satelor, orașelor și regiunilor sale (JO C 324, 1.10.2020, p. 8).</w:t>
      </w:r>
    </w:p>
  </w:footnote>
  <w:footnote w:id="8">
    <w:p w14:paraId="1637E141" w14:textId="77777777" w:rsidR="00C71605" w:rsidRPr="00084E73" w:rsidRDefault="00C71605" w:rsidP="00C71605">
      <w:pPr>
        <w:pStyle w:val="FootnoteText"/>
        <w:ind w:left="567" w:hanging="567"/>
        <w:rPr>
          <w:sz w:val="24"/>
          <w:lang w:val="ro-RO"/>
        </w:rPr>
      </w:pPr>
      <w:r w:rsidRPr="00084E73">
        <w:rPr>
          <w:rStyle w:val="FootnoteReference"/>
          <w:sz w:val="24"/>
          <w:lang w:val="ro-RO"/>
        </w:rPr>
        <w:footnoteRef/>
      </w:r>
      <w:r w:rsidRPr="00403879">
        <w:rPr>
          <w:sz w:val="24"/>
          <w:lang w:val="ro-RO"/>
        </w:rPr>
        <w:tab/>
        <w:t xml:space="preserve">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159, ELI: </w:t>
      </w:r>
      <w:hyperlink r:id="rId7" w:history="1">
        <w:r w:rsidRPr="00C71605">
          <w:rPr>
            <w:rStyle w:val="Hyperlink1"/>
            <w:lang w:val="ro-RO"/>
          </w:rPr>
          <w:t>http://data.europa.eu/eli/reg/2021/1060/2024-06-30</w:t>
        </w:r>
      </w:hyperlink>
      <w:r w:rsidRPr="00403879">
        <w:rPr>
          <w:sz w:val="24"/>
          <w:lang w:val="ro-RO"/>
        </w:rPr>
        <w:t>).</w:t>
      </w:r>
    </w:p>
  </w:footnote>
  <w:footnote w:id="9">
    <w:p w14:paraId="78C93C79" w14:textId="77777777" w:rsidR="00C71605" w:rsidRPr="00084E73" w:rsidRDefault="00C71605" w:rsidP="00C71605">
      <w:pPr>
        <w:pStyle w:val="FootnoteText"/>
        <w:ind w:left="567" w:hanging="567"/>
        <w:rPr>
          <w:sz w:val="24"/>
          <w:lang w:val="ro-RO"/>
        </w:rPr>
      </w:pPr>
      <w:r w:rsidRPr="00084E73">
        <w:rPr>
          <w:rStyle w:val="FootnoteReference"/>
          <w:sz w:val="24"/>
          <w:lang w:val="ro-RO"/>
        </w:rPr>
        <w:footnoteRef/>
      </w:r>
      <w:r w:rsidRPr="00403879">
        <w:rPr>
          <w:sz w:val="24"/>
          <w:lang w:val="ro-RO"/>
        </w:rPr>
        <w:tab/>
        <w:t xml:space="preserve">Regulamentul (UE) 2021/241 al Parlamentului European și al Consiliului din 12 februarie 2021 de instituire a Mecanismului de redresare și reziliență (JO L 57, 18.2.2021, p. 17), </w:t>
      </w:r>
      <w:r w:rsidRPr="00403879">
        <w:rPr>
          <w:color w:val="333333"/>
          <w:sz w:val="24"/>
          <w:shd w:val="clear" w:color="auto" w:fill="FFFFFF"/>
          <w:lang w:val="ro-RO"/>
        </w:rPr>
        <w:t xml:space="preserve">ELI: </w:t>
      </w:r>
      <w:hyperlink r:id="rId8" w:tooltip="Dă acces la acest document prin identificatorul său uniform de resurse ELI URL." w:history="1">
        <w:r w:rsidRPr="00403879">
          <w:rPr>
            <w:color w:val="23527C"/>
            <w:sz w:val="24"/>
            <w:u w:val="single"/>
            <w:shd w:val="clear" w:color="auto" w:fill="FFFFFF"/>
            <w:lang w:val="ro-RO"/>
          </w:rPr>
          <w:t>http://data.europa.eu/eli/reg/2021/241/2024-03-01</w:t>
        </w:r>
      </w:hyperlink>
      <w:r w:rsidRPr="0040387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DDF8A" w14:textId="77777777" w:rsidR="00064002" w:rsidRPr="00BA20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3FEF" w14:textId="77777777" w:rsidR="00064002" w:rsidRPr="00BA20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305E" w14:textId="77777777" w:rsidR="00064002" w:rsidRPr="00BA20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5835974">
    <w:abstractNumId w:val="9"/>
  </w:num>
  <w:num w:numId="2" w16cid:durableId="1302804042">
    <w:abstractNumId w:val="9"/>
  </w:num>
  <w:num w:numId="3" w16cid:durableId="362437412">
    <w:abstractNumId w:val="7"/>
  </w:num>
  <w:num w:numId="4" w16cid:durableId="1710573180">
    <w:abstractNumId w:val="7"/>
  </w:num>
  <w:num w:numId="5" w16cid:durableId="898978279">
    <w:abstractNumId w:val="6"/>
  </w:num>
  <w:num w:numId="6" w16cid:durableId="1966497075">
    <w:abstractNumId w:val="6"/>
  </w:num>
  <w:num w:numId="7" w16cid:durableId="2030133869">
    <w:abstractNumId w:val="5"/>
  </w:num>
  <w:num w:numId="8" w16cid:durableId="1497575646">
    <w:abstractNumId w:val="5"/>
  </w:num>
  <w:num w:numId="9" w16cid:durableId="1504857293">
    <w:abstractNumId w:val="4"/>
  </w:num>
  <w:num w:numId="10" w16cid:durableId="1251621599">
    <w:abstractNumId w:val="4"/>
  </w:num>
  <w:num w:numId="11" w16cid:durableId="1873104018">
    <w:abstractNumId w:val="8"/>
  </w:num>
  <w:num w:numId="12" w16cid:durableId="592711379">
    <w:abstractNumId w:val="8"/>
  </w:num>
  <w:num w:numId="13" w16cid:durableId="120850383">
    <w:abstractNumId w:val="3"/>
  </w:num>
  <w:num w:numId="14" w16cid:durableId="543295254">
    <w:abstractNumId w:val="3"/>
  </w:num>
  <w:num w:numId="15" w16cid:durableId="1695156214">
    <w:abstractNumId w:val="2"/>
  </w:num>
  <w:num w:numId="16" w16cid:durableId="220290905">
    <w:abstractNumId w:val="2"/>
  </w:num>
  <w:num w:numId="17" w16cid:durableId="217975788">
    <w:abstractNumId w:val="1"/>
  </w:num>
  <w:num w:numId="18" w16cid:durableId="1044596338">
    <w:abstractNumId w:val="1"/>
  </w:num>
  <w:num w:numId="19" w16cid:durableId="1622953770">
    <w:abstractNumId w:val="0"/>
  </w:num>
  <w:num w:numId="20" w16cid:durableId="2032097816">
    <w:abstractNumId w:val="0"/>
  </w:num>
  <w:num w:numId="21" w16cid:durableId="1682731666">
    <w:abstractNumId w:val="9"/>
  </w:num>
  <w:num w:numId="22" w16cid:durableId="953096157">
    <w:abstractNumId w:val="7"/>
  </w:num>
  <w:num w:numId="23" w16cid:durableId="1842161058">
    <w:abstractNumId w:val="6"/>
  </w:num>
  <w:num w:numId="24" w16cid:durableId="1486433597">
    <w:abstractNumId w:val="5"/>
  </w:num>
  <w:num w:numId="25" w16cid:durableId="1923830491">
    <w:abstractNumId w:val="4"/>
  </w:num>
  <w:num w:numId="26" w16cid:durableId="382868495">
    <w:abstractNumId w:val="8"/>
  </w:num>
  <w:num w:numId="27" w16cid:durableId="1167556033">
    <w:abstractNumId w:val="3"/>
  </w:num>
  <w:num w:numId="28" w16cid:durableId="268395584">
    <w:abstractNumId w:val="2"/>
  </w:num>
  <w:num w:numId="29" w16cid:durableId="1284071807">
    <w:abstractNumId w:val="1"/>
  </w:num>
  <w:num w:numId="30" w16cid:durableId="1352296741">
    <w:abstractNumId w:val="0"/>
  </w:num>
  <w:num w:numId="31" w16cid:durableId="703676722">
    <w:abstractNumId w:val="9"/>
  </w:num>
  <w:num w:numId="32" w16cid:durableId="1006402735">
    <w:abstractNumId w:val="7"/>
  </w:num>
  <w:num w:numId="33" w16cid:durableId="976298357">
    <w:abstractNumId w:val="6"/>
  </w:num>
  <w:num w:numId="34" w16cid:durableId="878320838">
    <w:abstractNumId w:val="5"/>
  </w:num>
  <w:num w:numId="35" w16cid:durableId="432943836">
    <w:abstractNumId w:val="4"/>
  </w:num>
  <w:num w:numId="36" w16cid:durableId="293874697">
    <w:abstractNumId w:val="8"/>
  </w:num>
  <w:num w:numId="37" w16cid:durableId="569004699">
    <w:abstractNumId w:val="3"/>
  </w:num>
  <w:num w:numId="38" w16cid:durableId="932512874">
    <w:abstractNumId w:val="2"/>
  </w:num>
  <w:num w:numId="39" w16cid:durableId="1515461440">
    <w:abstractNumId w:val="1"/>
  </w:num>
  <w:num w:numId="40" w16cid:durableId="361633891">
    <w:abstractNumId w:val="0"/>
  </w:num>
  <w:num w:numId="41" w16cid:durableId="20791727">
    <w:abstractNumId w:val="10"/>
  </w:num>
  <w:num w:numId="42" w16cid:durableId="628630234">
    <w:abstractNumId w:val="10"/>
  </w:num>
  <w:num w:numId="43" w16cid:durableId="1982614107">
    <w:abstractNumId w:val="10"/>
  </w:num>
  <w:num w:numId="44" w16cid:durableId="1527230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RO"/>
    <w:docVar w:name="dvnumam" w:val="0"/>
    <w:docVar w:name="dvpe" w:val="764.992"/>
    <w:docVar w:name="dvrapporteur" w:val="Raportor: "/>
    <w:docVar w:name="dvtitre" w:val="1. Decizia Parlamentului European din ... 2025 privind descărcarea de gestiune pentru execuția bugetului general al Uniunii Europene aferent exercițiului financiar 2023, secțiunea VII - Comitetul Regiunilor(2024/2026(DEC))"/>
  </w:docVars>
  <w:rsids>
    <w:rsidRoot w:val="001763ED"/>
    <w:rsid w:val="00002272"/>
    <w:rsid w:val="00015F1B"/>
    <w:rsid w:val="00022566"/>
    <w:rsid w:val="00064002"/>
    <w:rsid w:val="000677B9"/>
    <w:rsid w:val="000831BA"/>
    <w:rsid w:val="000A42CC"/>
    <w:rsid w:val="000E7DD9"/>
    <w:rsid w:val="0010095E"/>
    <w:rsid w:val="00125B37"/>
    <w:rsid w:val="001763ED"/>
    <w:rsid w:val="00187494"/>
    <w:rsid w:val="001C0845"/>
    <w:rsid w:val="001F32AE"/>
    <w:rsid w:val="0023672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E1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F04"/>
    <w:rsid w:val="00865F67"/>
    <w:rsid w:val="00881A7B"/>
    <w:rsid w:val="008840E5"/>
    <w:rsid w:val="00887B3E"/>
    <w:rsid w:val="008C2AC6"/>
    <w:rsid w:val="00930C23"/>
    <w:rsid w:val="0093193B"/>
    <w:rsid w:val="0094495C"/>
    <w:rsid w:val="009509D8"/>
    <w:rsid w:val="00950B64"/>
    <w:rsid w:val="00981893"/>
    <w:rsid w:val="00A1687D"/>
    <w:rsid w:val="00A43E52"/>
    <w:rsid w:val="00A4678D"/>
    <w:rsid w:val="00A778C7"/>
    <w:rsid w:val="00AB441E"/>
    <w:rsid w:val="00AB6293"/>
    <w:rsid w:val="00AE0928"/>
    <w:rsid w:val="00AF3B82"/>
    <w:rsid w:val="00B01DF3"/>
    <w:rsid w:val="00B12E95"/>
    <w:rsid w:val="00B22876"/>
    <w:rsid w:val="00B558F0"/>
    <w:rsid w:val="00B9221D"/>
    <w:rsid w:val="00BA20C0"/>
    <w:rsid w:val="00BD18F8"/>
    <w:rsid w:val="00BD48FE"/>
    <w:rsid w:val="00BD7BD8"/>
    <w:rsid w:val="00BE6ADC"/>
    <w:rsid w:val="00C05BFE"/>
    <w:rsid w:val="00C23CD4"/>
    <w:rsid w:val="00C61C0C"/>
    <w:rsid w:val="00C71605"/>
    <w:rsid w:val="00C941CB"/>
    <w:rsid w:val="00CA5979"/>
    <w:rsid w:val="00CC2357"/>
    <w:rsid w:val="00CF071A"/>
    <w:rsid w:val="00D058B8"/>
    <w:rsid w:val="00D56C11"/>
    <w:rsid w:val="00D67E9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4850D"/>
  <w15:chartTrackingRefBased/>
  <w15:docId w15:val="{DB865061-44AF-4DAF-9B5D-AF7961BA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15F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15F1B"/>
    <w:pPr>
      <w:spacing w:before="480" w:after="240"/>
    </w:pPr>
  </w:style>
  <w:style w:type="paragraph" w:customStyle="1" w:styleId="PageHeading">
    <w:name w:val="PageHeading"/>
    <w:basedOn w:val="Normal"/>
    <w:rsid w:val="00015F1B"/>
    <w:pPr>
      <w:keepNext/>
      <w:spacing w:after="480"/>
      <w:jc w:val="center"/>
    </w:pPr>
    <w:rPr>
      <w:rFonts w:ascii="Arial" w:hAnsi="Arial" w:cs="Arial"/>
      <w:b/>
    </w:rPr>
  </w:style>
  <w:style w:type="paragraph" w:customStyle="1" w:styleId="NormalBold">
    <w:name w:val="NormalBold"/>
    <w:basedOn w:val="Normal"/>
    <w:rsid w:val="00015F1B"/>
    <w:rPr>
      <w:b/>
    </w:rPr>
  </w:style>
  <w:style w:type="paragraph" w:customStyle="1" w:styleId="NormalHanging12a">
    <w:name w:val="NormalHanging12a"/>
    <w:basedOn w:val="Normal"/>
    <w:link w:val="NormalHanging12aChar"/>
    <w:qFormat/>
    <w:rsid w:val="00015F1B"/>
    <w:pPr>
      <w:spacing w:after="240"/>
      <w:ind w:left="567" w:hanging="567"/>
    </w:pPr>
  </w:style>
  <w:style w:type="paragraph" w:styleId="Header">
    <w:name w:val="header"/>
    <w:basedOn w:val="Normal"/>
    <w:link w:val="HeaderChar"/>
    <w:rsid w:val="00015F1B"/>
    <w:pPr>
      <w:tabs>
        <w:tab w:val="center" w:pos="4513"/>
        <w:tab w:val="right" w:pos="9026"/>
      </w:tabs>
    </w:pPr>
  </w:style>
  <w:style w:type="character" w:customStyle="1" w:styleId="HeaderChar">
    <w:name w:val="Header Char"/>
    <w:basedOn w:val="DefaultParagraphFont"/>
    <w:link w:val="Header"/>
    <w:rsid w:val="00015F1B"/>
    <w:rPr>
      <w:sz w:val="24"/>
      <w:lang w:val="ro-RO"/>
    </w:rPr>
  </w:style>
  <w:style w:type="paragraph" w:customStyle="1" w:styleId="EPFooter">
    <w:name w:val="EPFooter"/>
    <w:basedOn w:val="Normal"/>
    <w:rsid w:val="00015F1B"/>
    <w:pPr>
      <w:tabs>
        <w:tab w:val="center" w:pos="4535"/>
        <w:tab w:val="right" w:pos="9071"/>
      </w:tabs>
      <w:spacing w:before="240" w:after="240"/>
    </w:pPr>
    <w:rPr>
      <w:color w:val="010000"/>
      <w:sz w:val="22"/>
    </w:rPr>
  </w:style>
  <w:style w:type="character" w:styleId="Hyperlink">
    <w:name w:val="Hyperlink"/>
    <w:basedOn w:val="DefaultParagraphFont"/>
    <w:uiPriority w:val="99"/>
    <w:rsid w:val="00015F1B"/>
    <w:rPr>
      <w:color w:val="0563C1" w:themeColor="hyperlink"/>
      <w:u w:val="single"/>
    </w:rPr>
  </w:style>
  <w:style w:type="character" w:customStyle="1" w:styleId="NormalHanging12aChar">
    <w:name w:val="NormalHanging12a Char"/>
    <w:basedOn w:val="DefaultParagraphFont"/>
    <w:link w:val="NormalHanging12a"/>
    <w:locked/>
    <w:rsid w:val="00015F1B"/>
    <w:rPr>
      <w:sz w:val="24"/>
      <w:lang w:val="ro-RO"/>
    </w:rPr>
  </w:style>
  <w:style w:type="paragraph" w:customStyle="1" w:styleId="Normal6a">
    <w:name w:val="Normal6a"/>
    <w:basedOn w:val="Normal"/>
    <w:rsid w:val="00015F1B"/>
    <w:pPr>
      <w:spacing w:after="120"/>
    </w:pPr>
  </w:style>
  <w:style w:type="character" w:customStyle="1" w:styleId="Normal6Char">
    <w:name w:val="Normal6 Char"/>
    <w:basedOn w:val="DefaultParagraphFont"/>
    <w:link w:val="Normal6"/>
    <w:locked/>
    <w:rsid w:val="00015F1B"/>
    <w:rPr>
      <w:lang w:val="ro-RO"/>
    </w:rPr>
  </w:style>
  <w:style w:type="paragraph" w:customStyle="1" w:styleId="Normal6">
    <w:name w:val="Normal6"/>
    <w:basedOn w:val="Normal"/>
    <w:link w:val="Normal6Char"/>
    <w:rsid w:val="00015F1B"/>
    <w:pPr>
      <w:spacing w:after="120"/>
    </w:pPr>
    <w:rPr>
      <w:sz w:val="20"/>
    </w:rPr>
  </w:style>
  <w:style w:type="paragraph" w:customStyle="1" w:styleId="Normal12a">
    <w:name w:val="Normal12a"/>
    <w:basedOn w:val="Normal"/>
    <w:rsid w:val="00015F1B"/>
    <w:pPr>
      <w:spacing w:after="240"/>
    </w:pPr>
  </w:style>
  <w:style w:type="paragraph" w:customStyle="1" w:styleId="RollCallVotes">
    <w:name w:val="RollCallVotes"/>
    <w:basedOn w:val="Normal"/>
    <w:rsid w:val="00015F1B"/>
    <w:pPr>
      <w:spacing w:before="120" w:after="120"/>
      <w:jc w:val="center"/>
    </w:pPr>
    <w:rPr>
      <w:b/>
      <w:bCs/>
      <w:snapToGrid w:val="0"/>
      <w:sz w:val="16"/>
      <w:lang w:eastAsia="en-US"/>
    </w:rPr>
  </w:style>
  <w:style w:type="paragraph" w:customStyle="1" w:styleId="RollCallSymbols14pt">
    <w:name w:val="RollCallSymbols14pt"/>
    <w:basedOn w:val="Normal"/>
    <w:rsid w:val="00015F1B"/>
    <w:pPr>
      <w:spacing w:before="120" w:after="120"/>
      <w:jc w:val="center"/>
    </w:pPr>
    <w:rPr>
      <w:rFonts w:ascii="Arial" w:hAnsi="Arial"/>
      <w:b/>
      <w:bCs/>
      <w:snapToGrid w:val="0"/>
      <w:sz w:val="28"/>
      <w:lang w:eastAsia="en-US"/>
    </w:rPr>
  </w:style>
  <w:style w:type="paragraph" w:customStyle="1" w:styleId="RollCallTable">
    <w:name w:val="RollCallTable"/>
    <w:basedOn w:val="Normal"/>
    <w:rsid w:val="00015F1B"/>
    <w:pPr>
      <w:spacing w:before="120" w:after="120"/>
    </w:pPr>
    <w:rPr>
      <w:snapToGrid w:val="0"/>
      <w:sz w:val="16"/>
      <w:lang w:eastAsia="en-US"/>
    </w:rPr>
  </w:style>
  <w:style w:type="paragraph" w:customStyle="1" w:styleId="Normal24a">
    <w:name w:val="Normal24a"/>
    <w:basedOn w:val="Normal"/>
    <w:rsid w:val="00015F1B"/>
    <w:pPr>
      <w:spacing w:after="480"/>
    </w:pPr>
  </w:style>
  <w:style w:type="paragraph" w:customStyle="1" w:styleId="Footprint12b">
    <w:name w:val="Footprint12b"/>
    <w:basedOn w:val="Normal"/>
    <w:rsid w:val="00015F1B"/>
    <w:pPr>
      <w:spacing w:before="240"/>
    </w:pPr>
    <w:rPr>
      <w:szCs w:val="24"/>
    </w:rPr>
  </w:style>
  <w:style w:type="paragraph" w:customStyle="1" w:styleId="Normal12">
    <w:name w:val="Normal12"/>
    <w:basedOn w:val="Normal"/>
    <w:next w:val="Normal"/>
    <w:rsid w:val="00015F1B"/>
    <w:pPr>
      <w:spacing w:after="240"/>
    </w:pPr>
    <w:rPr>
      <w:snapToGrid w:val="0"/>
      <w:lang w:eastAsia="en-US"/>
    </w:rPr>
  </w:style>
  <w:style w:type="paragraph" w:styleId="Footer">
    <w:name w:val="footer"/>
    <w:basedOn w:val="Normal"/>
    <w:link w:val="FooterChar"/>
    <w:rsid w:val="00861F04"/>
    <w:pPr>
      <w:tabs>
        <w:tab w:val="center" w:pos="4513"/>
        <w:tab w:val="right" w:pos="9026"/>
      </w:tabs>
    </w:pPr>
  </w:style>
  <w:style w:type="character" w:customStyle="1" w:styleId="FooterChar">
    <w:name w:val="Footer Char"/>
    <w:basedOn w:val="DefaultParagraphFont"/>
    <w:link w:val="Footer"/>
    <w:rsid w:val="00861F04"/>
    <w:rPr>
      <w:sz w:val="24"/>
      <w:lang w:val="ro-RO"/>
    </w:rPr>
  </w:style>
  <w:style w:type="character" w:styleId="CommentReference">
    <w:name w:val="annotation reference"/>
    <w:basedOn w:val="DefaultParagraphFont"/>
    <w:uiPriority w:val="99"/>
    <w:rsid w:val="00B01DF3"/>
    <w:rPr>
      <w:sz w:val="16"/>
      <w:szCs w:val="16"/>
    </w:rPr>
  </w:style>
  <w:style w:type="paragraph" w:styleId="CommentText">
    <w:name w:val="annotation text"/>
    <w:basedOn w:val="Normal"/>
    <w:link w:val="CommentTextChar"/>
    <w:rsid w:val="00B01DF3"/>
    <w:rPr>
      <w:sz w:val="20"/>
    </w:rPr>
  </w:style>
  <w:style w:type="character" w:customStyle="1" w:styleId="CommentTextChar">
    <w:name w:val="Comment Text Char"/>
    <w:basedOn w:val="DefaultParagraphFont"/>
    <w:link w:val="CommentText"/>
    <w:rsid w:val="00B01DF3"/>
    <w:rPr>
      <w:lang w:val="ro-RO"/>
    </w:rPr>
  </w:style>
  <w:style w:type="paragraph" w:styleId="CommentSubject">
    <w:name w:val="annotation subject"/>
    <w:basedOn w:val="CommentText"/>
    <w:next w:val="CommentText"/>
    <w:link w:val="CommentSubjectChar"/>
    <w:rsid w:val="00B01DF3"/>
    <w:rPr>
      <w:b/>
      <w:bCs/>
    </w:rPr>
  </w:style>
  <w:style w:type="character" w:customStyle="1" w:styleId="CommentSubjectChar">
    <w:name w:val="Comment Subject Char"/>
    <w:basedOn w:val="CommentTextChar"/>
    <w:link w:val="CommentSubject"/>
    <w:rsid w:val="00B01DF3"/>
    <w:rPr>
      <w:b/>
      <w:bCs/>
      <w:lang w:val="ro-RO"/>
    </w:rPr>
  </w:style>
  <w:style w:type="paragraph" w:styleId="BalloonText">
    <w:name w:val="Balloon Text"/>
    <w:basedOn w:val="Normal"/>
    <w:link w:val="BalloonTextChar"/>
    <w:rsid w:val="00B01DF3"/>
    <w:rPr>
      <w:rFonts w:ascii="Segoe UI" w:hAnsi="Segoe UI" w:cs="Segoe UI"/>
      <w:sz w:val="18"/>
      <w:szCs w:val="18"/>
    </w:rPr>
  </w:style>
  <w:style w:type="character" w:customStyle="1" w:styleId="BalloonTextChar">
    <w:name w:val="Balloon Text Char"/>
    <w:basedOn w:val="DefaultParagraphFont"/>
    <w:link w:val="BalloonText"/>
    <w:rsid w:val="00B01DF3"/>
    <w:rPr>
      <w:rFonts w:ascii="Segoe UI" w:hAnsi="Segoe UI" w:cs="Segoe UI"/>
      <w:sz w:val="18"/>
      <w:szCs w:val="18"/>
      <w:lang w:val="ro-RO"/>
    </w:rPr>
  </w:style>
  <w:style w:type="character" w:customStyle="1" w:styleId="Hyperlink1">
    <w:name w:val="Hyperlink1"/>
    <w:basedOn w:val="DefaultParagraphFont"/>
    <w:rsid w:val="00C7160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9535C-FE82-4F74-8531-F30C015D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7964</Words>
  <Characters>45762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2025-12-05T11:50:00Z</dcterms:created>
  <dcterms:modified xsi:type="dcterms:W3CDTF">2025-12-05T11:50:00Z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P10_TA(2025)0083_</vt:lpwstr>
  </property>
  <property fmtid="{D5CDD505-2E9C-101B-9397-08002B2CF9AE}" pid="4" name="&lt;Type&gt;">
    <vt:lpwstr>RR</vt:lpwstr>
  </property>
</Properties>
</file>