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6DF9" w14:paraId="6459E147" w14:textId="77777777" w:rsidTr="0010095E">
        <w:trPr>
          <w:trHeight w:hRule="exact" w:val="1418"/>
        </w:trPr>
        <w:tc>
          <w:tcPr>
            <w:tcW w:w="6804" w:type="dxa"/>
            <w:shd w:val="clear" w:color="auto" w:fill="auto"/>
            <w:vAlign w:val="center"/>
          </w:tcPr>
          <w:p w14:paraId="16C6766C" w14:textId="77777777" w:rsidR="00751A4A" w:rsidRPr="00066DF9" w:rsidRDefault="00760E0E" w:rsidP="0010095E">
            <w:pPr>
              <w:pStyle w:val="EPName"/>
            </w:pPr>
            <w:r w:rsidRPr="00066DF9">
              <w:t>Európsky parlament</w:t>
            </w:r>
          </w:p>
          <w:p w14:paraId="56B9D17E" w14:textId="77777777" w:rsidR="00751A4A" w:rsidRPr="00066DF9" w:rsidRDefault="005F1B17" w:rsidP="005F1B17">
            <w:pPr>
              <w:pStyle w:val="EPTerm"/>
              <w:rPr>
                <w:rStyle w:val="HideTWBExt"/>
                <w:noProof w:val="0"/>
                <w:vanish w:val="0"/>
                <w:color w:val="auto"/>
              </w:rPr>
            </w:pPr>
            <w:r w:rsidRPr="00066DF9">
              <w:t>2024</w:t>
            </w:r>
            <w:r w:rsidR="00817416" w:rsidRPr="00066DF9">
              <w:t>-202</w:t>
            </w:r>
            <w:r w:rsidRPr="00066DF9">
              <w:t>9</w:t>
            </w:r>
          </w:p>
        </w:tc>
        <w:tc>
          <w:tcPr>
            <w:tcW w:w="2268" w:type="dxa"/>
            <w:shd w:val="clear" w:color="auto" w:fill="auto"/>
          </w:tcPr>
          <w:p w14:paraId="31A6BAD2" w14:textId="77777777" w:rsidR="00751A4A" w:rsidRPr="00066DF9" w:rsidRDefault="00187494" w:rsidP="0010095E">
            <w:pPr>
              <w:pStyle w:val="EPLogo"/>
            </w:pPr>
            <w:r w:rsidRPr="00066DF9">
              <w:rPr>
                <w:noProof/>
                <w:lang w:val="en-GB"/>
              </w:rPr>
              <w:drawing>
                <wp:inline distT="0" distB="0" distL="0" distR="0" wp14:anchorId="735982A3" wp14:editId="4BF58C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245C93" w14:textId="77777777" w:rsidR="00D058B8" w:rsidRPr="00066DF9" w:rsidRDefault="00D058B8" w:rsidP="004C5D52">
      <w:pPr>
        <w:pStyle w:val="LineTop"/>
      </w:pPr>
    </w:p>
    <w:p w14:paraId="79004FF0" w14:textId="77777777" w:rsidR="00680577" w:rsidRPr="00066DF9" w:rsidRDefault="00760E0E" w:rsidP="00680577">
      <w:pPr>
        <w:pStyle w:val="EPBodyTA1"/>
      </w:pPr>
      <w:r w:rsidRPr="00066DF9">
        <w:t>PRIJATÉ TEXTY</w:t>
      </w:r>
    </w:p>
    <w:p w14:paraId="1C07908B" w14:textId="77777777" w:rsidR="00D058B8" w:rsidRPr="00066DF9" w:rsidRDefault="00D058B8" w:rsidP="00D058B8">
      <w:pPr>
        <w:pStyle w:val="LineBottom"/>
      </w:pPr>
    </w:p>
    <w:p w14:paraId="6940DCC4" w14:textId="77777777" w:rsidR="00760E0E" w:rsidRPr="00066DF9" w:rsidRDefault="00760E0E" w:rsidP="00760E0E">
      <w:pPr>
        <w:pStyle w:val="ATHeading1"/>
      </w:pPr>
      <w:bookmarkStart w:id="0" w:name="TANumber"/>
      <w:r w:rsidRPr="00066DF9">
        <w:t>P10_TA(2025)00</w:t>
      </w:r>
      <w:r w:rsidR="00F6589B" w:rsidRPr="00066DF9">
        <w:t>83</w:t>
      </w:r>
      <w:bookmarkEnd w:id="0"/>
    </w:p>
    <w:p w14:paraId="786234D9" w14:textId="77777777" w:rsidR="00760E0E" w:rsidRPr="00066DF9" w:rsidRDefault="00760E0E" w:rsidP="00760E0E">
      <w:pPr>
        <w:pStyle w:val="ATHeading2"/>
      </w:pPr>
      <w:bookmarkStart w:id="1" w:name="title"/>
      <w:r w:rsidRPr="00066DF9">
        <w:t>Absolutórium za rok 2023: všeobecný rozpočet EÚ – Výbor regiónov</w:t>
      </w:r>
      <w:bookmarkEnd w:id="1"/>
    </w:p>
    <w:p w14:paraId="6A926D61" w14:textId="77777777" w:rsidR="00760E0E" w:rsidRPr="00066DF9" w:rsidRDefault="00760E0E" w:rsidP="00760E0E">
      <w:pPr>
        <w:rPr>
          <w:i/>
          <w:vanish/>
        </w:rPr>
      </w:pPr>
      <w:r w:rsidRPr="00066DF9">
        <w:rPr>
          <w:i/>
        </w:rPr>
        <w:fldChar w:fldCharType="begin"/>
      </w:r>
      <w:r w:rsidRPr="00066DF9">
        <w:rPr>
          <w:i/>
        </w:rPr>
        <w:instrText xml:space="preserve"> TC"(</w:instrText>
      </w:r>
      <w:bookmarkStart w:id="2" w:name="DocNumber"/>
      <w:r w:rsidRPr="00066DF9">
        <w:rPr>
          <w:i/>
        </w:rPr>
        <w:instrText>A10-0046/2025</w:instrText>
      </w:r>
      <w:bookmarkEnd w:id="2"/>
      <w:r w:rsidRPr="00066DF9">
        <w:rPr>
          <w:i/>
        </w:rPr>
        <w:instrText xml:space="preserve"> - Spravodajca: Joachim Stanisław Brudziński)"\l3 \n&gt; \* MERGEFORMAT </w:instrText>
      </w:r>
      <w:r w:rsidRPr="00066DF9">
        <w:rPr>
          <w:i/>
        </w:rPr>
        <w:fldChar w:fldCharType="end"/>
      </w:r>
    </w:p>
    <w:p w14:paraId="0E7B0885" w14:textId="77777777" w:rsidR="00760E0E" w:rsidRPr="00066DF9" w:rsidRDefault="00760E0E" w:rsidP="00760E0E">
      <w:pPr>
        <w:rPr>
          <w:vanish/>
        </w:rPr>
      </w:pPr>
      <w:bookmarkStart w:id="3" w:name="Commission"/>
      <w:r w:rsidRPr="00066DF9">
        <w:rPr>
          <w:vanish/>
        </w:rPr>
        <w:t>Výbor pre kontrolu rozpočtu</w:t>
      </w:r>
      <w:bookmarkEnd w:id="3"/>
    </w:p>
    <w:p w14:paraId="21028779" w14:textId="77777777" w:rsidR="00760E0E" w:rsidRPr="00066DF9" w:rsidRDefault="00760E0E" w:rsidP="00760E0E">
      <w:pPr>
        <w:rPr>
          <w:vanish/>
        </w:rPr>
      </w:pPr>
      <w:bookmarkStart w:id="4" w:name="PE"/>
      <w:r w:rsidRPr="00066DF9">
        <w:rPr>
          <w:vanish/>
        </w:rPr>
        <w:t>PE764.992</w:t>
      </w:r>
      <w:bookmarkEnd w:id="4"/>
    </w:p>
    <w:p w14:paraId="7913E66D" w14:textId="77777777" w:rsidR="00760E0E" w:rsidRPr="00066DF9" w:rsidRDefault="009A6764" w:rsidP="00760E0E">
      <w:pPr>
        <w:pStyle w:val="ATHeading3"/>
      </w:pPr>
      <w:bookmarkStart w:id="5" w:name="Sujet"/>
      <w:r w:rsidRPr="00066DF9">
        <w:t xml:space="preserve">1. </w:t>
      </w:r>
      <w:r w:rsidR="00760E0E" w:rsidRPr="00066DF9">
        <w:t>Rozhodnutie Európskeho parlamentu z</w:t>
      </w:r>
      <w:r w:rsidR="0098064A" w:rsidRPr="00066DF9">
        <w:t>o</w:t>
      </w:r>
      <w:r w:rsidR="00760E0E" w:rsidRPr="00066DF9">
        <w:t xml:space="preserve"> </w:t>
      </w:r>
      <w:r w:rsidR="0098064A" w:rsidRPr="00066DF9">
        <w:t>7</w:t>
      </w:r>
      <w:r w:rsidR="00760E0E" w:rsidRPr="00066DF9">
        <w:t>. mája 2025 o absolutóriu za plnenie všeobecného rozpočtu Európskej únie za rozpočtový rok 2023, oddiel VII – Výbor regiónov</w:t>
      </w:r>
      <w:bookmarkEnd w:id="5"/>
      <w:r w:rsidR="00760E0E" w:rsidRPr="00066DF9">
        <w:t xml:space="preserve"> </w:t>
      </w:r>
      <w:bookmarkStart w:id="6" w:name="References"/>
      <w:r w:rsidR="00760E0E" w:rsidRPr="00066DF9">
        <w:t>(2024/2026(DEC))</w:t>
      </w:r>
      <w:bookmarkEnd w:id="6"/>
    </w:p>
    <w:p w14:paraId="0B7BC9A7" w14:textId="77777777" w:rsidR="00CD577C" w:rsidRPr="00066DF9" w:rsidRDefault="00CD577C" w:rsidP="00237C70">
      <w:pPr>
        <w:pStyle w:val="EPComma"/>
      </w:pPr>
      <w:bookmarkStart w:id="7" w:name="TextBodyBegin"/>
      <w:bookmarkEnd w:id="7"/>
      <w:r w:rsidRPr="00066DF9">
        <w:rPr>
          <w:i/>
        </w:rPr>
        <w:t>Európsky parlament</w:t>
      </w:r>
      <w:r w:rsidRPr="00066DF9">
        <w:t>,</w:t>
      </w:r>
    </w:p>
    <w:p w14:paraId="71AC796B"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w:t>
      </w:r>
      <w:r w:rsidRPr="00237C70">
        <w:rPr>
          <w:kern w:val="2"/>
          <w14:ligatures w14:val="standardContextual"/>
        </w:rPr>
        <w:tab/>
        <w:t>so zreteľom na všeobecný rozpočet Európskej únie na rozpočtový rok 2023</w:t>
      </w:r>
      <w:r w:rsidRPr="00237C70">
        <w:rPr>
          <w:kern w:val="2"/>
          <w:vertAlign w:val="superscript"/>
          <w14:ligatures w14:val="standardContextual"/>
        </w:rPr>
        <w:footnoteReference w:id="1"/>
      </w:r>
      <w:r w:rsidRPr="00237C70">
        <w:rPr>
          <w:kern w:val="2"/>
          <w14:ligatures w14:val="standardContextual"/>
        </w:rPr>
        <w:t>,</w:t>
      </w:r>
    </w:p>
    <w:p w14:paraId="00BAE068" w14:textId="6DBCE32F" w:rsidR="00237C70" w:rsidRPr="00237C70" w:rsidRDefault="00237C70" w:rsidP="00237C70">
      <w:pPr>
        <w:spacing w:after="240"/>
        <w:ind w:left="567" w:hanging="567"/>
        <w:rPr>
          <w:kern w:val="2"/>
          <w14:ligatures w14:val="standardContextual"/>
        </w:rPr>
      </w:pPr>
      <w:r w:rsidRPr="00237C70">
        <w:rPr>
          <w:kern w:val="2"/>
          <w14:ligatures w14:val="standardContextual"/>
        </w:rPr>
        <w:t>–</w:t>
      </w:r>
      <w:r w:rsidRPr="00237C70">
        <w:rPr>
          <w:kern w:val="2"/>
          <w14:ligatures w14:val="standardContextual"/>
        </w:rPr>
        <w:tab/>
        <w:t xml:space="preserve">so zreteľom na konsolidovanú ročnú účtovnú závierku Európskej únie za rozpočtový rok 2023 </w:t>
      </w:r>
      <w:r>
        <w:rPr>
          <w:kern w:val="2"/>
          <w14:ligatures w14:val="standardContextual"/>
        </w:rPr>
        <w:t>(</w:t>
      </w:r>
      <w:r w:rsidRPr="00237C70">
        <w:rPr>
          <w:kern w:val="2"/>
          <w14:ligatures w14:val="standardContextual"/>
        </w:rPr>
        <w:t>COM(2024)</w:t>
      </w:r>
      <w:r>
        <w:rPr>
          <w:kern w:val="2"/>
          <w14:ligatures w14:val="standardContextual"/>
        </w:rPr>
        <w:t>0</w:t>
      </w:r>
      <w:r w:rsidRPr="00237C70">
        <w:rPr>
          <w:kern w:val="2"/>
          <w14:ligatures w14:val="standardContextual"/>
        </w:rPr>
        <w:t>272 – C10-0074/2024</w:t>
      </w:r>
      <w:r>
        <w:rPr>
          <w:kern w:val="2"/>
          <w14:ligatures w14:val="standardContextual"/>
        </w:rPr>
        <w:t>)</w:t>
      </w:r>
      <w:r w:rsidRPr="00237C70">
        <w:rPr>
          <w:kern w:val="2"/>
          <w:vertAlign w:val="superscript"/>
          <w14:ligatures w14:val="standardContextual"/>
        </w:rPr>
        <w:footnoteReference w:id="2"/>
      </w:r>
      <w:r w:rsidRPr="00237C70">
        <w:rPr>
          <w:kern w:val="2"/>
          <w14:ligatures w14:val="standardContextual"/>
        </w:rPr>
        <w:t>,</w:t>
      </w:r>
    </w:p>
    <w:p w14:paraId="1C3FA3DD"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w:t>
      </w:r>
      <w:r w:rsidRPr="00237C70">
        <w:rPr>
          <w:kern w:val="2"/>
          <w14:ligatures w14:val="standardContextual"/>
        </w:rPr>
        <w:tab/>
        <w:t>so zreteľom na výročnú správu o činnosti Výboru regiónov za rok 2023 a jeho správu o rozpočtovom a finančnom riadení za rozpočtový rok 2023,</w:t>
      </w:r>
    </w:p>
    <w:p w14:paraId="507E23F6"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w:t>
      </w:r>
      <w:r w:rsidRPr="00237C70">
        <w:rPr>
          <w:kern w:val="2"/>
          <w14:ligatures w14:val="standardContextual"/>
        </w:rPr>
        <w:tab/>
        <w:t>so zreteľom na výročnú správu Dvora audítorov o plnení rozpočtu za rozpočtový rok 2023 spolu s odpoveďami inštitúcií</w:t>
      </w:r>
      <w:r w:rsidRPr="00237C70">
        <w:rPr>
          <w:kern w:val="2"/>
          <w:vertAlign w:val="superscript"/>
          <w14:ligatures w14:val="standardContextual"/>
        </w:rPr>
        <w:footnoteReference w:id="3"/>
      </w:r>
      <w:r w:rsidRPr="00237C70">
        <w:rPr>
          <w:kern w:val="2"/>
          <w14:ligatures w14:val="standardContextual"/>
        </w:rPr>
        <w:t>,</w:t>
      </w:r>
    </w:p>
    <w:p w14:paraId="12366F12"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w:t>
      </w:r>
      <w:r w:rsidRPr="00237C70">
        <w:rPr>
          <w:kern w:val="2"/>
          <w14:ligatures w14:val="standardContextual"/>
        </w:rPr>
        <w:tab/>
        <w:t>so zreteľom na vyhlásenie o vierohodnosti</w:t>
      </w:r>
      <w:r w:rsidRPr="00237C70">
        <w:rPr>
          <w:kern w:val="2"/>
          <w:vertAlign w:val="superscript"/>
          <w14:ligatures w14:val="standardContextual"/>
        </w:rPr>
        <w:footnoteReference w:id="4"/>
      </w:r>
      <w:r w:rsidRPr="00237C70">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4D4FC77A"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w:t>
      </w:r>
      <w:r w:rsidRPr="00237C70">
        <w:rPr>
          <w:kern w:val="2"/>
          <w14:ligatures w14:val="standardContextual"/>
        </w:rPr>
        <w:tab/>
        <w:t>so zreteľom na článok 314 ods. 10 a články 317, 318 a 319 Zmluvy o fungovaní Európskej únie,</w:t>
      </w:r>
    </w:p>
    <w:p w14:paraId="08A4672B"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w:t>
      </w:r>
      <w:r w:rsidRPr="00237C70">
        <w:rPr>
          <w:kern w:val="2"/>
          <w14:ligatures w14:val="standardContextual"/>
        </w:rPr>
        <w:tab/>
        <w:t xml:space="preserve">so zreteľom na nariadenie Európskeho parlamentu a Rady (EÚ, </w:t>
      </w:r>
      <w:proofErr w:type="spellStart"/>
      <w:r w:rsidRPr="00237C70">
        <w:rPr>
          <w:kern w:val="2"/>
          <w14:ligatures w14:val="standardContextual"/>
        </w:rPr>
        <w:t>Euratom</w:t>
      </w:r>
      <w:proofErr w:type="spellEnd"/>
      <w:r w:rsidRPr="00237C70">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w:t>
      </w:r>
      <w:r w:rsidRPr="00237C70">
        <w:rPr>
          <w:kern w:val="2"/>
          <w14:ligatures w14:val="standardContextual"/>
        </w:rPr>
        <w:lastRenderedPageBreak/>
        <w:t xml:space="preserve">č. 283/2014 a rozhodnutia č. 541/2014/EÚ a o zrušení nariadenia (EÚ, </w:t>
      </w:r>
      <w:proofErr w:type="spellStart"/>
      <w:r w:rsidRPr="00237C70">
        <w:rPr>
          <w:kern w:val="2"/>
          <w14:ligatures w14:val="standardContextual"/>
        </w:rPr>
        <w:t>Euratom</w:t>
      </w:r>
      <w:proofErr w:type="spellEnd"/>
      <w:r w:rsidRPr="00237C70">
        <w:rPr>
          <w:kern w:val="2"/>
          <w14:ligatures w14:val="standardContextual"/>
        </w:rPr>
        <w:t>) č. 966/2012</w:t>
      </w:r>
      <w:r w:rsidRPr="00237C70">
        <w:rPr>
          <w:kern w:val="2"/>
          <w:vertAlign w:val="superscript"/>
          <w14:ligatures w14:val="standardContextual"/>
        </w:rPr>
        <w:footnoteReference w:id="5"/>
      </w:r>
      <w:r w:rsidRPr="00237C70">
        <w:rPr>
          <w:kern w:val="2"/>
          <w14:ligatures w14:val="standardContextual"/>
        </w:rPr>
        <w:t>, a najmä na jeho články 59, 118, 260, 261 a 262,</w:t>
      </w:r>
    </w:p>
    <w:p w14:paraId="261699EA"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w:t>
      </w:r>
      <w:r w:rsidRPr="00237C70">
        <w:rPr>
          <w:kern w:val="2"/>
          <w14:ligatures w14:val="standardContextual"/>
        </w:rPr>
        <w:tab/>
        <w:t xml:space="preserve">so zreteľom na </w:t>
      </w:r>
      <w:r w:rsidRPr="00237C70">
        <w:rPr>
          <w:kern w:val="2"/>
          <w:shd w:val="clear" w:color="auto" w:fill="FFFFFF"/>
          <w14:ligatures w14:val="standardContextual"/>
        </w:rPr>
        <w:t xml:space="preserve">nariadenie Európskeho parlamentu a Rady (EÚ, </w:t>
      </w:r>
      <w:proofErr w:type="spellStart"/>
      <w:r w:rsidRPr="00237C70">
        <w:rPr>
          <w:kern w:val="2"/>
          <w:shd w:val="clear" w:color="auto" w:fill="FFFFFF"/>
          <w14:ligatures w14:val="standardContextual"/>
        </w:rPr>
        <w:t>Euratom</w:t>
      </w:r>
      <w:proofErr w:type="spellEnd"/>
      <w:r w:rsidRPr="00237C70">
        <w:rPr>
          <w:kern w:val="2"/>
          <w:shd w:val="clear" w:color="auto" w:fill="FFFFFF"/>
          <w14:ligatures w14:val="standardContextual"/>
        </w:rPr>
        <w:t>) 2024/2509 z 23. septembra 2024 o rozpočtových pravidlách, ktoré sa vzťahujú na všeobecný rozpočet Únie</w:t>
      </w:r>
      <w:r w:rsidRPr="00237C70">
        <w:rPr>
          <w:bCs/>
          <w:kern w:val="2"/>
          <w:szCs w:val="24"/>
          <w:shd w:val="clear" w:color="auto" w:fill="FFFFFF"/>
          <w:vertAlign w:val="superscript"/>
          <w14:ligatures w14:val="standardContextual"/>
        </w:rPr>
        <w:footnoteReference w:id="6"/>
      </w:r>
      <w:r w:rsidRPr="00237C70">
        <w:rPr>
          <w:kern w:val="2"/>
          <w:shd w:val="clear" w:color="auto" w:fill="FFFFFF"/>
          <w14:ligatures w14:val="standardContextual"/>
        </w:rPr>
        <w:t>, a najmä na jeho články 59, 118, 266, 267 a 268</w:t>
      </w:r>
      <w:r w:rsidRPr="00237C70">
        <w:rPr>
          <w:kern w:val="2"/>
          <w14:ligatures w14:val="standardContextual"/>
        </w:rPr>
        <w:t>,</w:t>
      </w:r>
    </w:p>
    <w:p w14:paraId="4C1B6FD0"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w:t>
      </w:r>
      <w:r w:rsidRPr="00237C70">
        <w:rPr>
          <w:kern w:val="2"/>
          <w14:ligatures w14:val="standardContextual"/>
        </w:rPr>
        <w:tab/>
        <w:t>so zreteľom na článok 102 a prílohu V k rokovaciemu poriadku,</w:t>
      </w:r>
    </w:p>
    <w:p w14:paraId="539D552E"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w:t>
      </w:r>
      <w:r w:rsidRPr="00237C70">
        <w:rPr>
          <w:kern w:val="2"/>
          <w14:ligatures w14:val="standardContextual"/>
        </w:rPr>
        <w:tab/>
        <w:t>so zreteľom na správu Výboru pre kontrolu rozpočtu (A10-0046/2025),</w:t>
      </w:r>
    </w:p>
    <w:p w14:paraId="55D99EA6"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1.</w:t>
      </w:r>
      <w:r w:rsidRPr="00237C70">
        <w:rPr>
          <w:kern w:val="2"/>
          <w14:ligatures w14:val="standardContextual"/>
        </w:rPr>
        <w:tab/>
        <w:t>udeľuje generálnemu tajomníkovi Výboru regiónov absolutórium za plnenie rozpočtu Výboru regiónov za rozpočtový rok 2023;</w:t>
      </w:r>
    </w:p>
    <w:p w14:paraId="18A83773"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2.</w:t>
      </w:r>
      <w:r w:rsidRPr="00237C70">
        <w:rPr>
          <w:kern w:val="2"/>
          <w14:ligatures w14:val="standardContextual"/>
        </w:rPr>
        <w:tab/>
        <w:t>uvádza svoje poznámky v priloženom uznesení;</w:t>
      </w:r>
    </w:p>
    <w:p w14:paraId="0863F4E6"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3.</w:t>
      </w:r>
      <w:r w:rsidRPr="00237C70">
        <w:rPr>
          <w:kern w:val="2"/>
          <w14:ligatures w14:val="standardContextual"/>
        </w:rPr>
        <w:tab/>
        <w:t>poveruje svoju predsedníčku, aby postúpila toto rozhodnutie a uznesenie, ktoré je jeho neoddeliteľnou súčasťou, Výboru regiónov, Rade, Komisii a Dvoru audítorov a aby zabezpečila ich uverejnenie v </w:t>
      </w:r>
      <w:r w:rsidRPr="00237C70">
        <w:rPr>
          <w:i/>
          <w:kern w:val="2"/>
          <w14:ligatures w14:val="standardContextual"/>
        </w:rPr>
        <w:t>Úradnom vestníku Európskej únie</w:t>
      </w:r>
      <w:r w:rsidRPr="00237C70">
        <w:rPr>
          <w:kern w:val="2"/>
          <w14:ligatures w14:val="standardContextual"/>
        </w:rPr>
        <w:t xml:space="preserve"> (v sérii L).</w:t>
      </w:r>
    </w:p>
    <w:p w14:paraId="7DB6BEEB" w14:textId="77777777" w:rsidR="00237C70" w:rsidRPr="00237C70" w:rsidRDefault="00237C70" w:rsidP="00237C70">
      <w:pPr>
        <w:widowControl/>
        <w:rPr>
          <w:rFonts w:eastAsia="Aptos"/>
          <w:kern w:val="2"/>
          <w:szCs w:val="24"/>
          <w:lang w:eastAsia="en-US"/>
          <w14:ligatures w14:val="standardContextual"/>
        </w:rPr>
        <w:sectPr w:rsidR="00237C70" w:rsidRPr="00237C70" w:rsidSect="00237C70">
          <w:footnotePr>
            <w:numRestart w:val="eachSect"/>
          </w:footnotePr>
          <w:endnotePr>
            <w:numFmt w:val="decimal"/>
          </w:endnotePr>
          <w:pgSz w:w="11906" w:h="16838"/>
          <w:pgMar w:top="1440" w:right="1440" w:bottom="1440" w:left="1440" w:header="708" w:footer="708" w:gutter="0"/>
          <w:cols w:space="708"/>
          <w:docGrid w:linePitch="360"/>
        </w:sectPr>
      </w:pPr>
    </w:p>
    <w:p w14:paraId="66C73362" w14:textId="77777777" w:rsidR="00237C70" w:rsidRPr="000A021A" w:rsidRDefault="00237C70" w:rsidP="000A021A">
      <w:pPr>
        <w:pStyle w:val="ATHeading3"/>
      </w:pPr>
      <w:r w:rsidRPr="000A021A">
        <w:lastRenderedPageBreak/>
        <w:t>2. Uznesenie Európskeho parlamentu zo 7. mája 2025 s poznámkami, ktoré je neoddeliteľnou súčasťou rozhodnutia o absolutóriu za plnenie všeobecného rozpočtu Európskej únie za rozpočtový rok 2023, oddiel VII – Výbor regiónov (2024/2026(DEC))</w:t>
      </w:r>
    </w:p>
    <w:p w14:paraId="030B13BE" w14:textId="0381EC6D" w:rsidR="00237C70" w:rsidRPr="00237C70" w:rsidRDefault="000A021A" w:rsidP="00237C70">
      <w:pPr>
        <w:spacing w:before="480" w:after="240"/>
        <w:rPr>
          <w:iCs/>
          <w:kern w:val="2"/>
          <w14:ligatures w14:val="standardContextual"/>
        </w:rPr>
      </w:pPr>
      <w:r w:rsidRPr="00066DF9">
        <w:rPr>
          <w:i/>
        </w:rPr>
        <w:t>Európsky parlament</w:t>
      </w:r>
      <w:r w:rsidR="00237C70" w:rsidRPr="00237C70">
        <w:rPr>
          <w:iCs/>
          <w:kern w:val="2"/>
          <w14:ligatures w14:val="standardContextual"/>
        </w:rPr>
        <w:t>,</w:t>
      </w:r>
    </w:p>
    <w:p w14:paraId="5B010B08"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w:t>
      </w:r>
      <w:r w:rsidRPr="00237C70">
        <w:rPr>
          <w:kern w:val="2"/>
          <w14:ligatures w14:val="standardContextual"/>
        </w:rPr>
        <w:tab/>
        <w:t>so zreteľom na svoje rozhodnutie o absolutóriu za plnenie všeobecného rozpočtu Európskej únie za rozpočtový rok 2023, oddiel VII – Výbor regiónov,</w:t>
      </w:r>
    </w:p>
    <w:p w14:paraId="521115CA"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w:t>
      </w:r>
      <w:r w:rsidRPr="00237C70">
        <w:rPr>
          <w:kern w:val="2"/>
          <w14:ligatures w14:val="standardContextual"/>
        </w:rPr>
        <w:tab/>
        <w:t>so zreteľom na článok 102 a prílohu V k rokovaciemu poriadku,</w:t>
      </w:r>
    </w:p>
    <w:p w14:paraId="747DB5BB"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w:t>
      </w:r>
      <w:r w:rsidRPr="00237C70">
        <w:rPr>
          <w:kern w:val="2"/>
          <w14:ligatures w14:val="standardContextual"/>
        </w:rPr>
        <w:tab/>
        <w:t>so zreteľom na správu Výboru pre kontrolu rozpočtu (A10-0046/2025),</w:t>
      </w:r>
    </w:p>
    <w:p w14:paraId="15B1AE7D"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A.</w:t>
      </w:r>
      <w:r w:rsidRPr="00237C70">
        <w:rPr>
          <w:kern w:val="2"/>
          <w14:ligatures w14:val="standardContextual"/>
        </w:rPr>
        <w:tab/>
        <w:t>keďže v súvislosti s postupom udelenia absolutória chce orgán udeľujúci absolutórium podčiarknuť osobitný význam ďalšieho posilňovania demokratickej legitimity inštitúcií Únie zvyšovaním transparentnosti a zodpovednosti a zavedením koncepcie zostavovania rozpočtu na základe výkonnosti a dobrého riadenia ľudských zdrojov;</w:t>
      </w:r>
    </w:p>
    <w:p w14:paraId="5C7FA615" w14:textId="77777777" w:rsidR="00237C70" w:rsidRPr="00237C70" w:rsidRDefault="00237C70" w:rsidP="00237C70">
      <w:pPr>
        <w:spacing w:after="240"/>
        <w:ind w:left="567" w:hanging="567"/>
        <w:rPr>
          <w:color w:val="000000"/>
          <w:kern w:val="2"/>
          <w14:ligatures w14:val="standardContextual"/>
        </w:rPr>
      </w:pPr>
      <w:r w:rsidRPr="00237C70">
        <w:rPr>
          <w:kern w:val="2"/>
          <w14:ligatures w14:val="standardContextual"/>
        </w:rPr>
        <w:t>B.</w:t>
      </w:r>
      <w:r w:rsidRPr="00237C70">
        <w:rPr>
          <w:kern w:val="2"/>
          <w14:ligatures w14:val="standardContextual"/>
        </w:rPr>
        <w:tab/>
      </w:r>
      <w:r w:rsidRPr="00237C70">
        <w:rPr>
          <w:color w:val="000000"/>
          <w:kern w:val="2"/>
          <w14:ligatures w14:val="standardContextual"/>
        </w:rPr>
        <w:t>keďže Výbor regiónov (ďalej len „výbor“) je politickým zhromaždením s 329 členmi volenými v regiónoch, mestách, dedinách a obciach 27 členských štátov Únie, pôsobí ako poradný orgán pre inštitúcie Únie a jeho poslaním je prispievať k formovaniu politík Únie a k procesu rozhodovania z hľadiska miestnych a regionálnych orgánov a zároveň prispievať k tomu, aby bola Únia efektívnejšia a bližšie k občanom;</w:t>
      </w:r>
    </w:p>
    <w:p w14:paraId="28136812" w14:textId="77777777" w:rsidR="00237C70" w:rsidRPr="00237C70" w:rsidRDefault="00237C70" w:rsidP="00237C70">
      <w:pPr>
        <w:spacing w:after="240"/>
        <w:ind w:left="567" w:hanging="567"/>
        <w:rPr>
          <w:color w:val="000000"/>
          <w:kern w:val="2"/>
          <w14:ligatures w14:val="standardContextual"/>
        </w:rPr>
      </w:pPr>
      <w:r w:rsidRPr="00237C70">
        <w:rPr>
          <w:color w:val="000000"/>
          <w:kern w:val="2"/>
          <w14:ligatures w14:val="standardContextual"/>
        </w:rPr>
        <w:t>C.</w:t>
      </w:r>
      <w:r w:rsidRPr="00237C70">
        <w:rPr>
          <w:color w:val="000000"/>
          <w:kern w:val="2"/>
          <w14:ligatures w14:val="standardContextual"/>
        </w:rPr>
        <w:tab/>
        <w:t>keďže Komisia alebo Rada je v niektorých prípadoch povinná výbor konzultovať, zatiaľ čo výbor môže prijímať stanoviská aj z vlastnej iniciatívy a má široký priestor na postúpenie, ako sa vymedzuje v zmluvách, čo mu umožňuje konzultovať s Európskym parlamentom;</w:t>
      </w:r>
    </w:p>
    <w:p w14:paraId="0B8C385C" w14:textId="77777777" w:rsidR="00237C70" w:rsidRPr="00237C70" w:rsidRDefault="00237C70" w:rsidP="00237C70">
      <w:pPr>
        <w:spacing w:after="240"/>
        <w:ind w:left="567" w:hanging="567"/>
        <w:rPr>
          <w:color w:val="000000"/>
          <w:kern w:val="2"/>
          <w14:ligatures w14:val="standardContextual"/>
        </w:rPr>
      </w:pPr>
      <w:r w:rsidRPr="00237C70">
        <w:rPr>
          <w:color w:val="000000"/>
          <w:kern w:val="2"/>
          <w14:ligatures w14:val="standardContextual"/>
        </w:rPr>
        <w:t>D.</w:t>
      </w:r>
      <w:r w:rsidRPr="00237C70">
        <w:rPr>
          <w:color w:val="000000"/>
          <w:kern w:val="2"/>
          <w14:ligatures w14:val="standardContextual"/>
        </w:rPr>
        <w:tab/>
        <w:t>keďže činnosti výboru sú vymedzené na základe jeho celkovej politickej stratégie, ako sa stanovuje v jeho uznesení z 2. júla 2020 o jeho prioritách na roky 2020 – 2025 </w:t>
      </w:r>
      <w:r w:rsidRPr="00237C70">
        <w:rPr>
          <w:color w:val="000000"/>
          <w:kern w:val="2"/>
          <w:vertAlign w:val="superscript"/>
          <w14:ligatures w14:val="standardContextual"/>
        </w:rPr>
        <w:footnoteReference w:id="7"/>
      </w:r>
      <w:r w:rsidRPr="00237C70">
        <w:rPr>
          <w:color w:val="000000"/>
          <w:kern w:val="2"/>
          <w14:ligatures w14:val="standardContextual"/>
        </w:rPr>
        <w:t>, a keďže výbor prijal na svoje funkčné obdobie 2020 – 2025 tri politické priority, ktoré sprevádzajú tri komunikačné kampane: Priblíženie Európy k občanom, Budovanie odolných regionálnych a miestnych komunít a Podpora súdržnosti ako základnej hodnoty EÚ;</w:t>
      </w:r>
    </w:p>
    <w:p w14:paraId="1D5ACF48" w14:textId="77777777" w:rsidR="00237C70" w:rsidRPr="00237C70" w:rsidRDefault="00237C70" w:rsidP="00237C70">
      <w:pPr>
        <w:spacing w:after="240"/>
        <w:ind w:left="567" w:hanging="567"/>
        <w:rPr>
          <w:color w:val="000000"/>
          <w:kern w:val="2"/>
          <w14:ligatures w14:val="standardContextual"/>
        </w:rPr>
      </w:pPr>
      <w:r w:rsidRPr="00237C70">
        <w:rPr>
          <w:color w:val="000000"/>
          <w:kern w:val="2"/>
          <w14:ligatures w14:val="standardContextual"/>
        </w:rPr>
        <w:t>E.</w:t>
      </w:r>
      <w:r w:rsidRPr="00237C70">
        <w:rPr>
          <w:color w:val="000000"/>
          <w:kern w:val="2"/>
          <w14:ligatures w14:val="standardContextual"/>
        </w:rPr>
        <w:tab/>
        <w:t>keďže na miestne a regionálne správy pripadá tretina verejných výdavkov, polovica verejných investícií a štvrtina daňových príjmov a keďže v mnohých členských štátoch majú právomoci v kľúčových oblastiach, ako je vzdelávanie, hospodársky rozvoj a súdržnosť, životné prostredie, sociálna ochrana, zdravotníctvo a služby všeobecného záujmu, a tým koordinácia na miestnej, regionálnej, vnútroštátnej a európskej úrovni zvyšuje legitímnosť právnych predpisov, zlepšuje zodpovednosť a zabezpečuje účinnejšie prínosy pre občanov;</w:t>
      </w:r>
    </w:p>
    <w:p w14:paraId="3FCEB6ED" w14:textId="77777777" w:rsidR="00237C70" w:rsidRPr="00237C70" w:rsidRDefault="00237C70" w:rsidP="00237C70">
      <w:pPr>
        <w:spacing w:after="240"/>
        <w:ind w:left="567" w:hanging="567"/>
        <w:rPr>
          <w:color w:val="000000"/>
          <w:kern w:val="2"/>
          <w14:ligatures w14:val="standardContextual"/>
        </w:rPr>
      </w:pPr>
      <w:r w:rsidRPr="00237C70">
        <w:rPr>
          <w:color w:val="000000"/>
          <w:kern w:val="2"/>
          <w14:ligatures w14:val="standardContextual"/>
        </w:rPr>
        <w:t>F.</w:t>
      </w:r>
      <w:r w:rsidRPr="00237C70">
        <w:rPr>
          <w:color w:val="000000"/>
          <w:kern w:val="2"/>
          <w14:ligatures w14:val="standardContextual"/>
        </w:rPr>
        <w:tab/>
        <w:t xml:space="preserve">keďže výbor sleduje svoj politický cieľ, ktorým je posilnenie jeho zapojenia do celého politického a legislatívneho cyklu Únie a zároveň vytváranie hmatateľnejšieho prepojenia s občanmi Únie prostredníctvom členov výboru ako účinných </w:t>
      </w:r>
      <w:proofErr w:type="spellStart"/>
      <w:r w:rsidRPr="00237C70">
        <w:rPr>
          <w:color w:val="000000"/>
          <w:kern w:val="2"/>
          <w14:ligatures w14:val="standardContextual"/>
        </w:rPr>
        <w:lastRenderedPageBreak/>
        <w:t>multiplikátorov</w:t>
      </w:r>
      <w:proofErr w:type="spellEnd"/>
      <w:r w:rsidRPr="00237C70">
        <w:rPr>
          <w:color w:val="000000"/>
          <w:kern w:val="2"/>
          <w14:ligatures w14:val="standardContextual"/>
        </w:rPr>
        <w:t xml:space="preserve"> vo svojich komunitách a vo vnútroštátnych združeniach miestnych a regionálnych orgánov;</w:t>
      </w:r>
    </w:p>
    <w:p w14:paraId="784C7DA8" w14:textId="77777777" w:rsidR="00237C70" w:rsidRPr="00237C70" w:rsidRDefault="00237C70" w:rsidP="00237C70">
      <w:pPr>
        <w:spacing w:after="240"/>
        <w:ind w:left="567" w:hanging="567"/>
        <w:rPr>
          <w:color w:val="000000"/>
          <w:kern w:val="2"/>
          <w14:ligatures w14:val="standardContextual"/>
        </w:rPr>
      </w:pPr>
      <w:r w:rsidRPr="00237C70">
        <w:rPr>
          <w:color w:val="000000"/>
          <w:kern w:val="2"/>
          <w14:ligatures w14:val="standardContextual"/>
        </w:rPr>
        <w:t>G.</w:t>
      </w:r>
      <w:r w:rsidRPr="00237C70">
        <w:rPr>
          <w:color w:val="000000"/>
          <w:kern w:val="2"/>
          <w14:ligatures w14:val="standardContextual"/>
        </w:rPr>
        <w:tab/>
        <w:t>keďže výbor určil jedenásť kľúčových prioritných oblastí, aby sa jeho činnosť v roku 2023 stala strategickejšou a účinnejšou: (1) opatrenia v nadväznosti na Konferenciu o budúcnosti Európy, aktívna subsidiarita a lepšia právna regulácia; (2) Ukrajina a rozšírenie; (3) energetika a klimatická kríza; (4) životné prostredie; (5) politika súdržnosti – zintenzívnenie vykonávania politiky súdržnosti a formovanie jej budúcnosti v období po roku 2027; (6) viacročný finančný rámec; (7) správa hospodárskych záležitostí pre spravodlivú a udržateľnú Európu; (8) Európsky rok zručností 2023; (9) partnerstvá pre regionálne inovácie a podpora územných misií; (10) civilná ochrana; (11) potravinová bezpečnosť;</w:t>
      </w:r>
    </w:p>
    <w:p w14:paraId="297D94E3"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H.</w:t>
      </w:r>
      <w:r w:rsidRPr="00237C70">
        <w:rPr>
          <w:kern w:val="2"/>
          <w14:ligatures w14:val="standardContextual"/>
        </w:rPr>
        <w:tab/>
        <w:t>keďže nariadenie Európskeho parlamentu a Rady (EÚ) 2021/1060 </w:t>
      </w:r>
      <w:r w:rsidRPr="00237C70">
        <w:rPr>
          <w:kern w:val="2"/>
          <w:vertAlign w:val="superscript"/>
          <w14:ligatures w14:val="standardContextual"/>
        </w:rPr>
        <w:footnoteReference w:id="8"/>
      </w:r>
      <w:r w:rsidRPr="00237C70">
        <w:rPr>
          <w:kern w:val="2"/>
          <w14:ligatures w14:val="standardContextual"/>
        </w:rPr>
        <w:t>, ktoré nadobudlo účinnosť v júli 2021 a upravuje politiku súdržnosti Únie a jej financovanie v období rokov 2021 – 2027, obsahuje odkazy na zásadu partnerstva a viacúrovňového riadenia, a to s podporou výboru a </w:t>
      </w:r>
      <w:r w:rsidRPr="00237C70">
        <w:rPr>
          <w:color w:val="000000"/>
          <w:kern w:val="2"/>
          <w14:ligatures w14:val="standardContextual"/>
        </w:rPr>
        <w:t xml:space="preserve">Európskeho </w:t>
      </w:r>
      <w:r w:rsidRPr="00237C70">
        <w:rPr>
          <w:kern w:val="2"/>
          <w14:ligatures w14:val="standardContextual"/>
        </w:rPr>
        <w:t>parlamentu a so zapojením regiónov a ich miestnych a regionálnych orgánov; dôrazne podporuje zvýšenie investícií Únie do regionálnej a miestnej odolnosti v budúcom viacročnom finančnom rámci (VFR);</w:t>
      </w:r>
    </w:p>
    <w:p w14:paraId="51C58FDF"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I.</w:t>
      </w:r>
      <w:r w:rsidRPr="00237C70">
        <w:rPr>
          <w:kern w:val="2"/>
          <w14:ligatures w14:val="standardContextual"/>
        </w:rPr>
        <w:tab/>
        <w:t>keďže viac ako 400 národných a regionálnych programov, ktoré sú určené na realizáciu politiky súdržnosti Únie v programovom období 2021 – 2027, poskytne v rámci rôznych fondov okolo 380 miliárd EUR na riešenie hospodárskych, sociálnych a environmentálnych výziev, ktorým regióny, mestá, dediny a obce Únie čelia;</w:t>
      </w:r>
    </w:p>
    <w:p w14:paraId="232D3BD3" w14:textId="77777777" w:rsidR="00237C70" w:rsidRPr="00237C70" w:rsidRDefault="00237C70" w:rsidP="00237C70">
      <w:pPr>
        <w:spacing w:after="240"/>
        <w:ind w:left="567" w:hanging="567"/>
        <w:rPr>
          <w:color w:val="000000"/>
          <w:kern w:val="2"/>
          <w14:ligatures w14:val="standardContextual"/>
        </w:rPr>
      </w:pPr>
      <w:r w:rsidRPr="00237C70">
        <w:rPr>
          <w:color w:val="000000"/>
          <w:kern w:val="2"/>
          <w14:ligatures w14:val="standardContextual"/>
        </w:rPr>
        <w:t>J.</w:t>
      </w:r>
      <w:r w:rsidRPr="00237C70">
        <w:rPr>
          <w:color w:val="000000"/>
          <w:kern w:val="2"/>
          <w14:ligatures w14:val="standardContextual"/>
        </w:rPr>
        <w:tab/>
        <w:t xml:space="preserve">keďže 19. februára 2021 nadobudlo účinnosť nariadenie </w:t>
      </w:r>
      <w:r w:rsidRPr="00237C70">
        <w:rPr>
          <w:kern w:val="2"/>
          <w14:ligatures w14:val="standardContextual"/>
        </w:rPr>
        <w:t xml:space="preserve">Európskeho parlamentu a Rady </w:t>
      </w:r>
      <w:r w:rsidRPr="00237C70">
        <w:rPr>
          <w:color w:val="000000"/>
          <w:kern w:val="2"/>
          <w14:ligatures w14:val="standardContextual"/>
        </w:rPr>
        <w:t>(EÚ) 2021/241 </w:t>
      </w:r>
      <w:r w:rsidRPr="00237C70">
        <w:rPr>
          <w:color w:val="000000"/>
          <w:kern w:val="2"/>
          <w:vertAlign w:val="superscript"/>
          <w14:ligatures w14:val="standardContextual"/>
        </w:rPr>
        <w:footnoteReference w:id="9"/>
      </w:r>
      <w:r w:rsidRPr="00237C70">
        <w:rPr>
          <w:color w:val="000000"/>
          <w:kern w:val="2"/>
          <w14:ligatures w14:val="standardContextual"/>
        </w:rPr>
        <w:t>, ktorým sa zriaďuje Mechanizmus Únie na podporu obnovy a odolnosti, ktoré poskytuje právny základ pre rozdeľovanie finančných prostriedkov a poskytovanie pôžičiek až do výšky 672,5 miliardy EUR (v cenách roku 2018) členským štátom v období 2021 – 2026 a ktoré je tiež zamerané na podporu hospodárskej, sociálnej a územnej súdržnosti a riešenie nerovností medzi regiónmi Únie;</w:t>
      </w:r>
    </w:p>
    <w:p w14:paraId="195CD104" w14:textId="77777777" w:rsidR="00237C70" w:rsidRPr="00237C70" w:rsidRDefault="00237C70" w:rsidP="00237C70">
      <w:pPr>
        <w:spacing w:after="240"/>
        <w:ind w:left="567" w:hanging="567"/>
        <w:rPr>
          <w:color w:val="000000"/>
          <w:kern w:val="2"/>
          <w14:ligatures w14:val="standardContextual"/>
        </w:rPr>
      </w:pPr>
      <w:r w:rsidRPr="00237C70">
        <w:rPr>
          <w:color w:val="000000"/>
          <w:kern w:val="2"/>
          <w14:ligatures w14:val="standardContextual"/>
        </w:rPr>
        <w:t>K.</w:t>
      </w:r>
      <w:r w:rsidRPr="00237C70">
        <w:rPr>
          <w:color w:val="000000"/>
          <w:kern w:val="2"/>
          <w14:ligatures w14:val="standardContextual"/>
        </w:rPr>
        <w:tab/>
        <w:t>keďže od výboru ako inštitúcie Únie v zmysle nariadenia o rozpočtových pravidlách sa vyžaduje, aby schvaľovala vlastnú ročnú účtovnú závierku vypracovanú v súlade s účtovnými pravidlami, ktoré prijal účtovník Komisie (účtovné pravidlá EÚ) na základe medzinárodných účtovných štandardov pre verejný sektor, ktorá sa následne konsoliduje do účtovnej závierky Únie;</w:t>
      </w:r>
    </w:p>
    <w:p w14:paraId="18CB453F"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1.</w:t>
      </w:r>
      <w:r w:rsidRPr="00237C70">
        <w:rPr>
          <w:kern w:val="2"/>
          <w14:ligatures w14:val="standardContextual"/>
        </w:rPr>
        <w:tab/>
        <w:t xml:space="preserve">poznamenáva, že rozpočet výboru patrí do okruhu 7 VFR „Európska verejná správa“ </w:t>
      </w:r>
      <w:r w:rsidRPr="00237C70">
        <w:rPr>
          <w:kern w:val="2"/>
          <w14:ligatures w14:val="standardContextual"/>
        </w:rPr>
        <w:lastRenderedPageBreak/>
        <w:t>(ďalej len „okruh 7“), ktorý v roku 2023 predstavoval celkovo 12,3 miliardy EUR, t. j. 6,4 % rozpočtových výdavkov Únie; konštatuje, že rozpočet výboru v roku 2023 predstavoval 0,95 % rozpočtových prostriedkov okruhu 7 VFR;</w:t>
      </w:r>
    </w:p>
    <w:p w14:paraId="492C3D9B"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2.</w:t>
      </w:r>
      <w:r w:rsidRPr="00237C70">
        <w:rPr>
          <w:kern w:val="2"/>
          <w14:ligatures w14:val="standardContextual"/>
        </w:rPr>
        <w:tab/>
        <w:t>poznamenáva, že Dvor audítorov vo výročnej správe (ďalej len „správa Dvora audítorov“) za rozpočtový rok 2023 preskúmal vzorku 70 operácií z okruhu 7, pričom v 21 z nich (30 %) sa vyskytovali chyby; ďalej konštatuje, že Dvor audítorov pri piatich z týchto chýb, ktoré vyčíslil, odhadol chybovosť pod prahovou hodnotnou významnosti;</w:t>
      </w:r>
    </w:p>
    <w:p w14:paraId="4144343B"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3.</w:t>
      </w:r>
      <w:r w:rsidRPr="00237C70">
        <w:rPr>
          <w:kern w:val="2"/>
          <w14:ligatures w14:val="standardContextual"/>
        </w:rPr>
        <w:tab/>
        <w:t>na základe správy Dvora audítorov berie na vedomie jeho zistenie, že administratívne výdavky zahŕňajú výdavky na ľudské zdroje vrátane dôchodkov, ktoré v roku 2023 predstavovali približne 70 % celkových administratívnych výdavkov, a výdavky na budovy, zariadenie, energiu, komunikáciu a informačné technológie; víta opätovné stanovisko Dvora audítorov, že administratívne výdavky celkovo predstavujú nízke riziko;</w:t>
      </w:r>
    </w:p>
    <w:p w14:paraId="70949BDD"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4.</w:t>
      </w:r>
      <w:r w:rsidRPr="00237C70">
        <w:rPr>
          <w:kern w:val="2"/>
          <w14:ligatures w14:val="standardContextual"/>
        </w:rPr>
        <w:tab/>
        <w:t>na základe správy Dvora audítorov s poľutovaním berie na vedomie jeho stanovisko týkajúce sa operácie, ktorú výbor uskutočnil v roku 2023, pričom 10-ročné trvanie zmluvy o údržbe budov nebolo dostatočne odôvodnené;</w:t>
      </w:r>
    </w:p>
    <w:p w14:paraId="102C64B9" w14:textId="77777777" w:rsidR="00237C70" w:rsidRPr="00237C70" w:rsidRDefault="00237C70" w:rsidP="00237C70">
      <w:pPr>
        <w:spacing w:after="240"/>
        <w:ind w:left="567" w:hanging="567"/>
        <w:rPr>
          <w:b/>
          <w:i/>
          <w:kern w:val="2"/>
          <w14:ligatures w14:val="standardContextual"/>
        </w:rPr>
      </w:pPr>
      <w:r w:rsidRPr="00237C70">
        <w:rPr>
          <w:b/>
          <w:i/>
          <w:kern w:val="2"/>
          <w14:ligatures w14:val="standardContextual"/>
        </w:rPr>
        <w:t>Rozpočtové a finančné riadenie</w:t>
      </w:r>
    </w:p>
    <w:p w14:paraId="1220D55E"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5.</w:t>
      </w:r>
      <w:r w:rsidRPr="00237C70">
        <w:rPr>
          <w:kern w:val="2"/>
          <w14:ligatures w14:val="standardContextual"/>
        </w:rPr>
        <w:tab/>
        <w:t>na základe výročnej správy o činnosti výboru za rok 2023 konštatuje, že konečný prijatý rozpočet výboru v roku 2023 predstavoval 116 675 392 EUR vrátane opravného rozpočtu 4/2023 (platy a energetika), čo predstavuje zvýšenie o 6 698 534 EUR (t. j. + 6,10 %) v porovnaní s rokom 2022; s uspokojením konštatuje, že miera plnenia rozpočtu výboru, pokiaľ ide o viazané rozpočtové prostriedky v bežnom roku, sa zvýšila z 99,20 % v roku 2022 na 99,9 % v roku 2023 a že miera plnenia platobných rozpočtových prostriedkov v bežnom roku sa zvýšila z 88 % v roku 2022 na 91,20 % v roku 2023; víta ďalšie zvýšenie miery plnenia rozpočtových prostriedkov C8 z 81,60 % v roku 2022 na 85 % v roku 2023; domnieva sa, že tieto vysoké miery plnenia sú na jednej strane znakom dobrého rozpočtového a finančného riadenia zo strany výboru, a to z dôvodu posilneného monitorovania plnenia rozpočtu, včasného plánovania rozpočtu a prerozdelenia zdrojov na riešenie nepredvídaných udalostí, ale na druhej strane by mohli byť aj znakom toho, že výbor potrebuje dodatočné zdroje; žiada Komisiu a rozpočtový orgán, aby túto skutočnosť zohľadnili v rámci rozpočtového postupu;</w:t>
      </w:r>
    </w:p>
    <w:p w14:paraId="10A6278E"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6.</w:t>
      </w:r>
      <w:r w:rsidRPr="00237C70">
        <w:rPr>
          <w:kern w:val="2"/>
          <w14:ligatures w14:val="standardContextual"/>
        </w:rPr>
        <w:tab/>
        <w:t>konštatuje, že v priebehu roka 2023 výbor vykonal 31 presunov v celkovej výške 2,84 milióna EUR, z toho 25 vnútorných presunov v celkovej výške 0,98 milióna EUR a šesť vonkajších presunov v celkovej výške 1,86 milióna EUR, z čoho približne 0,8 milióna EUR bolo presunutých do rozpočtových riadkov týkajúcich sa zmlúv ovplyvnených vysokou infláciou/indexáciou; konštatuje, že vplyv útočnej vojny Ruska proti Ukrajine naďalej vytváral rozpočtový tlak na výbor v roku 2023; v tejto súvislosti konštatuje, že výbor bol najviac postihnutý vysokou mierou inflácie, priamo alebo nepriamo, v oblastiach, ako sú cestovné náklady (služobné cesty), energia, nájom a prenájom budov, zmluvy o údržbe, stavebné projekty a papier a ofsetové matrice;</w:t>
      </w:r>
    </w:p>
    <w:p w14:paraId="51483319"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7.</w:t>
      </w:r>
      <w:r w:rsidRPr="00237C70">
        <w:rPr>
          <w:kern w:val="2"/>
          <w14:ligatures w14:val="standardContextual"/>
        </w:rPr>
        <w:tab/>
        <w:t xml:space="preserve">berie na vedomie zvýšenie platieb pre členov výboru približne o 20 % zo 6 573 307 EUR v roku 2022 na 7 955 968 EUR v roku 2023, pričom sa uhradili platby za cestovné výdavky (8 119 platieb), príspevky za cestu (4 449 platieb), príspevky za </w:t>
      </w:r>
      <w:r w:rsidRPr="00237C70">
        <w:rPr>
          <w:kern w:val="2"/>
          <w14:ligatures w14:val="standardContextual"/>
        </w:rPr>
        <w:lastRenderedPageBreak/>
        <w:t>účasť na schôdzi za osobnú účasť (7 845 platieb) a za účasť na diaľku (152 platieb);</w:t>
      </w:r>
    </w:p>
    <w:p w14:paraId="59DD2EFB"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8.</w:t>
      </w:r>
      <w:r w:rsidRPr="00237C70">
        <w:rPr>
          <w:kern w:val="2"/>
          <w14:ligatures w14:val="standardContextual"/>
        </w:rPr>
        <w:tab/>
        <w:t>konštatuje, že rozpočet na služobné cesty (rozpočtové prostriedky v bežnom roku) zostal stabilný, a to 420 833 EUR v roku 2023 (v porovnaní s 419 657 EUR v roku 2022) a miera plnenia približne 80 % v roku 2023 (podobne ako v roku 2022); konštatuje, že napriek zvýšeniu priemerných nákladov na ubytovanie a cestovných nákladov zostal rozpočet výboru na služobné cesty stabilný v dôsledku zníženia počtu služobných ciest vykonaných v roku 2023 o 13 % v porovnaní s rokom 2022; víta skutočnosť, že príspevok na predsedníctvo výboru (predsedu a prvého podpredsedu) na cestovné výdavky a výdavky spojené s účasťou na schôdzach, ktoré sú financované zo všeobecného rozpočtu na výdavky poslancov, sa v rokoch 2022 až 2023 znížil zo 71 810 EUR na 62 268 EUR, čo predstavuje pokles o 13 %; nabáda výbor, aby ďalej racionalizoval a znižoval výdavky v tejto oblasti a zabezpečil optimálne prideľovanie zdrojov v súlade so zásadami správneho finančného riadenia;</w:t>
      </w:r>
    </w:p>
    <w:p w14:paraId="1560386A"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9.</w:t>
      </w:r>
      <w:r w:rsidRPr="00237C70">
        <w:rPr>
          <w:kern w:val="2"/>
          <w14:ligatures w14:val="standardContextual"/>
        </w:rPr>
        <w:tab/>
        <w:t>so znepokojením berie na vedomie zvýšenie rozpočtových prostriedkov na tlmočnícke služby v bežnom roku približne o 19 % z 3,494 milióna EUR v roku 2022 na 4,167 milióna EUR v roku 2023; žiada výbor, aby vysvetlil dôvody tohto zvýšenia vzhľadom na skutočnosť, že výbor zároveň informoval o úsporách v súvislosti s využívaním tlmočenia na diaľku v roku 2023;</w:t>
      </w:r>
    </w:p>
    <w:p w14:paraId="2760FD32"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10.</w:t>
      </w:r>
      <w:r w:rsidRPr="00237C70">
        <w:rPr>
          <w:kern w:val="2"/>
          <w14:ligatures w14:val="standardContextual"/>
        </w:rPr>
        <w:tab/>
        <w:t>konštatuje, že do 23. júla 2023 bol paušálny príspevok za účasť na schôdzi na diaľku, ktorý výbor vypláca svojim členom, ich náhradníkom, ako aj expertom spravodajcov a rečníkom pozvaným na schôdze na diaľku alebo hybridné schôdze, 200 EUR; ďalej konštatuje, že k tomuto dátumu nadobudli účinnosť nové pravidlá v tejto oblasti, v ktorých sa stanovuje paušálny príspevok za účasť na schôdzi na diaľku vo výške 50 % riadneho príspevku za účasť na schôdzi, pričom riadny príspevok za účasť na schôdzi je 359 EUR a paušálny príspevok za účasť na schôdzi na diaľku 179,50 EUR; v tejto súvislosti berie na vedomie výrazné zníženie celkovej sumy vyplácanej za príspevky za účasť na schôdzi na diaľku z 1 742 000 EUR v roku 2021 a 489 600 EUR v roku 2022 na 32 632 EUR v roku 2023, zatiaľ čo celkové výdavky spojené s rozpočtovým riadkom 1 0 0 4 (Cestovné a diéty, účasť na zasadnutiach a s tým spojené náklady) sa výrazne zvýšili z približne 6,6 milióna EUR v roku 2022 na približne 8 miliónov EUR v roku 2023, najmä v dôsledku výrazného návratu k schôdzam s osobnou účasťou v roku 2023 a zvýšenia cien súvisiacich s cestovaním po pandémii ochorenia COVID-19;</w:t>
      </w:r>
    </w:p>
    <w:p w14:paraId="4EDE33F7"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11.</w:t>
      </w:r>
      <w:r w:rsidRPr="00237C70">
        <w:rPr>
          <w:kern w:val="2"/>
          <w14:ligatures w14:val="standardContextual"/>
        </w:rPr>
        <w:tab/>
        <w:t>vyjadruje znepokojenie nad výrazným nárastom príspevkov za cestu a účasť na schôdzi vyplácaných členom výboru, ktoré sa zvýšili zo 6,6 milióna EUR v roku 2022 na 8 miliónov EUR v roku 2023; vyzýva výbor, aby prijal jasnú stratégiu nákladovej efektívnosti pre cestovné výdavky vrátane väčšieho využívania účasti na diaľku a hybridných schôdzí s cieľom znížiť zbytočné náklady a emisie a zároveň zachovať politickú angažovanosť;</w:t>
      </w:r>
    </w:p>
    <w:p w14:paraId="3D7C6B8A"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12.</w:t>
      </w:r>
      <w:r w:rsidRPr="00237C70">
        <w:rPr>
          <w:kern w:val="2"/>
          <w14:ligatures w14:val="standardContextual"/>
        </w:rPr>
        <w:tab/>
        <w:t>vyjadruje poľutovanie nad tým, že priemerná lehota splatnosti sa zvýšila zo 17,87 dňa v roku 2022 na 21,88 dňa v roku 2023; chápe však, že toto zvýšenie je výsledkom skutočnosti, že v roku 2023 výbor spracoval a zaplatil rekordný počet faktúr, t. j. 5 723 v porovnaní so 4 260 v roku 2022; v tejto súvislosti konštatuje, že podiel obchodných faktúr, ktoré výbor dostal elektronicky, sa zvýšil zo 68 % v roku 2022 na 76 % v roku 2023 a v roku 2024 sa naďalej zvyšoval;</w:t>
      </w:r>
    </w:p>
    <w:p w14:paraId="69365AAE" w14:textId="77777777" w:rsidR="00237C70" w:rsidRPr="00237C70" w:rsidRDefault="00237C70" w:rsidP="00237C70">
      <w:pPr>
        <w:spacing w:after="240"/>
        <w:ind w:left="567" w:hanging="567"/>
        <w:rPr>
          <w:b/>
          <w:i/>
          <w:kern w:val="2"/>
          <w14:ligatures w14:val="standardContextual"/>
        </w:rPr>
      </w:pPr>
      <w:r w:rsidRPr="00237C70">
        <w:rPr>
          <w:b/>
          <w:i/>
          <w:kern w:val="2"/>
          <w14:ligatures w14:val="standardContextual"/>
        </w:rPr>
        <w:t>Vnútorné riadenie, výkonnosť a vnútorná kontrola</w:t>
      </w:r>
    </w:p>
    <w:p w14:paraId="6541C556"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lastRenderedPageBreak/>
        <w:t>13.</w:t>
      </w:r>
      <w:r w:rsidRPr="00237C70">
        <w:rPr>
          <w:kern w:val="2"/>
          <w14:ligatures w14:val="standardContextual"/>
        </w:rPr>
        <w:tab/>
        <w:t>uznáva, že výbor zohráva zásadnú úlohu pri prispievaní k rozvoju politík a rozhodovacím procesom Únie tým, že zastupuje záujmy miestnych a regionálnych orgánov v rámci Únie; konštatuje, že za rok 2023 bolo podávanie správ o výkonnosti výboru v rámci jeho ročného operačného plánu založené na 25 cieľoch, ktorých dosiahnutie sa posudzovalo prostredníctvom 80 kvantitatívnych ukazovateľov, zatiaľ čo ciele väčšiny týchto ukazovateľov (približne 75 %) boli dosiahnuté na úrovni 90 % alebo viac;</w:t>
      </w:r>
    </w:p>
    <w:p w14:paraId="273C6550"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14.</w:t>
      </w:r>
      <w:r w:rsidRPr="00237C70">
        <w:rPr>
          <w:kern w:val="2"/>
          <w14:ligatures w14:val="standardContextual"/>
        </w:rPr>
        <w:tab/>
        <w:t>pripomína, že výbor prispieva k politike a rozhodovaciemu procesu Únie z pohľadu regionálnych a miestnych orgánov v Únii a poskytuje rámec na posilnenie spolupráce medzi miestnou, regionálnou, národnou a európskou úrovňou a na priblíženie Európy jej občanom; vyjadruje poľutovanie nad tým, že rozpočtové obmedzenia oslabili schopnosť výboru v plnej miere plniť cieľ spočívajúci v priblížení občanov k Únii, čím sa obmedzila pridaná hodnota výboru;</w:t>
      </w:r>
    </w:p>
    <w:p w14:paraId="53076535"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15.</w:t>
      </w:r>
      <w:r w:rsidRPr="00237C70">
        <w:rPr>
          <w:kern w:val="2"/>
          <w14:ligatures w14:val="standardContextual"/>
        </w:rPr>
        <w:tab/>
        <w:t>vzhľadom na dôležitú úlohu výboru, pokiaľ ide o zvyšovanie demokratickej legitímnosti právnych predpisov Únie zabezpečením aktívnej koordinácie regionálnych a miestnych orgánov, podporuje výbor v jeho úsilí poskytovať viac posúdení územného vplyvu, a to aj v súlade so záverečnou správou a odporúčaniami Konferencie o budúcnosti Európy;</w:t>
      </w:r>
    </w:p>
    <w:p w14:paraId="5DC29677" w14:textId="77777777" w:rsidR="00237C70" w:rsidRPr="00237C70" w:rsidRDefault="00237C70" w:rsidP="00237C70">
      <w:pPr>
        <w:spacing w:after="240"/>
        <w:ind w:left="567" w:hanging="567"/>
        <w:rPr>
          <w:kern w:val="2"/>
          <w:szCs w:val="24"/>
          <w14:ligatures w14:val="standardContextual"/>
        </w:rPr>
      </w:pPr>
      <w:r w:rsidRPr="00237C70">
        <w:rPr>
          <w:kern w:val="2"/>
          <w14:ligatures w14:val="standardContextual"/>
        </w:rPr>
        <w:t>16.</w:t>
      </w:r>
      <w:r w:rsidRPr="00237C70">
        <w:rPr>
          <w:kern w:val="2"/>
          <w14:ligatures w14:val="standardContextual"/>
        </w:rPr>
        <w:tab/>
        <w:t>vyjadruje výboru uznanie za jeho politické úspechy v kľúčových prioritných oblastiach v roku 2023; konštatuje, že výbor plní svoje poslanie prostredníctvom stanovísk, ktoré sa týkajú legislatívnych návrhov Komisie (žiadosti o vypracovanie stanoviska), stanovísk z vlastnej iniciatívy, v ktorých sa inštitúcie Únie vyzývajú, aby prijali opatrenia, a prostredníctvom uznesení, v ktorých sa zdôrazňujú pozície výboru ku konkrétnym témam; konštatuje, že v roku 2023 výbor prijal 53 stanovísk a 6 uznesení, čo predstavuje zníženie z 55 stanovísk a 8 uznesení prijatých v roku 2022, a to napriek zvýšeniu rozpočtových prostriedkov a počtu zamestnancov;</w:t>
      </w:r>
      <w:r w:rsidRPr="00237C70">
        <w:rPr>
          <w:color w:val="FF0000"/>
          <w:kern w:val="2"/>
          <w14:ligatures w14:val="standardContextual"/>
        </w:rPr>
        <w:t xml:space="preserve"> </w:t>
      </w:r>
      <w:r w:rsidRPr="00237C70">
        <w:rPr>
          <w:kern w:val="2"/>
          <w14:ligatures w14:val="standardContextual"/>
        </w:rPr>
        <w:t>nabáda výbor, aby pokračoval v práci na zlepšovaní výkonnosti, ako aj na zvyšovaní účinnosti; víta úsilie, ktoré výbor vynakladá na zavedenie reformných a inovačných riešení, zefektívnenie administratívy a zabránenie prekrývaniu úloh s inými orgánmi;</w:t>
      </w:r>
    </w:p>
    <w:p w14:paraId="0D1348DF"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17.</w:t>
      </w:r>
      <w:r w:rsidRPr="00237C70">
        <w:rPr>
          <w:kern w:val="2"/>
          <w14:ligatures w14:val="standardContextual"/>
        </w:rPr>
        <w:tab/>
        <w:t xml:space="preserve">oceňuje, že výbor v roku 2023 pokračoval vo vykonávaní opatrení na modernizáciu svojej administratívy a zvýšenie nákladovej efektívnosti v kontexte programu </w:t>
      </w:r>
      <w:proofErr w:type="spellStart"/>
      <w:r w:rsidRPr="00237C70">
        <w:rPr>
          <w:kern w:val="2"/>
          <w14:ligatures w14:val="standardContextual"/>
        </w:rPr>
        <w:t>Going</w:t>
      </w:r>
      <w:proofErr w:type="spellEnd"/>
      <w:r w:rsidRPr="00237C70">
        <w:rPr>
          <w:kern w:val="2"/>
          <w14:ligatures w14:val="standardContextual"/>
        </w:rPr>
        <w:t xml:space="preserve"> </w:t>
      </w:r>
      <w:proofErr w:type="spellStart"/>
      <w:r w:rsidRPr="00237C70">
        <w:rPr>
          <w:kern w:val="2"/>
          <w14:ligatures w14:val="standardContextual"/>
        </w:rPr>
        <w:t>for</w:t>
      </w:r>
      <w:proofErr w:type="spellEnd"/>
      <w:r w:rsidRPr="00237C70">
        <w:rPr>
          <w:kern w:val="2"/>
          <w14:ligatures w14:val="standardContextual"/>
        </w:rPr>
        <w:t xml:space="preserve"> </w:t>
      </w:r>
      <w:proofErr w:type="spellStart"/>
      <w:r w:rsidRPr="00237C70">
        <w:rPr>
          <w:kern w:val="2"/>
          <w14:ligatures w14:val="standardContextual"/>
        </w:rPr>
        <w:t>IMPact</w:t>
      </w:r>
      <w:proofErr w:type="spellEnd"/>
      <w:r w:rsidRPr="00237C70">
        <w:rPr>
          <w:kern w:val="2"/>
          <w14:ligatures w14:val="standardContextual"/>
        </w:rPr>
        <w:t>; v tejto súvislosti berie na vedomie pokrok dosiahnutý okrem iného v súvislosti s digitalizáciou a optimalizáciou pracovných postupov, modernizáciou nástrojov výboru na plánovanie a podávanie správ, vytvorením centrálnej služby pre schôdze a posilnením spolupráce s inými inštitúciami alebo orgánmi (napr. s </w:t>
      </w:r>
      <w:r w:rsidRPr="00237C70">
        <w:rPr>
          <w:kern w:val="2"/>
          <w:shd w:val="clear" w:color="auto" w:fill="FFFFFF"/>
          <w14:ligatures w14:val="standardContextual"/>
        </w:rPr>
        <w:t>Európskym hospodárskym a sociálnym výborom (EHSV)</w:t>
      </w:r>
      <w:r w:rsidRPr="00237C70">
        <w:rPr>
          <w:kern w:val="2"/>
          <w14:ligatures w14:val="standardContextual"/>
        </w:rPr>
        <w:t xml:space="preserve">, Komisiou, </w:t>
      </w:r>
      <w:r w:rsidRPr="00237C70">
        <w:rPr>
          <w:color w:val="000000"/>
          <w:kern w:val="2"/>
          <w14:ligatures w14:val="standardContextual"/>
        </w:rPr>
        <w:t xml:space="preserve">Európskym </w:t>
      </w:r>
      <w:r w:rsidRPr="00237C70">
        <w:rPr>
          <w:kern w:val="2"/>
          <w14:ligatures w14:val="standardContextual"/>
        </w:rPr>
        <w:t>parlamentom a Úradom pre infraštruktúru a logistiku); oceňuje, že výbor realizoval takmer 90 % projektov zjednodušovania, ktoré sa začali v roku 2021, v oblasti administratívnych procesov, písomných postupov a (interných) právnych dokumentov;</w:t>
      </w:r>
    </w:p>
    <w:p w14:paraId="37DF4D3B"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18.</w:t>
      </w:r>
      <w:r w:rsidRPr="00237C70">
        <w:rPr>
          <w:kern w:val="2"/>
          <w14:ligatures w14:val="standardContextual"/>
        </w:rPr>
        <w:tab/>
        <w:t xml:space="preserve">s uspokojením berie na vedomie odpovede výboru na dotazník, ktorý predložil Výbor Európskeho parlamentu pre kontrolu rozpočtu na účely udelenia absolutória za rok 2023 (ďalej len „dotazník“), že vďaka programu </w:t>
      </w:r>
      <w:proofErr w:type="spellStart"/>
      <w:r w:rsidRPr="00237C70">
        <w:rPr>
          <w:kern w:val="2"/>
          <w14:ligatures w14:val="standardContextual"/>
        </w:rPr>
        <w:t>Going</w:t>
      </w:r>
      <w:proofErr w:type="spellEnd"/>
      <w:r w:rsidRPr="00237C70">
        <w:rPr>
          <w:kern w:val="2"/>
          <w14:ligatures w14:val="standardContextual"/>
        </w:rPr>
        <w:t xml:space="preserve"> </w:t>
      </w:r>
      <w:proofErr w:type="spellStart"/>
      <w:r w:rsidRPr="00237C70">
        <w:rPr>
          <w:kern w:val="2"/>
          <w14:ligatures w14:val="standardContextual"/>
        </w:rPr>
        <w:t>for</w:t>
      </w:r>
      <w:proofErr w:type="spellEnd"/>
      <w:r w:rsidRPr="00237C70">
        <w:rPr>
          <w:kern w:val="2"/>
          <w14:ligatures w14:val="standardContextual"/>
        </w:rPr>
        <w:t xml:space="preserve"> </w:t>
      </w:r>
      <w:proofErr w:type="spellStart"/>
      <w:r w:rsidRPr="00237C70">
        <w:rPr>
          <w:kern w:val="2"/>
          <w14:ligatures w14:val="standardContextual"/>
        </w:rPr>
        <w:t>IMPact</w:t>
      </w:r>
      <w:proofErr w:type="spellEnd"/>
      <w:r w:rsidRPr="00237C70">
        <w:rPr>
          <w:kern w:val="2"/>
          <w14:ligatures w14:val="standardContextual"/>
        </w:rPr>
        <w:t xml:space="preserve"> sa výboru v roku 2023 podarilo zosúladiť svoje ciele s dostupnými zdrojmi, ktoré boli pod tlakom v dôsledku inflačných účinkov vojny na Ukrajine; oceňuje najmä pokrok, ktorý výbor dosiahol pri vykonávaní „konvergencie projektov“ (nástroj založený na prostredí SharePoint na plánovanie, podávanie správ, posudzovanie rizík a kontinuitu činností) a novej politiky </w:t>
      </w:r>
      <w:r w:rsidRPr="00237C70">
        <w:rPr>
          <w:kern w:val="2"/>
          <w14:ligatures w14:val="standardContextual"/>
        </w:rPr>
        <w:lastRenderedPageBreak/>
        <w:t>kontinuity činností;</w:t>
      </w:r>
    </w:p>
    <w:p w14:paraId="0CA2AF72"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19.</w:t>
      </w:r>
      <w:r w:rsidRPr="00237C70">
        <w:rPr>
          <w:kern w:val="2"/>
          <w14:ligatures w14:val="standardContextual"/>
        </w:rPr>
        <w:tab/>
        <w:t xml:space="preserve">uznáva vplyv práce výboru, najmä jeho stanovísk, pričom niektoré z nich boli zohľadnené v uzneseniach, pozíciách, návrhoch, správach, preskúmaniach, záveroch alebo </w:t>
      </w:r>
      <w:proofErr w:type="spellStart"/>
      <w:r w:rsidRPr="00237C70">
        <w:rPr>
          <w:kern w:val="2"/>
          <w14:ligatures w14:val="standardContextual"/>
        </w:rPr>
        <w:t>trialógoch</w:t>
      </w:r>
      <w:proofErr w:type="spellEnd"/>
      <w:r w:rsidRPr="00237C70">
        <w:rPr>
          <w:kern w:val="2"/>
          <w14:ligatures w14:val="standardContextual"/>
        </w:rPr>
        <w:t xml:space="preserve"> Komisie, </w:t>
      </w:r>
      <w:r w:rsidRPr="00237C70">
        <w:rPr>
          <w:color w:val="000000"/>
          <w:kern w:val="2"/>
          <w14:ligatures w14:val="standardContextual"/>
        </w:rPr>
        <w:t xml:space="preserve">Európskeho </w:t>
      </w:r>
      <w:r w:rsidRPr="00237C70">
        <w:rPr>
          <w:kern w:val="2"/>
          <w14:ligatures w14:val="standardContextual"/>
        </w:rPr>
        <w:t xml:space="preserve">parlamentu alebo Rady v roku 2023; vyzýva výbor, aby pokračoval v poskytovaní užitočných a relevantných informácií, ako sú údaje z terénu a analýzy, inštitúciám Únie a iným príjemcom politík Únie; víta posilnené zapojenie výboru do celého politického a legislatívneho cyklu Únie prostredníctvom dohôd o spolupráci a akčných plánov s Komisiou, </w:t>
      </w:r>
      <w:r w:rsidRPr="00237C70">
        <w:rPr>
          <w:color w:val="000000"/>
          <w:kern w:val="2"/>
          <w14:ligatures w14:val="standardContextual"/>
        </w:rPr>
        <w:t xml:space="preserve">Európskym </w:t>
      </w:r>
      <w:r w:rsidRPr="00237C70">
        <w:rPr>
          <w:kern w:val="2"/>
          <w14:ligatures w14:val="standardContextual"/>
        </w:rPr>
        <w:t xml:space="preserve">parlamentom a Európskou investičnou bankou; domnieva sa, že členovia výboru a EHSV by mali byť pozývaní na príslušné parlamentné schôdze o otázkach, ktoré patria do ich pôsobnosti; konštatuje, že v roku 2023 sa členovia výboru stretli aj s Radou a stálymi zastúpeniami a zúčastnili sa na podujatiach organizovaných predsedníctvom Rady s cieľom zabezpečiť, aby sa pozície výboru zohľadnili v právnych predpisoch Únie; blahoželá výboru k posilneniu jeho účasti na legislatívnych </w:t>
      </w:r>
      <w:proofErr w:type="spellStart"/>
      <w:r w:rsidRPr="00237C70">
        <w:rPr>
          <w:kern w:val="2"/>
          <w14:ligatures w14:val="standardContextual"/>
        </w:rPr>
        <w:t>trialógoch</w:t>
      </w:r>
      <w:proofErr w:type="spellEnd"/>
      <w:r w:rsidRPr="00237C70">
        <w:rPr>
          <w:kern w:val="2"/>
          <w14:ligatures w14:val="standardContextual"/>
        </w:rPr>
        <w:t xml:space="preserve">, najmä k tomu, že po prvýkrát získal v roku 2023 prístup k dokumentom </w:t>
      </w:r>
      <w:proofErr w:type="spellStart"/>
      <w:r w:rsidRPr="00237C70">
        <w:rPr>
          <w:kern w:val="2"/>
          <w14:ligatures w14:val="standardContextual"/>
        </w:rPr>
        <w:t>trialógu</w:t>
      </w:r>
      <w:proofErr w:type="spellEnd"/>
      <w:r w:rsidRPr="00237C70">
        <w:rPr>
          <w:kern w:val="2"/>
          <w14:ligatures w14:val="standardContextual"/>
        </w:rPr>
        <w:t>;</w:t>
      </w:r>
    </w:p>
    <w:p w14:paraId="5831682D"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20.</w:t>
      </w:r>
      <w:r w:rsidRPr="00237C70">
        <w:rPr>
          <w:kern w:val="2"/>
          <w14:ligatures w14:val="standardContextual"/>
        </w:rPr>
        <w:tab/>
        <w:t>vyzýva výbor, aby pred vydaním stanovísk zabezpečil väčšie zapojenie regionálnych a miestnych samospráv do rozhodovacieho procesu Únie vytvorením štruktúrovaných konzultačných mechanizmov s regionálnymi a miestnymi orgánmi vrátane parlamentov, obcí a miestnych organizácií občianskej spoločnosti; naliehavo žiada výbor, aby sa zasadzoval za povinný konzultačný proces, pokiaľ ide o legislatívne otázky, ktoré majú významný vplyv na regionálny rozvoj a politiku súdržnosti;</w:t>
      </w:r>
    </w:p>
    <w:p w14:paraId="7A76764A" w14:textId="77777777" w:rsidR="00237C70" w:rsidRPr="00237C70" w:rsidRDefault="00237C70" w:rsidP="00237C70">
      <w:pPr>
        <w:spacing w:after="240"/>
        <w:ind w:left="567" w:hanging="567"/>
        <w:rPr>
          <w:b/>
          <w:kern w:val="2"/>
          <w:szCs w:val="24"/>
          <w14:ligatures w14:val="standardContextual"/>
        </w:rPr>
      </w:pPr>
      <w:r w:rsidRPr="00237C70">
        <w:rPr>
          <w:kern w:val="2"/>
          <w14:ligatures w14:val="standardContextual"/>
        </w:rPr>
        <w:t>21.</w:t>
      </w:r>
      <w:r w:rsidRPr="00237C70">
        <w:rPr>
          <w:kern w:val="2"/>
          <w14:ligatures w14:val="standardContextual"/>
        </w:rPr>
        <w:tab/>
        <w:t xml:space="preserve">v súvislosti so svojím novým rámcom vnútornej kontroly konštatuje, že výbor zaviedol od roku 2023 novú metodiku </w:t>
      </w:r>
      <w:r w:rsidRPr="00237C70">
        <w:rPr>
          <w:i/>
          <w:kern w:val="2"/>
          <w14:ligatures w14:val="standardContextual"/>
        </w:rPr>
        <w:t>ex post</w:t>
      </w:r>
      <w:r w:rsidRPr="00237C70">
        <w:rPr>
          <w:kern w:val="2"/>
          <w14:ligatures w14:val="standardContextual"/>
        </w:rPr>
        <w:t xml:space="preserve"> kontrol s cieľom zjednodušiť a zosúladiť prístup s praxou ostatných inštitúcií Únie, pričom </w:t>
      </w:r>
      <w:r w:rsidRPr="00237C70">
        <w:rPr>
          <w:i/>
          <w:kern w:val="2"/>
          <w14:ligatures w14:val="standardContextual"/>
        </w:rPr>
        <w:t>ex post</w:t>
      </w:r>
      <w:r w:rsidRPr="00237C70">
        <w:rPr>
          <w:kern w:val="2"/>
          <w14:ligatures w14:val="standardContextual"/>
        </w:rPr>
        <w:t xml:space="preserve"> kontroly sú v súčasnosti centralizované namiesto predchádzajúceho decentralizovaného postupu; konštatuje, že v roku 2023 sa </w:t>
      </w:r>
      <w:r w:rsidRPr="00237C70">
        <w:rPr>
          <w:i/>
          <w:kern w:val="2"/>
          <w14:ligatures w14:val="standardContextual"/>
        </w:rPr>
        <w:t>ex post</w:t>
      </w:r>
      <w:r w:rsidRPr="00237C70">
        <w:rPr>
          <w:kern w:val="2"/>
          <w14:ligatures w14:val="standardContextual"/>
        </w:rPr>
        <w:t xml:space="preserve"> kontroly zameriavali na základný plat a odpracovaný čas, pričom bolo overených 55 spisov, a že štatistický odhad chybovosti ovplyvňujúcej referenčný súbor bol 0 %; ďalej konštatuje, že v roku 2023 výbor obnovil svoj súlad a účinnosť s cieľom posúdiť rozsah súladu výboru s určitými normami vnútornej kontroly a účinnosť ich vykonávania; chváli výbor za to, že informoval o zlepšení v tejto oblasti v porovnaní s výsledkami z roku 2022;</w:t>
      </w:r>
      <w:r w:rsidRPr="00237C70">
        <w:rPr>
          <w:color w:val="FF0000"/>
          <w:kern w:val="2"/>
          <w14:ligatures w14:val="standardContextual"/>
        </w:rPr>
        <w:t xml:space="preserve"> </w:t>
      </w:r>
      <w:r w:rsidRPr="00237C70">
        <w:rPr>
          <w:kern w:val="2"/>
          <w14:ligatures w14:val="standardContextual"/>
        </w:rPr>
        <w:t>nabáda výbor, aby pokračoval vo svojom úsilí o ďalšie zvýšenie úrovne dodržiavania a stupňa účinnosti zavedených opatrení vnútornej kontroly; s uspokojením konštatuje, že pokiaľ ide o novú politiku citlivých pracovných miest, výbor v roku 2023 uskutočnil skríning s cieľom identifikovať úroveň rizika každého pracovného miesta, a teda jeho úroveň citlivosti, ako aj potrebné opatrenia na zmiernenie týchto rizík;</w:t>
      </w:r>
    </w:p>
    <w:p w14:paraId="2DA4DCF6"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22.</w:t>
      </w:r>
      <w:r w:rsidRPr="00237C70">
        <w:rPr>
          <w:kern w:val="2"/>
          <w14:ligatures w14:val="standardContextual"/>
        </w:rPr>
        <w:tab/>
        <w:t>konštatuje, že výbor začal v roku 2023 dva nové audity: jeden sa týka súladu rôznych funkcií (napr. riadenie rizík, plánovanie, kontrolný systém) s príslušnými právnymi predpismi o ochrane údajov a druhý sa týka výkonnosti IT organizácie v spoločných službách (výbor a nové spoločné riaditeľstvo EHSV pre inovácie a IT); konštatuje, že v prípade každého z týchto auditov: bolo vydaných 11 odporúčaní a sedem odporúčaní sa považovalo za veľmi dôležité; ďalej konštatuje, že v nadväznosti na audit riadenia voľných pracovných miest, ktorý sa začal v roku 2022, bolo vydaných 10 odporúčaní, z ktorých tri boli veľmi dôležité; vyzýva výbor, aby čo najskôr vykonal všetky doteraz nevykonané odporúčania a informoval orgán udeľujúci absolutórium o pokroku dosiahnutom v tejto veci;</w:t>
      </w:r>
    </w:p>
    <w:p w14:paraId="28BD8862" w14:textId="77777777" w:rsidR="00237C70" w:rsidRPr="00237C70" w:rsidRDefault="00237C70" w:rsidP="00237C70">
      <w:pPr>
        <w:spacing w:after="240"/>
        <w:ind w:left="567" w:hanging="567"/>
        <w:rPr>
          <w:b/>
          <w:bCs/>
          <w:i/>
          <w:kern w:val="2"/>
          <w14:ligatures w14:val="standardContextual"/>
        </w:rPr>
      </w:pPr>
      <w:r w:rsidRPr="00237C70">
        <w:rPr>
          <w:b/>
          <w:i/>
          <w:kern w:val="2"/>
          <w14:ligatures w14:val="standardContextual"/>
        </w:rPr>
        <w:lastRenderedPageBreak/>
        <w:t>Ľudské zdroje, rovnosť a dobré pracovné podmienky zamestnancov</w:t>
      </w:r>
    </w:p>
    <w:p w14:paraId="0A25E83A"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23.</w:t>
      </w:r>
      <w:r w:rsidRPr="00237C70">
        <w:rPr>
          <w:kern w:val="2"/>
          <w14:ligatures w14:val="standardContextual"/>
        </w:rPr>
        <w:tab/>
        <w:t xml:space="preserve">konštatuje, že na konci roka 2023 mal výbor celkovo 559 zamestnancov (vyslaní národní experti, dočasní zamestnanci, </w:t>
      </w:r>
      <w:proofErr w:type="spellStart"/>
      <w:r w:rsidRPr="00237C70">
        <w:rPr>
          <w:kern w:val="2"/>
          <w14:ligatures w14:val="standardContextual"/>
        </w:rPr>
        <w:t>intra-muros</w:t>
      </w:r>
      <w:proofErr w:type="spellEnd"/>
      <w:r w:rsidRPr="00237C70">
        <w:rPr>
          <w:kern w:val="2"/>
          <w14:ligatures w14:val="standardContextual"/>
        </w:rPr>
        <w:t xml:space="preserve"> a stážisti do tohto počtu nie sú zahrnutí) v porovnaní s 533 zamestnancami v roku 2022; konštatuje, že na konci roka 2023 výbor zamestnával 74 zmluvných zamestnancov v porovnaní s 56 zmluvnými zamestnancami v roku 2022 a 96 dočasných zamestnancov v porovnaní s 89 dočasnými zamestnancami v roku 2022, z toho 21 zmluvných zamestnancov malo pracovnú zmluvu na neurčitý čas, 53 zmluvných zamestnancov malo časovo obmedzenú zmluvu, 53 dočasných zamestnancov malo trvalé pracovné miesta s časovo obmedzenou zmluvou, 50 dočasných zamestnancov malo pracovnú zmluvu na neurčitý čas a 3 dočasní zamestnanci mali dočasné pracovné miesto (v dvoch prípadoch so zmluvou na dobu neurčitú a v prípade generálneho tajomníka na pevne stanovené obdobie piatich rokov); okrem toho konštatuje, že výbor zamestnával 5 dočasných zamestnancov a 12 externých zamestnancov pracujúcich na mieste, a to okrem externých poskytovateľov služieb v oblasti logistiky a IT; dúfa, že zvýšenie počtu zamestnancov má primerané odôvodnenie; konštatuje, že v roku 2023 bola miera obsadenia pracovných miest v pláne pracovných miest 98 % (nárast z 96 % v roku 2022) a miera fluktuácie bola 6,6 % (zníženie z 10,80 % v roku 2022);</w:t>
      </w:r>
    </w:p>
    <w:p w14:paraId="6B4ABDA1" w14:textId="77777777" w:rsidR="00237C70" w:rsidRPr="00237C70" w:rsidRDefault="00237C70" w:rsidP="00237C70">
      <w:pPr>
        <w:spacing w:after="240"/>
        <w:ind w:left="567" w:hanging="567"/>
        <w:rPr>
          <w:kern w:val="2"/>
          <w:szCs w:val="24"/>
          <w14:ligatures w14:val="standardContextual"/>
        </w:rPr>
      </w:pPr>
      <w:r w:rsidRPr="00237C70">
        <w:rPr>
          <w:kern w:val="2"/>
          <w14:ligatures w14:val="standardContextual"/>
        </w:rPr>
        <w:t>24.</w:t>
      </w:r>
      <w:r w:rsidRPr="00237C70">
        <w:rPr>
          <w:kern w:val="2"/>
          <w14:ligatures w14:val="standardContextual"/>
        </w:rPr>
        <w:tab/>
        <w:t>berie na vedomie zvýšené spoliehanie sa výboru na zmluvných zamestnancov a dočasných zamestnancov (čo predstavuje až 26 % zamestnancov výboru); na základe dotazníka konštatuje, že uvedené spoliehanie sa je spôsobené najmä chýbajúcimi rezervnými zoznamami EPSO (Európsky úrad pre výber pracovníkov) pre všeobecné profily administrátorov od roku 2018; je znepokojený tým, že dlhodobú stabilitu a kontinuitu činnosti výboru ohrozuje absencia atraktívnosti ponúkaných časovo obmedzených zmlúv; zdôrazňuje význam stálych zamestnancov pri udržiavaní zručností, kontinuity a produktívneho pracovného prostredia; konštatuje, že výbor v roku 2024 zorganizoval interné výberové konanie pre všeobecne zameraných pracovníkov v piatich platových triedach (AST/SC1, AST1, AST3, AD5 a AD7);</w:t>
      </w:r>
      <w:r w:rsidRPr="00237C70">
        <w:rPr>
          <w:color w:val="FF0000"/>
          <w:kern w:val="2"/>
          <w14:ligatures w14:val="standardContextual"/>
        </w:rPr>
        <w:t xml:space="preserve"> </w:t>
      </w:r>
      <w:r w:rsidRPr="00237C70">
        <w:rPr>
          <w:kern w:val="2"/>
          <w14:ligatures w14:val="standardContextual"/>
        </w:rPr>
        <w:t>podporuje výbor v jeho úsilí reagovať na tieto výzvy; žiada výbor, aby informoval orgán udeľujúci absolutórium o takýchto výberových konaniach organizovaných v roku 2024;</w:t>
      </w:r>
    </w:p>
    <w:p w14:paraId="2D59AB0C" w14:textId="77777777" w:rsidR="00237C70" w:rsidRPr="00237C70" w:rsidRDefault="00237C70" w:rsidP="00237C70">
      <w:pPr>
        <w:spacing w:after="240"/>
        <w:ind w:left="567" w:hanging="567"/>
        <w:rPr>
          <w:kern w:val="2"/>
          <w:szCs w:val="24"/>
          <w14:ligatures w14:val="standardContextual"/>
        </w:rPr>
      </w:pPr>
      <w:r w:rsidRPr="00237C70">
        <w:rPr>
          <w:kern w:val="2"/>
          <w14:ligatures w14:val="standardContextual"/>
        </w:rPr>
        <w:t>25.</w:t>
      </w:r>
      <w:r w:rsidRPr="00237C70">
        <w:rPr>
          <w:kern w:val="2"/>
          <w14:ligatures w14:val="standardContextual"/>
        </w:rPr>
        <w:tab/>
        <w:t>konštatuje, že na konci roka 2023 výbor zamestnával 56,9 % žien a 43,1 % mužov;</w:t>
      </w:r>
      <w:r w:rsidRPr="00237C70">
        <w:rPr>
          <w:color w:val="FF0000"/>
          <w:kern w:val="2"/>
          <w14:ligatures w14:val="standardContextual"/>
        </w:rPr>
        <w:t xml:space="preserve"> </w:t>
      </w:r>
      <w:r w:rsidRPr="00237C70">
        <w:rPr>
          <w:kern w:val="2"/>
          <w14:ligatures w14:val="standardContextual"/>
        </w:rPr>
        <w:t xml:space="preserve">vyjadruje poľutovanie nad tým, že na vedúcich pozíciách výboru sa ešte nedosiahla rodová parita, ale berie na vedomie významný pokrok dosiahnutý v rámci päťročnej stratégie a akčného plánu výboru v oblasti rozmanitosti a začlenenia na roky 2022 – 2026 vrátane výrazného zvýšenia podielu žien na vyšších riadiacich pozíciách z 37,5 % v roku 2022 na 44,4 % v roku 2023; odporúča prijať opatrenia na zvýšenie </w:t>
      </w:r>
      <w:proofErr w:type="spellStart"/>
      <w:r w:rsidRPr="00237C70">
        <w:rPr>
          <w:kern w:val="2"/>
          <w14:ligatures w14:val="standardContextual"/>
        </w:rPr>
        <w:t>inkluzívnosti</w:t>
      </w:r>
      <w:proofErr w:type="spellEnd"/>
      <w:r w:rsidRPr="00237C70">
        <w:rPr>
          <w:kern w:val="2"/>
          <w14:ligatures w14:val="standardContextual"/>
        </w:rPr>
        <w:t xml:space="preserve"> v oznámeniach o voľných pracovných miestach a na podporu väčšej účasti žien na pozíciách vyššieho a stredného manažmentu vrátane cieľov rodovej vyváženosti, vyváženého zastúpenia vo výberových komisiách, cielených možností odbornej prípravy pre zamestnankyne, ktoré sa uchádzajú o riadiace pozície, a podpory pružnejších foriem organizácie práce; nabáda výbor, aby pokračoval vo svojom úsilí o dosiahnutie rodovej rovnováhy, a v tejto súvislosti požaduje, aby členské štáty na vymenovanie do výboru nominovali mužského kandidáta aj ženskú kandidátku s cieľom zlepšiť vyvážené zastúpenie žien a mužov na všetkých úrovniach;</w:t>
      </w:r>
    </w:p>
    <w:p w14:paraId="6403B204"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26.</w:t>
      </w:r>
      <w:r w:rsidRPr="00237C70">
        <w:rPr>
          <w:kern w:val="2"/>
          <w14:ligatures w14:val="standardContextual"/>
        </w:rPr>
        <w:tab/>
        <w:t xml:space="preserve">konštatuje, že na základe pilotného projektu týkajúceho sa hybridného pracovného režimu a prieskumu spokojnosti zamestnancov, ktorý sa začal v roku 2022, výbor prijal 1. januára 2024 rozhodnutie, v ktorom sa stanovuje hybridný pracovný režim </w:t>
      </w:r>
      <w:r w:rsidRPr="00237C70">
        <w:rPr>
          <w:kern w:val="2"/>
          <w14:ligatures w14:val="standardContextual"/>
        </w:rPr>
        <w:lastRenderedPageBreak/>
        <w:t>a </w:t>
      </w:r>
      <w:proofErr w:type="spellStart"/>
      <w:r w:rsidRPr="00237C70">
        <w:rPr>
          <w:kern w:val="2"/>
          <w14:ligatures w14:val="standardContextual"/>
        </w:rPr>
        <w:t>personalizovaný</w:t>
      </w:r>
      <w:proofErr w:type="spellEnd"/>
      <w:r w:rsidRPr="00237C70">
        <w:rPr>
          <w:kern w:val="2"/>
          <w14:ligatures w14:val="standardContextual"/>
        </w:rPr>
        <w:t xml:space="preserve"> týždenný pracovný program pre každého zamestnanca, ako aj možnosť pracovať z domu až do 60 % pracovného času zamestnancov (okrem kategórií zamestnancov nezlučiteľných s prácou na diaľku) a práca mimo mesta zamestnania najviac 15 dní ročne; uznáva, že cieľom týchto opatrení je zlepšiť rovnováhu medzi pracovným a súkromným životom a zároveň zachovať prevádzkovú efektívnosť a spokojnosť zamestnancov;</w:t>
      </w:r>
    </w:p>
    <w:p w14:paraId="7CD1284E"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27.</w:t>
      </w:r>
      <w:r w:rsidRPr="00237C70">
        <w:rPr>
          <w:kern w:val="2"/>
          <w14:ligatures w14:val="standardContextual"/>
        </w:rPr>
        <w:tab/>
        <w:t>s uspokojením konštatuje, že hybridný pracovný režim výboru mal pozitívny vplyv, pokiaľ ide o krátkodobú práceneschopnosť, keďže: – počet zamestnancov bez práceneschopnosti sa zvýšil zo 71 (alebo 12 % všetkých zamestnancov) v roku 2018 na 211 (alebo 36 % všetkých zamestnancov) v roku 2023, – počet zamestnancov, ktorí boli práceneschopní menej ako sedem dní, sa znížil z 257 (alebo 46 % všetkých zamestnancov) v roku 2018 na 201 (alebo 35 % všetkých zamestnancov) v roku 2023 a – počet zamestnancov, ktorí boli práceneschopní od 7,5 dňa do 21 dní, sa znížil zo 140 (alebo 25 % všetkých zamestnancov) v roku 2018 na 92 (alebo 16 % všetkých zamestnancov) v roku 2023; vyzýva výbor, aby monitoroval vplyv nového pracovného režimu a zachoval túto tému v nadchádzajúcich prieskumoch spokojnosti zamestnancov; s uspokojením konštatuje, že 90,25 % respondentov (82 % v prípade vedúcich pracovníkov), ktorí odpovedali na prieskum medzi zamestnancami z decembra 2022, vyjadrilo spokojnosť s týmito pružnými formami;</w:t>
      </w:r>
    </w:p>
    <w:p w14:paraId="7F0424E7" w14:textId="77777777" w:rsidR="00237C70" w:rsidRPr="00237C70" w:rsidRDefault="00237C70" w:rsidP="00237C70">
      <w:pPr>
        <w:spacing w:after="240"/>
        <w:ind w:left="567" w:hanging="567"/>
        <w:rPr>
          <w:b/>
          <w:i/>
          <w:kern w:val="2"/>
          <w:szCs w:val="24"/>
          <w14:ligatures w14:val="standardContextual"/>
        </w:rPr>
      </w:pPr>
      <w:r w:rsidRPr="00237C70">
        <w:rPr>
          <w:kern w:val="2"/>
          <w14:ligatures w14:val="standardContextual"/>
        </w:rPr>
        <w:t>28.</w:t>
      </w:r>
      <w:r w:rsidRPr="00237C70">
        <w:rPr>
          <w:kern w:val="2"/>
          <w14:ligatures w14:val="standardContextual"/>
        </w:rPr>
        <w:tab/>
        <w:t xml:space="preserve">so znepokojením konštatuje, že vo výbore bolo v roku 2023 oznámených 18 prípadov vyhorenia, čo predstavuje nárast zo 16 prípadov v roku 2022; zdôrazňuje významný sociálny a profesionálny vplyv vyhorenia na pohodu a výkonnosť zamestnancov; ďalej konštatuje, že výboru sa v roku 2023 podarilo opätovne začleniť 16 zamestnancov po dlhodobej neprítomnosti v dôsledku vyhorenia, a to vďaka </w:t>
      </w:r>
      <w:proofErr w:type="spellStart"/>
      <w:r w:rsidRPr="00237C70">
        <w:rPr>
          <w:kern w:val="2"/>
          <w14:ligatures w14:val="standardContextual"/>
        </w:rPr>
        <w:t>personalizovaným</w:t>
      </w:r>
      <w:proofErr w:type="spellEnd"/>
      <w:r w:rsidRPr="00237C70">
        <w:rPr>
          <w:kern w:val="2"/>
          <w14:ligatures w14:val="standardContextual"/>
        </w:rPr>
        <w:t xml:space="preserve"> následným opatreniam po dlhodobej pracovnej neschopnosti; víta preventívne opatrenia, ktoré výbor prijal na zníženie psychosociálnych rizík a prípadov vyhorenia; v tejto súvislosti oceňuje proaktívny prístup lekárskej služby, konferencie na zvyšovanie informovanosti, odbornú prípravu a kurzy organizované výborom; zdôrazňuje však potrebu ďalšieho zintenzívnenia úsilia s cieľom riešiť základné príčiny vyhorenia a podporovať zdravšie pracovné prostredie;</w:t>
      </w:r>
    </w:p>
    <w:p w14:paraId="5D08B9C3" w14:textId="77777777" w:rsidR="00237C70" w:rsidRPr="00237C70" w:rsidRDefault="00237C70" w:rsidP="00237C70">
      <w:pPr>
        <w:spacing w:after="240"/>
        <w:ind w:left="567" w:hanging="567"/>
        <w:rPr>
          <w:kern w:val="2"/>
          <w:szCs w:val="24"/>
          <w14:ligatures w14:val="standardContextual"/>
        </w:rPr>
      </w:pPr>
      <w:r w:rsidRPr="00237C70">
        <w:rPr>
          <w:kern w:val="2"/>
          <w14:ligatures w14:val="standardContextual"/>
        </w:rPr>
        <w:t>29.</w:t>
      </w:r>
      <w:r w:rsidRPr="00237C70">
        <w:rPr>
          <w:kern w:val="2"/>
          <w14:ligatures w14:val="standardContextual"/>
        </w:rPr>
        <w:tab/>
        <w:t>konštatuje, že v roku 2023 výbor pokračoval v zvyšovaní informovanosti o opatreniach zavedených na prevenciu a boj proti obťažovaniu na pracovisku v súlade so svojím rozhodnutím z 26. apríla 2021 o ochrane dôstojnosti pri práci, zvládaní konfliktov a boji proti obťažovaniu, najmä osobitnými usmerneniami, internou komunikáciou a organizovaním viacerých informačných stretnutí pre zamestnancov a vedúcich pracovníkov; víta najmä usporiadanie piatich školení na tému Predchádzanie psychickému a sexuálnemu obťažovaniu a na tému Rešpektovanie a dôstojnosť vysokovýkonného tímu v roku 2023 a odporúča, aby sa v tejto iniciatíve pokračovalo; ďalej s uspokojením konštatuje, že počas roka neboli hlásené žiadne nové, prebiehajúce alebo uzavreté prípady týkajúce sa sexuálneho obťažovania;</w:t>
      </w:r>
    </w:p>
    <w:p w14:paraId="32CB53D2"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30.</w:t>
      </w:r>
      <w:r w:rsidRPr="00237C70">
        <w:rPr>
          <w:kern w:val="2"/>
          <w14:ligatures w14:val="standardContextual"/>
        </w:rPr>
        <w:tab/>
        <w:t>oceňuje opatrenia, ktoré výbor prijal v roku 2023 v súvislosti s integráciou osôb so zdravotným postihnutím, ako je sprístupnenie budov výboru osobám so zníženou pohyblivosťou a zabezpečenie toho, aby všetky voľné pracovné miesta boli prístupné uchádzačom so zdravotným postihnutím;</w:t>
      </w:r>
    </w:p>
    <w:p w14:paraId="3D5B5AEF"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31.</w:t>
      </w:r>
      <w:r w:rsidRPr="00237C70">
        <w:rPr>
          <w:kern w:val="2"/>
          <w14:ligatures w14:val="standardContextual"/>
        </w:rPr>
        <w:tab/>
        <w:t xml:space="preserve">konštatuje, že v roku 2023 výbor zamestnával zamestnancov zastupujúcich všetky štátne príslušnosti Únie (a jedného zamestnanca s ukrajinskou štátnou príslušnosťou), </w:t>
      </w:r>
      <w:r w:rsidRPr="00237C70">
        <w:rPr>
          <w:kern w:val="2"/>
          <w14:ligatures w14:val="standardContextual"/>
        </w:rPr>
        <w:lastRenderedPageBreak/>
        <w:t>pričom niektorí z nich boli nadmerne zastúpení (napr. Belgicko); víta dodatočné úsilie výboru zamerané na vyváženie geografického rozloženia medzi zamestnancami zameraním sa na širšie publikum prostredníctvom uverejňovania výziev na vyjadrenie záujmu pre zmluvných a dočasných zamestnancov na jeho webovom sídle a v sociálnych médiách; vyjadruje poľutovanie nad pretrvávajúcou nedostatočnou geografickou rovnováhou medzi zamestnancami výboru, keďže niektoré štátne príslušnosti sú v porovnaní s inými stále nadmerne zastúpené; nabáda výbor, aby zintenzívnil svoje úsilie o dosiahnutie vyváženejšieho geografického rozloženia, najmä na úrovni riadenia; žiada výbor, aby priebežne informoval orgán udeľujúci absolutórium o výsledku tohto druhu opatrení;</w:t>
      </w:r>
    </w:p>
    <w:p w14:paraId="74BC4CC7"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32.</w:t>
      </w:r>
      <w:r w:rsidRPr="00237C70">
        <w:rPr>
          <w:kern w:val="2"/>
          <w14:ligatures w14:val="standardContextual"/>
        </w:rPr>
        <w:tab/>
        <w:t xml:space="preserve">víta skutočnosť, že oddelenie výboru pre stáže sa druhýkrát za sebou zúčastnilo na zasadnutí s názvom Príležitosti pre mladých Rómov v apríli 2023; oceňuje iniciatívu predstaviť systém stáží výboru mladým a motivovaným rómskym a nerómskym účastníkom, čo odráža pevný záväzok podporovať </w:t>
      </w:r>
      <w:proofErr w:type="spellStart"/>
      <w:r w:rsidRPr="00237C70">
        <w:rPr>
          <w:kern w:val="2"/>
          <w14:ligatures w14:val="standardContextual"/>
        </w:rPr>
        <w:t>inkluzívnosť</w:t>
      </w:r>
      <w:proofErr w:type="spellEnd"/>
      <w:r w:rsidRPr="00237C70">
        <w:rPr>
          <w:kern w:val="2"/>
          <w14:ligatures w14:val="standardContextual"/>
        </w:rPr>
        <w:t xml:space="preserve">, rozmanitosť a rovnaké príležitosti; nabáda na pokračovanie a rozširovanie takýchto iniciatív s cieľom ďalej zapájať nedostatočne zastúpené komunity a podporovať </w:t>
      </w:r>
      <w:proofErr w:type="spellStart"/>
      <w:r w:rsidRPr="00237C70">
        <w:rPr>
          <w:kern w:val="2"/>
          <w14:ligatures w14:val="standardContextual"/>
        </w:rPr>
        <w:t>inkluzívnejšiu</w:t>
      </w:r>
      <w:proofErr w:type="spellEnd"/>
      <w:r w:rsidRPr="00237C70">
        <w:rPr>
          <w:kern w:val="2"/>
          <w14:ligatures w14:val="standardContextual"/>
        </w:rPr>
        <w:t xml:space="preserve"> európsku pracovnú silu;</w:t>
      </w:r>
    </w:p>
    <w:p w14:paraId="76DA52D8"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33.</w:t>
      </w:r>
      <w:r w:rsidRPr="00237C70">
        <w:rPr>
          <w:kern w:val="2"/>
          <w14:ligatures w14:val="standardContextual"/>
        </w:rPr>
        <w:tab/>
        <w:t>víta pokrok dosiahnutý v oblasti rodovej rovnováhy v manažmente, a to zvýšenie percentuálneho podielu žien na pozíciách stredného manažmentu (z 29,7 % v roku 2022 na 32,5 % v roku 2023), ako aj na vyšších riadiacich pozíciách (z 37,5 % v roku 2022 na 44,4 % v roku 2023);</w:t>
      </w:r>
    </w:p>
    <w:p w14:paraId="30A91FAE" w14:textId="77777777" w:rsidR="00237C70" w:rsidRPr="00237C70" w:rsidRDefault="00237C70" w:rsidP="00237C70">
      <w:pPr>
        <w:spacing w:after="240"/>
        <w:ind w:left="567" w:hanging="567"/>
        <w:rPr>
          <w:b/>
          <w:i/>
          <w:kern w:val="2"/>
          <w14:ligatures w14:val="standardContextual"/>
        </w:rPr>
      </w:pPr>
      <w:r w:rsidRPr="00237C70">
        <w:rPr>
          <w:b/>
          <w:i/>
          <w:kern w:val="2"/>
          <w14:ligatures w14:val="standardContextual"/>
        </w:rPr>
        <w:t>Etický rámec a transparentnosť</w:t>
      </w:r>
    </w:p>
    <w:p w14:paraId="63312FC0"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34.</w:t>
      </w:r>
      <w:r w:rsidRPr="00237C70">
        <w:rPr>
          <w:kern w:val="2"/>
          <w14:ligatures w14:val="standardContextual"/>
        </w:rPr>
        <w:tab/>
        <w:t>víta prácu, ktorú výbory vykonali v roku 2023 s cieľom konsolidovať etické pravidlá a postupy do jednotného etického právneho rámca (rozhodnutie č. 157/2023), ktorý sa okrem iného vzťahuje na disciplinárne konanie, dôstojnosť v práci, riadenie konfliktov, boj proti obťažovaniu, vonkajšie činnosti a oznamovanie protispoločenskej činnosti; konštatuje, že táto práca vyvrcholila rozhodnutím (č. 157/2023), ktoré bolo výsledkom komplexných konzultácií s rôznymi zainteresovanými stranami, ako aj nadviazaním na interný prieskum týkajúci sa informovanosti zamestnancov o etike a vykonávania odporúčania vnútorného auditu na túto tému; vyjadruje výboru uznanie za to, že v roku 2023 naďalej ponúkal kurzy odbornej prípravy o etike, integrite a rešpekte a dôstojnosti pri práci rôznym skupinám zamestnancov od nových zamestnancov, manažérov až po zamestnancov celkovo;</w:t>
      </w:r>
    </w:p>
    <w:p w14:paraId="7101B4E9"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35.</w:t>
      </w:r>
      <w:r w:rsidRPr="00237C70">
        <w:rPr>
          <w:kern w:val="2"/>
          <w14:ligatures w14:val="standardContextual"/>
        </w:rPr>
        <w:tab/>
        <w:t xml:space="preserve">konštatuje, že Európsky úrad pre boj proti podvodom (OLAF) v roku 2023 spracoval dva prípady: jeden prípad týkajúci sa údajných vonkajších zárobkových činností člena výboru a ďalší prípad týkajúci sa obvinení z opakovaného porušovania, pokiaľ ide o nepovolené vonkajšie činnosti zamestnanca; konštatuje, že v prvom prípade sa nezačalo žiadne vyšetrovanie úradu OLAF z dôvodu nedostatočnej proporcionality medzi zdrojmi potrebnými na vedenie vyšetrovania a očakávanými výsledkami, zatiaľ čo výbor sa domnieval, že nedochádza ku konfliktu záujmov z dôvodu, že členovia výboru nedostávajú žiadnu odmenu od Únie, ani nie sú povinní deklarovať svoje profesionálne činnosti, za ktoré môžu byť odmeňovaní za miestne alebo regionálne mandáty, ktoré by títo členovia mohli mať; v súvislosti s týmto prípadom konštatuje, že úrad OLAF začal vyšetrovanie, ktoré bolo ukončené dvoma odporúčaniami, ktoré výbor vykonal začatím disciplinárneho konania proti dotknutému zamestnancovi a vymáhaním ziskov v súvislosti s nepovolenými vonkajšími činnosťami tejto osoby; </w:t>
      </w:r>
      <w:r w:rsidRPr="00237C70">
        <w:rPr>
          <w:kern w:val="2"/>
          <w14:ligatures w14:val="standardContextual"/>
        </w:rPr>
        <w:lastRenderedPageBreak/>
        <w:t xml:space="preserve">pripomína, že prípad, ktorý bol uzavretý v roku 2022 v súvislosti s obvineniami z finančného protiprávneho konania, obťažovania a zlého riadenia v spoločnom útvare výboru a EHSV, viedol k riadeniu konfliktov, do ktorého boli zapojené dotknuté osoby, a k päťbodovému akčnému plánu; na základe správy výboru o následných opatreniach k rozhodnutiu </w:t>
      </w:r>
      <w:r w:rsidRPr="00237C70">
        <w:rPr>
          <w:color w:val="000000"/>
          <w:kern w:val="2"/>
          <w14:ligatures w14:val="standardContextual"/>
        </w:rPr>
        <w:t xml:space="preserve">Európskeho </w:t>
      </w:r>
      <w:r w:rsidRPr="00237C70">
        <w:rPr>
          <w:kern w:val="2"/>
          <w14:ligatures w14:val="standardContextual"/>
        </w:rPr>
        <w:t>parlamentu o absolutóriu za plnenie rozpočtu výboru za rok 2022 s uspokojením konštatuje, že tento akčný plán bol v plnej miere vykonaný do konca roka 2023;</w:t>
      </w:r>
    </w:p>
    <w:p w14:paraId="69863884" w14:textId="77777777" w:rsidR="00237C70" w:rsidRPr="00237C70" w:rsidRDefault="00237C70" w:rsidP="00237C70">
      <w:pPr>
        <w:widowControl/>
        <w:spacing w:after="240"/>
        <w:ind w:left="567" w:hanging="567"/>
        <w:rPr>
          <w:b/>
          <w:bCs/>
          <w:i/>
          <w:iCs/>
          <w:kern w:val="2"/>
          <w:szCs w:val="24"/>
          <w14:ligatures w14:val="standardContextual"/>
        </w:rPr>
      </w:pPr>
      <w:r w:rsidRPr="00237C70">
        <w:rPr>
          <w:kern w:val="2"/>
          <w14:ligatures w14:val="standardContextual"/>
        </w:rPr>
        <w:t>36.</w:t>
      </w:r>
      <w:r w:rsidRPr="00237C70">
        <w:rPr>
          <w:kern w:val="2"/>
          <w14:ligatures w14:val="standardContextual"/>
        </w:rPr>
        <w:tab/>
        <w:t>pripomína, že výbor prijal nariadenie č. 6/2023 zo 4. júla 2023, ktorým sa stanovujú opatrenia v oblasti transparentnosti zamerané na členov a spravodajcov zastávajúcich funkcie; v tejto súvislosti oceňuje, že výbor sa 1. januára 2024 formálne pripojil k registru transparentnosti EÚ;</w:t>
      </w:r>
    </w:p>
    <w:p w14:paraId="5D33131E" w14:textId="77777777" w:rsidR="00237C70" w:rsidRPr="00237C70" w:rsidRDefault="00237C70" w:rsidP="00237C70">
      <w:pPr>
        <w:spacing w:after="240"/>
        <w:ind w:left="567" w:hanging="567"/>
        <w:rPr>
          <w:b/>
          <w:i/>
          <w:kern w:val="2"/>
          <w14:ligatures w14:val="standardContextual"/>
        </w:rPr>
      </w:pPr>
      <w:r w:rsidRPr="00237C70">
        <w:rPr>
          <w:kern w:val="2"/>
          <w14:ligatures w14:val="standardContextual"/>
        </w:rPr>
        <w:t>37.</w:t>
      </w:r>
      <w:r w:rsidRPr="00237C70">
        <w:rPr>
          <w:kern w:val="2"/>
          <w14:ligatures w14:val="standardContextual"/>
        </w:rPr>
        <w:tab/>
        <w:t>naliehavo žiada výbor, aby zlepšil odhaľovanie konfliktov záujmov a predchádzanie týmto konfliktom zavedením povinného obdobia, počas ktorého sa odchádzajúci členovia musia vyhýbať akýmkoľvek konfliktom záujmov, pred tým, ako sa môžu zapojiť do lobistických alebo poradenských úloh zahŕňajúcich inštitúcie Únie; požaduje proaktívne zverejňovanie všetkých rozhodnutí o vylúčení, ktoré prijali členovia výboru z dôvodu konfliktu záujmov;</w:t>
      </w:r>
    </w:p>
    <w:p w14:paraId="0B7146B6"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38.</w:t>
      </w:r>
      <w:r w:rsidRPr="00237C70">
        <w:rPr>
          <w:kern w:val="2"/>
          <w14:ligatures w14:val="standardContextual"/>
        </w:rPr>
        <w:tab/>
        <w:t>víta obnovené úsilie výboru v oblasti odhaľovania a prevencie konfliktov záujmov v roku 2023; konštatuje, že výbor prostredníctvom svojho rozhodnutia č. 157/2023 vymedzil koncepciu konfliktu záujmov a zaviedol mechanizmus na jeho odhaľovanie a prevenciu, pričom sa od zamestnancov vyžaduje, aby deklarovali, či by mohli mať konflikt záujmov (potenciálny alebo možný), a to vyplnením formulára v rôznych kľúčových momentoch svojej kariéry alebo profesijnej činnosti; na základe dotazníka s uspokojením konštatuje, že ročné informácie o profesijných činnostiach bývalých vyšších úradníkov sa transparentným spôsobom uverejňujú na webovom sídle výboru; konštatuje, že výbor nezistil v roku 2023 žiadne situácie týkajúce sa konfliktov záujmov, ktoré by si vyžadovali následné opatrenia administratívy;</w:t>
      </w:r>
    </w:p>
    <w:p w14:paraId="13B25B4F" w14:textId="77777777" w:rsidR="00237C70" w:rsidRPr="00237C70" w:rsidRDefault="00237C70" w:rsidP="00237C70">
      <w:pPr>
        <w:spacing w:after="240"/>
        <w:ind w:left="567" w:hanging="567"/>
        <w:rPr>
          <w:kern w:val="2"/>
          <w:szCs w:val="24"/>
          <w14:ligatures w14:val="standardContextual"/>
        </w:rPr>
      </w:pPr>
      <w:r w:rsidRPr="00237C70">
        <w:rPr>
          <w:kern w:val="2"/>
          <w14:ligatures w14:val="standardContextual"/>
        </w:rPr>
        <w:t>39.</w:t>
      </w:r>
      <w:r w:rsidRPr="00237C70">
        <w:rPr>
          <w:kern w:val="2"/>
          <w14:ligatures w14:val="standardContextual"/>
        </w:rPr>
        <w:tab/>
        <w:t>konštatuje, že v roku 2023 neboli výboru oznámené žiadne prípady oznamovania protispoločenskej činnosti s výnimkou informácií získaných od úradu OLAF o prípade oznamovania protispoločenskej činnosti proti zamestnancovi výboru, ktorý úrad OLAF napokon zamietol; konštatuje, že výbor v roku 2023 neprijal žiadne nové opatrenia týkajúce sa oznamovania protispoločenskej činnosti a naďalej sa spoliehal na opatrenia zavedené od roku 2015 a podporoval ich školeniami v oblasti etiky a zvyšovaním povedomia; podporuje pravidelnú povinnú etickú odbornú prípravu pre zamestnancov, ako aj pre úroveň manažmentu;</w:t>
      </w:r>
    </w:p>
    <w:p w14:paraId="3C65991A" w14:textId="77777777" w:rsidR="00237C70" w:rsidRPr="00237C70" w:rsidRDefault="00237C70" w:rsidP="00237C70">
      <w:pPr>
        <w:spacing w:after="240"/>
        <w:ind w:left="567" w:hanging="567"/>
        <w:rPr>
          <w:kern w:val="2"/>
          <w:szCs w:val="24"/>
          <w14:ligatures w14:val="standardContextual"/>
        </w:rPr>
      </w:pPr>
      <w:r w:rsidRPr="00237C70">
        <w:rPr>
          <w:kern w:val="2"/>
          <w14:ligatures w14:val="standardContextual"/>
        </w:rPr>
        <w:t>40.</w:t>
      </w:r>
      <w:r w:rsidRPr="00237C70">
        <w:rPr>
          <w:kern w:val="2"/>
          <w14:ligatures w14:val="standardContextual"/>
        </w:rPr>
        <w:tab/>
        <w:t xml:space="preserve">konštatuje, že výbor zaviedol celý rad opatrení a činností na boj proti podvodom, ktoré sa vzťahujú na jeho členov a zamestnancov a ktoré vykonávajú rôzne útvary; konštatuje, že napriek žiadostiam </w:t>
      </w:r>
      <w:r w:rsidRPr="00237C70">
        <w:rPr>
          <w:color w:val="000000"/>
          <w:kern w:val="2"/>
          <w:szCs w:val="24"/>
          <w14:ligatures w14:val="standardContextual"/>
        </w:rPr>
        <w:t>Európskeho</w:t>
      </w:r>
      <w:r w:rsidRPr="00237C70">
        <w:rPr>
          <w:color w:val="000000"/>
          <w:kern w:val="2"/>
          <w14:ligatures w14:val="standardContextual"/>
        </w:rPr>
        <w:t xml:space="preserve"> </w:t>
      </w:r>
      <w:r w:rsidRPr="00237C70">
        <w:rPr>
          <w:kern w:val="2"/>
          <w14:ligatures w14:val="standardContextual"/>
        </w:rPr>
        <w:t xml:space="preserve">parlamentu v predchádzajúcich uzneseniach o absolutóriu nebola v roku 2023 zavedená žiadna stratégia na boj proti podvodom; s uspokojením berie na vedomie, že v nadväznosti na odporúčanie </w:t>
      </w:r>
      <w:r w:rsidRPr="00237C70">
        <w:rPr>
          <w:color w:val="000000"/>
          <w:kern w:val="2"/>
          <w:szCs w:val="24"/>
          <w14:ligatures w14:val="standardContextual"/>
        </w:rPr>
        <w:t xml:space="preserve">Európskeho </w:t>
      </w:r>
      <w:r w:rsidRPr="00237C70">
        <w:rPr>
          <w:kern w:val="2"/>
          <w:szCs w:val="24"/>
          <w14:ligatures w14:val="standardContextual"/>
        </w:rPr>
        <w:t>parlamentu</w:t>
      </w:r>
      <w:r w:rsidRPr="00237C70">
        <w:rPr>
          <w:kern w:val="2"/>
          <w14:ligatures w14:val="standardContextual"/>
        </w:rPr>
        <w:t xml:space="preserve"> a ako sa uvádza v dotazníku, výbor prijal záväzok ďalej posilňovať existujúce opatrenia na boj proti podvodom prijatím stratégie boja proti podvodom v roku 2025; nabáda výbor, aby v rámci stratégie uľahčil pravidelnú a povinnú odbornú prípravu v oblasti boja proti podvodom; žiada výbor, aby o tejto otázke priebežne informoval orgán udeľujúci absolutórium;</w:t>
      </w:r>
    </w:p>
    <w:p w14:paraId="20AF4527" w14:textId="77777777" w:rsidR="00237C70" w:rsidRPr="00237C70" w:rsidRDefault="00237C70" w:rsidP="00237C70">
      <w:pPr>
        <w:spacing w:after="240"/>
        <w:ind w:left="567" w:hanging="567"/>
        <w:rPr>
          <w:b/>
          <w:i/>
          <w:kern w:val="2"/>
          <w14:ligatures w14:val="standardContextual"/>
        </w:rPr>
      </w:pPr>
      <w:r w:rsidRPr="00237C70">
        <w:rPr>
          <w:b/>
          <w:i/>
          <w:kern w:val="2"/>
          <w14:ligatures w14:val="standardContextual"/>
        </w:rPr>
        <w:lastRenderedPageBreak/>
        <w:t>Digitalizácia, kybernetická bezpečnosť a ochrana údajov</w:t>
      </w:r>
    </w:p>
    <w:p w14:paraId="7EFCA050"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41.</w:t>
      </w:r>
      <w:r w:rsidRPr="00237C70">
        <w:rPr>
          <w:kern w:val="2"/>
          <w14:ligatures w14:val="standardContextual"/>
        </w:rPr>
        <w:tab/>
        <w:t>konštatuje, že kombinovaný rozpočet výboru a EHSV na IT v roku 2023 predstavoval 12,7 milióna EUR v porovnaní so sumou 11,712 milióna EUR v roku 2022, t. j. zvýšenie o 8,40 %, pričom 350 000 EUR z tohto rozpočtu bolo v roku 2023 vyplatených na kybernetickú bezpečnosť;</w:t>
      </w:r>
    </w:p>
    <w:p w14:paraId="3C9F1147"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42.</w:t>
      </w:r>
      <w:r w:rsidRPr="00237C70">
        <w:rPr>
          <w:kern w:val="2"/>
          <w14:ligatures w14:val="standardContextual"/>
        </w:rPr>
        <w:tab/>
        <w:t>víta novú digitálnu stratégiu výboru na roky 2024 – 2026 prijatú koncom roka 2023; v tejto súvislosti oceňuje pokrok výboru v oblasti digitalizácie dosiahnutý v roku 2023 v rôznych oblastiach, ako sú okrem iného administratívne procesy (vrátane výberu zamestnancov), verejné obstarávanie a tlmočenie; vyzýva výbor, aby urýchlil úsilie o digitálnu transformáciu zabezpečením úplného zavedenia elektronických pracovných postupov, elektronických podpisov a digitálnych nástrojov na správu prípadov do roku 2026, obmedzením papierových procesov v súlade so záväzkami v oblasti udržateľnosti a prechodom na menej papierovú administratívu;</w:t>
      </w:r>
    </w:p>
    <w:p w14:paraId="3D66A024"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43.</w:t>
      </w:r>
      <w:r w:rsidRPr="00237C70">
        <w:rPr>
          <w:kern w:val="2"/>
          <w14:ligatures w14:val="standardContextual"/>
        </w:rPr>
        <w:tab/>
        <w:t xml:space="preserve">s uspokojením konštatuje, že 90 % projektov na zjednodušenie prostredníctvom digitalizácie v rámci iniciatívy </w:t>
      </w:r>
      <w:proofErr w:type="spellStart"/>
      <w:r w:rsidRPr="00237C70">
        <w:rPr>
          <w:kern w:val="2"/>
          <w14:ligatures w14:val="standardContextual"/>
        </w:rPr>
        <w:t>Going</w:t>
      </w:r>
      <w:proofErr w:type="spellEnd"/>
      <w:r w:rsidRPr="00237C70">
        <w:rPr>
          <w:kern w:val="2"/>
          <w14:ligatures w14:val="standardContextual"/>
        </w:rPr>
        <w:t xml:space="preserve"> </w:t>
      </w:r>
      <w:proofErr w:type="spellStart"/>
      <w:r w:rsidRPr="00237C70">
        <w:rPr>
          <w:kern w:val="2"/>
          <w14:ligatures w14:val="standardContextual"/>
        </w:rPr>
        <w:t>for</w:t>
      </w:r>
      <w:proofErr w:type="spellEnd"/>
      <w:r w:rsidRPr="00237C70">
        <w:rPr>
          <w:kern w:val="2"/>
          <w14:ligatures w14:val="standardContextual"/>
        </w:rPr>
        <w:t xml:space="preserve"> </w:t>
      </w:r>
      <w:proofErr w:type="spellStart"/>
      <w:r w:rsidRPr="00237C70">
        <w:rPr>
          <w:kern w:val="2"/>
          <w14:ligatures w14:val="standardContextual"/>
        </w:rPr>
        <w:t>IMPact</w:t>
      </w:r>
      <w:proofErr w:type="spellEnd"/>
      <w:r w:rsidRPr="00237C70">
        <w:rPr>
          <w:kern w:val="2"/>
          <w14:ligatures w14:val="standardContextual"/>
        </w:rPr>
        <w:t xml:space="preserve"> bolo plne vykonaných do konca roka 2023; okrem toho konštatuje, že ďalšie zefektívnenie sa dosiahlo vďaka IT projektu na vymedzenie najlepšieho nástroja na elektronické riadenie pracovných postupov založených na formulároch, v dôsledku čoho sa mnohé procesy výboru začali zjednodušovať a digitalizovať prostredníctvom nástrojov Microsoft 365; s uspokojením konštatuje, že výbor používa na podpis zmlúv moduly verejného obstarávania, ako sú elektronické zadávanie zákazky, elektronické oznámenia, elektronické predkladanie, </w:t>
      </w:r>
      <w:proofErr w:type="spellStart"/>
      <w:r w:rsidRPr="00237C70">
        <w:rPr>
          <w:kern w:val="2"/>
          <w14:ligatures w14:val="standardContextual"/>
        </w:rPr>
        <w:t>MyWorkplace</w:t>
      </w:r>
      <w:proofErr w:type="spellEnd"/>
      <w:r w:rsidRPr="00237C70">
        <w:rPr>
          <w:kern w:val="2"/>
          <w14:ligatures w14:val="standardContextual"/>
        </w:rPr>
        <w:t>, ako aj kvalifikovaný elektronický podpis, zavedené v roku 2023; víta skutočnosť, že výbor prijal interné usmernenia o používaní umelej inteligencie, ktoré položili základy pre možné budúce riešenia, a nabáda na zavedenie pravidelnej povinnej odbornej prípravy v oblasti bezpečného využívania umelej inteligencie;</w:t>
      </w:r>
    </w:p>
    <w:p w14:paraId="251A6CA2"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44.</w:t>
      </w:r>
      <w:r w:rsidRPr="00237C70">
        <w:rPr>
          <w:kern w:val="2"/>
          <w14:ligatures w14:val="standardContextual"/>
        </w:rPr>
        <w:tab/>
        <w:t>ďalej konštatuje, že európsky dozorný úradník pre ochranu údajov (EDPS) v roku 2023 neuskutočnil žiadne vyšetrovanie ani skúmanie týkajúce sa spracúvania osobných údajov výborom; konštatuje, že v roku 2023 EDPS zaviedol všeobecný dotazník o určení a pozícii zodpovednej osoby, na ktorý zodpovedná osoba výboru odpovedala;</w:t>
      </w:r>
    </w:p>
    <w:p w14:paraId="01C63761"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45.</w:t>
      </w:r>
      <w:r w:rsidRPr="00237C70">
        <w:rPr>
          <w:kern w:val="2"/>
          <w14:ligatures w14:val="standardContextual"/>
        </w:rPr>
        <w:tab/>
        <w:t>konštatuje, že výbor sa v roku 2023 nestretol so žiadnymi kybernetickými útokmi okrem určitých útokov proti externému webovému sídlu výboru týkajúcich sa vyradenia služby; berie na vedomie dotazník o nástrojoch a stratégiách výboru na monitorovanie hrozieb v reálnom čase a identifikáciu slabých miest v systémoch výboru; vyjadruje výboru uznanie za dodržiavanie noriem v záležitostiach týkajúcich sa posudzovania rizík súvisiacich s kybernetickou bezpečnosťou, ako aj za zavedenie systému založeného na plánoch reakcie na incidenty, opatreniach na obnovu a získaných poznatkoch; s uspokojením konštatuje, že výbor a EHSV prijali v roku 2023 rámec kybernetickej bezpečnosti NIST so zameraním na tieto zásady: „ochrana“ a „odhaľovanie“; nabáda výbor, aby zvyšoval informovanosť svojich členov a zamestnancov o kybernetickej bezpečnosti, pravidelne posudzoval riziká svojej IT infraštruktúry a zabezpečil pravidelné audity a testy svojej kybernetickej obrany;</w:t>
      </w:r>
    </w:p>
    <w:p w14:paraId="2C474461" w14:textId="77777777" w:rsidR="00237C70" w:rsidRPr="00237C70" w:rsidRDefault="00237C70" w:rsidP="00237C70">
      <w:pPr>
        <w:spacing w:after="240"/>
        <w:rPr>
          <w:b/>
          <w:i/>
          <w:kern w:val="2"/>
          <w14:ligatures w14:val="standardContextual"/>
        </w:rPr>
      </w:pPr>
      <w:r w:rsidRPr="00237C70">
        <w:rPr>
          <w:b/>
          <w:i/>
          <w:kern w:val="2"/>
          <w14:ligatures w14:val="standardContextual"/>
        </w:rPr>
        <w:t>Budovy</w:t>
      </w:r>
    </w:p>
    <w:p w14:paraId="4517034C"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46.</w:t>
      </w:r>
      <w:r w:rsidRPr="00237C70">
        <w:rPr>
          <w:kern w:val="2"/>
          <w14:ligatures w14:val="standardContextual"/>
        </w:rPr>
        <w:tab/>
        <w:t xml:space="preserve">konštatuje, že rozpočet výboru (rozpočtové prostriedky v bežnom roku) v roku 2023 predstavoval 18,594 milióna EUR (v porovnaní s 18,930 miliónmi EUR v roku 2022) </w:t>
      </w:r>
      <w:r w:rsidRPr="00237C70">
        <w:rPr>
          <w:kern w:val="2"/>
          <w14:ligatures w14:val="standardContextual"/>
        </w:rPr>
        <w:lastRenderedPageBreak/>
        <w:t>s mierou plnenia platieb na úrovni 93,70 % (v porovnaní s 82,60 % v roku 2022); s uspokojením konštatuje, že v dôsledku výmeny budov B68 a TRE74 za budovu VMA v roku 2022 sa dosiahli úspory v dôsledku nižších nákladov na prenájom celej budovy VMA v roku 2023;</w:t>
      </w:r>
    </w:p>
    <w:p w14:paraId="1EE66516"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47.</w:t>
      </w:r>
      <w:r w:rsidRPr="00237C70">
        <w:rPr>
          <w:kern w:val="2"/>
          <w14:ligatures w14:val="standardContextual"/>
        </w:rPr>
        <w:tab/>
        <w:t>konštatuje, že renovačné práce na budove VMA (tretie až deviate poschodie) pokračovali aj v roku 2023; ďalej berie na vedomie nízku mieru plnenia platieb, pokiaľ ide o rozpočtové prostriedky C8 (prenesené z roku 2022 do roku 2023), t. j. 18,90 %, ktoré sa použili na úpravu priestorov budovy VMA; chápe vysvetlenie výboru týkajúce sa tejto nízkej miery, keďže dodávateľ nebol schopný dokončiť časti renovačných prác v budovách VMA; opakovane vyzýva výbor, aby poskytol orgánu udeľujúcemu absolutórium aktuálne informácie o návratnosti investícií týkajúcich sa inteligentných technológií inštalovaných v budove VMA;</w:t>
      </w:r>
    </w:p>
    <w:p w14:paraId="07C0B4BE"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48.</w:t>
      </w:r>
      <w:r w:rsidRPr="00237C70">
        <w:rPr>
          <w:kern w:val="2"/>
          <w14:ligatures w14:val="standardContextual"/>
        </w:rPr>
        <w:tab/>
        <w:t xml:space="preserve">víta záväzok výboru a EHSV systematicky uplatňovať zásadu „dizajnu pre všetkých“ na svoju infraštruktúru a zabezpečiť prístupnosť svojej budovy vďaka dizajnu; konštatuje, že výbory prijali mnoho rôznych opatrení na zabezpečenie prístupnosti svojich budov pre osoby s rôznymi druhmi zdravotného postihnutia (používatelia invalidných vozíkov, </w:t>
      </w:r>
      <w:proofErr w:type="spellStart"/>
      <w:r w:rsidRPr="00237C70">
        <w:rPr>
          <w:kern w:val="2"/>
          <w14:ligatures w14:val="standardContextual"/>
        </w:rPr>
        <w:t>nevidiace</w:t>
      </w:r>
      <w:proofErr w:type="spellEnd"/>
      <w:r w:rsidRPr="00237C70">
        <w:rPr>
          <w:kern w:val="2"/>
          <w14:ligatures w14:val="standardContextual"/>
        </w:rPr>
        <w:t xml:space="preserve"> a zrakovo postihnuté osoby, nepočujúce osoby, staršie osoby s svalovými alebo cievnymi problémami);</w:t>
      </w:r>
    </w:p>
    <w:p w14:paraId="06E295E6" w14:textId="77777777" w:rsidR="00237C70" w:rsidRPr="00237C70" w:rsidRDefault="00237C70" w:rsidP="00237C70">
      <w:pPr>
        <w:spacing w:after="240"/>
        <w:rPr>
          <w:b/>
          <w:i/>
          <w:kern w:val="2"/>
          <w14:ligatures w14:val="standardContextual"/>
        </w:rPr>
      </w:pPr>
      <w:r w:rsidRPr="00237C70">
        <w:rPr>
          <w:b/>
          <w:i/>
          <w:kern w:val="2"/>
          <w14:ligatures w14:val="standardContextual"/>
        </w:rPr>
        <w:t>Životné prostredie a udržateľnosť</w:t>
      </w:r>
    </w:p>
    <w:p w14:paraId="3D9D46DC"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49.</w:t>
      </w:r>
      <w:r w:rsidRPr="00237C70">
        <w:rPr>
          <w:kern w:val="2"/>
          <w14:ligatures w14:val="standardContextual"/>
        </w:rPr>
        <w:tab/>
        <w:t>konštatuje, že výbor v roku 2023 pokračoval vo vykonávaní rôznych ekologických postupov, ako je využívanie inovatívnych energeticky účinných stavebných zariadení, nákup 100 % zelenej elektrickej energie, nahradenie bezpapierových pracovných postupov digitálnymi podpismi, uplatňovanie environmentálnych kritérií vo všetkých postupoch verejného obstarávania (s prispôsobenými zelenými kritériami pre výzvy na predkladanie ponúk nad 60 000 EUR), zameranie na znižovanie odpadu a zvýšenie miery recyklácie, vykonávanie opatrení na udržateľnejšie cestovanie zamestnancov vrátane finančných príspevkov výboru na náklady jeho zamestnancov na verejnú dopravu, využívanie plného tlmočenia na diaľku pri štatutárnych schôdzach a iné opatrenia na úsporu energie; na základe dotazníka s uspokojením berie na vedomie zníženie emisií uhlíka v súvislosti s činnosťou administratívy výboru o 18 % v porovnaní s rokom 2019;</w:t>
      </w:r>
    </w:p>
    <w:p w14:paraId="55B44980"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50.</w:t>
      </w:r>
      <w:r w:rsidRPr="00237C70">
        <w:rPr>
          <w:kern w:val="2"/>
          <w14:ligatures w14:val="standardContextual"/>
        </w:rPr>
        <w:tab/>
        <w:t>s uspokojením konštatuje, že z dotazníka vyplýva, že vďaka opatreniam na úsporu energie sa spotreba energie výboru v roku 2023 v porovnaní s rokom 2022 znížila o 3,4 %, čo zodpovedá finančnému zisku vo výške 64 240 EUR; blahoželá výborom k prekročeniu cieľov EMAS na roky 2021 – 2025 vo všetkých oblastiach (elektrina, plyn, voda, odpad, triedenie odpadu, papier na kancelárske použitie, emisie CO</w:t>
      </w:r>
      <w:r w:rsidRPr="00237C70">
        <w:rPr>
          <w:kern w:val="2"/>
          <w:vertAlign w:val="subscript"/>
          <w14:ligatures w14:val="standardContextual"/>
        </w:rPr>
        <w:t>2</w:t>
      </w:r>
      <w:r w:rsidRPr="00237C70">
        <w:rPr>
          <w:kern w:val="2"/>
          <w14:ligatures w14:val="standardContextual"/>
        </w:rPr>
        <w:t>);</w:t>
      </w:r>
    </w:p>
    <w:p w14:paraId="00749CB4" w14:textId="77777777" w:rsidR="00237C70" w:rsidRPr="00237C70" w:rsidRDefault="00237C70" w:rsidP="00237C70">
      <w:pPr>
        <w:spacing w:after="240"/>
        <w:ind w:left="567" w:hanging="567"/>
        <w:rPr>
          <w:b/>
          <w:i/>
          <w:kern w:val="2"/>
          <w14:ligatures w14:val="standardContextual"/>
        </w:rPr>
      </w:pPr>
      <w:proofErr w:type="spellStart"/>
      <w:r w:rsidRPr="00237C70">
        <w:rPr>
          <w:b/>
          <w:i/>
          <w:kern w:val="2"/>
          <w14:ligatures w14:val="standardContextual"/>
        </w:rPr>
        <w:t>Medziinštitucionálna</w:t>
      </w:r>
      <w:proofErr w:type="spellEnd"/>
      <w:r w:rsidRPr="00237C70">
        <w:rPr>
          <w:b/>
          <w:i/>
          <w:kern w:val="2"/>
          <w14:ligatures w14:val="standardContextual"/>
        </w:rPr>
        <w:t xml:space="preserve"> spolupráca</w:t>
      </w:r>
    </w:p>
    <w:p w14:paraId="14AC59C5"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51.</w:t>
      </w:r>
      <w:r w:rsidRPr="00237C70">
        <w:rPr>
          <w:kern w:val="2"/>
          <w14:ligatures w14:val="standardContextual"/>
        </w:rPr>
        <w:tab/>
        <w:t xml:space="preserve">víta rozpočtové a administratívne úspory dosiahnuté v rámci </w:t>
      </w:r>
      <w:proofErr w:type="spellStart"/>
      <w:r w:rsidRPr="00237C70">
        <w:rPr>
          <w:kern w:val="2"/>
          <w14:ligatures w14:val="standardContextual"/>
        </w:rPr>
        <w:t>medziinštitucionálnej</w:t>
      </w:r>
      <w:proofErr w:type="spellEnd"/>
      <w:r w:rsidRPr="00237C70">
        <w:rPr>
          <w:kern w:val="2"/>
          <w14:ligatures w14:val="standardContextual"/>
        </w:rPr>
        <w:t xml:space="preserve"> spolupráce, a najmä úzkej spolupráce s EHSV na administratívnej úrovni, s ktorým má výbor spoločné priestory a služby v oblasti prekladu, infraštruktúry, logistiky a IT, pričom v roku 2023 obe inštitúcie spojili 470 zamestnancov a približne 60 miliónov EUR (okrem výdavkov súvisiacich s platmi); s uspokojením konštatuje, že výbor ďalej rozšíril svoju spoluprácu s EHSV využívaním ďalších synergií prostredníctvom spoločných zdravotníckych služieb a spoločného centrálneho registra ochrany údajov </w:t>
      </w:r>
      <w:r w:rsidRPr="00237C70">
        <w:rPr>
          <w:kern w:val="2"/>
          <w14:ligatures w14:val="standardContextual"/>
        </w:rPr>
        <w:lastRenderedPageBreak/>
        <w:t>a spracovateľských operácií na základe dohody o spoločnom prevádzkovaní, ktorú výbor a EHSV podpísali v roku 2023; opätovne vyzýva výbor, aby pokračoval v tejto spolupráci a rozšíril ju v iných oblastiach s cieľom zabrániť duplicite a ďalej racionalizovať prevádzkové náklady na služby dostupné v spoločných priestoroch výboru a EHSV; vyzýva výbor a EHSV, aby preskúmali možnosť vytvorenia jednotnej administratívy pre spoločné služby, pričom by sa zachovali samostatné riaditeľstvá alebo oddelenia pre útvary, ktoré sa zaoberajú záležitosťami súvisiacimi s ich osobitnými a nezávislými mandátmi; nabáda výbor a EHSV, aby pokračovali vo svojom úsilí o rozvoj ďalšej spolupráce a synergií;</w:t>
      </w:r>
    </w:p>
    <w:p w14:paraId="32FC8CC5"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52.</w:t>
      </w:r>
      <w:r w:rsidRPr="00237C70">
        <w:rPr>
          <w:kern w:val="2"/>
          <w14:ligatures w14:val="standardContextual"/>
        </w:rPr>
        <w:tab/>
        <w:t>víta úsilie výboru o dosiahnutie synergií nákupom služieb od iných inštitúcií v rámci dohôd na úrovni útvarov a účasťou v </w:t>
      </w:r>
      <w:proofErr w:type="spellStart"/>
      <w:r w:rsidRPr="00237C70">
        <w:rPr>
          <w:kern w:val="2"/>
          <w14:ligatures w14:val="standardContextual"/>
        </w:rPr>
        <w:t>medziinštitucionálnych</w:t>
      </w:r>
      <w:proofErr w:type="spellEnd"/>
      <w:r w:rsidRPr="00237C70">
        <w:rPr>
          <w:kern w:val="2"/>
          <w14:ligatures w14:val="standardContextual"/>
        </w:rPr>
        <w:t xml:space="preserve"> koordinačných orgánoch a </w:t>
      </w:r>
      <w:proofErr w:type="spellStart"/>
      <w:r w:rsidRPr="00237C70">
        <w:rPr>
          <w:kern w:val="2"/>
          <w14:ligatures w14:val="standardContextual"/>
        </w:rPr>
        <w:t>medziinštitucionálnych</w:t>
      </w:r>
      <w:proofErr w:type="spellEnd"/>
      <w:r w:rsidRPr="00237C70">
        <w:rPr>
          <w:kern w:val="2"/>
          <w14:ligatures w14:val="standardContextual"/>
        </w:rPr>
        <w:t xml:space="preserve"> postupoch verejného obstarávania; víta zvýšenie efektívnosti, pokiaľ ide o oznámenie týkajúce sa volieb do Európskeho parlamentu v roku 2024, o ktorom výbor informoval v dotazníku; konštatuje, že toto zvýšenie bolo možné, pretože výbor vo februári 2024 podpísal s </w:t>
      </w:r>
      <w:r w:rsidRPr="00237C70">
        <w:rPr>
          <w:color w:val="000000"/>
          <w:kern w:val="2"/>
          <w14:ligatures w14:val="standardContextual"/>
        </w:rPr>
        <w:t xml:space="preserve">Európskym </w:t>
      </w:r>
      <w:r w:rsidRPr="00237C70">
        <w:rPr>
          <w:kern w:val="2"/>
          <w14:ligatures w14:val="standardContextual"/>
        </w:rPr>
        <w:t>parlamentom memorandum o porozumení a v máji 2024 novú dohodu o spolupráci; ďalej konštatuje, že dohoda o spolupráci sa vzťahovala aj na spoluprácu na politickej a administratívnej úrovni medzi týmito dvoma inštitúciami;</w:t>
      </w:r>
    </w:p>
    <w:p w14:paraId="1DB13B5F"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53.</w:t>
      </w:r>
      <w:r w:rsidRPr="00237C70">
        <w:rPr>
          <w:kern w:val="2"/>
          <w14:ligatures w14:val="standardContextual"/>
        </w:rPr>
        <w:tab/>
        <w:t>vyzýva výbor, aby prehĺbil svoju spoluprácu s </w:t>
      </w:r>
      <w:r w:rsidRPr="00237C70">
        <w:rPr>
          <w:color w:val="000000"/>
          <w:kern w:val="2"/>
          <w14:ligatures w14:val="standardContextual"/>
        </w:rPr>
        <w:t xml:space="preserve">Európskym </w:t>
      </w:r>
      <w:r w:rsidRPr="00237C70">
        <w:rPr>
          <w:kern w:val="2"/>
          <w14:ligatures w14:val="standardContextual"/>
        </w:rPr>
        <w:t>parlamentom a Komisiou nadviazaním štruktúrovaného každoročného dialógu medzi zástupcami výboru a zákonodarcami Únie o kľúčových legislatívnych spisoch, ktoré majú vplyv na regionálny rozvoj, politiku v oblasti klímy a sociálnu súdržnosť; naliehavo vyzýva výbor, aby preskúmal spoločné iniciatívy s Výborom Európskeho parlamentu pre regionálny rozvoj (REGI) a Výborom pre životné prostredie, klímu a bezpečnosť potravín (ENVI) s cieľom podporiť udržateľné regionálne investície;</w:t>
      </w:r>
    </w:p>
    <w:p w14:paraId="333F6685"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54.</w:t>
      </w:r>
      <w:r w:rsidRPr="00237C70">
        <w:rPr>
          <w:kern w:val="2"/>
          <w14:ligatures w14:val="standardContextual"/>
        </w:rPr>
        <w:tab/>
        <w:t xml:space="preserve">konštatuje, že výbor spolupracuje s Komisiou (za ročný poplatok) pri riešení otázok ľudských zdrojov a využívaní rôznych IT platforiem v oblasti finančného riadenia a ľudských zdrojov; ďalej konštatuje, že výbor organizuje svoje plenárne schôdze v priestoroch </w:t>
      </w:r>
      <w:r w:rsidRPr="00237C70">
        <w:rPr>
          <w:color w:val="000000"/>
          <w:kern w:val="2"/>
          <w14:ligatures w14:val="standardContextual"/>
        </w:rPr>
        <w:t xml:space="preserve">Európskeho </w:t>
      </w:r>
      <w:r w:rsidRPr="00237C70">
        <w:rPr>
          <w:kern w:val="2"/>
          <w14:ligatures w14:val="standardContextual"/>
        </w:rPr>
        <w:t>parlamentu a Komisie s cieľom kompenzovať nedostatočnú kapacitu svojich vlastných konferenčných miestností a nakupuje tlmočnícke služby od týchto dvoch inštitúcií;</w:t>
      </w:r>
    </w:p>
    <w:p w14:paraId="224CC496"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55.</w:t>
      </w:r>
      <w:r w:rsidRPr="00237C70">
        <w:rPr>
          <w:kern w:val="2"/>
          <w14:ligatures w14:val="standardContextual"/>
        </w:rPr>
        <w:tab/>
        <w:t>víta preskúmanie dohody o spolupráci medzi výborom a </w:t>
      </w:r>
      <w:r w:rsidRPr="00237C70">
        <w:rPr>
          <w:color w:val="000000"/>
          <w:kern w:val="2"/>
          <w14:ligatures w14:val="standardContextual"/>
        </w:rPr>
        <w:t xml:space="preserve">Európskym </w:t>
      </w:r>
      <w:r w:rsidRPr="00237C70">
        <w:rPr>
          <w:kern w:val="2"/>
          <w14:ligatures w14:val="standardContextual"/>
        </w:rPr>
        <w:t xml:space="preserve">parlamentom v roku 2023 na účel jej konečného podpísania v roku 2024; podporuje spoluprácu výboru s viacerými parlamentnými výbormi, </w:t>
      </w:r>
      <w:proofErr w:type="spellStart"/>
      <w:r w:rsidRPr="00237C70">
        <w:rPr>
          <w:kern w:val="2"/>
          <w14:ligatures w14:val="standardContextual"/>
        </w:rPr>
        <w:t>medziskupinami</w:t>
      </w:r>
      <w:proofErr w:type="spellEnd"/>
      <w:r w:rsidRPr="00237C70">
        <w:rPr>
          <w:kern w:val="2"/>
          <w14:ligatures w14:val="standardContextual"/>
        </w:rPr>
        <w:t xml:space="preserve"> a generálnymi riaditeľstvami </w:t>
      </w:r>
      <w:r w:rsidRPr="00237C70">
        <w:rPr>
          <w:color w:val="000000"/>
          <w:kern w:val="2"/>
          <w14:ligatures w14:val="standardContextual"/>
        </w:rPr>
        <w:t xml:space="preserve">Európskeho </w:t>
      </w:r>
      <w:r w:rsidRPr="00237C70">
        <w:rPr>
          <w:kern w:val="2"/>
          <w14:ligatures w14:val="standardContextual"/>
        </w:rPr>
        <w:t>parlamentu a považuje za zásadné, aby boli členovia výboru a EHSV pravidelne a systematicky pozývaní na príslušné parlamentné výmeny vrátane schôdzí výborov o otázkach, ktorými sa zaoberajú;</w:t>
      </w:r>
    </w:p>
    <w:p w14:paraId="761E7C87" w14:textId="77777777" w:rsidR="00237C70" w:rsidRPr="00237C70" w:rsidRDefault="00237C70" w:rsidP="00237C70">
      <w:pPr>
        <w:spacing w:after="240"/>
        <w:ind w:left="567" w:hanging="567"/>
        <w:rPr>
          <w:b/>
          <w:i/>
          <w:kern w:val="2"/>
          <w14:ligatures w14:val="standardContextual"/>
        </w:rPr>
      </w:pPr>
      <w:r w:rsidRPr="00237C70">
        <w:rPr>
          <w:b/>
          <w:i/>
          <w:kern w:val="2"/>
          <w14:ligatures w14:val="standardContextual"/>
        </w:rPr>
        <w:t>Komunikácia</w:t>
      </w:r>
    </w:p>
    <w:p w14:paraId="0A9C3AEC"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56.</w:t>
      </w:r>
      <w:r w:rsidRPr="00237C70">
        <w:rPr>
          <w:kern w:val="2"/>
          <w14:ligatures w14:val="standardContextual"/>
        </w:rPr>
        <w:tab/>
        <w:t xml:space="preserve">konštatuje, že komunikačné činnosti výboru sa zameriavajú na vzťah s tlačou, organizáciu podujatí a digitálny obsah a sociálne médiá s celkovým rozpočtom (rozpočtové prostriedky na bežný rok) vo výške približne 2,8 milióna EUR v roku 2023; vyjadruje poľutovanie nad veľmi nízkou mierou plnenia platieb v týchto oblastiach (od 24,70 % do 48,20 %); berie však na vedomie vysokú mieru plnenia rozpočtových prostriedkov C8 (prenesených z roku 2022 do roku 2023) medzi 98 % a 100 %; vyzýva výbor, aby prijal opatrenia na zlepšenie svojho rozpočtového plánovania, pokiaľ ide </w:t>
      </w:r>
      <w:r w:rsidRPr="00237C70">
        <w:rPr>
          <w:kern w:val="2"/>
          <w14:ligatures w14:val="standardContextual"/>
        </w:rPr>
        <w:lastRenderedPageBreak/>
        <w:t>o rozpočtové položky súvisiace s komunikáciou;</w:t>
      </w:r>
    </w:p>
    <w:p w14:paraId="268D32F2"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57.</w:t>
      </w:r>
      <w:r w:rsidRPr="00237C70">
        <w:rPr>
          <w:kern w:val="2"/>
          <w14:ligatures w14:val="standardContextual"/>
        </w:rPr>
        <w:tab/>
        <w:t xml:space="preserve">s uspokojením berie na vedomie úspechy výboru pri podpore politík a programov Únie na miestnej a regionálnej úrovni, zlepšovaní dosahu jeho konzultačných činností a zvyšovaní jeho viditeľnosti a vplyvu; konštatuje, že cieľom komunikačnej stratégie výboru je posilniť jeho inštitucionálny a politický profil ako hlasu regiónov, miest, dedín a obcí Únie a zároveň poukázať na zásadný prínos jeho členov pri prepájaní politík Únie s občanmi a pri podpore angažovanosti na miestnej a regionálnej úrovni; v tejto súvislosti berie na vedomie komunikačné opatrenia výboru v roku 2023 v oblastiach, ako sú: – súdržnosť (napr. kampaň „Podpora súdržnosti ako základnej hodnoty Únie“ v rámci Európskeho týždňa regiónov a miest s viac ako 8 000 účastníkmi), – zmena klímy (napr. kampaň „Budovanie odolných a inovatívnych miestnych komunít“), – demokracia (napr. kampaň „Nová kapitola pre demokraciu EÚ“ s 1 400 registráciami na 14. konferenciu </w:t>
      </w:r>
      <w:proofErr w:type="spellStart"/>
      <w:r w:rsidRPr="00237C70">
        <w:rPr>
          <w:kern w:val="2"/>
          <w14:ligatures w14:val="standardContextual"/>
        </w:rPr>
        <w:t>EuropCom</w:t>
      </w:r>
      <w:proofErr w:type="spellEnd"/>
      <w:r w:rsidRPr="00237C70">
        <w:rPr>
          <w:kern w:val="2"/>
          <w14:ligatures w14:val="standardContextual"/>
        </w:rPr>
        <w:t>), – rozvoj vidieka (konferencia „Európsky kongres LEADER 2023“) v roku 2023; chváli výbor za zvýšenie počtu osôb zaregistrovaných v sieti predstaviteľov územných samospráv pre otázky EÚ (z 2 307 v roku 2022 na 3 000 v roku 2023) a počtu účastníkov programu Mladí volení politici (zo 775 v roku 2022 na 836 v roku 2023);</w:t>
      </w:r>
    </w:p>
    <w:p w14:paraId="11E84522"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58.</w:t>
      </w:r>
      <w:r w:rsidRPr="00237C70">
        <w:rPr>
          <w:kern w:val="2"/>
          <w14:ligatures w14:val="standardContextual"/>
        </w:rPr>
        <w:tab/>
        <w:t>víta úsilie výboru o zvýšenie dosahu na regionálne samosprávy a miestne komunity vrátane rozšírenia siete predstaviteľov regionálnych a miestnych samospráv a programu Mladí volení politici a mladé volené političky; vyzýva výbor, aby pridelil dodatočné zdroje na podporu regionálnych programov budovania kapacít, ktoré umožňujú miestnym samosprávam lepšie vykonávať politiky Únie;</w:t>
      </w:r>
    </w:p>
    <w:p w14:paraId="16B0ED50"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59.</w:t>
      </w:r>
      <w:r w:rsidRPr="00237C70">
        <w:rPr>
          <w:kern w:val="2"/>
          <w14:ligatures w14:val="standardContextual"/>
        </w:rPr>
        <w:tab/>
        <w:t xml:space="preserve">berie na vedomie úspech výboru, pokiaľ ide o mediálny dosah, ako vyplýva z celkových ukazovateľov na rok 2023, ako sú: 13 210 mediálnych zmienok, 129 % nárast v prípade návštevníkov internetu a 11 % nárast v prípade </w:t>
      </w:r>
      <w:proofErr w:type="spellStart"/>
      <w:r w:rsidRPr="00237C70">
        <w:rPr>
          <w:kern w:val="2"/>
          <w14:ligatures w14:val="standardContextual"/>
        </w:rPr>
        <w:t>sledovateľov</w:t>
      </w:r>
      <w:proofErr w:type="spellEnd"/>
      <w:r w:rsidRPr="00237C70">
        <w:rPr>
          <w:kern w:val="2"/>
          <w14:ligatures w14:val="standardContextual"/>
        </w:rPr>
        <w:t xml:space="preserve">; konštatuje, že pokiaľ ide o digitálnu angažovanosť, výbor nedosiahol svoj cieľ na rok 2023; konštatuje, že na konci roka 2023 mal výbor na svojich kanáloch sociálnych médií 200 000 </w:t>
      </w:r>
      <w:proofErr w:type="spellStart"/>
      <w:r w:rsidRPr="00237C70">
        <w:rPr>
          <w:kern w:val="2"/>
          <w14:ligatures w14:val="standardContextual"/>
        </w:rPr>
        <w:t>sledovateľov</w:t>
      </w:r>
      <w:proofErr w:type="spellEnd"/>
      <w:r w:rsidRPr="00237C70">
        <w:rPr>
          <w:kern w:val="2"/>
          <w14:ligatures w14:val="standardContextual"/>
        </w:rPr>
        <w:t xml:space="preserve">, t. j. o 15 % viac ako v roku 2022, z toho 57 603 </w:t>
      </w:r>
      <w:proofErr w:type="spellStart"/>
      <w:r w:rsidRPr="00237C70">
        <w:rPr>
          <w:kern w:val="2"/>
          <w14:ligatures w14:val="standardContextual"/>
        </w:rPr>
        <w:t>sledovateľov</w:t>
      </w:r>
      <w:proofErr w:type="spellEnd"/>
      <w:r w:rsidRPr="00237C70">
        <w:rPr>
          <w:kern w:val="2"/>
          <w14:ligatures w14:val="standardContextual"/>
        </w:rPr>
        <w:t xml:space="preserve"> (nárast o +5 %) na X (predtým Twitter), 61 170 (nárast o +5 %) na Facebooku, 68 613 (nárast o +31 %) na LinkedIn a 15 392 (nárast o +47 %) na Instagrame;</w:t>
      </w:r>
    </w:p>
    <w:p w14:paraId="1C8CE63D" w14:textId="77777777" w:rsidR="00237C70" w:rsidRPr="00237C70" w:rsidRDefault="00237C70" w:rsidP="00237C70">
      <w:pPr>
        <w:spacing w:after="240"/>
        <w:ind w:left="567" w:hanging="567"/>
        <w:rPr>
          <w:kern w:val="2"/>
          <w14:ligatures w14:val="standardContextual"/>
        </w:rPr>
      </w:pPr>
      <w:r w:rsidRPr="00237C70">
        <w:rPr>
          <w:kern w:val="2"/>
          <w14:ligatures w14:val="standardContextual"/>
        </w:rPr>
        <w:t>60.</w:t>
      </w:r>
      <w:r w:rsidRPr="00237C70">
        <w:rPr>
          <w:kern w:val="2"/>
          <w14:ligatures w14:val="standardContextual"/>
        </w:rPr>
        <w:tab/>
        <w:t>na základe dotazníka berie s uspokojením na vedomie iniciatívy výboru na zvýšenie informovanosti o konkrétnych opatreniach aktu o digitálnych službách a aktov o digitálnych trhoch, ako aj o kybernetickej bezpečnosti a bezpečnosti na internete; uznáva úlohu výboru pri napredovaní na ceste Únie k digitálnej budúcnosti; v tejto súvislosti chváli výbor za to, že v roku 2023 zorganizoval sériu seminárov o digitálnych médiách pre zamestnancov aj externé publikum.</w:t>
      </w:r>
    </w:p>
    <w:sectPr w:rsidR="00237C70" w:rsidRPr="00237C70" w:rsidSect="00A3062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FC780" w14:textId="77777777" w:rsidR="00760E0E" w:rsidRPr="00A30622" w:rsidRDefault="00760E0E">
      <w:r w:rsidRPr="00A30622">
        <w:separator/>
      </w:r>
    </w:p>
  </w:endnote>
  <w:endnote w:type="continuationSeparator" w:id="0">
    <w:p w14:paraId="127F4B23" w14:textId="77777777" w:rsidR="00760E0E" w:rsidRPr="00A30622" w:rsidRDefault="00760E0E">
      <w:r w:rsidRPr="00A306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1B6C8" w14:textId="77777777" w:rsidR="00064002" w:rsidRPr="00A3062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33026" w14:textId="77777777" w:rsidR="00064002" w:rsidRPr="00A3062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102A" w14:textId="77777777" w:rsidR="00064002" w:rsidRPr="00A306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B9DAD" w14:textId="77777777" w:rsidR="00760E0E" w:rsidRPr="00A30622" w:rsidRDefault="00760E0E">
      <w:r w:rsidRPr="00A30622">
        <w:separator/>
      </w:r>
    </w:p>
  </w:footnote>
  <w:footnote w:type="continuationSeparator" w:id="0">
    <w:p w14:paraId="70BEDAF7" w14:textId="77777777" w:rsidR="00760E0E" w:rsidRPr="00A30622" w:rsidRDefault="00760E0E">
      <w:r w:rsidRPr="00A30622">
        <w:continuationSeparator/>
      </w:r>
    </w:p>
  </w:footnote>
  <w:footnote w:id="1">
    <w:p w14:paraId="653D94AF" w14:textId="77777777" w:rsidR="00237C70" w:rsidRPr="00525BA2" w:rsidRDefault="00237C70" w:rsidP="00237C70">
      <w:pPr>
        <w:ind w:left="567" w:hanging="567"/>
        <w:rPr>
          <w:szCs w:val="24"/>
          <w:lang w:val="fi-FI"/>
        </w:rPr>
      </w:pPr>
      <w:r w:rsidRPr="00525BA2">
        <w:rPr>
          <w:rStyle w:val="FootnoteReference"/>
          <w:szCs w:val="24"/>
        </w:rPr>
        <w:footnoteRef/>
      </w:r>
      <w:r w:rsidRPr="00525BA2">
        <w:rPr>
          <w:szCs w:val="24"/>
          <w:lang w:val="fi-FI"/>
        </w:rPr>
        <w:tab/>
        <w:t xml:space="preserve">Ú. v. EÚ L 58, 23.2.2023, s. 1, ELI: </w:t>
      </w:r>
      <w:hyperlink r:id="rId1" w:tooltip="Umožňuje prístup k tomuto dokumentu prostredníctvom identifikátorov ELI a URI." w:history="1">
        <w:r w:rsidRPr="00525BA2">
          <w:rPr>
            <w:rStyle w:val="Hyperlink"/>
            <w:color w:val="0563C1"/>
            <w:szCs w:val="24"/>
            <w:shd w:val="clear" w:color="auto" w:fill="FFFFFF"/>
            <w:lang w:val="fi-FI"/>
          </w:rPr>
          <w:t>http://data.europa.eu/eli/budget/2023/1/oj</w:t>
        </w:r>
      </w:hyperlink>
      <w:r w:rsidRPr="00525BA2">
        <w:rPr>
          <w:szCs w:val="24"/>
          <w:shd w:val="clear" w:color="auto" w:fill="FFFFFF"/>
          <w:lang w:val="fi-FI"/>
        </w:rPr>
        <w:t>.</w:t>
      </w:r>
    </w:p>
  </w:footnote>
  <w:footnote w:id="2">
    <w:p w14:paraId="067DFAEF" w14:textId="77777777" w:rsidR="00237C70" w:rsidRPr="00525BA2" w:rsidRDefault="00237C70" w:rsidP="00237C70">
      <w:pPr>
        <w:pStyle w:val="FootnoteText"/>
        <w:ind w:left="567" w:hanging="567"/>
        <w:rPr>
          <w:sz w:val="24"/>
          <w:szCs w:val="24"/>
          <w:lang w:val="sk-SK"/>
        </w:rPr>
      </w:pPr>
      <w:r w:rsidRPr="00525BA2">
        <w:rPr>
          <w:rStyle w:val="FootnoteReference"/>
          <w:sz w:val="24"/>
          <w:szCs w:val="24"/>
          <w:lang w:val="sk-SK"/>
        </w:rPr>
        <w:footnoteRef/>
      </w:r>
      <w:r w:rsidRPr="00525BA2">
        <w:rPr>
          <w:sz w:val="24"/>
          <w:szCs w:val="24"/>
          <w:lang w:val="sk-SK"/>
        </w:rPr>
        <w:tab/>
      </w:r>
      <w:r w:rsidRPr="00525BA2">
        <w:rPr>
          <w:sz w:val="24"/>
          <w:szCs w:val="24"/>
          <w:lang w:val="sk-SK"/>
        </w:rPr>
        <w:t xml:space="preserve">Ú. v. EÚ C, C/2024/5462, 10.10.2024, ELI: </w:t>
      </w:r>
      <w:hyperlink r:id="rId2" w:history="1">
        <w:r w:rsidRPr="00525BA2">
          <w:rPr>
            <w:rStyle w:val="Hyperlink"/>
            <w:sz w:val="24"/>
            <w:szCs w:val="24"/>
            <w:lang w:val="fi-FI"/>
          </w:rPr>
          <w:t>http://data.europa.eu/eli/C/2024/5462/oj</w:t>
        </w:r>
      </w:hyperlink>
      <w:r w:rsidRPr="00525BA2">
        <w:rPr>
          <w:rStyle w:val="Hyperlink"/>
          <w:sz w:val="24"/>
          <w:szCs w:val="24"/>
          <w:lang w:val="fi-FI"/>
        </w:rPr>
        <w:t>.</w:t>
      </w:r>
    </w:p>
  </w:footnote>
  <w:footnote w:id="3">
    <w:p w14:paraId="2A1051E1" w14:textId="77777777" w:rsidR="00237C70" w:rsidRPr="00525BA2" w:rsidRDefault="00237C70" w:rsidP="00237C70">
      <w:pPr>
        <w:pStyle w:val="FootnoteText"/>
        <w:ind w:left="567" w:hanging="567"/>
        <w:rPr>
          <w:sz w:val="24"/>
          <w:szCs w:val="24"/>
          <w:lang w:val="sk-SK"/>
        </w:rPr>
      </w:pPr>
      <w:r w:rsidRPr="00525BA2">
        <w:rPr>
          <w:rStyle w:val="FootnoteReference"/>
          <w:sz w:val="24"/>
          <w:szCs w:val="24"/>
          <w:lang w:val="sk-SK"/>
        </w:rPr>
        <w:footnoteRef/>
      </w:r>
      <w:r w:rsidRPr="00525BA2">
        <w:rPr>
          <w:sz w:val="24"/>
          <w:szCs w:val="24"/>
          <w:lang w:val="sk-SK"/>
        </w:rPr>
        <w:tab/>
      </w:r>
      <w:r w:rsidRPr="00525BA2">
        <w:rPr>
          <w:sz w:val="24"/>
          <w:szCs w:val="24"/>
          <w:lang w:val="sk-SK"/>
        </w:rPr>
        <w:t xml:space="preserve">Ú. v. EÚ C, C/2024/5882, 9.10.2024, ELI: </w:t>
      </w:r>
      <w:hyperlink r:id="rId3" w:history="1">
        <w:r w:rsidRPr="00525BA2">
          <w:rPr>
            <w:rStyle w:val="Hyperlink"/>
            <w:sz w:val="24"/>
            <w:szCs w:val="24"/>
            <w:lang w:val="fi-FI"/>
          </w:rPr>
          <w:t>http://data.europa.eu/eli/C/2024/5882/oj</w:t>
        </w:r>
      </w:hyperlink>
      <w:r w:rsidRPr="00525BA2">
        <w:rPr>
          <w:rStyle w:val="Hyperlink"/>
          <w:sz w:val="24"/>
          <w:szCs w:val="24"/>
          <w:lang w:val="fi-FI"/>
        </w:rPr>
        <w:t>.</w:t>
      </w:r>
    </w:p>
  </w:footnote>
  <w:footnote w:id="4">
    <w:p w14:paraId="4F220146" w14:textId="77777777" w:rsidR="00237C70" w:rsidRPr="00525BA2" w:rsidRDefault="00237C70" w:rsidP="00237C70">
      <w:pPr>
        <w:pStyle w:val="FootnoteText"/>
        <w:ind w:left="567" w:hanging="567"/>
        <w:rPr>
          <w:sz w:val="24"/>
          <w:szCs w:val="24"/>
          <w:lang w:val="sk-SK"/>
        </w:rPr>
      </w:pPr>
      <w:r w:rsidRPr="00525BA2">
        <w:rPr>
          <w:rStyle w:val="FootnoteReference"/>
          <w:sz w:val="24"/>
          <w:szCs w:val="24"/>
          <w:lang w:val="sk-SK"/>
        </w:rPr>
        <w:footnoteRef/>
      </w:r>
      <w:r w:rsidRPr="00525BA2">
        <w:rPr>
          <w:sz w:val="24"/>
          <w:szCs w:val="24"/>
          <w:lang w:val="sk-SK"/>
        </w:rPr>
        <w:tab/>
      </w:r>
      <w:r w:rsidRPr="00525BA2">
        <w:rPr>
          <w:sz w:val="24"/>
          <w:szCs w:val="24"/>
          <w:lang w:val="sk-SK"/>
        </w:rPr>
        <w:t xml:space="preserve">Ú. v. EÚ C, C/2024/6041, 10.10.2024, ELI: </w:t>
      </w:r>
      <w:hyperlink r:id="rId4" w:history="1">
        <w:r w:rsidRPr="00525BA2">
          <w:rPr>
            <w:rStyle w:val="Hyperlink"/>
            <w:sz w:val="24"/>
            <w:szCs w:val="24"/>
            <w:lang w:val="fi-FI"/>
          </w:rPr>
          <w:t>http://data.europa.eu/eli/C/2024/6041/oj</w:t>
        </w:r>
      </w:hyperlink>
      <w:r w:rsidRPr="00525BA2">
        <w:rPr>
          <w:rStyle w:val="Hyperlink"/>
          <w:sz w:val="24"/>
          <w:szCs w:val="24"/>
          <w:lang w:val="fi-FI"/>
        </w:rPr>
        <w:t>.</w:t>
      </w:r>
    </w:p>
  </w:footnote>
  <w:footnote w:id="5">
    <w:p w14:paraId="6697C0C8" w14:textId="77777777" w:rsidR="00237C70" w:rsidRPr="00525BA2" w:rsidRDefault="00237C70" w:rsidP="00237C70">
      <w:pPr>
        <w:pStyle w:val="FootnoteText"/>
        <w:ind w:left="567" w:hanging="567"/>
        <w:rPr>
          <w:sz w:val="24"/>
          <w:szCs w:val="24"/>
          <w:lang w:val="sk-SK"/>
        </w:rPr>
      </w:pPr>
      <w:r w:rsidRPr="00525BA2">
        <w:rPr>
          <w:rStyle w:val="FootnoteReference"/>
          <w:sz w:val="24"/>
          <w:szCs w:val="24"/>
          <w:lang w:val="sk-SK"/>
        </w:rPr>
        <w:footnoteRef/>
      </w:r>
      <w:r w:rsidRPr="00525BA2">
        <w:rPr>
          <w:sz w:val="24"/>
          <w:szCs w:val="24"/>
          <w:lang w:val="sk-SK"/>
        </w:rPr>
        <w:tab/>
      </w:r>
      <w:r w:rsidRPr="00525BA2">
        <w:rPr>
          <w:sz w:val="24"/>
          <w:szCs w:val="24"/>
          <w:lang w:val="sk-SK"/>
        </w:rPr>
        <w:t xml:space="preserve">Ú. v. EÚ L 193, 30.7.2018, s. 1, ELI: </w:t>
      </w:r>
      <w:hyperlink r:id="rId5" w:history="1">
        <w:r w:rsidRPr="00525BA2">
          <w:rPr>
            <w:rStyle w:val="Hyperlink"/>
            <w:sz w:val="24"/>
            <w:szCs w:val="24"/>
            <w:lang w:val="fi-FI"/>
          </w:rPr>
          <w:t>http://data.europa.eu/eli/reg/2018/1046/oj</w:t>
        </w:r>
      </w:hyperlink>
      <w:r w:rsidRPr="00525BA2">
        <w:rPr>
          <w:sz w:val="24"/>
          <w:szCs w:val="24"/>
          <w:lang w:val="sk-SK"/>
        </w:rPr>
        <w:t>.</w:t>
      </w:r>
    </w:p>
  </w:footnote>
  <w:footnote w:id="6">
    <w:p w14:paraId="66CB9724" w14:textId="77777777" w:rsidR="00237C70" w:rsidRPr="00525BA2" w:rsidRDefault="00237C70" w:rsidP="00237C70">
      <w:pPr>
        <w:pStyle w:val="FootnoteText"/>
        <w:ind w:left="567" w:hanging="567"/>
        <w:rPr>
          <w:sz w:val="24"/>
          <w:szCs w:val="24"/>
          <w:lang w:val="sk-SK"/>
        </w:rPr>
      </w:pPr>
      <w:r w:rsidRPr="00525BA2">
        <w:rPr>
          <w:rStyle w:val="FootnoteReference"/>
          <w:sz w:val="24"/>
          <w:szCs w:val="24"/>
          <w:lang w:val="sk-SK"/>
        </w:rPr>
        <w:footnoteRef/>
      </w:r>
      <w:r w:rsidRPr="00525BA2">
        <w:rPr>
          <w:sz w:val="24"/>
          <w:szCs w:val="24"/>
          <w:lang w:val="sk-SK"/>
        </w:rPr>
        <w:tab/>
      </w:r>
      <w:r w:rsidRPr="00525BA2">
        <w:rPr>
          <w:sz w:val="24"/>
          <w:szCs w:val="24"/>
          <w:lang w:val="sk-SK"/>
        </w:rPr>
        <w:t xml:space="preserve">Ú. v. EÚ L, 2024/2509, 26.9.2024, ELI: </w:t>
      </w:r>
      <w:hyperlink r:id="rId6" w:history="1">
        <w:r w:rsidRPr="00525BA2">
          <w:rPr>
            <w:rStyle w:val="Hyperlink"/>
            <w:sz w:val="24"/>
            <w:szCs w:val="24"/>
            <w:lang w:val="fi-FI"/>
          </w:rPr>
          <w:t>https://data.europa.eu/eli/reg/2024/2509/oj</w:t>
        </w:r>
      </w:hyperlink>
      <w:r w:rsidRPr="00525BA2">
        <w:rPr>
          <w:sz w:val="24"/>
          <w:szCs w:val="24"/>
          <w:lang w:val="sk-SK"/>
        </w:rPr>
        <w:t>.</w:t>
      </w:r>
    </w:p>
  </w:footnote>
  <w:footnote w:id="7">
    <w:p w14:paraId="2B721BCB" w14:textId="77777777" w:rsidR="00237C70" w:rsidRPr="00525BA2" w:rsidRDefault="00237C70" w:rsidP="00237C70">
      <w:pPr>
        <w:pStyle w:val="FootnoteText"/>
        <w:ind w:left="567" w:hanging="567"/>
        <w:rPr>
          <w:sz w:val="24"/>
          <w:szCs w:val="24"/>
          <w:lang w:val="sk-SK"/>
        </w:rPr>
      </w:pPr>
      <w:r w:rsidRPr="00525BA2">
        <w:rPr>
          <w:rStyle w:val="FootnoteReference"/>
          <w:sz w:val="24"/>
          <w:szCs w:val="24"/>
          <w:lang w:val="sk-SK"/>
        </w:rPr>
        <w:footnoteRef/>
      </w:r>
      <w:r w:rsidRPr="00525BA2">
        <w:rPr>
          <w:sz w:val="24"/>
          <w:szCs w:val="24"/>
          <w:lang w:val="sk-SK"/>
        </w:rPr>
        <w:tab/>
      </w:r>
      <w:r w:rsidRPr="00525BA2">
        <w:rPr>
          <w:sz w:val="24"/>
          <w:szCs w:val="24"/>
          <w:lang w:val="sk-SK"/>
        </w:rPr>
        <w:t>Uznesenie Európskeho výboru regiónov – Priority Európskeho výboru regiónov na roky 2020 – 2025 „Európa bližšie k svojim občanom“ (Ú. v. EÚ C 324, 1.10.2020, s. 8).</w:t>
      </w:r>
    </w:p>
  </w:footnote>
  <w:footnote w:id="8">
    <w:p w14:paraId="53A0FACF" w14:textId="77777777" w:rsidR="00237C70" w:rsidRPr="00525BA2" w:rsidRDefault="00237C70" w:rsidP="00237C70">
      <w:pPr>
        <w:pStyle w:val="FootnoteText"/>
        <w:ind w:left="567" w:hanging="567"/>
        <w:rPr>
          <w:sz w:val="24"/>
          <w:szCs w:val="24"/>
          <w:lang w:val="sk-SK"/>
        </w:rPr>
      </w:pPr>
      <w:r w:rsidRPr="00525BA2">
        <w:rPr>
          <w:rStyle w:val="FootnoteReference"/>
          <w:sz w:val="24"/>
          <w:szCs w:val="24"/>
          <w:lang w:val="sk-SK"/>
        </w:rPr>
        <w:footnoteRef/>
      </w:r>
      <w:r w:rsidRPr="00525BA2">
        <w:rPr>
          <w:sz w:val="24"/>
          <w:szCs w:val="24"/>
          <w:lang w:val="sk-SK"/>
        </w:rPr>
        <w:tab/>
      </w:r>
      <w:r w:rsidRPr="00525BA2">
        <w:rPr>
          <w:sz w:val="24"/>
          <w:szCs w:val="24"/>
          <w:lang w:val="sk-SK"/>
        </w:rPr>
        <w:t>Nariadenie Európskeho parlamentu a Rady (EÚ) 2021/1060 z 24. júna 2021, ktorým sa stanovujú spoločné ustanovenia o Európskom fonde regionálneho rozvoja, Európskom sociálnom fonde plus, Kohéznom fonde, Fonde na spravodlivú transformáciu a Európskom námornom, rybolovnom a </w:t>
      </w:r>
      <w:proofErr w:type="spellStart"/>
      <w:r w:rsidRPr="00525BA2">
        <w:rPr>
          <w:sz w:val="24"/>
          <w:szCs w:val="24"/>
          <w:lang w:val="sk-SK"/>
        </w:rPr>
        <w:t>akvakultúrnom</w:t>
      </w:r>
      <w:proofErr w:type="spellEnd"/>
      <w:r w:rsidRPr="00525BA2">
        <w:rPr>
          <w:sz w:val="24"/>
          <w:szCs w:val="24"/>
          <w:lang w:val="sk-SK"/>
        </w:rPr>
        <w:t xml:space="preserve"> fonde a rozpočtové pravidlá pre uvedené fondy, ako aj pre Fond pre azyl, migráciu a integráciu, Fond pre vnútornú bezpečnosť a Nástroj finančnej podpory na riadenie hraníc a vízovú politiku (Ú. v. EÚ L 231, 30.6.2021, s. 159, ELI: </w:t>
      </w:r>
      <w:hyperlink r:id="rId7" w:history="1">
        <w:r w:rsidRPr="00525BA2">
          <w:rPr>
            <w:rStyle w:val="Hyperlink"/>
            <w:sz w:val="24"/>
            <w:szCs w:val="24"/>
            <w:lang w:val="sk-SK"/>
          </w:rPr>
          <w:t>http://data.europa.eu/eli/reg/2021/1060/2024-06-30</w:t>
        </w:r>
      </w:hyperlink>
      <w:r w:rsidRPr="00525BA2">
        <w:rPr>
          <w:sz w:val="24"/>
          <w:szCs w:val="24"/>
          <w:lang w:val="sk-SK"/>
        </w:rPr>
        <w:t>).</w:t>
      </w:r>
    </w:p>
  </w:footnote>
  <w:footnote w:id="9">
    <w:p w14:paraId="61C2BCA6" w14:textId="77777777" w:rsidR="00237C70" w:rsidRPr="00525BA2" w:rsidRDefault="00237C70" w:rsidP="00237C70">
      <w:pPr>
        <w:pStyle w:val="FootnoteText"/>
        <w:ind w:left="567" w:hanging="567"/>
        <w:rPr>
          <w:sz w:val="24"/>
          <w:szCs w:val="24"/>
          <w:lang w:val="sk-SK"/>
        </w:rPr>
      </w:pPr>
      <w:r w:rsidRPr="00525BA2">
        <w:rPr>
          <w:rStyle w:val="FootnoteReference"/>
          <w:sz w:val="24"/>
          <w:szCs w:val="24"/>
          <w:lang w:val="sk-SK"/>
        </w:rPr>
        <w:footnoteRef/>
      </w:r>
      <w:r w:rsidRPr="00525BA2">
        <w:rPr>
          <w:sz w:val="24"/>
          <w:szCs w:val="24"/>
          <w:lang w:val="sk-SK"/>
        </w:rPr>
        <w:tab/>
      </w:r>
      <w:r w:rsidRPr="00525BA2">
        <w:rPr>
          <w:sz w:val="24"/>
          <w:szCs w:val="24"/>
          <w:lang w:val="sk-SK"/>
        </w:rPr>
        <w:t xml:space="preserve">Nariadenie Európskeho parlamentu a Rady (EÚ) 2021/241 z 12. februára 2021, ktorým sa zriaďuje Mechanizmus na podporu obnovy a odolnosti (Ú. v. EÚ L 57, 18.2.2021, s. 17, </w:t>
      </w:r>
      <w:r w:rsidRPr="00525BA2">
        <w:rPr>
          <w:color w:val="333333"/>
          <w:sz w:val="24"/>
          <w:szCs w:val="24"/>
          <w:shd w:val="clear" w:color="auto" w:fill="FFFFFF"/>
          <w:lang w:val="sk-SK"/>
        </w:rPr>
        <w:t xml:space="preserve">ELI: </w:t>
      </w:r>
      <w:hyperlink r:id="rId8" w:tooltip="Umožňuje prístup k tomuto dokumentu prostredníctvom identifikátorov ELI a URI." w:history="1">
        <w:r w:rsidRPr="00525BA2">
          <w:rPr>
            <w:color w:val="23527C"/>
            <w:sz w:val="24"/>
            <w:szCs w:val="24"/>
            <w:u w:val="single"/>
            <w:shd w:val="clear" w:color="auto" w:fill="FFFFFF"/>
            <w:lang w:val="sk-SK"/>
          </w:rPr>
          <w:t>http://data.europa.eu/eli/reg/2021/241/2024-03-01</w:t>
        </w:r>
      </w:hyperlink>
      <w:r w:rsidRPr="00525BA2">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37296" w14:textId="77777777" w:rsidR="00064002" w:rsidRPr="00A3062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3419E" w14:textId="77777777" w:rsidR="00064002" w:rsidRPr="00A3062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7CC26" w14:textId="77777777" w:rsidR="00064002" w:rsidRPr="00A306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8402968">
    <w:abstractNumId w:val="9"/>
  </w:num>
  <w:num w:numId="2" w16cid:durableId="59251399">
    <w:abstractNumId w:val="9"/>
  </w:num>
  <w:num w:numId="3" w16cid:durableId="1142961441">
    <w:abstractNumId w:val="7"/>
  </w:num>
  <w:num w:numId="4" w16cid:durableId="1475292716">
    <w:abstractNumId w:val="7"/>
  </w:num>
  <w:num w:numId="5" w16cid:durableId="1217550180">
    <w:abstractNumId w:val="6"/>
  </w:num>
  <w:num w:numId="6" w16cid:durableId="1337924338">
    <w:abstractNumId w:val="6"/>
  </w:num>
  <w:num w:numId="7" w16cid:durableId="1001741889">
    <w:abstractNumId w:val="5"/>
  </w:num>
  <w:num w:numId="8" w16cid:durableId="952400370">
    <w:abstractNumId w:val="5"/>
  </w:num>
  <w:num w:numId="9" w16cid:durableId="2049334339">
    <w:abstractNumId w:val="4"/>
  </w:num>
  <w:num w:numId="10" w16cid:durableId="322709818">
    <w:abstractNumId w:val="4"/>
  </w:num>
  <w:num w:numId="11" w16cid:durableId="1064065889">
    <w:abstractNumId w:val="8"/>
  </w:num>
  <w:num w:numId="12" w16cid:durableId="473110574">
    <w:abstractNumId w:val="8"/>
  </w:num>
  <w:num w:numId="13" w16cid:durableId="65034656">
    <w:abstractNumId w:val="3"/>
  </w:num>
  <w:num w:numId="14" w16cid:durableId="1388990255">
    <w:abstractNumId w:val="3"/>
  </w:num>
  <w:num w:numId="15" w16cid:durableId="741561200">
    <w:abstractNumId w:val="2"/>
  </w:num>
  <w:num w:numId="16" w16cid:durableId="1632593998">
    <w:abstractNumId w:val="2"/>
  </w:num>
  <w:num w:numId="17" w16cid:durableId="414978481">
    <w:abstractNumId w:val="1"/>
  </w:num>
  <w:num w:numId="18" w16cid:durableId="1362899064">
    <w:abstractNumId w:val="1"/>
  </w:num>
  <w:num w:numId="19" w16cid:durableId="180513086">
    <w:abstractNumId w:val="0"/>
  </w:num>
  <w:num w:numId="20" w16cid:durableId="523397908">
    <w:abstractNumId w:val="0"/>
  </w:num>
  <w:num w:numId="21" w16cid:durableId="1998848651">
    <w:abstractNumId w:val="9"/>
  </w:num>
  <w:num w:numId="22" w16cid:durableId="758019403">
    <w:abstractNumId w:val="7"/>
  </w:num>
  <w:num w:numId="23" w16cid:durableId="1674844942">
    <w:abstractNumId w:val="6"/>
  </w:num>
  <w:num w:numId="24" w16cid:durableId="877620510">
    <w:abstractNumId w:val="5"/>
  </w:num>
  <w:num w:numId="25" w16cid:durableId="1951162773">
    <w:abstractNumId w:val="4"/>
  </w:num>
  <w:num w:numId="26" w16cid:durableId="1340307291">
    <w:abstractNumId w:val="8"/>
  </w:num>
  <w:num w:numId="27" w16cid:durableId="1521158649">
    <w:abstractNumId w:val="3"/>
  </w:num>
  <w:num w:numId="28" w16cid:durableId="1163474414">
    <w:abstractNumId w:val="2"/>
  </w:num>
  <w:num w:numId="29" w16cid:durableId="1071196698">
    <w:abstractNumId w:val="1"/>
  </w:num>
  <w:num w:numId="30" w16cid:durableId="1000350203">
    <w:abstractNumId w:val="0"/>
  </w:num>
  <w:num w:numId="31" w16cid:durableId="2118596929">
    <w:abstractNumId w:val="9"/>
  </w:num>
  <w:num w:numId="32" w16cid:durableId="889224490">
    <w:abstractNumId w:val="7"/>
  </w:num>
  <w:num w:numId="33" w16cid:durableId="642194570">
    <w:abstractNumId w:val="6"/>
  </w:num>
  <w:num w:numId="34" w16cid:durableId="1786000968">
    <w:abstractNumId w:val="5"/>
  </w:num>
  <w:num w:numId="35" w16cid:durableId="822812880">
    <w:abstractNumId w:val="4"/>
  </w:num>
  <w:num w:numId="36" w16cid:durableId="1979798540">
    <w:abstractNumId w:val="8"/>
  </w:num>
  <w:num w:numId="37" w16cid:durableId="196747920">
    <w:abstractNumId w:val="3"/>
  </w:num>
  <w:num w:numId="38" w16cid:durableId="901595987">
    <w:abstractNumId w:val="2"/>
  </w:num>
  <w:num w:numId="39" w16cid:durableId="1144738640">
    <w:abstractNumId w:val="1"/>
  </w:num>
  <w:num w:numId="40" w16cid:durableId="1476526119">
    <w:abstractNumId w:val="0"/>
  </w:num>
  <w:num w:numId="41" w16cid:durableId="2143038072">
    <w:abstractNumId w:val="10"/>
  </w:num>
  <w:num w:numId="42" w16cid:durableId="1770467780">
    <w:abstractNumId w:val="10"/>
  </w:num>
  <w:num w:numId="43" w16cid:durableId="891233214">
    <w:abstractNumId w:val="10"/>
  </w:num>
  <w:num w:numId="44" w16cid:durableId="1468297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6/2025"/>
    <w:docVar w:name="dvlangue" w:val="SK"/>
    <w:docVar w:name="dvnumam" w:val="0"/>
    <w:docVar w:name="dvpe" w:val="764.992"/>
    <w:docVar w:name="dvrapporteur" w:val="Spravodajca: "/>
    <w:docVar w:name="dvtitre" w:val="Rozhodnutie Európskeho parlamentu z xx. mája 2025 o absolutóriu za plnenie všeobecného rozpočtu Európskej únie za rozpočtový rok 2023, oddiel VII – Výbor regiónov(2024/2026(DEC))"/>
  </w:docVars>
  <w:rsids>
    <w:rsidRoot w:val="00760E0E"/>
    <w:rsid w:val="00002272"/>
    <w:rsid w:val="00064002"/>
    <w:rsid w:val="00066DF9"/>
    <w:rsid w:val="000677B9"/>
    <w:rsid w:val="000831BA"/>
    <w:rsid w:val="000A021A"/>
    <w:rsid w:val="000A42CC"/>
    <w:rsid w:val="000E7DD9"/>
    <w:rsid w:val="000F4959"/>
    <w:rsid w:val="0010095E"/>
    <w:rsid w:val="00125B37"/>
    <w:rsid w:val="00187494"/>
    <w:rsid w:val="001F32AE"/>
    <w:rsid w:val="00236ECC"/>
    <w:rsid w:val="00237C7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5BA2"/>
    <w:rsid w:val="00545827"/>
    <w:rsid w:val="00560270"/>
    <w:rsid w:val="005C2568"/>
    <w:rsid w:val="005F1B17"/>
    <w:rsid w:val="006037C0"/>
    <w:rsid w:val="006631B6"/>
    <w:rsid w:val="00680577"/>
    <w:rsid w:val="006F4EA3"/>
    <w:rsid w:val="006F74FA"/>
    <w:rsid w:val="00731ADD"/>
    <w:rsid w:val="00734777"/>
    <w:rsid w:val="00747932"/>
    <w:rsid w:val="00751A4A"/>
    <w:rsid w:val="00756632"/>
    <w:rsid w:val="00760E0E"/>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064A"/>
    <w:rsid w:val="00981893"/>
    <w:rsid w:val="009A6764"/>
    <w:rsid w:val="00A1687D"/>
    <w:rsid w:val="00A30622"/>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577C"/>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0BA4"/>
    <w:rsid w:val="00F149E9"/>
    <w:rsid w:val="00F5134D"/>
    <w:rsid w:val="00F6589B"/>
    <w:rsid w:val="00F74202"/>
    <w:rsid w:val="00F87713"/>
    <w:rsid w:val="00FA0A9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BC3009"/>
  <w15:chartTrackingRefBased/>
  <w15:docId w15:val="{69734E1A-20C5-41BD-9396-E106030E7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D577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D577C"/>
    <w:pPr>
      <w:spacing w:before="480" w:after="240"/>
    </w:pPr>
  </w:style>
  <w:style w:type="paragraph" w:customStyle="1" w:styleId="PageHeading">
    <w:name w:val="PageHeading"/>
    <w:basedOn w:val="Normal"/>
    <w:rsid w:val="00CD577C"/>
    <w:pPr>
      <w:keepNext/>
      <w:spacing w:after="480"/>
      <w:jc w:val="center"/>
    </w:pPr>
    <w:rPr>
      <w:rFonts w:ascii="Arial" w:hAnsi="Arial" w:cs="Arial"/>
      <w:b/>
    </w:rPr>
  </w:style>
  <w:style w:type="paragraph" w:customStyle="1" w:styleId="NormalBold">
    <w:name w:val="NormalBold"/>
    <w:basedOn w:val="Normal"/>
    <w:rsid w:val="00CD577C"/>
    <w:rPr>
      <w:b/>
    </w:rPr>
  </w:style>
  <w:style w:type="paragraph" w:customStyle="1" w:styleId="NormalHanging12a">
    <w:name w:val="NormalHanging12a"/>
    <w:basedOn w:val="Normal"/>
    <w:link w:val="NormalHanging12aChar"/>
    <w:qFormat/>
    <w:rsid w:val="00CD577C"/>
    <w:pPr>
      <w:spacing w:after="240"/>
      <w:ind w:left="567" w:hanging="567"/>
    </w:pPr>
  </w:style>
  <w:style w:type="paragraph" w:styleId="Header">
    <w:name w:val="header"/>
    <w:basedOn w:val="Normal"/>
    <w:link w:val="HeaderChar"/>
    <w:rsid w:val="00CD577C"/>
    <w:pPr>
      <w:tabs>
        <w:tab w:val="center" w:pos="4513"/>
        <w:tab w:val="right" w:pos="9026"/>
      </w:tabs>
    </w:pPr>
  </w:style>
  <w:style w:type="character" w:customStyle="1" w:styleId="HeaderChar">
    <w:name w:val="Header Char"/>
    <w:basedOn w:val="DefaultParagraphFont"/>
    <w:link w:val="Header"/>
    <w:rsid w:val="00CD577C"/>
    <w:rPr>
      <w:sz w:val="24"/>
      <w:lang w:val="sk-SK"/>
    </w:rPr>
  </w:style>
  <w:style w:type="paragraph" w:customStyle="1" w:styleId="EPFooter">
    <w:name w:val="EPFooter"/>
    <w:basedOn w:val="Normal"/>
    <w:rsid w:val="00CD577C"/>
    <w:pPr>
      <w:tabs>
        <w:tab w:val="center" w:pos="4535"/>
        <w:tab w:val="right" w:pos="9071"/>
      </w:tabs>
      <w:spacing w:before="240" w:after="240"/>
    </w:pPr>
    <w:rPr>
      <w:color w:val="010000"/>
      <w:sz w:val="22"/>
    </w:rPr>
  </w:style>
  <w:style w:type="character" w:styleId="Hyperlink">
    <w:name w:val="Hyperlink"/>
    <w:basedOn w:val="DefaultParagraphFont"/>
    <w:rsid w:val="00CD577C"/>
    <w:rPr>
      <w:color w:val="0563C1" w:themeColor="hyperlink"/>
      <w:u w:val="single"/>
    </w:rPr>
  </w:style>
  <w:style w:type="character" w:customStyle="1" w:styleId="NormalHanging12aChar">
    <w:name w:val="NormalHanging12a Char"/>
    <w:basedOn w:val="DefaultParagraphFont"/>
    <w:link w:val="NormalHanging12a"/>
    <w:locked/>
    <w:rsid w:val="00CD577C"/>
    <w:rPr>
      <w:sz w:val="24"/>
      <w:lang w:val="sk-SK"/>
    </w:rPr>
  </w:style>
  <w:style w:type="paragraph" w:customStyle="1" w:styleId="Normal6a">
    <w:name w:val="Normal6a"/>
    <w:basedOn w:val="Normal"/>
    <w:rsid w:val="00CD577C"/>
    <w:pPr>
      <w:spacing w:after="120"/>
    </w:pPr>
  </w:style>
  <w:style w:type="character" w:customStyle="1" w:styleId="Normal6Char">
    <w:name w:val="Normal6 Char"/>
    <w:basedOn w:val="DefaultParagraphFont"/>
    <w:link w:val="Normal6"/>
    <w:locked/>
    <w:rsid w:val="00CD577C"/>
    <w:rPr>
      <w:lang w:val="sk-SK"/>
    </w:rPr>
  </w:style>
  <w:style w:type="paragraph" w:customStyle="1" w:styleId="Normal6">
    <w:name w:val="Normal6"/>
    <w:basedOn w:val="Normal"/>
    <w:link w:val="Normal6Char"/>
    <w:rsid w:val="00CD577C"/>
    <w:pPr>
      <w:spacing w:after="120"/>
    </w:pPr>
    <w:rPr>
      <w:sz w:val="20"/>
    </w:rPr>
  </w:style>
  <w:style w:type="paragraph" w:styleId="Footer">
    <w:name w:val="footer"/>
    <w:basedOn w:val="Normal"/>
    <w:link w:val="FooterChar"/>
    <w:rsid w:val="0098064A"/>
    <w:pPr>
      <w:tabs>
        <w:tab w:val="center" w:pos="4513"/>
        <w:tab w:val="right" w:pos="9026"/>
      </w:tabs>
    </w:pPr>
  </w:style>
  <w:style w:type="character" w:customStyle="1" w:styleId="FooterChar">
    <w:name w:val="Footer Char"/>
    <w:basedOn w:val="DefaultParagraphFont"/>
    <w:link w:val="Footer"/>
    <w:rsid w:val="0098064A"/>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reg/2021/241/2024-03-01"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060/2024-06-30"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F7482-E67A-424D-99F7-7B2C7057F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7048</Words>
  <Characters>41826</Characters>
  <Application>Microsoft Office Word</Application>
  <DocSecurity>0</DocSecurity>
  <Lines>348</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2025-11-27T16:10:00Z</dcterms:created>
  <dcterms:modified xsi:type="dcterms:W3CDTF">2025-11-27T16:10:00Z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P10_TA(2025)0083_</vt:lpwstr>
  </property>
  <property fmtid="{D5CDD505-2E9C-101B-9397-08002B2CF9AE}" pid="4" name="&lt;Type&gt;">
    <vt:lpwstr>RR</vt:lpwstr>
  </property>
</Properties>
</file>