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C5798" w14:paraId="3A0C19AE" w14:textId="77777777" w:rsidTr="0010095E">
        <w:trPr>
          <w:trHeight w:hRule="exact" w:val="1418"/>
        </w:trPr>
        <w:tc>
          <w:tcPr>
            <w:tcW w:w="6804" w:type="dxa"/>
            <w:shd w:val="clear" w:color="auto" w:fill="auto"/>
            <w:vAlign w:val="center"/>
          </w:tcPr>
          <w:p w14:paraId="0197ADF5" w14:textId="77777777" w:rsidR="00751A4A" w:rsidRPr="00AC5798" w:rsidRDefault="00FA6E7C" w:rsidP="0010095E">
            <w:pPr>
              <w:pStyle w:val="EPName"/>
            </w:pPr>
            <w:r w:rsidRPr="00AC5798">
              <w:t>Европейски</w:t>
            </w:r>
            <w:r w:rsidR="002E1BBC" w:rsidRPr="00AC5798">
              <w:t xml:space="preserve"> парламент</w:t>
            </w:r>
          </w:p>
          <w:p w14:paraId="32F93804" w14:textId="77777777" w:rsidR="00751A4A" w:rsidRPr="00AC5798" w:rsidRDefault="005F1B17" w:rsidP="005F1B17">
            <w:pPr>
              <w:pStyle w:val="EPTerm"/>
              <w:rPr>
                <w:rStyle w:val="HideTWBExt"/>
                <w:noProof w:val="0"/>
                <w:vanish w:val="0"/>
                <w:color w:val="auto"/>
              </w:rPr>
            </w:pPr>
            <w:r w:rsidRPr="00AC5798">
              <w:t>2024</w:t>
            </w:r>
            <w:r w:rsidR="00FA6E7C" w:rsidRPr="00AC5798">
              <w:t> – </w:t>
            </w:r>
            <w:r w:rsidR="00817416" w:rsidRPr="00AC5798">
              <w:t>202</w:t>
            </w:r>
            <w:r w:rsidRPr="00AC5798">
              <w:t>9</w:t>
            </w:r>
          </w:p>
        </w:tc>
        <w:tc>
          <w:tcPr>
            <w:tcW w:w="2268" w:type="dxa"/>
            <w:shd w:val="clear" w:color="auto" w:fill="auto"/>
          </w:tcPr>
          <w:p w14:paraId="1DE6CB25" w14:textId="77777777" w:rsidR="00751A4A" w:rsidRPr="00AC5798" w:rsidRDefault="00187494" w:rsidP="0010095E">
            <w:pPr>
              <w:pStyle w:val="EPLogo"/>
            </w:pPr>
            <w:r w:rsidRPr="00AC5798">
              <w:rPr>
                <w:noProof/>
                <w:lang w:val="en-GB"/>
              </w:rPr>
              <w:drawing>
                <wp:inline distT="0" distB="0" distL="0" distR="0" wp14:anchorId="7F708785" wp14:editId="1B0BFC3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41F220" w14:textId="77777777" w:rsidR="00D058B8" w:rsidRPr="00AC5798" w:rsidRDefault="00D058B8" w:rsidP="004C5D52">
      <w:pPr>
        <w:pStyle w:val="LineTop"/>
      </w:pPr>
    </w:p>
    <w:p w14:paraId="65F2A9E9" w14:textId="77777777" w:rsidR="00680577" w:rsidRPr="00AC5798" w:rsidRDefault="002E1BBC" w:rsidP="00680577">
      <w:pPr>
        <w:pStyle w:val="EPBodyTA1"/>
      </w:pPr>
      <w:r w:rsidRPr="00AC5798">
        <w:t>ПРИЕТИ ТЕКСТОВЕ</w:t>
      </w:r>
    </w:p>
    <w:p w14:paraId="296D4C41" w14:textId="77777777" w:rsidR="00D058B8" w:rsidRPr="00AC5798" w:rsidRDefault="00D058B8" w:rsidP="00D058B8">
      <w:pPr>
        <w:pStyle w:val="LineBottom"/>
      </w:pPr>
    </w:p>
    <w:p w14:paraId="61130FB6" w14:textId="77777777" w:rsidR="002E1BBC" w:rsidRPr="00AC5798" w:rsidRDefault="002E1BBC" w:rsidP="002E1BBC">
      <w:pPr>
        <w:pStyle w:val="ATHeading1"/>
      </w:pPr>
      <w:bookmarkStart w:id="0" w:name="TANumber"/>
      <w:r w:rsidRPr="00AC5798">
        <w:t>P10_TA(2025)00</w:t>
      </w:r>
      <w:r w:rsidR="00032D84">
        <w:t>84</w:t>
      </w:r>
      <w:bookmarkEnd w:id="0"/>
    </w:p>
    <w:p w14:paraId="334E9881" w14:textId="77777777" w:rsidR="002E1BBC" w:rsidRPr="00AC5798" w:rsidRDefault="002E1BBC" w:rsidP="002E1BBC">
      <w:pPr>
        <w:pStyle w:val="ATHeading2"/>
      </w:pPr>
      <w:bookmarkStart w:id="1" w:name="title"/>
      <w:r w:rsidRPr="00AC5798">
        <w:t>Освобождаване от отговорност във връзка с изпълнението на бюджета за 2023 г.: Общ бюджет на ЕС – Европейски омбудсман</w:t>
      </w:r>
      <w:bookmarkEnd w:id="1"/>
    </w:p>
    <w:p w14:paraId="693D491A" w14:textId="77777777" w:rsidR="002E1BBC" w:rsidRPr="00AC5798" w:rsidRDefault="002E1BBC" w:rsidP="002E1BBC">
      <w:pPr>
        <w:rPr>
          <w:i/>
          <w:vanish/>
        </w:rPr>
      </w:pPr>
      <w:r w:rsidRPr="00AC5798">
        <w:rPr>
          <w:i/>
        </w:rPr>
        <w:fldChar w:fldCharType="begin"/>
      </w:r>
      <w:r w:rsidRPr="00AC5798">
        <w:rPr>
          <w:i/>
        </w:rPr>
        <w:instrText xml:space="preserve"> TC"(</w:instrText>
      </w:r>
      <w:bookmarkStart w:id="2" w:name="DocNumber"/>
      <w:r w:rsidRPr="00AC5798">
        <w:rPr>
          <w:i/>
        </w:rPr>
        <w:instrText>A10-0055/2025</w:instrText>
      </w:r>
      <w:bookmarkEnd w:id="2"/>
      <w:r w:rsidRPr="00AC5798">
        <w:rPr>
          <w:i/>
        </w:rPr>
        <w:instrText xml:space="preserve"> - Докладчик: Йоахим Станислав </w:instrText>
      </w:r>
      <w:proofErr w:type="spellStart"/>
      <w:r w:rsidRPr="00AC5798">
        <w:rPr>
          <w:i/>
        </w:rPr>
        <w:instrText>Бруджински</w:instrText>
      </w:r>
      <w:proofErr w:type="spellEnd"/>
      <w:r w:rsidRPr="00AC5798">
        <w:rPr>
          <w:i/>
        </w:rPr>
        <w:instrText xml:space="preserve">)"\l3 \n&gt; \* MERGEFORMAT </w:instrText>
      </w:r>
      <w:r w:rsidRPr="00AC5798">
        <w:rPr>
          <w:i/>
        </w:rPr>
        <w:fldChar w:fldCharType="end"/>
      </w:r>
    </w:p>
    <w:p w14:paraId="6F2A6C25" w14:textId="77777777" w:rsidR="002E1BBC" w:rsidRPr="00AC5798" w:rsidRDefault="002E1BBC" w:rsidP="002E1BBC">
      <w:pPr>
        <w:rPr>
          <w:vanish/>
        </w:rPr>
      </w:pPr>
      <w:bookmarkStart w:id="3" w:name="Commission"/>
      <w:r w:rsidRPr="00AC5798">
        <w:rPr>
          <w:vanish/>
        </w:rPr>
        <w:t>Комисия по бюджетен контрол</w:t>
      </w:r>
      <w:bookmarkEnd w:id="3"/>
    </w:p>
    <w:p w14:paraId="4983B164" w14:textId="77777777" w:rsidR="002E1BBC" w:rsidRPr="00AC5798" w:rsidRDefault="002E1BBC" w:rsidP="002E1BBC">
      <w:pPr>
        <w:rPr>
          <w:vanish/>
        </w:rPr>
      </w:pPr>
      <w:bookmarkStart w:id="4" w:name="PE"/>
      <w:r w:rsidRPr="00AC5798">
        <w:rPr>
          <w:vanish/>
        </w:rPr>
        <w:t>PE764.991</w:t>
      </w:r>
      <w:bookmarkEnd w:id="4"/>
    </w:p>
    <w:p w14:paraId="5C391D2C" w14:textId="77777777" w:rsidR="002E1BBC" w:rsidRPr="00AC5798" w:rsidRDefault="00AC12EF" w:rsidP="002E1BBC">
      <w:pPr>
        <w:pStyle w:val="ATHeading3"/>
      </w:pPr>
      <w:bookmarkStart w:id="5" w:name="Sujet"/>
      <w:r w:rsidRPr="00AC5798">
        <w:t xml:space="preserve">1. </w:t>
      </w:r>
      <w:r w:rsidR="002E1BBC" w:rsidRPr="00AC5798">
        <w:t xml:space="preserve">Решение на Европейския парламент от </w:t>
      </w:r>
      <w:r w:rsidR="00AC5798">
        <w:t>7 май</w:t>
      </w:r>
      <w:r w:rsidR="00AC5798" w:rsidRPr="00AC5798">
        <w:t xml:space="preserve"> </w:t>
      </w:r>
      <w:r w:rsidR="002E1BBC" w:rsidRPr="00AC5798">
        <w:t>2025 г. относно освобождаването от отговорност във връзка с изпълнението на общия бюджет на Европейския съюз за финансовата 2023 година, раздел VIII ‒ Европейски омбудсман</w:t>
      </w:r>
      <w:bookmarkEnd w:id="5"/>
      <w:r w:rsidR="002E1BBC" w:rsidRPr="00AC5798">
        <w:t xml:space="preserve"> </w:t>
      </w:r>
      <w:bookmarkStart w:id="6" w:name="References"/>
      <w:r w:rsidR="002E1BBC" w:rsidRPr="00AC5798">
        <w:t>(2024/2027(DEC))</w:t>
      </w:r>
      <w:bookmarkEnd w:id="6"/>
    </w:p>
    <w:p w14:paraId="162104A4" w14:textId="77777777" w:rsidR="00E36AE7" w:rsidRPr="00AC5798" w:rsidRDefault="00E36AE7" w:rsidP="00E36AE7">
      <w:pPr>
        <w:pStyle w:val="EPComma"/>
      </w:pPr>
      <w:bookmarkStart w:id="7" w:name="TextBodyBegin"/>
      <w:bookmarkEnd w:id="7"/>
      <w:r w:rsidRPr="00AC5798">
        <w:rPr>
          <w:i/>
          <w:iCs/>
        </w:rPr>
        <w:t>Европейският парламент</w:t>
      </w:r>
      <w:r w:rsidRPr="00AC5798">
        <w:t>,</w:t>
      </w:r>
    </w:p>
    <w:p w14:paraId="0BBBD163" w14:textId="77777777" w:rsidR="00E36AE7" w:rsidRPr="00AC5798" w:rsidRDefault="00E36AE7" w:rsidP="00AC12EF">
      <w:pPr>
        <w:pStyle w:val="NormalHanging12a"/>
        <w:widowControl/>
      </w:pPr>
      <w:r w:rsidRPr="00AC5798">
        <w:t>–</w:t>
      </w:r>
      <w:r w:rsidRPr="00AC5798">
        <w:tab/>
        <w:t>като взе предвид общия бюджет на Европейския съюз за финансовата 2023 година</w:t>
      </w:r>
      <w:r w:rsidRPr="00AC5798">
        <w:rPr>
          <w:rStyle w:val="FootnoteReference"/>
        </w:rPr>
        <w:footnoteReference w:id="1"/>
      </w:r>
      <w:r w:rsidRPr="00AC5798">
        <w:t>,</w:t>
      </w:r>
    </w:p>
    <w:p w14:paraId="3F5C7338" w14:textId="77777777" w:rsidR="00E36AE7" w:rsidRPr="00AC5798" w:rsidRDefault="00E36AE7" w:rsidP="00AC12EF">
      <w:pPr>
        <w:pStyle w:val="NormalHanging12a"/>
        <w:widowControl/>
      </w:pPr>
      <w:r w:rsidRPr="00AC5798">
        <w:t>–</w:t>
      </w:r>
      <w:r w:rsidRPr="00AC5798">
        <w:tab/>
        <w:t>като взе предвид консолидираните годишни отчети на Европейския съюз за финансовата 2023 година (COM(2024)0272 – (C10-0075/2024)</w:t>
      </w:r>
      <w:r w:rsidRPr="00AC5798">
        <w:rPr>
          <w:rStyle w:val="FootnoteReference"/>
        </w:rPr>
        <w:footnoteReference w:id="2"/>
      </w:r>
      <w:r w:rsidRPr="00AC5798">
        <w:t>,</w:t>
      </w:r>
    </w:p>
    <w:p w14:paraId="58BD0448" w14:textId="77777777" w:rsidR="00E36AE7" w:rsidRPr="00AC5798" w:rsidRDefault="00E36AE7" w:rsidP="00AC12EF">
      <w:pPr>
        <w:pStyle w:val="NormalHanging12a"/>
        <w:widowControl/>
      </w:pPr>
      <w:r w:rsidRPr="00AC5798">
        <w:t>–</w:t>
      </w:r>
      <w:r w:rsidRPr="00AC5798">
        <w:tab/>
        <w:t>като взе предвид годишния отчет за дейността на Европейския омбудсман за 2023 г. и доклада му за бюджетното и финансовото управление за финансовата 2023 година,</w:t>
      </w:r>
    </w:p>
    <w:p w14:paraId="665A2F4C" w14:textId="77777777" w:rsidR="00E36AE7" w:rsidRPr="00AC5798" w:rsidRDefault="00E36AE7" w:rsidP="00AC12EF">
      <w:pPr>
        <w:pStyle w:val="NormalHanging12a"/>
        <w:widowControl/>
      </w:pPr>
      <w:r w:rsidRPr="00AC5798">
        <w:t>–</w:t>
      </w:r>
      <w:r w:rsidRPr="00AC5798">
        <w:tab/>
        <w:t>като взе предвид годишния доклад на Сметната палата относно изпълнението на бюджета за финансовата 2023 година, придружен от отговорите на институциите</w:t>
      </w:r>
      <w:r w:rsidRPr="00AC5798">
        <w:rPr>
          <w:rStyle w:val="FootnoteReference"/>
        </w:rPr>
        <w:footnoteReference w:id="3"/>
      </w:r>
      <w:r w:rsidRPr="00AC5798">
        <w:t>,</w:t>
      </w:r>
    </w:p>
    <w:p w14:paraId="2CD55B17" w14:textId="77777777" w:rsidR="00E36AE7" w:rsidRPr="00AC5798" w:rsidRDefault="00E36AE7" w:rsidP="00AC12EF">
      <w:pPr>
        <w:pStyle w:val="NormalHanging12a"/>
        <w:widowControl/>
      </w:pPr>
      <w:r w:rsidRPr="00AC5798">
        <w:t>–</w:t>
      </w:r>
      <w:r w:rsidRPr="00AC5798">
        <w:tab/>
        <w:t>като взе предвид декларацията за достоверност</w:t>
      </w:r>
      <w:r w:rsidRPr="00AC5798">
        <w:rPr>
          <w:rStyle w:val="FootnoteReference"/>
        </w:rPr>
        <w:footnoteReference w:id="4"/>
      </w:r>
      <w:r w:rsidRPr="00AC5798">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10144B17" w14:textId="77777777" w:rsidR="00E36AE7" w:rsidRPr="00AC5798" w:rsidRDefault="00E36AE7" w:rsidP="00AC12EF">
      <w:pPr>
        <w:pStyle w:val="NormalHanging12a"/>
        <w:widowControl/>
      </w:pPr>
      <w:r w:rsidRPr="00AC5798">
        <w:t>–</w:t>
      </w:r>
      <w:r w:rsidRPr="00AC5798">
        <w:tab/>
        <w:t>като взе предвид член 314, параграф 10 и членове 317, 318 и 319 от Договора за функционирането на Европейския съюз,</w:t>
      </w:r>
    </w:p>
    <w:p w14:paraId="75915AA3" w14:textId="77777777" w:rsidR="00E36AE7" w:rsidRPr="00AC5798" w:rsidRDefault="00E36AE7" w:rsidP="00AC12EF">
      <w:pPr>
        <w:pStyle w:val="NormalHanging12a"/>
        <w:widowControl/>
      </w:pPr>
      <w:r w:rsidRPr="00AC5798">
        <w:lastRenderedPageBreak/>
        <w:t>–</w:t>
      </w:r>
      <w:r w:rsidRPr="00AC5798">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AC5798">
        <w:rPr>
          <w:vertAlign w:val="superscript"/>
        </w:rPr>
        <w:footnoteReference w:id="5"/>
      </w:r>
      <w:r w:rsidRPr="00AC5798">
        <w:t>, и по-специално членове 59, 118, 260, 261 и 262 от него,</w:t>
      </w:r>
    </w:p>
    <w:p w14:paraId="644F22A3" w14:textId="77777777" w:rsidR="00E36AE7" w:rsidRPr="00AC5798" w:rsidRDefault="00E36AE7" w:rsidP="00AC12EF">
      <w:pPr>
        <w:pStyle w:val="NormalHanging12a"/>
        <w:widowControl/>
      </w:pPr>
      <w:r w:rsidRPr="00AC5798">
        <w:t>–</w:t>
      </w:r>
      <w:r w:rsidRPr="00AC5798">
        <w:tab/>
        <w:t xml:space="preserve">като взе предвид </w:t>
      </w:r>
      <w:r w:rsidRPr="00AC5798">
        <w:rPr>
          <w:shd w:val="clear" w:color="auto" w:fill="FFFFFF"/>
        </w:rPr>
        <w:t>Регламент (ЕС, Евратом) 2024/2509 на Европейския парламент и на Съвета от 23 септември 2024 г. за финансовите правила, приложими за общия бюджет на Съюза</w:t>
      </w:r>
      <w:r w:rsidRPr="00AC5798">
        <w:rPr>
          <w:rStyle w:val="FootnoteReference"/>
          <w:bCs/>
          <w:szCs w:val="24"/>
          <w:shd w:val="clear" w:color="auto" w:fill="FFFFFF"/>
        </w:rPr>
        <w:footnoteReference w:id="6"/>
      </w:r>
      <w:r w:rsidRPr="00AC5798">
        <w:rPr>
          <w:shd w:val="clear" w:color="auto" w:fill="FFFFFF"/>
        </w:rPr>
        <w:t>, и по-специално членове 59, 118, 266, 267 и 268 от него</w:t>
      </w:r>
      <w:r w:rsidRPr="00AC5798">
        <w:t>,</w:t>
      </w:r>
    </w:p>
    <w:p w14:paraId="4AF0B822" w14:textId="77777777" w:rsidR="00E36AE7" w:rsidRPr="00AC5798" w:rsidRDefault="00E36AE7" w:rsidP="00AC12EF">
      <w:pPr>
        <w:pStyle w:val="NormalHanging12a"/>
        <w:widowControl/>
      </w:pPr>
      <w:r w:rsidRPr="00AC5798">
        <w:t>–</w:t>
      </w:r>
      <w:r w:rsidRPr="00AC5798">
        <w:tab/>
        <w:t>като взе предвид член 102 и приложение V към своя Правилник за дейността,</w:t>
      </w:r>
    </w:p>
    <w:p w14:paraId="0FD4BFEE" w14:textId="77777777" w:rsidR="00E36AE7" w:rsidRPr="00AC5798" w:rsidRDefault="00E36AE7" w:rsidP="00AC12EF">
      <w:pPr>
        <w:pStyle w:val="NormalHanging12a"/>
        <w:widowControl/>
      </w:pPr>
      <w:r w:rsidRPr="00AC5798">
        <w:t>–</w:t>
      </w:r>
      <w:r w:rsidRPr="00AC5798">
        <w:tab/>
        <w:t>като взе предвид доклада на комисията по бюджетен контрол (A10-0055/2025),</w:t>
      </w:r>
    </w:p>
    <w:p w14:paraId="6FD3BD30" w14:textId="77777777" w:rsidR="00E36AE7" w:rsidRPr="00AC5798" w:rsidRDefault="00E36AE7" w:rsidP="00AC12EF">
      <w:pPr>
        <w:pStyle w:val="NormalHanging12a"/>
        <w:widowControl/>
      </w:pPr>
      <w:r w:rsidRPr="00AC5798">
        <w:t>1.</w:t>
      </w:r>
      <w:r w:rsidRPr="00AC5798">
        <w:tab/>
        <w:t>освобождава от отговорност Европейския омбудсман във връзка с изпълнението на бюджета на Европейския омбудсман за финансовата 2023 година;</w:t>
      </w:r>
    </w:p>
    <w:p w14:paraId="290DCF54" w14:textId="77777777" w:rsidR="00E36AE7" w:rsidRPr="00AC5798" w:rsidRDefault="00E36AE7" w:rsidP="00AC12EF">
      <w:pPr>
        <w:pStyle w:val="NormalHanging12a"/>
        <w:widowControl/>
      </w:pPr>
      <w:r w:rsidRPr="00AC5798">
        <w:t>2.</w:t>
      </w:r>
      <w:r w:rsidRPr="00AC5798">
        <w:tab/>
        <w:t>представя своите забележки в резолюцията по-долу;</w:t>
      </w:r>
    </w:p>
    <w:p w14:paraId="11D78AC8" w14:textId="77777777" w:rsidR="00E36AE7" w:rsidRPr="00AC5798" w:rsidRDefault="00E36AE7" w:rsidP="00AC12EF">
      <w:pPr>
        <w:pStyle w:val="NormalHanging12a"/>
        <w:widowControl/>
        <w:sectPr w:rsidR="00E36AE7" w:rsidRPr="00AC5798" w:rsidSect="00BD42D6">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r w:rsidRPr="00AC5798">
        <w:t>3.</w:t>
      </w:r>
      <w:r w:rsidRPr="00AC5798">
        <w:tab/>
        <w:t xml:space="preserve">възлага на своя председател да предаде настоящото решение, както и резолюцията, която е неразделна част от него, на Европейския омбудсман, Европейския съвет, Съвета, Комисията, Сметната палата, Съда на Европейския съюз, Европейския надзорен орган по защита на данните и Европейската служба за външна дейност и да осигури публикуването им в </w:t>
      </w:r>
      <w:r w:rsidRPr="00AC5798">
        <w:rPr>
          <w:i/>
          <w:iCs/>
        </w:rPr>
        <w:t>Официален вестник на Европейския съюз</w:t>
      </w:r>
      <w:r w:rsidRPr="00AC5798">
        <w:t xml:space="preserve"> (серия L).</w:t>
      </w:r>
    </w:p>
    <w:p w14:paraId="14F3D627" w14:textId="77777777" w:rsidR="00E36AE7" w:rsidRPr="00AC5798" w:rsidRDefault="00E36AE7" w:rsidP="00AC12EF">
      <w:pPr>
        <w:pStyle w:val="ATHeading3"/>
      </w:pPr>
      <w:bookmarkStart w:id="8" w:name="_Toc195702204"/>
      <w:r w:rsidRPr="00AC5798">
        <w:lastRenderedPageBreak/>
        <w:t xml:space="preserve">2. </w:t>
      </w:r>
      <w:r w:rsidR="00AC12EF" w:rsidRPr="00AC5798">
        <w:t xml:space="preserve">Резолюция на Европейския парламент от </w:t>
      </w:r>
      <w:r w:rsidR="00AC5798">
        <w:t>7 май</w:t>
      </w:r>
      <w:r w:rsidR="00AC5798" w:rsidRPr="00AC5798">
        <w:t xml:space="preserve"> </w:t>
      </w:r>
      <w:r w:rsidR="00AC12EF" w:rsidRPr="00AC5798">
        <w:t xml:space="preserve">2025 г., </w:t>
      </w:r>
      <w:bookmarkEnd w:id="8"/>
      <w:r w:rsidRPr="00AC5798">
        <w:t>съдържащ</w:t>
      </w:r>
      <w:r w:rsidR="00FA6E7C" w:rsidRPr="00AC5798">
        <w:t>а</w:t>
      </w:r>
      <w:r w:rsidRPr="00AC5798">
        <w:t xml:space="preserve"> забележките, които са неразделна част от решението за освобождаване от отговорност във връзка с изпълнението на общия бюджет на Европейския съюз за финансовата 2023 година, раздел VIII – Европейски омбудсман</w:t>
      </w:r>
      <w:r w:rsidR="00AC12EF" w:rsidRPr="00AC5798">
        <w:t xml:space="preserve"> </w:t>
      </w:r>
      <w:r w:rsidRPr="00AC5798">
        <w:t>(2024/2027(DEC))</w:t>
      </w:r>
    </w:p>
    <w:p w14:paraId="696B522F" w14:textId="77777777" w:rsidR="00E36AE7" w:rsidRPr="00AC5798" w:rsidRDefault="00E36AE7" w:rsidP="00E36AE7">
      <w:pPr>
        <w:pStyle w:val="EPComma"/>
      </w:pPr>
      <w:r w:rsidRPr="00AC5798">
        <w:rPr>
          <w:i/>
          <w:iCs/>
        </w:rPr>
        <w:t>Европейският парламент</w:t>
      </w:r>
      <w:r w:rsidRPr="00AC5798">
        <w:t>,</w:t>
      </w:r>
    </w:p>
    <w:p w14:paraId="553CC1DE" w14:textId="77777777" w:rsidR="00E36AE7" w:rsidRPr="00AC5798" w:rsidRDefault="00E36AE7" w:rsidP="00AC12EF">
      <w:pPr>
        <w:pStyle w:val="NormalHanging12a"/>
        <w:widowControl/>
      </w:pPr>
      <w:r w:rsidRPr="00AC5798">
        <w:t>–</w:t>
      </w:r>
      <w:r w:rsidRPr="00AC5798">
        <w:tab/>
        <w:t>като взе предвид своето решение за освобождаване от отговорност във връзка с изпълнението на общия бюджет на Европейския съюз за финансовата 2023 година, раздел VIII ‒ Европейски омбудсман,</w:t>
      </w:r>
    </w:p>
    <w:p w14:paraId="16E657F7" w14:textId="77777777" w:rsidR="00E36AE7" w:rsidRPr="00AC5798" w:rsidRDefault="00E36AE7" w:rsidP="00AC12EF">
      <w:pPr>
        <w:pStyle w:val="NormalHanging12a"/>
        <w:widowControl/>
      </w:pPr>
      <w:r w:rsidRPr="00AC5798">
        <w:t>–</w:t>
      </w:r>
      <w:r w:rsidRPr="00AC5798">
        <w:tab/>
        <w:t>като взе предвид член 102 и приложение V към своя Правилник за дейността,</w:t>
      </w:r>
    </w:p>
    <w:p w14:paraId="1DC94AF1" w14:textId="77777777" w:rsidR="00E36AE7" w:rsidRPr="00AC5798" w:rsidRDefault="00E36AE7" w:rsidP="00AC12EF">
      <w:pPr>
        <w:pStyle w:val="NormalHanging12a"/>
        <w:widowControl/>
      </w:pPr>
      <w:r w:rsidRPr="00AC5798">
        <w:t>–</w:t>
      </w:r>
      <w:r w:rsidRPr="00AC5798">
        <w:tab/>
        <w:t>като взе предвид доклада на комисията по бюджетен контрол (A10-0055/2025),</w:t>
      </w:r>
    </w:p>
    <w:p w14:paraId="4E4CB978" w14:textId="77777777" w:rsidR="00E36AE7" w:rsidRPr="00AC5798" w:rsidRDefault="00E36AE7" w:rsidP="00AC12EF">
      <w:pPr>
        <w:pStyle w:val="NormalHanging12a"/>
        <w:widowControl/>
      </w:pPr>
      <w:r w:rsidRPr="00AC5798">
        <w:t>А.</w:t>
      </w:r>
      <w:r w:rsidRPr="00AC5798">
        <w:tab/>
        <w:t>като има предвид, че в контекста на процедурата по освобождаване от отговорност органът по освобождаване от отговорност желае да подчертае особеното значение на по-нататъшното укрепване на демократичната легитимност на институциите на Съюза чрез повишаване на прозрачността и отчетността и прилагане на концепцията за бюджетиране, основано на изпълнението, както и добро управление на човешките ресурси;</w:t>
      </w:r>
    </w:p>
    <w:p w14:paraId="70741A17" w14:textId="77777777" w:rsidR="00E36AE7" w:rsidRPr="00AC5798" w:rsidRDefault="00E36AE7" w:rsidP="00AC12EF">
      <w:pPr>
        <w:pStyle w:val="NormalHanging12a"/>
        <w:widowControl/>
      </w:pPr>
      <w:r w:rsidRPr="00AC5798">
        <w:t>Б.</w:t>
      </w:r>
      <w:r w:rsidRPr="00AC5798">
        <w:tab/>
        <w:t>като има предвид, че член 228 от Договора за функционирането на Европейския съюз предвижда избирането на Европейски омбудсман („Омбудсмана“) от Европейския парламент, който е оправомощен да получава жалби от всеки гражданин на Съюза или от всяко физическо или юридическо лице, с пребиваване или седалище в някоя от държавите членки, относно случаи на лошо администриране в действията на институциите, органите, службите или агенциите на Съюза, с изключение на Съда на Европейския съюз при изпълнение на неговите функции, както и да разглежда тези жалби и да докладва за тях;</w:t>
      </w:r>
    </w:p>
    <w:p w14:paraId="3119DAF8" w14:textId="0A0C2B26" w:rsidR="00E36AE7" w:rsidRPr="00AC5798" w:rsidRDefault="00E36AE7" w:rsidP="00AC12EF">
      <w:pPr>
        <w:pStyle w:val="NormalHanging12a"/>
        <w:widowControl/>
      </w:pPr>
      <w:r w:rsidRPr="00AC5798">
        <w:t>В.</w:t>
      </w:r>
      <w:r w:rsidRPr="00AC5798">
        <w:tab/>
        <w:t>като има предвид, че с Регламент (ЕС, Евратом) 2021/1163 на Европейския парламент</w:t>
      </w:r>
      <w:r w:rsidRPr="00AC5798">
        <w:rPr>
          <w:rStyle w:val="FootnoteReference"/>
        </w:rPr>
        <w:footnoteReference w:id="7"/>
      </w:r>
      <w:r w:rsidRPr="00AC5798">
        <w:t xml:space="preserve"> се установяват правилата и общите условия за изпълнението на функциите на Омбудсмана (Устав на Европейския омбудсман);</w:t>
      </w:r>
    </w:p>
    <w:p w14:paraId="47F22440" w14:textId="77777777" w:rsidR="00E36AE7" w:rsidRPr="00AC5798" w:rsidRDefault="00E36AE7" w:rsidP="00AC12EF">
      <w:pPr>
        <w:pStyle w:val="NormalHanging12a"/>
        <w:widowControl/>
      </w:pPr>
      <w:r w:rsidRPr="00AC5798">
        <w:t>Г.</w:t>
      </w:r>
      <w:r w:rsidRPr="00AC5798">
        <w:tab/>
        <w:t xml:space="preserve">като има предвид, че </w:t>
      </w:r>
      <w:r w:rsidRPr="00AC5798">
        <w:rPr>
          <w:shd w:val="clear" w:color="auto" w:fill="FFFFFF"/>
        </w:rPr>
        <w:t>след приемането на Регламент (ЕС, Евратом) 2021/1163</w:t>
      </w:r>
      <w:r w:rsidRPr="00AC5798">
        <w:t>, Омбудсманът прие на 21 юни 2023 г. преразгледаните разпоредби за неговото прилагане</w:t>
      </w:r>
      <w:r w:rsidRPr="00AC5798">
        <w:rPr>
          <w:rStyle w:val="FootnoteReference"/>
        </w:rPr>
        <w:footnoteReference w:id="8"/>
      </w:r>
      <w:r w:rsidRPr="00AC5798">
        <w:t>;</w:t>
      </w:r>
    </w:p>
    <w:p w14:paraId="2F658205" w14:textId="77777777" w:rsidR="00E36AE7" w:rsidRPr="00AC5798" w:rsidRDefault="00E36AE7" w:rsidP="00AC12EF">
      <w:pPr>
        <w:pStyle w:val="NormalHanging12a"/>
        <w:widowControl/>
      </w:pPr>
      <w:r w:rsidRPr="00AC5798">
        <w:t>1.</w:t>
      </w:r>
      <w:r w:rsidRPr="00AC5798">
        <w:tab/>
        <w:t xml:space="preserve">отбелязва, че бюджетът на Омбудсмана попада в обхвата на функция 7 от МФР „Европейска публична администрация“, която през 2023 г. възлиза на общо 12,3 милиарда евро, т.е. 6,4% от бюджетните разходи на Съюза; отбелязва, че </w:t>
      </w:r>
      <w:r w:rsidRPr="00AC5798">
        <w:lastRenderedPageBreak/>
        <w:t>бюджетът на Омбудсмана съставлява 0,11% от бюджетните кредити по функция 7 от МФР;</w:t>
      </w:r>
    </w:p>
    <w:p w14:paraId="6439BA54" w14:textId="77777777" w:rsidR="00E36AE7" w:rsidRPr="00AC5798" w:rsidRDefault="00E36AE7" w:rsidP="00AC12EF">
      <w:pPr>
        <w:pStyle w:val="NormalHanging12a"/>
        <w:widowControl/>
      </w:pPr>
      <w:r w:rsidRPr="00AC5798">
        <w:t>2.</w:t>
      </w:r>
      <w:r w:rsidRPr="00AC5798">
        <w:tab/>
        <w:t xml:space="preserve">отбелязва, че в своя годишен доклад за финансовата 2023 година Сметната палата („Палатата“) посочва, че е проверила извадка от 70 операции по функция „Европейска публична администрация“, от които 21 операции (30%) съдържат грешки; отбелязва освен това, че за пет от тези грешки, </w:t>
      </w:r>
      <w:proofErr w:type="spellStart"/>
      <w:r w:rsidRPr="00AC5798">
        <w:t>остойностени</w:t>
      </w:r>
      <w:proofErr w:type="spellEnd"/>
      <w:r w:rsidRPr="00AC5798">
        <w:t xml:space="preserve"> от Палатата, тя е изчислила процент на грешки под прага на същественост; отбелязва със задоволство, че в доклада на Палатата за 2023 г. тя не е установила никакви значителни проблеми, засягащи Омбудсмана;</w:t>
      </w:r>
    </w:p>
    <w:p w14:paraId="15AE116B" w14:textId="77777777" w:rsidR="00E36AE7" w:rsidRPr="00AC5798" w:rsidRDefault="00E36AE7" w:rsidP="00AC12EF">
      <w:pPr>
        <w:pStyle w:val="NormalHanging12a"/>
        <w:widowControl/>
      </w:pPr>
      <w:r w:rsidRPr="00AC5798">
        <w:t>3.</w:t>
      </w:r>
      <w:r w:rsidRPr="00AC5798">
        <w:tab/>
        <w:t>отбелязва от доклада на Палатата нейните наблюдения за това, че административните разходи включват разходи за човешки ресурси, в т.ч. и пенсии, които през 2023 г. са били около 70% от всички административни разходи, както и разходи за сгради, оборудване, енергия, комуникации и информационни технологии; приветства факта, че както и през предходните години, Палатата е заключила, че административните разходи като цяло се характеризират с ниско ниво на риск;</w:t>
      </w:r>
    </w:p>
    <w:p w14:paraId="51DEF4BC" w14:textId="77777777" w:rsidR="00E36AE7" w:rsidRPr="00AC5798" w:rsidRDefault="00E36AE7" w:rsidP="00AC12EF">
      <w:pPr>
        <w:pStyle w:val="NormalHanging12a"/>
        <w:widowControl/>
        <w:rPr>
          <w:b/>
          <w:i/>
        </w:rPr>
      </w:pPr>
      <w:r w:rsidRPr="00AC5798">
        <w:rPr>
          <w:b/>
          <w:i/>
        </w:rPr>
        <w:t>Бюджетно и финансово управление</w:t>
      </w:r>
    </w:p>
    <w:p w14:paraId="715FB958" w14:textId="77777777" w:rsidR="00E36AE7" w:rsidRPr="00AC5798" w:rsidRDefault="00E36AE7" w:rsidP="00AC12EF">
      <w:pPr>
        <w:pStyle w:val="NormalHanging12a"/>
        <w:widowControl/>
      </w:pPr>
      <w:r w:rsidRPr="00AC5798">
        <w:t>4.</w:t>
      </w:r>
      <w:r w:rsidRPr="00AC5798">
        <w:tab/>
        <w:t>отбелязва, че през 2023 г. бюджетът на Омбудсмана възлиза на 13 212 447 EUR, което представлява увеличение с 990 339 EUR (т.е. +8,1%) спрямо 2022 г.; отбелязва въз основа на отговорите на Омбудсмана на въпросника, предоставен от комисията по бюджетен контрол във връзка с освобождаването от отговорност за 2023 г. („въпросника“), че това увеличение се дължи главно на корекциите на заплатите и на две допълнителни длъжности, които са били необходими за укрепване на основните дейности на Омбудсмана;</w:t>
      </w:r>
    </w:p>
    <w:p w14:paraId="00565823" w14:textId="77777777" w:rsidR="00E36AE7" w:rsidRPr="00AC5798" w:rsidRDefault="00E36AE7" w:rsidP="00AC12EF">
      <w:pPr>
        <w:pStyle w:val="NormalHanging12a"/>
        <w:widowControl/>
      </w:pPr>
      <w:r w:rsidRPr="00AC5798">
        <w:t>5.</w:t>
      </w:r>
      <w:r w:rsidRPr="00AC5798">
        <w:tab/>
        <w:t>отбелязва, че усилията за контрол на бюджета през финансовата 2023 година са довели до степен на изпълнение на бюджета от 95,39%, което представлява намаление с 1,58% в сравнение с 2022 г.; отбелязва, че степента на изпълнение за бюджетните кредити за плащания за текущата година е била 97,58%, което представлява увеличение с 1,31% спрямо 2022 г., като това е довело до намаляване на автоматичните преноси от 3,73% (или 442 209 EUR) през 2002 г. на 2,42% (или 304 550 EUR) през 2023 г.; въпреки това изразява съжаление за по-ниската степен на изпълнение във връзка с автоматичните преноси на бюджетни кредити от предходната година, която през 2023 г. е била 73,27% спрямо 92,59% през 2022 г.; призовава за извършване на подобрения в това отношение;</w:t>
      </w:r>
    </w:p>
    <w:p w14:paraId="0B7FF13D" w14:textId="77777777" w:rsidR="00E36AE7" w:rsidRPr="00AC5798" w:rsidRDefault="00E36AE7" w:rsidP="00AC12EF">
      <w:pPr>
        <w:pStyle w:val="NormalHanging12a"/>
        <w:widowControl/>
      </w:pPr>
      <w:r w:rsidRPr="00AC5798">
        <w:t>6.</w:t>
      </w:r>
      <w:r w:rsidRPr="00AC5798">
        <w:tab/>
        <w:t>отбелязва, че през 2023 г. Омбудсманът е извършил девет бюджетни трансфера по член 29 от Финансовия регламент, възлизащи общо на 241 150 EUR, или 1,8% от бюджетните кредити за посочената финансова година, спрямо 2,8% през 2022 г.; отбелязва, че тези трансфери са били необходими за увеличаване на средствата по различни бюджетни редове, например за обзавеждане, сигурност и наблюдение на сградите, цифровизация на архивите или информатика; отбелязва в този контекст, че разходите за информационни технологии са се увеличили с 41% – от 159 714 EUR през 2022 г. на 224 698 EUR през 2023 г.;</w:t>
      </w:r>
    </w:p>
    <w:p w14:paraId="46565F51" w14:textId="77777777" w:rsidR="00E36AE7" w:rsidRPr="00AC5798" w:rsidRDefault="00E36AE7" w:rsidP="00AC12EF">
      <w:pPr>
        <w:pStyle w:val="NormalHanging12a"/>
        <w:widowControl/>
      </w:pPr>
      <w:r w:rsidRPr="00AC5798">
        <w:t>7.</w:t>
      </w:r>
      <w:r w:rsidRPr="00AC5798">
        <w:tab/>
        <w:t xml:space="preserve">отбелязва допълнителното увеличение, за трета поредна година, на средното време, необходимо за извършване на плащанията; признава, че въпреки по-дългия </w:t>
      </w:r>
      <w:r w:rsidRPr="00AC5798">
        <w:lastRenderedPageBreak/>
        <w:t>срок за извършване на плащанията (от 11,35 дни през 2021 г. на 13,50 дни през 2023 г.), средният срок за плащанията продължава да бъде относително кратък и е под нормативно определения максимален срок за извършване на плащанията (30 дни); в тази връзка приветства факта, че Омбудсманът междувременно е въвел напълно система за електронно фактуриране, която следва да подобри допълнително ефективността на процеса за извършване на плащанията, считано от 2024 г.;</w:t>
      </w:r>
    </w:p>
    <w:p w14:paraId="7A938A71" w14:textId="77777777" w:rsidR="00E36AE7" w:rsidRPr="00AC5798" w:rsidRDefault="00E36AE7" w:rsidP="00AC12EF">
      <w:pPr>
        <w:pStyle w:val="NormalHanging12a"/>
        <w:widowControl/>
      </w:pPr>
      <w:r w:rsidRPr="00AC5798">
        <w:t>8.</w:t>
      </w:r>
      <w:r w:rsidRPr="00AC5798">
        <w:tab/>
        <w:t>отбелязва, че през 2023 г. Европейският парламент не предвиди за Омбудсмана никакво значително увеличение на наема и на фиксираните такси за сгради, което позволи на Омбудсмана да намали средствата по своя бюджетен ред за наеми с 8,06%, за да подсили други бюджетни редове през 2023 г.; отбелязва обаче, че за 2024 г. Омбудсманът очаква увеличение на разходите за сгради със 170% (или 122 260 EUR);</w:t>
      </w:r>
    </w:p>
    <w:p w14:paraId="093314C7" w14:textId="77777777" w:rsidR="00E36AE7" w:rsidRPr="00AC5798" w:rsidRDefault="00E36AE7" w:rsidP="00AC12EF">
      <w:pPr>
        <w:pStyle w:val="NormalHanging12a"/>
        <w:widowControl/>
      </w:pPr>
      <w:r w:rsidRPr="00AC5798">
        <w:t>9.</w:t>
      </w:r>
      <w:r w:rsidRPr="00AC5798">
        <w:tab/>
        <w:t>приветства факта, че бюджетът за командировки на служителите е намалял от 120 000 EUR през 2022 г. на 100 000 EUR през 2023 г. благодарение на широкото използване на оборудването за видеоконферентни връзки на двете работни места; в тази връзка приветства Омбудсмана за намаляването на бюджета за командировки на служителите за четвърта поредна година; отбелязва, че през 2023 г. бюджетът за командировки и пътувания на Омбудсмана е останал същият, както и през предходните години (2021 г. и 2022 г.), т.е. 35 000 EUR;</w:t>
      </w:r>
    </w:p>
    <w:p w14:paraId="07B0D65C" w14:textId="77777777" w:rsidR="00E36AE7" w:rsidRPr="00AC5798" w:rsidRDefault="00E36AE7" w:rsidP="00AC12EF">
      <w:pPr>
        <w:pStyle w:val="NormalHanging12a"/>
        <w:widowControl/>
        <w:rPr>
          <w:b/>
          <w:i/>
        </w:rPr>
      </w:pPr>
      <w:r w:rsidRPr="00AC5798">
        <w:rPr>
          <w:b/>
          <w:i/>
        </w:rPr>
        <w:t>Вътрешно управление, резултати от дейността и вътрешен контрол</w:t>
      </w:r>
    </w:p>
    <w:p w14:paraId="261C4683" w14:textId="77777777" w:rsidR="00E36AE7" w:rsidRPr="00AC5798" w:rsidRDefault="00E36AE7" w:rsidP="00AC12EF">
      <w:pPr>
        <w:pStyle w:val="NormalHanging12a"/>
        <w:widowControl/>
      </w:pPr>
      <w:r w:rsidRPr="00AC5798">
        <w:t>10.</w:t>
      </w:r>
      <w:r w:rsidRPr="00AC5798">
        <w:tab/>
        <w:t>отбелязва, че Омбудсманът е обвързал целите на високо равнище на своята стратегия „С поглед към 2024 г.“ с девет ключови показатели за ефективност (КПЕ), включващи 19 компонента, както е посочено в годишния план за управление на Омбудсмана за 2023 г.; отбелязва, че през 2023 г. 14 от тези компоненти на КПЕ бяха достигнати или надхвърлени;</w:t>
      </w:r>
    </w:p>
    <w:p w14:paraId="25C9E72F" w14:textId="77777777" w:rsidR="00E36AE7" w:rsidRPr="00AC5798" w:rsidRDefault="00E36AE7" w:rsidP="00AC12EF">
      <w:pPr>
        <w:pStyle w:val="NormalHanging12a"/>
        <w:widowControl/>
      </w:pPr>
      <w:r w:rsidRPr="00AC5798">
        <w:t>11.</w:t>
      </w:r>
      <w:r w:rsidRPr="00AC5798">
        <w:tab/>
        <w:t>отбелязва общо увеличение на работното натоварване на Омбудсмана в сравнение с предходната година, като през 2023 г. Омбудсманът е разгледал 2 392 нови жалби (2 223 през 2022 г.), започнал е 398 проверки (348 през 2022 г.), включително 56 проверки от обществено значение (60 през 2022 г.), приключил е 372 проверки (330 през 2022 г.) и е разгледал рекорден брой жалби за публичен достъп, който се е увеличил от 117 през 2022 г. на рекордния брой от 167 жалби през 2023 г., 118 от които бяха последвани от разследване; приветства в този контекст Омбудсмана за повишаването на неговата ефективност през 2023 г. с цел намаляване на броя на подаваните жалби чрез опростяване на работата по проверките във връзка с „липсата на отговор“ и рационализиране на разглеждането на жалби „извън правомощията“ и на исканията за информация; призовава Омбудсмана да работи за по-целенасочена комуникация с цел преодоляване на този проблем в бъдеще; приветства усилията на Омбудсмана за продължаване на рационализирането и опростяването на процеса през следващите години;</w:t>
      </w:r>
    </w:p>
    <w:p w14:paraId="4DB6B683" w14:textId="77777777" w:rsidR="00E36AE7" w:rsidRPr="00AC5798" w:rsidRDefault="00E36AE7" w:rsidP="00AC12EF">
      <w:pPr>
        <w:pStyle w:val="NormalHanging12a"/>
        <w:widowControl/>
      </w:pPr>
      <w:r w:rsidRPr="00AC5798">
        <w:t>12.</w:t>
      </w:r>
      <w:r w:rsidRPr="00AC5798">
        <w:tab/>
        <w:t xml:space="preserve">приветства Омбудсмана за това, че е съкратил времето, необходимо за обработката на досиета на различни нива от процедурата, като например необходимото време за определяне на допустимостта (от 16 дни през 2022 г. на 11 дни през 2023 г.), или средното време, необходимо за приключването на случаи </w:t>
      </w:r>
      <w:r w:rsidRPr="00AC5798">
        <w:lastRenderedPageBreak/>
        <w:t>във връзка с предоставянето на публичен достъп до документи (от 46 дни през 2022 г. на 42 дни през 2023 г.); все пак изразява съжаление за това, че през 2023 г. средният срок за извършване на проверка продължава да бъде дълъг (165 дни); въпреки това разбира обяснението на Омбудсмана, че тази средна стойност е била повлияна от забавеното приключване на проверките поради повторния обмен на информация със съответните институции;</w:t>
      </w:r>
    </w:p>
    <w:p w14:paraId="7584A185" w14:textId="77777777" w:rsidR="00E36AE7" w:rsidRPr="00AC5798" w:rsidRDefault="00E36AE7" w:rsidP="00AC12EF">
      <w:pPr>
        <w:pStyle w:val="NormalHanging12a"/>
        <w:widowControl/>
      </w:pPr>
      <w:r w:rsidRPr="00AC5798">
        <w:t>13.</w:t>
      </w:r>
      <w:r w:rsidRPr="00AC5798">
        <w:tab/>
        <w:t>отбелязва освен това подобрение във връзка с положителните отговори от страна на европейските институции на предложенията на Омбудсмана за подобряване на тяхната администрация, с общ процент на приемане от 81% през 2023 г. (спрямо 79% през 2022 г.); призовава Омбудсмана да продължи да работи за постигане на по-добро прилагане на неговите констатации, препоръки и предложения;</w:t>
      </w:r>
    </w:p>
    <w:p w14:paraId="7C3554AA" w14:textId="77777777" w:rsidR="00E36AE7" w:rsidRPr="00AC5798" w:rsidRDefault="00E36AE7" w:rsidP="00AC12EF">
      <w:pPr>
        <w:pStyle w:val="NormalHanging12a"/>
        <w:widowControl/>
      </w:pPr>
      <w:r w:rsidRPr="00AC5798">
        <w:t>14.</w:t>
      </w:r>
      <w:r w:rsidRPr="00AC5798">
        <w:tab/>
        <w:t>признава усилията, положени от Омбудсмана през 2023 г. за повишаване на осведомеността и разбирането за неговия мандат; в този контекст отбелязва със задоволство увеличението с 20% на броя на жалбите, подадени по време на неговия мандат – от 740 през 2022 г. на 885 през 2023 г., както и увеличението на дела на този вид жалби – от 33% през 2022 г. на 37% през 2023 г.;</w:t>
      </w:r>
    </w:p>
    <w:p w14:paraId="24FDE696" w14:textId="77777777" w:rsidR="00E36AE7" w:rsidRPr="00AC5798" w:rsidRDefault="00E36AE7" w:rsidP="00AC12EF">
      <w:pPr>
        <w:pStyle w:val="NormalHanging12a"/>
        <w:widowControl/>
      </w:pPr>
      <w:r w:rsidRPr="00AC5798">
        <w:t>15.</w:t>
      </w:r>
      <w:r w:rsidRPr="00AC5798">
        <w:tab/>
        <w:t>признава положените усилия и положителното въздействие на Омбудсмана във връзка с етиката, прозрачността и отчетността през 2023 г., по-специално в резултат на проверките за публичния достъп до документи и конфликтите на интереси, засягащи различни институции и агенции на Съюза или Европейската инвестиционна банка; изразява задоволство от специалния доклад на Омбудсмана, който беше публикуван през септември 2023 г., относно забавянията на Комисията при разглеждането на искания за достъп до документи;</w:t>
      </w:r>
    </w:p>
    <w:p w14:paraId="3B83C077" w14:textId="77777777" w:rsidR="00E36AE7" w:rsidRPr="00AC5798" w:rsidRDefault="00E36AE7" w:rsidP="00AC12EF">
      <w:pPr>
        <w:pStyle w:val="NormalHanging12a"/>
        <w:widowControl/>
      </w:pPr>
      <w:r w:rsidRPr="00AC5798">
        <w:t>16.</w:t>
      </w:r>
      <w:r w:rsidRPr="00AC5798">
        <w:tab/>
        <w:t>отбелязва въз основа на доклада на Омбудсмана до органа по освобождаване от отговорност, озаглавен „Доклад относно последващите действия във връзка с освобождаването от отговорност за финансовата 2022 година“, проблемите, които се наблюдават във връзка с Механизма за възстановяване и устойчивост (МВУ), а именно значителните забавяния на Европейската комисия при даването на отговор на исканията за достъп до информация, и по-специално забавеното публикуване от държавите членки на информация за най-големите получатели на средства от МВУ, което подкопава прозрачността, както и във връзка със съображенията, въз основа на които Комисията определя нивото за предоставяне на публичен достъп до документи в някои случаи; изразява загриженост относно решението на Комисията да не приема всички съвети и предложения за решения, правени от Омбудсмана в тази връзка, като припомня значението на принципите за добри практики на прозрачност от страна на правителствата при използването на средствата за възстановяване, изготвени в сътрудничество с ОИСР; изразява съжаление за това, че на национално равнище продължават да съществуват значителни различия по отношение на актуалността и пълнотата на информацията за крайните получатели; призовава Комисията да засили усилията си за преодоляване на тези проблеми, като част от текущите си функции за мониторинг и контрол; подчертава значението на последователното и пълно докладване във всички държави членки, за да се гарантира прозрачност и отчетност; призовава Омбудсмана да продължи да наблюдава усилията на Комисията за гарантиране на прозрачност и ефективен надзор по отношение на МВУ; призовава също така Омбудсмана да продължава да информира бюджетния орган за трудностите, с които се сблъсква в своята работа по прозрачността и отчетността на МВУ;</w:t>
      </w:r>
    </w:p>
    <w:p w14:paraId="487B6301" w14:textId="6DAF1160" w:rsidR="00E36AE7" w:rsidRPr="00AC5798" w:rsidRDefault="00E36AE7" w:rsidP="00AC12EF">
      <w:pPr>
        <w:pStyle w:val="NormalHanging12a"/>
        <w:widowControl/>
      </w:pPr>
      <w:r w:rsidRPr="00AC5798">
        <w:lastRenderedPageBreak/>
        <w:t>17.</w:t>
      </w:r>
      <w:r w:rsidRPr="00AC5798">
        <w:tab/>
        <w:t>подчертава факта, че през 2023 г., след проверка по собствена инициатива, която разкри, че когато физически лица поискат преразглеждане на решение за достъп, познато като потвърдително заявление, в 85% от случаите Комисията не успява да спази нормативно определените срокове, Омбудсманът настоятелно призова Европейската комисия да преодолее незабавно системните забавяния при обработката на заявления за достъп до документи; призовава за бързо изпълнение на спешната препоръка на Омбудсмана за задълбочена преоценка, за да се гарантира спазването на сроковете, определени в законодателството на Съюза, например Регламент </w:t>
      </w:r>
      <w:r w:rsidR="006F6A24">
        <w:t xml:space="preserve">(ЕО) </w:t>
      </w:r>
      <w:r w:rsidR="006F6A24" w:rsidRPr="00F23910">
        <w:t>№</w:t>
      </w:r>
      <w:r w:rsidR="006F6A24" w:rsidRPr="006F6A24">
        <w:t> </w:t>
      </w:r>
      <w:r w:rsidRPr="00AC5798">
        <w:t>1049/2001</w:t>
      </w:r>
      <w:r w:rsidR="006F6A24">
        <w:t xml:space="preserve"> </w:t>
      </w:r>
      <w:r w:rsidR="006F6A24" w:rsidRPr="00F23910">
        <w:t>на Европейския парламент и на Съвета</w:t>
      </w:r>
      <w:r w:rsidR="006F6A24" w:rsidRPr="00F23910">
        <w:rPr>
          <w:rStyle w:val="FootnoteReference"/>
        </w:rPr>
        <w:footnoteReference w:id="9"/>
      </w:r>
      <w:r w:rsidRPr="00AC5798">
        <w:t>; поздравява Омбудсмана за неговия специален доклад до Европейския парламент, който изисква от институцията нейната официална подкрепа за склоняване на Комисията да предприеме действия във връзка с препоръката на Омбудсмана; припомня, че през ноември 2023 г.</w:t>
      </w:r>
      <w:r w:rsidRPr="00AC5798">
        <w:rPr>
          <w:vertAlign w:val="superscript"/>
        </w:rPr>
        <w:footnoteReference w:id="10"/>
      </w:r>
      <w:r w:rsidRPr="00AC5798">
        <w:t xml:space="preserve"> Омбудсманът обсъди доклада с членове на Европейския парламент в комисията по граждански свободи, правосъдие и вътрешни работи;</w:t>
      </w:r>
    </w:p>
    <w:p w14:paraId="40920C08" w14:textId="77777777" w:rsidR="00E36AE7" w:rsidRPr="00AC5798" w:rsidRDefault="00E36AE7" w:rsidP="00AC12EF">
      <w:pPr>
        <w:pStyle w:val="NormalHanging12a"/>
        <w:widowControl/>
      </w:pPr>
      <w:r w:rsidRPr="00AC5798">
        <w:t>18.</w:t>
      </w:r>
      <w:r w:rsidRPr="00AC5798">
        <w:tab/>
        <w:t>отбелязва с голяма загриженост, че Омбудсманът получава много жалби от граждани относно изключително големите забавяния при получаването на достъп до търсени документи; подкрепя становището на Омбудсмана, че забавеният достъп на практика е отказан достъп и че административните процедури следва да бъдат рационализирани, за да се гарантира, че гражданите получават достъп до документи своевременно</w:t>
      </w:r>
      <w:r w:rsidRPr="00AC5798">
        <w:rPr>
          <w:vertAlign w:val="superscript"/>
        </w:rPr>
        <w:footnoteReference w:id="11"/>
      </w:r>
      <w:r w:rsidRPr="00AC5798">
        <w:t>;</w:t>
      </w:r>
    </w:p>
    <w:p w14:paraId="3DE4739C" w14:textId="77777777" w:rsidR="00E36AE7" w:rsidRPr="00AC5798" w:rsidRDefault="00E36AE7" w:rsidP="00AC12EF">
      <w:pPr>
        <w:pStyle w:val="NormalHanging12a"/>
        <w:widowControl/>
      </w:pPr>
      <w:r w:rsidRPr="00AC5798">
        <w:t>19.</w:t>
      </w:r>
      <w:r w:rsidRPr="00AC5798">
        <w:tab/>
        <w:t>отбелязва, че вътрешният одитор извърши преглед на рамката на Омбудсмана за управление на риска; отбелязва, че страните се споразумяха за план за действие от девет точки, който да бъде изпълнен до края на 2024 г.; призовава Омбудсмана да информира органа по освобождаване от отговорност относно напредъка, постигнат при изпълнението на този план;</w:t>
      </w:r>
    </w:p>
    <w:p w14:paraId="0034064F" w14:textId="77777777" w:rsidR="00E36AE7" w:rsidRPr="00AC5798" w:rsidRDefault="00E36AE7" w:rsidP="00AC12EF">
      <w:pPr>
        <w:pStyle w:val="NormalHanging12a"/>
        <w:widowControl/>
        <w:rPr>
          <w:b/>
          <w:i/>
        </w:rPr>
      </w:pPr>
      <w:r w:rsidRPr="00AC5798">
        <w:rPr>
          <w:b/>
          <w:i/>
        </w:rPr>
        <w:t>Човешки ресурси, равенство и благосъстояние на служителите</w:t>
      </w:r>
    </w:p>
    <w:p w14:paraId="66E2C7FC" w14:textId="77777777" w:rsidR="00E36AE7" w:rsidRPr="00AC5798" w:rsidRDefault="00E36AE7" w:rsidP="00AC12EF">
      <w:pPr>
        <w:pStyle w:val="NormalHanging12a"/>
        <w:widowControl/>
      </w:pPr>
      <w:r w:rsidRPr="00AC5798">
        <w:t>20.</w:t>
      </w:r>
      <w:r w:rsidRPr="00AC5798">
        <w:tab/>
        <w:t>отбелязва нарастване на общия брой на служителите на Омбудсмана с 11% – от 74 през 2022 г. на 82 през 2023 г., главно поради увеличения брой на договорно наетите служители и срочно наетите служители; отбелязва освен това, че през 2023 г. за Омбудсмана са работили 40 длъжностни лица, спрямо 39 и 38 съответно през 2022 и 2021 г., 33 срочно наети служители, спрямо 28 и 30 съответно през 2022 и 2021 г., и 9 договорно наети служители, спрямо 7 и 6 съответно през 2022 и 2021 г.; отбелязва със задоволство увеличаването на дела на служителите, работещи във връзка с основната дейност на Омбудсмана (жалби и проверки) – от 40,54% през 2022 г. на 42,68% през 2023 г.; отбелязва със задоволство, че процентът на заетост на работните места се е увеличил от 91,8% през 2022 г. на 95% през 2023 г., а текучеството е намаляло от 9,9% през 2022 г. на 5,2% през 2023 г.;</w:t>
      </w:r>
    </w:p>
    <w:p w14:paraId="251EECBC" w14:textId="77777777" w:rsidR="00E36AE7" w:rsidRPr="00AC5798" w:rsidRDefault="00E36AE7" w:rsidP="00AC12EF">
      <w:pPr>
        <w:pStyle w:val="NormalHanging12a"/>
        <w:widowControl/>
      </w:pPr>
      <w:r w:rsidRPr="00AC5798">
        <w:lastRenderedPageBreak/>
        <w:t>21.</w:t>
      </w:r>
      <w:r w:rsidRPr="00AC5798">
        <w:tab/>
        <w:t>изразява съжаление за това, че длъжността генерален секретар на Омбудсмана е свободна вече повече от две години, а именно от 1 септември 2022 г.; отбелязва въз основа на въпросника, че „като знак на учтивост към новия Омбудсман, който ще бъде избран до края на 2024 г., настоящият Омбудсман г-жа Райли е решила да остави тази длъжност незаета, за да може нейният приемник да вземе решение за запълването на тази длъжност“; призовава следващия Омбудсман да гарантира, че ръководните длъжности остават незаети за възможно най-кратък период от време и не по-дълго от времето, необходимо за наемането на нови служители на тези позиции;</w:t>
      </w:r>
    </w:p>
    <w:p w14:paraId="2E6CB686" w14:textId="7A4B81FA" w:rsidR="00E36AE7" w:rsidRPr="00AC5798" w:rsidRDefault="00E36AE7" w:rsidP="00AC12EF">
      <w:pPr>
        <w:pStyle w:val="NormalHanging12a"/>
        <w:widowControl/>
      </w:pPr>
      <w:r w:rsidRPr="00AC5798">
        <w:t>22.</w:t>
      </w:r>
      <w:r w:rsidRPr="00AC5798">
        <w:tab/>
        <w:t xml:space="preserve">поздравява Омбудсмана за неговата покана за изразяване на интерес за запълването на длъжности (служители по проверки), която приключи успешно през 2023 г. със съставянето на резервен списък от 19 кандидати, 6 от които бяха назначени още същата година; отбелязва, че това позволи на Омбудсмана да намали времето, необходимо за набирането на служители, което беше проблем в миналото; отбелязва освен това, че през 2023 г. Омбудсманът организира три вътрешни конкурса с помощта на </w:t>
      </w:r>
      <w:r w:rsidR="006F6A24" w:rsidRPr="00F23910">
        <w:t>Европейската служба за подбор на персонал</w:t>
      </w:r>
      <w:r w:rsidR="006F6A24">
        <w:t xml:space="preserve"> (</w:t>
      </w:r>
      <w:r w:rsidRPr="00AC5798">
        <w:t>EPSO</w:t>
      </w:r>
      <w:r w:rsidR="006F6A24">
        <w:t>)</w:t>
      </w:r>
      <w:r w:rsidRPr="00AC5798">
        <w:t>, за да задържи талантите в институцията; признава, че тези дейности спомагат за подобряване на ефективността на институцията;</w:t>
      </w:r>
    </w:p>
    <w:p w14:paraId="1BA2FE6F" w14:textId="77777777" w:rsidR="00E36AE7" w:rsidRPr="00AC5798" w:rsidRDefault="00E36AE7" w:rsidP="00AC12EF">
      <w:pPr>
        <w:pStyle w:val="NormalHanging12a"/>
        <w:widowControl/>
      </w:pPr>
      <w:r w:rsidRPr="00AC5798">
        <w:t>23.</w:t>
      </w:r>
      <w:r w:rsidRPr="00AC5798">
        <w:tab/>
        <w:t>отбелязва, че макар да е малка институция, през 2023 г. Омбудсманът успя да привлече в колектива служители от 19 националности благодарение на проактивна комуникация и информационни дейности, по-специално чрез социалните медии и онлайн платформите, за рекламиране на свободните работни места; все пак отбелязва с неудовлетворение свръхпредставеността на някои националности (например, французи и ирландци) и недостатъчната представеност на други националности (например, румънци и испанци); настоятелно призовава Омбудсмана да продължи да полага усилия за постигане на балансирано географско представителство на гражданите на всички държави членки сред своите служители, и по-специално на управленско ниво, чрез подобряване на комуникацията, насърчаване на видимостта и оптимизиране на условията на труд с цел привличане на по-слабо представени националности;</w:t>
      </w:r>
    </w:p>
    <w:p w14:paraId="5707B44D" w14:textId="77777777" w:rsidR="00E36AE7" w:rsidRPr="00AC5798" w:rsidRDefault="00E36AE7" w:rsidP="00AC12EF">
      <w:pPr>
        <w:pStyle w:val="NormalHanging12a"/>
        <w:widowControl/>
      </w:pPr>
      <w:r w:rsidRPr="00AC5798">
        <w:t>24.</w:t>
      </w:r>
      <w:r w:rsidRPr="00AC5798">
        <w:tab/>
        <w:t>отбелязва, че по отношение на баланса между половете, за Омбудсмана работят повече жени, отколкото мъже, във всички категории служители, особено на управленско равнище, като през 2023 г. общото съотношение между жените и мъже си остава същото, както и през 2022 г., т.е. 67% жени и 33% мъже; насърчава Омбудсмана да продължи да полага усилия за постигане на по-балансирано представителство на половете сред своите служители;</w:t>
      </w:r>
    </w:p>
    <w:p w14:paraId="5D9CCEDA" w14:textId="77777777" w:rsidR="00E36AE7" w:rsidRPr="00AC5798" w:rsidRDefault="00E36AE7" w:rsidP="00AC12EF">
      <w:pPr>
        <w:pStyle w:val="NormalHanging12a"/>
        <w:widowControl/>
      </w:pPr>
      <w:r w:rsidRPr="00AC5798">
        <w:t>25.</w:t>
      </w:r>
      <w:r w:rsidRPr="00AC5798">
        <w:tab/>
        <w:t xml:space="preserve">отбелязва, че Омбудсманът полага усилия да гарантира физическото и психическото благосъстояние на своите служители на работното им място и се фокусира върху укрепването на екипния дух; в този контекст приветства резултата от общото проучване сред персонала, проведено през 2023 г., който показва общо ниво на удовлетвореност на служителите от 87%, и по-специално 95% от участниците в проучването са отговорили положително на въпроса дали Омбудсманът се грижи за благосъстоянието на служителите, 97% са били доволни от хибридните и гъвкави схеми на работа на Омбудсмана, а 90% са били доволни от оборудването и материалите, които техният работодател им е предоставил, за да могат да работят дистанционно; отбелязва със задоволство, че </w:t>
      </w:r>
      <w:r w:rsidRPr="00AC5798">
        <w:lastRenderedPageBreak/>
        <w:t>през 2023 г. Омбудсманът е решил да предостави ергономични столове за всички служители, които са поискали това;</w:t>
      </w:r>
    </w:p>
    <w:p w14:paraId="63B87C13" w14:textId="77777777" w:rsidR="00E36AE7" w:rsidRPr="00AC5798" w:rsidRDefault="00E36AE7" w:rsidP="00AC12EF">
      <w:pPr>
        <w:pStyle w:val="NormalHanging12a"/>
        <w:widowControl/>
      </w:pPr>
      <w:r w:rsidRPr="00AC5798">
        <w:t>26.</w:t>
      </w:r>
      <w:r w:rsidRPr="00AC5798">
        <w:tab/>
        <w:t>признава, че малкият размер на Службата на Омбудсмана позволява на ръководителите да следят отблизо работното натоварване на служителите и да правят необходимите промени, което позволява ранното откриване на потенциални случаи на професионално изчерпване; отбелязва, че проучването сред служителите от 2023 г. не е показало проблеми с разпределението на работното натоварване или свързани с работата здравословни проблеми и че медицинската служба на Европейския парламент не е докладвала за дългосрочни заболявания, свързани със синдрома на професионалното изчерпване;</w:t>
      </w:r>
    </w:p>
    <w:p w14:paraId="377CE0E9" w14:textId="77777777" w:rsidR="00E36AE7" w:rsidRPr="00AC5798" w:rsidRDefault="00E36AE7" w:rsidP="00AC12EF">
      <w:pPr>
        <w:pStyle w:val="NormalHanging12a"/>
        <w:widowControl/>
      </w:pPr>
      <w:r w:rsidRPr="00AC5798">
        <w:t>27.</w:t>
      </w:r>
      <w:r w:rsidRPr="00AC5798">
        <w:tab/>
        <w:t>отбелязва със задоволство, че през 2023 г. не са докладвани никакви случаи на тормоз; признава усилията на Омбудсмана за осигуряване на работна среда без сексуален и психически тормоз, по-специално чрез повишаване на осведомеността и предоставяне на обучение; отбелязва със задоволство, че проучване, проведено през 2023 г. в контекста на вътрешен одит на етичната рамка, показа, че 90% от служителите са запознати с политиката и насоките относно различните видове тормоз;</w:t>
      </w:r>
    </w:p>
    <w:p w14:paraId="4CCD15B9" w14:textId="77777777" w:rsidR="00E36AE7" w:rsidRPr="00AC5798" w:rsidRDefault="00E36AE7" w:rsidP="00AC12EF">
      <w:pPr>
        <w:pStyle w:val="NormalHanging12a"/>
        <w:widowControl/>
      </w:pPr>
      <w:r w:rsidRPr="00AC5798">
        <w:t>28.</w:t>
      </w:r>
      <w:r w:rsidRPr="00AC5798">
        <w:tab/>
        <w:t>отбелязва със задоволство, че през 2023 г. Омбудсманът е приел 18 платени стажанти (същия брой като през 2022 г.), един от които е бил избран след първата покана на Омбудсмана, насочена към кандидати с увреждания; признава, че тази инициатива насърчава приобщаването и равните възможности, като предоставя на стажантите ценен опит в европейските институции;</w:t>
      </w:r>
    </w:p>
    <w:p w14:paraId="72C73431" w14:textId="77777777" w:rsidR="00E36AE7" w:rsidRPr="00AC5798" w:rsidRDefault="00E36AE7" w:rsidP="00AC12EF">
      <w:pPr>
        <w:pStyle w:val="NormalHanging12a"/>
        <w:widowControl/>
        <w:rPr>
          <w:b/>
          <w:i/>
        </w:rPr>
      </w:pPr>
      <w:r w:rsidRPr="00AC5798">
        <w:rPr>
          <w:b/>
          <w:i/>
        </w:rPr>
        <w:t>Етична рамка и прозрачност</w:t>
      </w:r>
    </w:p>
    <w:p w14:paraId="5F2A41C5" w14:textId="77777777" w:rsidR="00E36AE7" w:rsidRPr="00AC5798" w:rsidRDefault="00E36AE7" w:rsidP="00AC12EF">
      <w:pPr>
        <w:pStyle w:val="NormalHanging12a"/>
        <w:widowControl/>
      </w:pPr>
      <w:r w:rsidRPr="00AC5798">
        <w:t>29.</w:t>
      </w:r>
      <w:r w:rsidRPr="00AC5798">
        <w:tab/>
        <w:t>приветства продължаващите усилия на Омбудсмана за подобряване и повишаване на осведомеността относно етичната рамка на институцията; отбелязва със задоволство, че през 2023 г. Омбудсманът е преразгледал политиката за лицата, сигнализиращи за нередности, за да засили защитата на потенциалните лица, сигнализиращи за нередности, да гарантира по-добро спазване на стандартите за защита на данните, да подобри поверителността и подкрепата и да включи разпоредби относно кореспондентите по етични въпроси; освен това приветства пълното разгръщане на инструмента за етика SYSPER, който позволява на служителите да актуализират своите декларации (за техните конфликти на интереси и професионалните дейности на техните съпрузи/партньори), както и организирането на интерактивен обучителен курс, озаглавен „Зачитане и достойнство на работното място и нашите роли като участници, получатели и външни лица“; приветства резултата от проведеното през 2023 г. общо проучване сред служителите, което потвърждава високото равнище на осведоменост на персонала по етичните въпроси; призовава за публикуване на информация за всички срещи на високо равнище на службата на Омбудсмана с външни участници, включително корпоративни субекти, групи по интереси и агенции на ЕС, за да се гарантира прозрачност при вземането на решения и в усилията за застъпничество;</w:t>
      </w:r>
    </w:p>
    <w:p w14:paraId="732A1A13" w14:textId="77777777" w:rsidR="00E36AE7" w:rsidRPr="00AC5798" w:rsidRDefault="00E36AE7" w:rsidP="00AC12EF">
      <w:pPr>
        <w:pStyle w:val="NormalHanging12a"/>
        <w:widowControl/>
      </w:pPr>
      <w:r w:rsidRPr="00AC5798">
        <w:t>30.</w:t>
      </w:r>
      <w:r w:rsidRPr="00AC5798">
        <w:tab/>
        <w:t xml:space="preserve">отбелязва, че вътрешният одит (доклад 22/03) във връзка с етичната рамка на Омбудсмана приключи през 2023 г. с шест отправени препоръки, които трябва да бъдат изпълнени до 31 декември 2024 г.; отбелязва въз основа на въпросника, че </w:t>
      </w:r>
      <w:r w:rsidRPr="00AC5798">
        <w:lastRenderedPageBreak/>
        <w:t>четири от тези препоръки са изцяло изпълнени; приканва Омбудсмана да докладва на органа по освобождаване от отговорност относно степента на изпълнение на останалите 2 препоръки;</w:t>
      </w:r>
    </w:p>
    <w:p w14:paraId="3137403E" w14:textId="77777777" w:rsidR="00E36AE7" w:rsidRPr="00AC5798" w:rsidRDefault="00E36AE7" w:rsidP="00AC12EF">
      <w:pPr>
        <w:pStyle w:val="NormalHanging12a"/>
        <w:widowControl/>
      </w:pPr>
      <w:r w:rsidRPr="00AC5798">
        <w:t>31.</w:t>
      </w:r>
      <w:r w:rsidRPr="00AC5798">
        <w:tab/>
        <w:t>отбелязва, че стратегията на Омбудсмана за борба с измамите се основава до голяма степен на съществуващата етична рамка и на принципа за разделение на задълженията за финансовите функции; отбелязва, че през 2023 г. Омбудсманът преразгледа и прие кодекса за професионалните стандарти, приложим за служителите, участващи в контрола на финансовите операции, в който се определят задълженията и отговорностите при разкриването на операции с цел измама, включително процедурата, която трябва да се следва в случаите на съмнение за измама;</w:t>
      </w:r>
    </w:p>
    <w:p w14:paraId="2FA84F62" w14:textId="77777777" w:rsidR="00E36AE7" w:rsidRPr="00AC5798" w:rsidRDefault="00E36AE7" w:rsidP="00AC12EF">
      <w:pPr>
        <w:pStyle w:val="NormalHanging12a"/>
        <w:widowControl/>
      </w:pPr>
      <w:r w:rsidRPr="00AC5798">
        <w:t>32.</w:t>
      </w:r>
      <w:r w:rsidRPr="00AC5798">
        <w:tab/>
        <w:t>отбелязва със задоволство, че през 2023 г. не са докладвани случаи на конфликти на интереси и на подаване на сигнали за нередности;</w:t>
      </w:r>
    </w:p>
    <w:p w14:paraId="66FA39AB" w14:textId="77777777" w:rsidR="00E36AE7" w:rsidRPr="00AC5798" w:rsidRDefault="00E36AE7" w:rsidP="00AC12EF">
      <w:pPr>
        <w:pStyle w:val="NormalHanging12a"/>
        <w:widowControl/>
      </w:pPr>
      <w:r w:rsidRPr="00AC5798">
        <w:t>33.</w:t>
      </w:r>
      <w:r w:rsidRPr="00AC5798">
        <w:tab/>
        <w:t>отбелязва въз основа на въпросника, че Омбудсманът не се е присъединил официално към регистъра за прозрачност на ЕС (създаден с Междуинституционалното споразумение от 20 май 2021 г. между Европейския парламент, Съвета на Европейския съюз и Европейската комисия относно задължителен регистър за прозрачност), за да се гарантира, че Омбудсманът може да разглежда и потенциални жалби във връзка със секретариата на регистъра за прозрачност; отбелязва обаче, че Омбудсманът е привел своите практики в съответствие с принципите на регистъра за прозрачност и проверява дали в него са включени оратори или дискусионни партньори на провежданите от него прояви или срещи; приветства високата степен на прозрачност, постигната от Омбудсмана чрез публикуването на уебсайта на институцията на информация относно проверки, командировки, срещи и прояви, в които Омбудсманът участва;</w:t>
      </w:r>
    </w:p>
    <w:p w14:paraId="28833182" w14:textId="77777777" w:rsidR="00E36AE7" w:rsidRPr="00AC5798" w:rsidRDefault="00E36AE7" w:rsidP="00AC12EF">
      <w:pPr>
        <w:pStyle w:val="NormalHanging12a"/>
        <w:widowControl/>
      </w:pPr>
      <w:r w:rsidRPr="00AC5798">
        <w:t>34.</w:t>
      </w:r>
      <w:r w:rsidRPr="00AC5798">
        <w:tab/>
        <w:t>призовава Омбудсмана да въведе задължителна декларация за финансовите интереси на висшите служители, с публичен достъп в реално време до информацията за потенциални конфликти на интереси, външни ангажименти и финансови активи;</w:t>
      </w:r>
    </w:p>
    <w:p w14:paraId="4C0F20A4" w14:textId="77777777" w:rsidR="00E36AE7" w:rsidRPr="00AC5798" w:rsidRDefault="00E36AE7" w:rsidP="00AC12EF">
      <w:pPr>
        <w:pStyle w:val="NormalHanging12a"/>
        <w:widowControl/>
        <w:rPr>
          <w:b/>
          <w:i/>
        </w:rPr>
      </w:pPr>
      <w:r w:rsidRPr="00AC5798">
        <w:rPr>
          <w:b/>
          <w:i/>
        </w:rPr>
        <w:t>Сгради</w:t>
      </w:r>
    </w:p>
    <w:p w14:paraId="7B641A4D" w14:textId="77777777" w:rsidR="00E36AE7" w:rsidRPr="00AC5798" w:rsidRDefault="00E36AE7" w:rsidP="00AC12EF">
      <w:pPr>
        <w:pStyle w:val="NormalHanging12a"/>
        <w:widowControl/>
      </w:pPr>
      <w:r w:rsidRPr="00AC5798">
        <w:t>35.</w:t>
      </w:r>
      <w:r w:rsidRPr="00AC5798">
        <w:tab/>
        <w:t>приветства факта, че окончателният бюджет на Омбудсмана за сгради и свързани с тях разходи (след извършването на трансфери) е намалял с около 15% – от 1 622 200 EUR през 2022 г. на 1 373 000 EUR през 2023 г.; отбелязва, че бюджетните кредити за наем са намалели с 26% – от 1 177 700 EUR през 2022 г. на 866 100 EUR през 2023 г., като степента на изпълнение за плащанията и през двете години е близо 100%;</w:t>
      </w:r>
    </w:p>
    <w:p w14:paraId="4A51FD4C" w14:textId="77777777" w:rsidR="00E36AE7" w:rsidRPr="00AC5798" w:rsidRDefault="00E36AE7" w:rsidP="00AC12EF">
      <w:pPr>
        <w:pStyle w:val="NormalHanging12a"/>
        <w:widowControl/>
        <w:rPr>
          <w:b/>
        </w:rPr>
      </w:pPr>
      <w:r w:rsidRPr="00AC5798">
        <w:t>36.</w:t>
      </w:r>
      <w:r w:rsidRPr="00AC5798">
        <w:tab/>
        <w:t xml:space="preserve">отбелязва, че след преместването на офиса на Омбудсмана в Брюксел в нова сграда, предоставена от Парламента през 2021 г., сградата е била организирана като съвместно работно пространство със съвсем малко на брой индивидуални офиси и с гъвкави структури за провеждане на заседания; отбелязва със задоволство факта, че Омбудсманът не практикува споделяне на работни станции и че всички служители имат свое собствено бюро с просторно място за съхранение на документи; отбелязва, че през 2023 г. не са правени промени в офисите и че проведено през 2023 г. общо проучване сред персонала показва, че </w:t>
      </w:r>
      <w:r w:rsidRPr="00AC5798">
        <w:lastRenderedPageBreak/>
        <w:t>по-голямата част от служителите (56%) са отговорили положително във връзка с физическите условия в техните офиси в Брюксел;</w:t>
      </w:r>
    </w:p>
    <w:p w14:paraId="466F3A3B" w14:textId="77777777" w:rsidR="00E36AE7" w:rsidRPr="00AC5798" w:rsidRDefault="00E36AE7" w:rsidP="00AC12EF">
      <w:pPr>
        <w:pStyle w:val="NormalHanging12a"/>
        <w:widowControl/>
      </w:pPr>
      <w:r w:rsidRPr="00AC5798">
        <w:t>37.</w:t>
      </w:r>
      <w:r w:rsidRPr="00AC5798">
        <w:tab/>
        <w:t>припомня, че Омбудсманът не притежава собствени сгради, а наема сграда в Брюксел и офис пространство в Страсбург; отбелязва със задоволство, че сградата „Хавел“ в Страсбург е напълно достъпна за лица с намалена подвижност или други увреждания и изразява силно съжаление за това, че е необходимо да се подобри достъпността на сградата под наем в Брюксел; призовава Парламента да подобри достъпността на сградата, отдадена под наем на Омбудсмана в Брюксел;</w:t>
      </w:r>
    </w:p>
    <w:p w14:paraId="3419B94F" w14:textId="77777777" w:rsidR="00E36AE7" w:rsidRPr="00AC5798" w:rsidRDefault="00E36AE7" w:rsidP="00AC12EF">
      <w:pPr>
        <w:pStyle w:val="NormalHanging12a"/>
        <w:widowControl/>
        <w:rPr>
          <w:b/>
          <w:i/>
        </w:rPr>
      </w:pPr>
      <w:r w:rsidRPr="00AC5798">
        <w:rPr>
          <w:b/>
          <w:i/>
        </w:rPr>
        <w:t>Цифровизация, киберсигурност и защита на данните</w:t>
      </w:r>
    </w:p>
    <w:p w14:paraId="59E6D74D" w14:textId="77777777" w:rsidR="00E36AE7" w:rsidRPr="00AC5798" w:rsidRDefault="00E36AE7" w:rsidP="00AC12EF">
      <w:pPr>
        <w:pStyle w:val="NormalHanging12a"/>
        <w:widowControl/>
      </w:pPr>
      <w:r w:rsidRPr="00AC5798">
        <w:t>38.</w:t>
      </w:r>
      <w:r w:rsidRPr="00AC5798">
        <w:tab/>
        <w:t>признава успеха на дългогодишния подход на Омбудсмана за обезпечаване на интегрирани системи и ресурси от други институции на Съюза, по-специално от Парламента и от Комисията, с цел оптимизиране на използването на бюджета и подобряване на координацията, например в областта на цифровизацията; отбелязва в този контекст успешното прилагане на инструментите на Комисията за машинен превод, които бяха интегрирани в системите на Омбудсмана (например, неговия уебсайт) през 2023 г.; отбелязва със задоволство въз основа на въпросника, че този проект е довел до намаляване на разходите за писмени преводи, оценени на над 30% годишно, както и до намаляване на административната тежест;</w:t>
      </w:r>
    </w:p>
    <w:p w14:paraId="07DE8961" w14:textId="77777777" w:rsidR="00E36AE7" w:rsidRPr="00AC5798" w:rsidRDefault="00E36AE7" w:rsidP="00AC12EF">
      <w:pPr>
        <w:pStyle w:val="NormalHanging12a"/>
        <w:widowControl/>
      </w:pPr>
      <w:r w:rsidRPr="00AC5798">
        <w:t>39.</w:t>
      </w:r>
      <w:r w:rsidRPr="00AC5798">
        <w:tab/>
        <w:t xml:space="preserve">приветства пълното прилагане на квалифицирания електронен подпис, който позволява на служителите да подписват документи по сигурен начин, както и използването на инструмента </w:t>
      </w:r>
      <w:proofErr w:type="spellStart"/>
      <w:r w:rsidRPr="00AC5798">
        <w:t>QSign</w:t>
      </w:r>
      <w:proofErr w:type="spellEnd"/>
      <w:r w:rsidRPr="00AC5798">
        <w:t xml:space="preserve"> на Комисията, който позволява на служителите да подписват и да управляват документи, включително документи за обществени поръчки и договори;</w:t>
      </w:r>
    </w:p>
    <w:p w14:paraId="7F4910FF" w14:textId="77777777" w:rsidR="00E36AE7" w:rsidRPr="00AC5798" w:rsidRDefault="00E36AE7" w:rsidP="00AC12EF">
      <w:pPr>
        <w:pStyle w:val="NormalHanging12a"/>
        <w:widowControl/>
      </w:pPr>
      <w:r w:rsidRPr="00AC5798">
        <w:t>40.</w:t>
      </w:r>
      <w:r w:rsidRPr="00AC5798">
        <w:tab/>
        <w:t>отбелязва, че от 2023 г. Омбудсманът активно проучва възможностите, които използването на изкуствения интелект (ИИ) би могло да осигури; приветства в този контекст партньорството на Омбудсмана със Съвместния изследователски център на Европейската комисия за експериментиране с големи езикови модели, както и тестване и оценка на случаи на използване на ИИ; отбелязва освен това, че Омбудсманът е закупил няколко инструмента с ИИ, които са допринесли успешно за създаването на видео съдържание; приветства приемането от Омбудсмана на вътрешни насоки, с цел да се гарантира, че външните инструменти с ИИ се използват по отговорен и прозрачен начин; насърчава Омбудсмана да гарантира, че служителите получават задължително обучение за безопасното и етично използване на инструментите с изкуствен интелект, за да се подобри тяхното разбиране по въпроса и да се смекчат потенциалните рискове; приканва Омбудсмана да информира редовно органа по освобождаване от отговорност за напредъка, постигнат при тестването и използването на решения с ИИ;</w:t>
      </w:r>
    </w:p>
    <w:p w14:paraId="311E00C5" w14:textId="77777777" w:rsidR="00E36AE7" w:rsidRPr="00AC5798" w:rsidRDefault="00E36AE7" w:rsidP="00AC12EF">
      <w:pPr>
        <w:pStyle w:val="NormalHanging12a"/>
        <w:widowControl/>
      </w:pPr>
      <w:r w:rsidRPr="00AC5798">
        <w:t>41.</w:t>
      </w:r>
      <w:r w:rsidRPr="00AC5798">
        <w:tab/>
        <w:t xml:space="preserve">отбелязва, че по отношение на информационните технологии Омбудсманът разчита на рамката на Парламента за инфраструктура и киберсигурност и си сътрудничи тясно с Комисията за интегрирането и поддръжката на корпоративните инструменти на Съюза (SYSPER, ABAC, </w:t>
      </w:r>
      <w:proofErr w:type="spellStart"/>
      <w:r w:rsidRPr="00AC5798">
        <w:t>MiPS</w:t>
      </w:r>
      <w:proofErr w:type="spellEnd"/>
      <w:r w:rsidRPr="00AC5798">
        <w:t xml:space="preserve"> и ARES) и използването на рамкови договори в областта на информационните технологии; отбелязва, че като се има предвид ограниченият му контрол върху данните, </w:t>
      </w:r>
      <w:r w:rsidRPr="00AC5798">
        <w:lastRenderedPageBreak/>
        <w:t>Омбудсманът е сключил споразумения за нивото на обслужване със съответните институции, за да гарантира, че обработването на лични данни е в съответствие с приложимата правна рамка; отбелязва със задоволство, че Омбудсманът не е бил обект на кибератаки през 2023 г.;</w:t>
      </w:r>
    </w:p>
    <w:p w14:paraId="67106267" w14:textId="77777777" w:rsidR="00E36AE7" w:rsidRPr="00AC5798" w:rsidRDefault="00E36AE7" w:rsidP="00AC12EF">
      <w:pPr>
        <w:pStyle w:val="NormalHanging12a"/>
        <w:widowControl/>
      </w:pPr>
      <w:r w:rsidRPr="00AC5798">
        <w:t>42.</w:t>
      </w:r>
      <w:r w:rsidRPr="00AC5798">
        <w:tab/>
        <w:t>насърчава Омбудсмана да работи в тясно сътрудничество с ENISA (Агенцията на Европейския съюз за киберсигурност); предлага да се организират редовно актуализирани програми за обучение относно киберсигурността за всички служители в рамките на Омбудсмана;</w:t>
      </w:r>
    </w:p>
    <w:p w14:paraId="7A9BE547" w14:textId="77777777" w:rsidR="00E36AE7" w:rsidRPr="00AC5798" w:rsidRDefault="00E36AE7" w:rsidP="00AC12EF">
      <w:pPr>
        <w:pStyle w:val="NormalHanging12a"/>
        <w:widowControl/>
      </w:pPr>
      <w:r w:rsidRPr="00AC5798">
        <w:t>43.</w:t>
      </w:r>
      <w:r w:rsidRPr="00AC5798">
        <w:tab/>
        <w:t>отбелязва във връзка с доклада за вътрешен одит 21/03 относно прегледа на рамката на Омбудсмана за защита на данните, че през четвъртото тримесечие на 2023 г. едно действие е останало неприключено, а във връзка с доклада за вътрешен одит 20/04 относно сигурността на ИКТ на Омбудсмана – че през 2023 г. са се изпълнявали седем текущи действия; призовава Омбудсмана да информира редовно органа по освобождаване от отговорност за постигнатия напредък по тези въпроси;</w:t>
      </w:r>
    </w:p>
    <w:p w14:paraId="49B7C928" w14:textId="77777777" w:rsidR="00E36AE7" w:rsidRPr="00AC5798" w:rsidRDefault="00E36AE7" w:rsidP="00AC12EF">
      <w:pPr>
        <w:pStyle w:val="NormalHanging12a"/>
        <w:widowControl/>
        <w:rPr>
          <w:b/>
          <w:i/>
        </w:rPr>
      </w:pPr>
      <w:r w:rsidRPr="00AC5798">
        <w:rPr>
          <w:b/>
          <w:i/>
        </w:rPr>
        <w:t>Околна среда и устойчивост</w:t>
      </w:r>
    </w:p>
    <w:p w14:paraId="2AACE0D2" w14:textId="77777777" w:rsidR="00E36AE7" w:rsidRPr="00AC5798" w:rsidRDefault="00E36AE7" w:rsidP="00AC12EF">
      <w:pPr>
        <w:pStyle w:val="NormalHanging12a"/>
        <w:widowControl/>
      </w:pPr>
      <w:r w:rsidRPr="00AC5798">
        <w:t>44.</w:t>
      </w:r>
      <w:r w:rsidRPr="00AC5798">
        <w:tab/>
        <w:t xml:space="preserve">приветства факта, че през годините Омбудсманът е намалил своя отпечатък върху околната среда, по-специално чрез цифровизацията на своите процеси, премахването на отделни принтери, </w:t>
      </w:r>
      <w:proofErr w:type="spellStart"/>
      <w:r w:rsidRPr="00AC5798">
        <w:t>незаместването</w:t>
      </w:r>
      <w:proofErr w:type="spellEnd"/>
      <w:r w:rsidRPr="00AC5798">
        <w:t xml:space="preserve"> на централните процесори при достигането до края на жизнения им цикъл, мерките за повишаване на устойчивостта при провеждането на прояви и широкото използване на системите за видеоконферентна връзка с цел избягване на командировки; отбелязва, че по отношение на отпечатъка върху околната среда на ползваните сгради Омбудсманът разчита на мерките, предприети от Парламента, в качеството му на собственик на сградите; отбелязва със задоволство, че и двете сгради, в които има офиси на Омбудсмана, работят със 100% чиста енергия; приветства инсталирането от Парламента на слънчеви панели, включително в сградата „Хавел“ в Страсбург през 2024 г.;</w:t>
      </w:r>
    </w:p>
    <w:p w14:paraId="4539913C" w14:textId="7B982719" w:rsidR="00E36AE7" w:rsidRPr="00AC5798" w:rsidRDefault="00E36AE7" w:rsidP="00AC12EF">
      <w:pPr>
        <w:pStyle w:val="NormalHanging12a"/>
        <w:widowControl/>
      </w:pPr>
      <w:r w:rsidRPr="00AC5798">
        <w:t>45.</w:t>
      </w:r>
      <w:r w:rsidRPr="00AC5798">
        <w:tab/>
        <w:t>отбелязва, че Омбудсманът е продължил да насърчава устойчивата мобилност през 2023 г.; приветства в този смисъл факта, че Омбудсманът прие нова политика за мобилност, която предвижда изплащането на фиксирана сума на служителите до степен AST</w:t>
      </w:r>
      <w:r w:rsidR="006F6A24">
        <w:t> </w:t>
      </w:r>
      <w:r w:rsidRPr="00AC5798">
        <w:t>8/AD</w:t>
      </w:r>
      <w:r w:rsidR="006F6A24">
        <w:t> </w:t>
      </w:r>
      <w:r w:rsidRPr="00AC5798">
        <w:t>8, които използват устойчиви видове транспорт, за да се придвижват до работното си място; отбелязва освен това въз основа на въпросника, че инициативата, чрез която Омбудсманът е осигурил велосипеди за ползване от служителите в работно време, не се е увенчала с успех, тъй като велосипедите почти не са били използвани през пробния период;</w:t>
      </w:r>
    </w:p>
    <w:p w14:paraId="4C85866F" w14:textId="77777777" w:rsidR="00E36AE7" w:rsidRPr="00AC5798" w:rsidRDefault="00E36AE7" w:rsidP="00AC12EF">
      <w:pPr>
        <w:pStyle w:val="NormalHanging12a"/>
        <w:widowControl/>
        <w:rPr>
          <w:b/>
          <w:i/>
        </w:rPr>
      </w:pPr>
      <w:r w:rsidRPr="00AC5798">
        <w:rPr>
          <w:b/>
          <w:i/>
        </w:rPr>
        <w:t>Междуинституционално сътрудничество</w:t>
      </w:r>
    </w:p>
    <w:p w14:paraId="39832FC9" w14:textId="77777777" w:rsidR="00E36AE7" w:rsidRPr="00AC5798" w:rsidRDefault="00E36AE7" w:rsidP="00AC12EF">
      <w:pPr>
        <w:pStyle w:val="NormalHanging12a"/>
        <w:widowControl/>
      </w:pPr>
      <w:r w:rsidRPr="00AC5798">
        <w:t>46.</w:t>
      </w:r>
      <w:r w:rsidRPr="00AC5798">
        <w:tab/>
        <w:t xml:space="preserve">приветства финансовите и административните икономии, постигнати чрез междуинституционално сътрудничество, и по-специално широкия набор от споразумения за нивото на обслужване, сключени с Парламента и Комисията, и участието в междуинституционални процедури за възлагане на обществени поръчки; приветства формализирането на сътрудничеството между Парламента и Омбудсмана в областта на киберсигурността чрез преразгледано междуинституционално споразумение, което осигурява рамка за Парламента, за </w:t>
      </w:r>
      <w:r w:rsidRPr="00AC5798">
        <w:lastRenderedPageBreak/>
        <w:t>да може той да продължи да предоставя солидна подкрепа за киберсигурността на Омбудсмана; отбелязва освен това, че през 2023 г. Омбудсманът е подписал с EPSO споразумение за нивото на обслужване за организирането на вътрешни конкурси;</w:t>
      </w:r>
    </w:p>
    <w:p w14:paraId="78CCF53A" w14:textId="760BD20F" w:rsidR="00E36AE7" w:rsidRPr="00AC5798" w:rsidRDefault="00E36AE7" w:rsidP="00AC12EF">
      <w:pPr>
        <w:pStyle w:val="NormalHanging12a"/>
        <w:widowControl/>
      </w:pPr>
      <w:r w:rsidRPr="00AC5798">
        <w:t>47.</w:t>
      </w:r>
      <w:r w:rsidRPr="00AC5798">
        <w:tab/>
        <w:t xml:space="preserve">поздравява Омбудсмана за доброто му сътрудничество с </w:t>
      </w:r>
      <w:r w:rsidR="006F6A24" w:rsidRPr="00F23910">
        <w:t>Европейската служба за борба с измамите</w:t>
      </w:r>
      <w:r w:rsidR="006F6A24">
        <w:t xml:space="preserve"> (</w:t>
      </w:r>
      <w:r w:rsidRPr="00AC5798">
        <w:t>OLAF</w:t>
      </w:r>
      <w:r w:rsidR="006F6A24">
        <w:t>)</w:t>
      </w:r>
      <w:r w:rsidRPr="00AC5798">
        <w:t xml:space="preserve">, </w:t>
      </w:r>
      <w:r w:rsidR="00AC5798">
        <w:t>Палатата</w:t>
      </w:r>
      <w:r w:rsidR="00AC5798" w:rsidRPr="00AC5798">
        <w:t xml:space="preserve"> </w:t>
      </w:r>
      <w:r w:rsidRPr="00AC5798">
        <w:t xml:space="preserve">и Европейската прокуратура, което през 2023 г. бе под формата на срещи и размяна на мнения, например относно начините за подобряване на прозрачността и почтеността на европейските институции или рамката за надзор на Съюза; припомня, че Омбудсманът и OLAF са въвели система за избягване на дублирането на разследвания; отбелязва въз основа на въпросника, че Омбудсманът и </w:t>
      </w:r>
      <w:r w:rsidR="006F6A24" w:rsidRPr="00F23910">
        <w:t>Европейският надзорен орган по защита на данните (ЕНОЗД)</w:t>
      </w:r>
      <w:r w:rsidRPr="00AC5798">
        <w:t xml:space="preserve"> си сътрудничат главно спорадично и неформално с цел бързо и ефикасно съдействие, когато това е необходимо; насърчава Омбудсмана да работи в тясно сътрудничество с другите институции и европейски агенции;</w:t>
      </w:r>
    </w:p>
    <w:p w14:paraId="69E8AFA6" w14:textId="65AE980B" w:rsidR="00E36AE7" w:rsidRPr="00AC5798" w:rsidRDefault="00E36AE7" w:rsidP="00AC12EF">
      <w:pPr>
        <w:pStyle w:val="NormalHanging12a"/>
        <w:widowControl/>
      </w:pPr>
      <w:r w:rsidRPr="00AC5798">
        <w:t>48.</w:t>
      </w:r>
      <w:r w:rsidRPr="00AC5798">
        <w:tab/>
        <w:t xml:space="preserve">призовава Омбудсмана да установи официален годишен диалог с комисиите </w:t>
      </w:r>
      <w:r w:rsidR="006F6A24" w:rsidRPr="00F23910">
        <w:t>(Комисията по бюджетен контрол (CONT) и Комисията по граждански свободи, правосъдие и вътрешни работи (LIBE)</w:t>
      </w:r>
      <w:r w:rsidRPr="00AC5798">
        <w:t xml:space="preserve"> на Европейския парламент, като гарантира предприемането на систематични последващи действия във връзка с институционалната прозрачност, реформите в управлението и защитата на основните права;</w:t>
      </w:r>
    </w:p>
    <w:p w14:paraId="1EA75DA1" w14:textId="77777777" w:rsidR="00E36AE7" w:rsidRPr="00AC5798" w:rsidRDefault="00E36AE7" w:rsidP="00AC12EF">
      <w:pPr>
        <w:pStyle w:val="NormalHanging12a"/>
        <w:widowControl/>
      </w:pPr>
      <w:r w:rsidRPr="00AC5798">
        <w:t>49.</w:t>
      </w:r>
      <w:r w:rsidRPr="00AC5798">
        <w:tab/>
        <w:t>признава, че е важно да се поддържа високо равнище на обмен и сътрудничество с Европейската мрежа на омбудсманите; приветства организирането на годишната конференция на Европейската мрежа на омбудсманите, със сесии по някои въпроси, като например миграцията, изкуствения интелект и етиката в публичната администрация през 2023 г.; отбелязва със задоволство, че чрез процедурата за отправяне на запитвания Омбудсманът подпомага членовете на Европейската мрежа на омбудсманите при извършването на проверки на национално и регионално равнище, като през 2023 г. Омбудсманът е приключил пет запитвания, отправени от пет държави — членки на Съюза; приветства организирането на годишната конференция на Европейската мрежа на омбудсманите през 2023 г., като ценна платформа за диалог по ключови въпроси, оказващи влияние върху дейността на омбудсманите в Европа;</w:t>
      </w:r>
    </w:p>
    <w:p w14:paraId="15BFB9AA" w14:textId="77777777" w:rsidR="00E36AE7" w:rsidRPr="00AC5798" w:rsidRDefault="00E36AE7" w:rsidP="00AC12EF">
      <w:pPr>
        <w:pStyle w:val="NormalHanging12a"/>
        <w:widowControl/>
      </w:pPr>
      <w:r w:rsidRPr="00AC5798">
        <w:t>50.</w:t>
      </w:r>
      <w:r w:rsidRPr="00AC5798">
        <w:tab/>
        <w:t>приветства факта, че през 2023 г. Омбудсманът е продължил тясното си сътрудничество със съответните комисии на Европейския парламент по важни проверки чрез пряко представяне на работата си на заседанията на комисиите или чрез изпращане на информация до председателите на комисии; подчертава, че стратегическите инициативи и проверки, осъществявани от Омбудсмана, са от основно значение за подобряване на прозрачността и отчетността на администрацията на Съюза;</w:t>
      </w:r>
    </w:p>
    <w:p w14:paraId="77426FDE" w14:textId="77777777" w:rsidR="00E36AE7" w:rsidRPr="00AC5798" w:rsidRDefault="00E36AE7" w:rsidP="00AC12EF">
      <w:pPr>
        <w:pStyle w:val="NormalHanging12a"/>
        <w:widowControl/>
        <w:rPr>
          <w:b/>
          <w:i/>
        </w:rPr>
      </w:pPr>
      <w:r w:rsidRPr="00AC5798">
        <w:rPr>
          <w:b/>
          <w:i/>
        </w:rPr>
        <w:t>Комуникация</w:t>
      </w:r>
    </w:p>
    <w:p w14:paraId="4ACA91EE" w14:textId="77777777" w:rsidR="00E36AE7" w:rsidRPr="00AC5798" w:rsidRDefault="00E36AE7" w:rsidP="00AC12EF">
      <w:pPr>
        <w:pStyle w:val="NormalHanging12a"/>
        <w:widowControl/>
      </w:pPr>
      <w:r w:rsidRPr="00AC5798">
        <w:t>51.</w:t>
      </w:r>
      <w:r w:rsidRPr="00AC5798">
        <w:tab/>
        <w:t>отбелязва, че общият бюджет за комуникационни и рекламни дейности (публикации, организиране на прояви, цифрова комуникация и др.) се е увеличил със 17,20% – от 132 400 EUR през 2022 г. на 155 200 EUR през 2023 г.;</w:t>
      </w:r>
    </w:p>
    <w:p w14:paraId="584D4215" w14:textId="77777777" w:rsidR="00E36AE7" w:rsidRPr="00AC5798" w:rsidRDefault="00E36AE7" w:rsidP="00AC12EF">
      <w:pPr>
        <w:pStyle w:val="NormalHanging12a"/>
        <w:widowControl/>
      </w:pPr>
      <w:r w:rsidRPr="00AC5798">
        <w:lastRenderedPageBreak/>
        <w:t>52.</w:t>
      </w:r>
      <w:r w:rsidRPr="00AC5798">
        <w:tab/>
        <w:t xml:space="preserve">приветства усилията и действията на Омбудсмана през 2023 г. за повишаване на осведомеността на гражданите относно ролята на Омбудсмана и възможността за прибягване до него в случай на лошо администриране от страна на институция на Съюза; в тази връзка отбелязва проведените през 2023 г. комуникационни кампании, базирани на поредица от видео материали, представящи работата на Омбудсмана и обясняващи три от ключовите области, в които той може да се намесва, както и уеб история с възможност за </w:t>
      </w:r>
      <w:proofErr w:type="spellStart"/>
      <w:r w:rsidRPr="00AC5798">
        <w:t>скролиране</w:t>
      </w:r>
      <w:proofErr w:type="spellEnd"/>
      <w:r w:rsidRPr="00AC5798">
        <w:t xml:space="preserve"> относно въздействието на работата на Омбудсмана във времето и ръководство за достъпа до документи; приветства освен това организирането на церемонията за връчване на наградата за добро управление и участието на Омбудсмана в Деня на отворените врати на ЕС в Брюксел и в Страсбург, където той беше домакин на целеви прояви със заинтересованите страни, с участието на представители на академичните среди и мозъчни тръстове, както и на Срещата на европейската младеж в Страсбург през 2023 г.;</w:t>
      </w:r>
    </w:p>
    <w:p w14:paraId="26ED0BAD" w14:textId="77777777" w:rsidR="00E36AE7" w:rsidRPr="00AC5798" w:rsidRDefault="00E36AE7" w:rsidP="00FA6E7C">
      <w:pPr>
        <w:pStyle w:val="NormalHanging12a"/>
        <w:widowControl/>
      </w:pPr>
      <w:r w:rsidRPr="00AC5798">
        <w:t>53.</w:t>
      </w:r>
      <w:r w:rsidRPr="00AC5798">
        <w:tab/>
        <w:t>признава усилията на Омбудсмана за предоставяне на прозрачна информация и за публикуването на данни (включително статистика за неговата натовареност) в информативен и удобен за ползване формат на уебсайта на Омбудсмана, въпреки че тези данни не са налични в отворен формат; приветства публикуването на уебсайта на график за всички проверки по жалби, в който се предоставя информация за миналите и бъдещите ключови етапи от всяко проучване;</w:t>
      </w:r>
    </w:p>
    <w:p w14:paraId="6EE5C2D6" w14:textId="77777777" w:rsidR="00BD42D6" w:rsidRPr="00FA6E7C" w:rsidRDefault="00E36AE7" w:rsidP="00AC12EF">
      <w:pPr>
        <w:pStyle w:val="NormalHanging12a"/>
        <w:widowControl/>
      </w:pPr>
      <w:r w:rsidRPr="00AC5798">
        <w:t>54.</w:t>
      </w:r>
      <w:r w:rsidRPr="00AC5798">
        <w:tab/>
        <w:t xml:space="preserve">отбелязва, че Омбудсманът има профили в социалните медии Instagram, </w:t>
      </w:r>
      <w:proofErr w:type="spellStart"/>
      <w:r w:rsidRPr="00AC5798">
        <w:t>LinkedIn</w:t>
      </w:r>
      <w:proofErr w:type="spellEnd"/>
      <w:r w:rsidRPr="00AC5798">
        <w:t xml:space="preserve"> и X (бившия </w:t>
      </w:r>
      <w:proofErr w:type="spellStart"/>
      <w:r w:rsidRPr="00AC5798">
        <w:t>Twitter</w:t>
      </w:r>
      <w:proofErr w:type="spellEnd"/>
      <w:r w:rsidRPr="00AC5798">
        <w:t>), където броят на последователите и процентът на ангажираност е продължил да расте през 2023 г.; приветства участието на Омбудсмана в пилотен проект, ръководен от ЕНОЗД, който има за цел да привлече европейските институции в EU-</w:t>
      </w:r>
      <w:proofErr w:type="spellStart"/>
      <w:r w:rsidRPr="00AC5798">
        <w:t>Voice</w:t>
      </w:r>
      <w:proofErr w:type="spellEnd"/>
      <w:r w:rsidRPr="00AC5798">
        <w:t xml:space="preserve"> и EU-</w:t>
      </w:r>
      <w:proofErr w:type="spellStart"/>
      <w:r w:rsidRPr="00AC5798">
        <w:t>Video</w:t>
      </w:r>
      <w:proofErr w:type="spellEnd"/>
      <w:r w:rsidRPr="00AC5798">
        <w:t xml:space="preserve">, които са две безплатни мрежи на социалните медии с отворен код, на базата на софтуера </w:t>
      </w:r>
      <w:proofErr w:type="spellStart"/>
      <w:r w:rsidRPr="00AC5798">
        <w:t>Mastodon</w:t>
      </w:r>
      <w:proofErr w:type="spellEnd"/>
      <w:r w:rsidRPr="00AC5798">
        <w:t>, даващи възможност на европейските институции да си взаимодействат с обществеността чрез споделяне на текстове, изображения, видео материали и подкастове.</w:t>
      </w:r>
    </w:p>
    <w:sectPr w:rsidR="00BD42D6" w:rsidRPr="00FA6E7C" w:rsidSect="00BD42D6">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24D5B4" w14:textId="77777777" w:rsidR="002E1BBC" w:rsidRPr="00BD42D6" w:rsidRDefault="002E1BBC">
      <w:r w:rsidRPr="00BD42D6">
        <w:separator/>
      </w:r>
    </w:p>
  </w:endnote>
  <w:endnote w:type="continuationSeparator" w:id="0">
    <w:p w14:paraId="5BE8E325" w14:textId="77777777" w:rsidR="002E1BBC" w:rsidRPr="00BD42D6" w:rsidRDefault="002E1BBC">
      <w:r w:rsidRPr="00BD42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4785E" w14:textId="77777777" w:rsidR="00E36AE7" w:rsidRPr="00BD42D6" w:rsidRDefault="00E36AE7" w:rsidP="0021149D">
    <w:pPr>
      <w:pStyle w:val="EPFooter"/>
    </w:pPr>
    <w:r w:rsidRPr="00BD42D6">
      <w:t>PE</w:t>
    </w:r>
    <w:r w:rsidRPr="00BD42D6">
      <w:rPr>
        <w:rStyle w:val="HideTWBExt"/>
      </w:rPr>
      <w:t>&lt;</w:t>
    </w:r>
    <w:proofErr w:type="spellStart"/>
    <w:r w:rsidRPr="00BD42D6">
      <w:rPr>
        <w:rStyle w:val="HideTWBExt"/>
      </w:rPr>
      <w:t>NoPE</w:t>
    </w:r>
    <w:proofErr w:type="spellEnd"/>
    <w:r w:rsidRPr="00BD42D6">
      <w:rPr>
        <w:rStyle w:val="HideTWBExt"/>
      </w:rPr>
      <w:t>&gt;</w:t>
    </w:r>
    <w:r w:rsidRPr="00BD42D6">
      <w:t>764.991</w:t>
    </w:r>
    <w:r w:rsidRPr="00BD42D6">
      <w:rPr>
        <w:rStyle w:val="HideTWBExt"/>
      </w:rPr>
      <w:t>&lt;/</w:t>
    </w:r>
    <w:proofErr w:type="spellStart"/>
    <w:r w:rsidRPr="00BD42D6">
      <w:rPr>
        <w:rStyle w:val="HideTWBExt"/>
      </w:rPr>
      <w:t>NoPE</w:t>
    </w:r>
    <w:proofErr w:type="spellEnd"/>
    <w:r w:rsidRPr="00BD42D6">
      <w:rPr>
        <w:rStyle w:val="HideTWBExt"/>
      </w:rPr>
      <w:t>&gt;&lt;Version&gt;</w:t>
    </w:r>
    <w:r w:rsidRPr="00BD42D6">
      <w:t>v02-00</w:t>
    </w:r>
    <w:r w:rsidRPr="00BD42D6">
      <w:rPr>
        <w:rStyle w:val="HideTWBExt"/>
      </w:rPr>
      <w:t>&lt;/</w:t>
    </w:r>
    <w:proofErr w:type="spellStart"/>
    <w:r w:rsidRPr="00BD42D6">
      <w:rPr>
        <w:rStyle w:val="HideTWBExt"/>
      </w:rPr>
      <w:t>Version</w:t>
    </w:r>
    <w:proofErr w:type="spellEnd"/>
    <w:r w:rsidRPr="00BD42D6">
      <w:rPr>
        <w:rStyle w:val="HideTWBExt"/>
      </w:rPr>
      <w:t>&gt;</w:t>
    </w:r>
    <w:r w:rsidRPr="00BD42D6">
      <w:tab/>
    </w:r>
    <w:r w:rsidRPr="00BD42D6">
      <w:fldChar w:fldCharType="begin"/>
    </w:r>
    <w:r w:rsidRPr="00BD42D6">
      <w:instrText xml:space="preserve"> PAGE  \* MERGEFORMAT </w:instrText>
    </w:r>
    <w:r w:rsidRPr="00BD42D6">
      <w:fldChar w:fldCharType="separate"/>
    </w:r>
    <w:r w:rsidR="00BD42D6" w:rsidRPr="00BD42D6">
      <w:rPr>
        <w:noProof/>
      </w:rPr>
      <w:t>2</w:t>
    </w:r>
    <w:r w:rsidRPr="00BD42D6">
      <w:fldChar w:fldCharType="end"/>
    </w:r>
    <w:r w:rsidRPr="00BD42D6">
      <w:t>/</w:t>
    </w:r>
    <w:fldSimple w:instr=" NUMPAGES  \* MERGEFORMAT ">
      <w:r w:rsidR="00BD42D6" w:rsidRPr="00BD42D6">
        <w:rPr>
          <w:noProof/>
        </w:rPr>
        <w:t>3</w:t>
      </w:r>
    </w:fldSimple>
    <w:r w:rsidRPr="00BD42D6">
      <w:tab/>
    </w:r>
    <w:r w:rsidRPr="00BD42D6">
      <w:rPr>
        <w:rStyle w:val="HideTWBExt"/>
      </w:rPr>
      <w:t>&lt;PathFdR&gt;</w:t>
    </w:r>
    <w:r w:rsidRPr="00BD42D6">
      <w:t>RR\1318734BG.docx</w:t>
    </w:r>
    <w:r w:rsidRPr="00BD42D6">
      <w:rPr>
        <w:rStyle w:val="HideTWBExt"/>
      </w:rPr>
      <w:t>&lt;/</w:t>
    </w:r>
    <w:proofErr w:type="spellStart"/>
    <w:r w:rsidRPr="00BD42D6">
      <w:rPr>
        <w:rStyle w:val="HideTWBExt"/>
      </w:rPr>
      <w:t>PathFdR</w:t>
    </w:r>
    <w:proofErr w:type="spellEnd"/>
    <w:r w:rsidRPr="00BD42D6">
      <w:rPr>
        <w:rStyle w:val="HideTWBExt"/>
      </w:rPr>
      <w:t>&gt;</w:t>
    </w:r>
  </w:p>
  <w:p w14:paraId="119A7748" w14:textId="77777777" w:rsidR="00E36AE7" w:rsidRPr="00BD42D6" w:rsidRDefault="00E36AE7" w:rsidP="0021149D">
    <w:pPr>
      <w:pStyle w:val="EPFooter2"/>
    </w:pPr>
    <w:r w:rsidRPr="00BD42D6">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BDDE7" w14:textId="77777777" w:rsidR="00E36AE7" w:rsidRPr="00BD42D6" w:rsidRDefault="00E36AE7" w:rsidP="0021149D">
    <w:pPr>
      <w:pStyle w:val="EPFooter"/>
    </w:pPr>
    <w:r w:rsidRPr="00BD42D6">
      <w:rPr>
        <w:rStyle w:val="HideTWBExt"/>
      </w:rPr>
      <w:t>&lt;PathFdR&gt;</w:t>
    </w:r>
    <w:r w:rsidRPr="00BD42D6">
      <w:t>RR\1318734BG.docx</w:t>
    </w:r>
    <w:r w:rsidRPr="00BD42D6">
      <w:rPr>
        <w:rStyle w:val="HideTWBExt"/>
      </w:rPr>
      <w:t>&lt;/</w:t>
    </w:r>
    <w:proofErr w:type="spellStart"/>
    <w:r w:rsidRPr="00BD42D6">
      <w:rPr>
        <w:rStyle w:val="HideTWBExt"/>
      </w:rPr>
      <w:t>PathFdR</w:t>
    </w:r>
    <w:proofErr w:type="spellEnd"/>
    <w:r w:rsidRPr="00BD42D6">
      <w:rPr>
        <w:rStyle w:val="HideTWBExt"/>
      </w:rPr>
      <w:t>&gt;</w:t>
    </w:r>
    <w:r w:rsidRPr="00BD42D6">
      <w:tab/>
    </w:r>
    <w:r w:rsidRPr="00BD42D6">
      <w:tab/>
      <w:t>PE</w:t>
    </w:r>
    <w:r w:rsidRPr="00BD42D6">
      <w:rPr>
        <w:rStyle w:val="HideTWBExt"/>
      </w:rPr>
      <w:t>&lt;</w:t>
    </w:r>
    <w:proofErr w:type="spellStart"/>
    <w:r w:rsidRPr="00BD42D6">
      <w:rPr>
        <w:rStyle w:val="HideTWBExt"/>
      </w:rPr>
      <w:t>NoPE</w:t>
    </w:r>
    <w:proofErr w:type="spellEnd"/>
    <w:r w:rsidRPr="00BD42D6">
      <w:rPr>
        <w:rStyle w:val="HideTWBExt"/>
      </w:rPr>
      <w:t>&gt;</w:t>
    </w:r>
    <w:r w:rsidRPr="00BD42D6">
      <w:t>764.991</w:t>
    </w:r>
    <w:r w:rsidRPr="00BD42D6">
      <w:rPr>
        <w:rStyle w:val="HideTWBExt"/>
      </w:rPr>
      <w:t>&lt;/</w:t>
    </w:r>
    <w:proofErr w:type="spellStart"/>
    <w:r w:rsidRPr="00BD42D6">
      <w:rPr>
        <w:rStyle w:val="HideTWBExt"/>
      </w:rPr>
      <w:t>NoPE</w:t>
    </w:r>
    <w:proofErr w:type="spellEnd"/>
    <w:r w:rsidRPr="00BD42D6">
      <w:rPr>
        <w:rStyle w:val="HideTWBExt"/>
      </w:rPr>
      <w:t>&gt;&lt;Version&gt;</w:t>
    </w:r>
    <w:r w:rsidRPr="00BD42D6">
      <w:t>v02-00</w:t>
    </w:r>
    <w:r w:rsidRPr="00BD42D6">
      <w:rPr>
        <w:rStyle w:val="HideTWBExt"/>
      </w:rPr>
      <w:t>&lt;/</w:t>
    </w:r>
    <w:proofErr w:type="spellStart"/>
    <w:r w:rsidRPr="00BD42D6">
      <w:rPr>
        <w:rStyle w:val="HideTWBExt"/>
      </w:rPr>
      <w:t>Version</w:t>
    </w:r>
    <w:proofErr w:type="spellEnd"/>
    <w:r w:rsidRPr="00BD42D6">
      <w:rPr>
        <w:rStyle w:val="HideTWBExt"/>
      </w:rPr>
      <w:t>&gt;</w:t>
    </w:r>
  </w:p>
  <w:p w14:paraId="7A7CAE79" w14:textId="77777777" w:rsidR="00E36AE7" w:rsidRPr="00BD42D6" w:rsidRDefault="00E36AE7" w:rsidP="0021149D">
    <w:pPr>
      <w:pStyle w:val="EPFooter2"/>
    </w:pPr>
    <w:r w:rsidRPr="00BD42D6">
      <w:t>BG</w:t>
    </w:r>
    <w:r w:rsidRPr="00BD42D6">
      <w:tab/>
    </w:r>
    <w:r w:rsidRPr="00BD42D6">
      <w:rPr>
        <w:b w:val="0"/>
        <w:i/>
        <w:color w:val="C0C0C0"/>
        <w:sz w:val="22"/>
      </w:rPr>
      <w:t>Единство в многообразието</w:t>
    </w:r>
    <w:r w:rsidRPr="00BD42D6">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4043D" w14:textId="77777777" w:rsidR="00064002" w:rsidRPr="00BD42D6"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42838" w14:textId="77777777" w:rsidR="00064002" w:rsidRPr="00BD42D6"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54932" w14:textId="77777777" w:rsidR="00064002" w:rsidRPr="00BD42D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976B3C" w14:textId="77777777" w:rsidR="002E1BBC" w:rsidRPr="00BD42D6" w:rsidRDefault="002E1BBC">
      <w:r w:rsidRPr="00BD42D6">
        <w:separator/>
      </w:r>
    </w:p>
  </w:footnote>
  <w:footnote w:type="continuationSeparator" w:id="0">
    <w:p w14:paraId="638A20C4" w14:textId="77777777" w:rsidR="002E1BBC" w:rsidRPr="00BD42D6" w:rsidRDefault="002E1BBC">
      <w:r w:rsidRPr="00BD42D6">
        <w:continuationSeparator/>
      </w:r>
    </w:p>
  </w:footnote>
  <w:footnote w:id="1">
    <w:p w14:paraId="089B7F6C" w14:textId="77777777" w:rsidR="00E36AE7" w:rsidRPr="00DA2211" w:rsidRDefault="00E36AE7" w:rsidP="00BD42D6">
      <w:pPr>
        <w:ind w:left="567" w:hanging="567"/>
      </w:pPr>
      <w:r w:rsidRPr="00DA2211">
        <w:rPr>
          <w:rStyle w:val="FootnoteReference"/>
        </w:rPr>
        <w:footnoteRef/>
      </w:r>
      <w:r w:rsidR="00BD42D6" w:rsidRPr="00DA2211">
        <w:t xml:space="preserve"> </w:t>
      </w:r>
      <w:r w:rsidR="00BD42D6" w:rsidRPr="00DA2211">
        <w:tab/>
      </w:r>
      <w:r w:rsidRPr="00DA2211">
        <w:t xml:space="preserve">OВ L 58, 23.2.2023 г., стр. 1, ELI: </w:t>
      </w:r>
      <w:hyperlink r:id="rId1"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A2211">
          <w:rPr>
            <w:color w:val="337AB7"/>
            <w:u w:val="single"/>
            <w:shd w:val="clear" w:color="auto" w:fill="FFFFFF"/>
          </w:rPr>
          <w:t>http://data.europa.eu/eli/budget/2023/1/oj</w:t>
        </w:r>
      </w:hyperlink>
      <w:r w:rsidRPr="00DA2211">
        <w:rPr>
          <w:shd w:val="clear" w:color="auto" w:fill="FFFFFF"/>
        </w:rPr>
        <w:t>.</w:t>
      </w:r>
    </w:p>
  </w:footnote>
  <w:footnote w:id="2">
    <w:p w14:paraId="5073FC45" w14:textId="77777777" w:rsidR="00E36AE7" w:rsidRPr="00DA2211" w:rsidRDefault="00E36AE7" w:rsidP="00BD42D6">
      <w:pPr>
        <w:pStyle w:val="FootnoteText"/>
        <w:ind w:left="567" w:hanging="567"/>
        <w:rPr>
          <w:sz w:val="24"/>
          <w:lang w:val="bg-BG"/>
        </w:rPr>
      </w:pPr>
      <w:r w:rsidRPr="00DA2211">
        <w:rPr>
          <w:rStyle w:val="FootnoteReference"/>
          <w:sz w:val="24"/>
          <w:lang w:val="bg-BG"/>
        </w:rPr>
        <w:footnoteRef/>
      </w:r>
      <w:r w:rsidR="00BD42D6" w:rsidRPr="00DA2211">
        <w:rPr>
          <w:sz w:val="24"/>
          <w:lang w:val="bg-BG"/>
        </w:rPr>
        <w:t xml:space="preserve"> </w:t>
      </w:r>
      <w:r w:rsidR="00BD42D6" w:rsidRPr="00DA2211">
        <w:rPr>
          <w:sz w:val="24"/>
          <w:lang w:val="bg-BG"/>
        </w:rPr>
        <w:tab/>
      </w:r>
      <w:r w:rsidRPr="00DA2211">
        <w:rPr>
          <w:sz w:val="24"/>
          <w:lang w:val="bg-BG"/>
        </w:rPr>
        <w:t xml:space="preserve">ОВ C, C/2024/5462, 10.10.2024 г., ELI: </w:t>
      </w:r>
      <w:hyperlink r:id="rId2" w:history="1">
        <w:r w:rsidRPr="00DA2211">
          <w:rPr>
            <w:rStyle w:val="Hyperlink"/>
            <w:sz w:val="24"/>
            <w:lang w:val="bg-BG"/>
          </w:rPr>
          <w:t>http://data.europa.eu/eli/C/2024/5462/oj</w:t>
        </w:r>
      </w:hyperlink>
      <w:r w:rsidRPr="00DA2211">
        <w:rPr>
          <w:rStyle w:val="Hyperlink"/>
          <w:sz w:val="24"/>
          <w:lang w:val="bg-BG"/>
        </w:rPr>
        <w:t>.</w:t>
      </w:r>
    </w:p>
  </w:footnote>
  <w:footnote w:id="3">
    <w:p w14:paraId="0CA1B916" w14:textId="77777777" w:rsidR="00E36AE7" w:rsidRPr="00DA2211" w:rsidRDefault="00E36AE7" w:rsidP="00BD42D6">
      <w:pPr>
        <w:pStyle w:val="FootnoteText"/>
        <w:ind w:left="567" w:hanging="567"/>
        <w:rPr>
          <w:sz w:val="24"/>
          <w:lang w:val="bg-BG"/>
        </w:rPr>
      </w:pPr>
      <w:r w:rsidRPr="00DA2211">
        <w:rPr>
          <w:rStyle w:val="FootnoteReference"/>
          <w:sz w:val="24"/>
          <w:lang w:val="bg-BG"/>
        </w:rPr>
        <w:footnoteRef/>
      </w:r>
      <w:r w:rsidR="00BD42D6" w:rsidRPr="00DA2211">
        <w:rPr>
          <w:sz w:val="24"/>
          <w:lang w:val="bg-BG"/>
        </w:rPr>
        <w:t xml:space="preserve"> </w:t>
      </w:r>
      <w:r w:rsidR="00BD42D6" w:rsidRPr="00DA2211">
        <w:rPr>
          <w:sz w:val="24"/>
          <w:lang w:val="bg-BG"/>
        </w:rPr>
        <w:tab/>
      </w:r>
      <w:r w:rsidRPr="00DA2211">
        <w:rPr>
          <w:sz w:val="24"/>
          <w:lang w:val="bg-BG"/>
        </w:rPr>
        <w:t xml:space="preserve">ОВ C, C/2024/5882, 9.10.2024 г., ELI: </w:t>
      </w:r>
      <w:hyperlink r:id="rId3" w:history="1">
        <w:r w:rsidRPr="00DA2211">
          <w:rPr>
            <w:rStyle w:val="Hyperlink"/>
            <w:sz w:val="24"/>
            <w:lang w:val="bg-BG"/>
          </w:rPr>
          <w:t>http://data.europa.eu/eli/C/2024/5882/oj</w:t>
        </w:r>
      </w:hyperlink>
      <w:r w:rsidRPr="00DA2211">
        <w:rPr>
          <w:rStyle w:val="Hyperlink"/>
          <w:sz w:val="24"/>
          <w:lang w:val="bg-BG"/>
        </w:rPr>
        <w:t>.</w:t>
      </w:r>
    </w:p>
  </w:footnote>
  <w:footnote w:id="4">
    <w:p w14:paraId="3346488D" w14:textId="77777777" w:rsidR="00E36AE7" w:rsidRPr="00DA2211" w:rsidRDefault="00E36AE7" w:rsidP="00BD42D6">
      <w:pPr>
        <w:pStyle w:val="FootnoteText"/>
        <w:ind w:left="567" w:hanging="567"/>
        <w:rPr>
          <w:sz w:val="24"/>
          <w:lang w:val="bg-BG"/>
        </w:rPr>
      </w:pPr>
      <w:r w:rsidRPr="00DA2211">
        <w:rPr>
          <w:rStyle w:val="FootnoteReference"/>
          <w:sz w:val="24"/>
          <w:lang w:val="bg-BG"/>
        </w:rPr>
        <w:footnoteRef/>
      </w:r>
      <w:r w:rsidR="00BD42D6" w:rsidRPr="00DA2211">
        <w:rPr>
          <w:sz w:val="24"/>
          <w:lang w:val="bg-BG"/>
        </w:rPr>
        <w:t xml:space="preserve"> </w:t>
      </w:r>
      <w:r w:rsidR="00BD42D6" w:rsidRPr="00DA2211">
        <w:rPr>
          <w:sz w:val="24"/>
          <w:lang w:val="bg-BG"/>
        </w:rPr>
        <w:tab/>
      </w:r>
      <w:r w:rsidRPr="00DA2211">
        <w:rPr>
          <w:sz w:val="24"/>
          <w:lang w:val="bg-BG"/>
        </w:rPr>
        <w:t xml:space="preserve">ОВ C, C/2024/6041, 10.10.2024 г., ELI: </w:t>
      </w:r>
      <w:hyperlink r:id="rId4" w:history="1">
        <w:r w:rsidRPr="00DA2211">
          <w:rPr>
            <w:rStyle w:val="Hyperlink"/>
            <w:sz w:val="24"/>
            <w:lang w:val="bg-BG"/>
          </w:rPr>
          <w:t>http://data.europa.eu/eli/C/2024/6041/oj</w:t>
        </w:r>
      </w:hyperlink>
      <w:r w:rsidRPr="00DA2211">
        <w:rPr>
          <w:rStyle w:val="Hyperlink"/>
          <w:sz w:val="24"/>
          <w:lang w:val="bg-BG"/>
        </w:rPr>
        <w:t>.</w:t>
      </w:r>
    </w:p>
  </w:footnote>
  <w:footnote w:id="5">
    <w:p w14:paraId="2A5A0E9C" w14:textId="77777777" w:rsidR="00E36AE7" w:rsidRPr="00DA2211" w:rsidRDefault="00E36AE7" w:rsidP="00BD42D6">
      <w:pPr>
        <w:pStyle w:val="FootnoteText"/>
        <w:ind w:left="567" w:hanging="567"/>
        <w:rPr>
          <w:sz w:val="24"/>
          <w:lang w:val="bg-BG"/>
        </w:rPr>
      </w:pPr>
      <w:r w:rsidRPr="00DA2211">
        <w:rPr>
          <w:rStyle w:val="FootnoteReference"/>
          <w:sz w:val="24"/>
          <w:lang w:val="bg-BG"/>
        </w:rPr>
        <w:footnoteRef/>
      </w:r>
      <w:r w:rsidR="00BD42D6" w:rsidRPr="00DA2211">
        <w:rPr>
          <w:sz w:val="24"/>
          <w:lang w:val="bg-BG"/>
        </w:rPr>
        <w:t xml:space="preserve"> </w:t>
      </w:r>
      <w:r w:rsidR="00BD42D6" w:rsidRPr="00DA2211">
        <w:rPr>
          <w:sz w:val="24"/>
          <w:lang w:val="bg-BG"/>
        </w:rPr>
        <w:tab/>
      </w:r>
      <w:r w:rsidRPr="00DA2211">
        <w:rPr>
          <w:sz w:val="24"/>
          <w:lang w:val="bg-BG"/>
        </w:rPr>
        <w:t xml:space="preserve">OВ L 193, 30.7.2018 г., стр. 1, ELI: </w:t>
      </w:r>
      <w:hyperlink r:id="rId5" w:history="1">
        <w:r w:rsidRPr="00DA2211">
          <w:rPr>
            <w:rStyle w:val="Hyperlink"/>
            <w:sz w:val="24"/>
            <w:lang w:val="bg-BG"/>
          </w:rPr>
          <w:t>http://data.europa.eu/eli/reg/2018/1046/oj</w:t>
        </w:r>
      </w:hyperlink>
      <w:r w:rsidRPr="00DA2211">
        <w:rPr>
          <w:sz w:val="24"/>
          <w:lang w:val="bg-BG"/>
        </w:rPr>
        <w:t>.</w:t>
      </w:r>
    </w:p>
  </w:footnote>
  <w:footnote w:id="6">
    <w:p w14:paraId="5BEF31CA" w14:textId="77777777" w:rsidR="00E36AE7" w:rsidRPr="00DA2211" w:rsidRDefault="00E36AE7" w:rsidP="00BD42D6">
      <w:pPr>
        <w:pStyle w:val="FootnoteText"/>
        <w:ind w:left="567" w:hanging="567"/>
        <w:rPr>
          <w:sz w:val="24"/>
          <w:lang w:val="bg-BG"/>
        </w:rPr>
      </w:pPr>
      <w:r w:rsidRPr="00DA2211">
        <w:rPr>
          <w:rStyle w:val="FootnoteReference"/>
          <w:sz w:val="24"/>
          <w:lang w:val="bg-BG"/>
        </w:rPr>
        <w:footnoteRef/>
      </w:r>
      <w:r w:rsidR="00BD42D6" w:rsidRPr="00DA2211">
        <w:rPr>
          <w:sz w:val="24"/>
          <w:lang w:val="bg-BG"/>
        </w:rPr>
        <w:t xml:space="preserve"> </w:t>
      </w:r>
      <w:r w:rsidR="00BD42D6" w:rsidRPr="00DA2211">
        <w:rPr>
          <w:sz w:val="24"/>
          <w:lang w:val="bg-BG"/>
        </w:rPr>
        <w:tab/>
      </w:r>
      <w:r w:rsidRPr="00DA2211">
        <w:rPr>
          <w:sz w:val="24"/>
          <w:lang w:val="bg-BG"/>
        </w:rPr>
        <w:t xml:space="preserve">ОВ L, 2024/2509, 26.9.2024 г., ELI: </w:t>
      </w:r>
      <w:hyperlink r:id="rId6" w:history="1">
        <w:r w:rsidRPr="00DA2211">
          <w:rPr>
            <w:rStyle w:val="Hyperlink"/>
            <w:sz w:val="24"/>
            <w:lang w:val="bg-BG"/>
          </w:rPr>
          <w:t>https://data.europa.eu/eli/reg/2024/2509/oj</w:t>
        </w:r>
      </w:hyperlink>
      <w:r w:rsidRPr="00DA2211">
        <w:rPr>
          <w:rStyle w:val="Hyperlink"/>
          <w:sz w:val="24"/>
          <w:lang w:val="bg-BG"/>
        </w:rPr>
        <w:t>.</w:t>
      </w:r>
    </w:p>
  </w:footnote>
  <w:footnote w:id="7">
    <w:p w14:paraId="0255F84A" w14:textId="56A1C09F" w:rsidR="00E36AE7" w:rsidRPr="00DA2211" w:rsidRDefault="00E36AE7" w:rsidP="00BD42D6">
      <w:pPr>
        <w:pStyle w:val="FootnoteText"/>
        <w:ind w:left="567" w:hanging="567"/>
        <w:rPr>
          <w:sz w:val="24"/>
          <w:lang w:val="bg-BG"/>
        </w:rPr>
      </w:pPr>
      <w:r w:rsidRPr="00DA2211">
        <w:rPr>
          <w:rStyle w:val="FootnoteReference"/>
          <w:sz w:val="24"/>
          <w:lang w:val="bg-BG"/>
        </w:rPr>
        <w:footnoteRef/>
      </w:r>
      <w:r w:rsidR="00BD42D6" w:rsidRPr="00DA2211">
        <w:rPr>
          <w:sz w:val="24"/>
          <w:lang w:val="bg-BG"/>
        </w:rPr>
        <w:t xml:space="preserve"> </w:t>
      </w:r>
      <w:r w:rsidR="00BD42D6" w:rsidRPr="00DA2211">
        <w:rPr>
          <w:sz w:val="24"/>
          <w:lang w:val="bg-BG"/>
        </w:rPr>
        <w:tab/>
      </w:r>
      <w:r w:rsidR="00DA2211" w:rsidRPr="00DA2211">
        <w:rPr>
          <w:sz w:val="24"/>
          <w:lang w:val="bg-BG"/>
        </w:rPr>
        <w:t xml:space="preserve">Регламент (ЕС, Евратом) 2021/1163 на Европейския парламент от 24 юни 2021 г. за установяване на правилата и общите условия за изпълнението на функциите на омбудсмана (Устав на Европейския омбудсман) и за отмяна на Решение 94/262/ЕОВС, ЕО, Евратом (ОВ L 253, 16.7.2021 г., стр. 1, ELI: </w:t>
      </w:r>
      <w:hyperlink r:id="rId7" w:history="1">
        <w:r w:rsidR="00B2163F" w:rsidRPr="002045DE">
          <w:rPr>
            <w:rStyle w:val="Hyperlink"/>
            <w:sz w:val="24"/>
            <w:lang w:val="bg-BG"/>
          </w:rPr>
          <w:t>http://data.europa.eu/eli/reg/2021/1163/oj</w:t>
        </w:r>
      </w:hyperlink>
      <w:r w:rsidR="00B2163F">
        <w:rPr>
          <w:sz w:val="24"/>
          <w:lang w:val="en-GB"/>
        </w:rPr>
        <w:t>)</w:t>
      </w:r>
      <w:r w:rsidR="00DA2211" w:rsidRPr="00DA2211">
        <w:rPr>
          <w:sz w:val="24"/>
          <w:lang w:val="bg-BG"/>
        </w:rPr>
        <w:t>.</w:t>
      </w:r>
    </w:p>
  </w:footnote>
  <w:footnote w:id="8">
    <w:p w14:paraId="3722E38F" w14:textId="77777777" w:rsidR="00E36AE7" w:rsidRPr="00DA2211" w:rsidRDefault="00E36AE7" w:rsidP="00BD42D6">
      <w:pPr>
        <w:pStyle w:val="FootnoteText"/>
        <w:ind w:left="567" w:hanging="567"/>
        <w:rPr>
          <w:sz w:val="24"/>
          <w:lang w:val="bg-BG"/>
        </w:rPr>
      </w:pPr>
      <w:r w:rsidRPr="00DA2211">
        <w:rPr>
          <w:rStyle w:val="FootnoteReference"/>
          <w:sz w:val="24"/>
          <w:lang w:val="bg-BG"/>
        </w:rPr>
        <w:footnoteRef/>
      </w:r>
      <w:r w:rsidR="00BD42D6" w:rsidRPr="00DA2211">
        <w:rPr>
          <w:color w:val="333333"/>
          <w:sz w:val="24"/>
          <w:shd w:val="clear" w:color="auto" w:fill="FFFFFF"/>
          <w:lang w:val="bg-BG"/>
        </w:rPr>
        <w:t xml:space="preserve"> </w:t>
      </w:r>
      <w:r w:rsidR="00BD42D6" w:rsidRPr="00DA2211">
        <w:rPr>
          <w:color w:val="333333"/>
          <w:sz w:val="24"/>
          <w:shd w:val="clear" w:color="auto" w:fill="FFFFFF"/>
          <w:lang w:val="bg-BG"/>
        </w:rPr>
        <w:tab/>
      </w:r>
      <w:r w:rsidRPr="00DA2211">
        <w:rPr>
          <w:color w:val="333333"/>
          <w:sz w:val="24"/>
          <w:shd w:val="clear" w:color="auto" w:fill="FFFFFF"/>
          <w:lang w:val="bg-BG"/>
        </w:rPr>
        <w:t>ОВ C, C/2023/161, 10.10.2023 г., ELI: </w:t>
      </w:r>
      <w:hyperlink r:id="rId8"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A2211">
          <w:rPr>
            <w:color w:val="23527C"/>
            <w:sz w:val="24"/>
            <w:u w:val="single"/>
            <w:lang w:val="bg-BG"/>
          </w:rPr>
          <w:t>http://data.europa.eu/eli/C/2023/161/oj</w:t>
        </w:r>
      </w:hyperlink>
      <w:r w:rsidRPr="00DA2211">
        <w:rPr>
          <w:color w:val="23527C"/>
          <w:sz w:val="24"/>
          <w:lang w:val="bg-BG"/>
        </w:rPr>
        <w:t>.</w:t>
      </w:r>
    </w:p>
  </w:footnote>
  <w:footnote w:id="9">
    <w:p w14:paraId="092EFF54" w14:textId="68E8E1EF" w:rsidR="006F6A24" w:rsidRPr="00DA2211" w:rsidRDefault="006F6A24" w:rsidP="006F6A24">
      <w:pPr>
        <w:pStyle w:val="FootnoteText"/>
        <w:ind w:left="567" w:hanging="567"/>
        <w:rPr>
          <w:sz w:val="24"/>
          <w:lang w:val="bg-BG"/>
        </w:rPr>
      </w:pPr>
      <w:r w:rsidRPr="00DA2211">
        <w:rPr>
          <w:rStyle w:val="FootnoteReference"/>
          <w:lang w:val="bg-BG"/>
        </w:rPr>
        <w:footnoteRef/>
      </w:r>
      <w:r w:rsidRPr="00DA2211">
        <w:rPr>
          <w:sz w:val="24"/>
          <w:lang w:val="bg-BG"/>
        </w:rPr>
        <w:t xml:space="preserve"> </w:t>
      </w:r>
      <w:r w:rsidRPr="00DA2211">
        <w:rPr>
          <w:sz w:val="24"/>
          <w:lang w:val="bg-BG"/>
        </w:rPr>
        <w:tab/>
        <w:t>Регламент (ЕО) № 1049/2001 на Европейския парламент и на Съвета от 30 май 2001 г. относно публичния достъп до документи на Европейския парламент, на Съвета и на Комисията (OB L 145, 31.5.2001 г., стр. 43, ELI: </w:t>
      </w:r>
      <w:hyperlink r:id="rId9" w:history="1">
        <w:r w:rsidRPr="00DA2211">
          <w:rPr>
            <w:rStyle w:val="Hyperlink"/>
            <w:sz w:val="24"/>
            <w:lang w:val="bg-BG"/>
          </w:rPr>
          <w:t>http://data.europa.eu/eli/reg/2001/1049/oj</w:t>
        </w:r>
      </w:hyperlink>
      <w:r w:rsidRPr="00DA2211">
        <w:rPr>
          <w:sz w:val="24"/>
          <w:lang w:val="bg-BG"/>
        </w:rPr>
        <w:t xml:space="preserve">). </w:t>
      </w:r>
    </w:p>
  </w:footnote>
  <w:footnote w:id="10">
    <w:p w14:paraId="5080B307" w14:textId="77777777" w:rsidR="00E36AE7" w:rsidRPr="00DA2211" w:rsidRDefault="00E36AE7" w:rsidP="00BD42D6">
      <w:pPr>
        <w:pStyle w:val="FootnoteText"/>
        <w:ind w:left="567" w:hanging="567"/>
        <w:rPr>
          <w:sz w:val="24"/>
          <w:lang w:val="bg-BG"/>
        </w:rPr>
      </w:pPr>
      <w:r w:rsidRPr="00DA2211">
        <w:rPr>
          <w:rStyle w:val="FootnoteReference"/>
          <w:sz w:val="24"/>
          <w:lang w:val="bg-BG"/>
        </w:rPr>
        <w:footnoteRef/>
      </w:r>
      <w:r w:rsidR="00BD42D6" w:rsidRPr="00DA2211">
        <w:rPr>
          <w:sz w:val="24"/>
          <w:lang w:val="bg-BG"/>
        </w:rPr>
        <w:t xml:space="preserve"> </w:t>
      </w:r>
      <w:r w:rsidR="00BD42D6" w:rsidRPr="00DA2211">
        <w:rPr>
          <w:sz w:val="24"/>
          <w:lang w:val="bg-BG"/>
        </w:rPr>
        <w:tab/>
      </w:r>
      <w:hyperlink r:id="rId10" w:history="1">
        <w:r w:rsidRPr="00DA2211">
          <w:rPr>
            <w:rStyle w:val="Hyperlink"/>
            <w:sz w:val="24"/>
            <w:lang w:val="bg-BG"/>
          </w:rPr>
          <w:t>https://www.ombudsman.europa.eu/bg/doc/annual-report/bg/183636</w:t>
        </w:r>
      </w:hyperlink>
      <w:r w:rsidR="00AC12EF" w:rsidRPr="00DA2211">
        <w:rPr>
          <w:sz w:val="24"/>
          <w:lang w:val="bg-BG"/>
        </w:rPr>
        <w:t>.</w:t>
      </w:r>
    </w:p>
  </w:footnote>
  <w:footnote w:id="11">
    <w:p w14:paraId="7460E85C" w14:textId="77777777" w:rsidR="00E36AE7" w:rsidRPr="00DA2211" w:rsidRDefault="00E36AE7" w:rsidP="00BD42D6">
      <w:pPr>
        <w:pStyle w:val="FootnoteText"/>
        <w:ind w:left="567" w:hanging="567"/>
        <w:rPr>
          <w:sz w:val="24"/>
          <w:lang w:val="bg-BG"/>
        </w:rPr>
      </w:pPr>
      <w:r w:rsidRPr="00DA2211">
        <w:rPr>
          <w:rStyle w:val="FootnoteReference"/>
          <w:sz w:val="24"/>
          <w:lang w:val="bg-BG"/>
        </w:rPr>
        <w:footnoteRef/>
      </w:r>
      <w:r w:rsidR="00BD42D6" w:rsidRPr="00DA2211">
        <w:rPr>
          <w:sz w:val="24"/>
          <w:lang w:val="bg-BG"/>
        </w:rPr>
        <w:t xml:space="preserve"> </w:t>
      </w:r>
      <w:r w:rsidR="00BD42D6" w:rsidRPr="00DA2211">
        <w:rPr>
          <w:sz w:val="24"/>
          <w:lang w:val="bg-BG"/>
        </w:rPr>
        <w:tab/>
      </w:r>
      <w:hyperlink r:id="rId11" w:history="1">
        <w:r w:rsidRPr="00DA2211">
          <w:rPr>
            <w:rStyle w:val="Hyperlink"/>
            <w:sz w:val="24"/>
            <w:lang w:val="bg-BG"/>
          </w:rPr>
          <w:t>https://www.ombudsman.europa.eu/bg/multimedia/infographics/bg/142</w:t>
        </w:r>
      </w:hyperlink>
      <w:r w:rsidR="00AC12EF" w:rsidRPr="00DA2211">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83206" w14:textId="77777777" w:rsidR="00064002" w:rsidRPr="00BD42D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B48D5" w14:textId="77777777" w:rsidR="00064002" w:rsidRPr="00BD42D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C4A6F" w14:textId="77777777" w:rsidR="00064002" w:rsidRPr="00BD42D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47802978">
    <w:abstractNumId w:val="9"/>
  </w:num>
  <w:num w:numId="2" w16cid:durableId="1688553831">
    <w:abstractNumId w:val="9"/>
  </w:num>
  <w:num w:numId="3" w16cid:durableId="1038430461">
    <w:abstractNumId w:val="7"/>
  </w:num>
  <w:num w:numId="4" w16cid:durableId="1367680804">
    <w:abstractNumId w:val="7"/>
  </w:num>
  <w:num w:numId="5" w16cid:durableId="1691562405">
    <w:abstractNumId w:val="6"/>
  </w:num>
  <w:num w:numId="6" w16cid:durableId="412093861">
    <w:abstractNumId w:val="6"/>
  </w:num>
  <w:num w:numId="7" w16cid:durableId="87970115">
    <w:abstractNumId w:val="5"/>
  </w:num>
  <w:num w:numId="8" w16cid:durableId="2138991689">
    <w:abstractNumId w:val="5"/>
  </w:num>
  <w:num w:numId="9" w16cid:durableId="1460685731">
    <w:abstractNumId w:val="4"/>
  </w:num>
  <w:num w:numId="10" w16cid:durableId="1094782310">
    <w:abstractNumId w:val="4"/>
  </w:num>
  <w:num w:numId="11" w16cid:durableId="185365814">
    <w:abstractNumId w:val="8"/>
  </w:num>
  <w:num w:numId="12" w16cid:durableId="87846285">
    <w:abstractNumId w:val="8"/>
  </w:num>
  <w:num w:numId="13" w16cid:durableId="527376535">
    <w:abstractNumId w:val="3"/>
  </w:num>
  <w:num w:numId="14" w16cid:durableId="437140758">
    <w:abstractNumId w:val="3"/>
  </w:num>
  <w:num w:numId="15" w16cid:durableId="547761886">
    <w:abstractNumId w:val="2"/>
  </w:num>
  <w:num w:numId="16" w16cid:durableId="892157292">
    <w:abstractNumId w:val="2"/>
  </w:num>
  <w:num w:numId="17" w16cid:durableId="71586889">
    <w:abstractNumId w:val="1"/>
  </w:num>
  <w:num w:numId="18" w16cid:durableId="957955131">
    <w:abstractNumId w:val="1"/>
  </w:num>
  <w:num w:numId="19" w16cid:durableId="352074709">
    <w:abstractNumId w:val="0"/>
  </w:num>
  <w:num w:numId="20" w16cid:durableId="817962305">
    <w:abstractNumId w:val="0"/>
  </w:num>
  <w:num w:numId="21" w16cid:durableId="1908763206">
    <w:abstractNumId w:val="9"/>
  </w:num>
  <w:num w:numId="22" w16cid:durableId="205874128">
    <w:abstractNumId w:val="7"/>
  </w:num>
  <w:num w:numId="23" w16cid:durableId="2060395076">
    <w:abstractNumId w:val="6"/>
  </w:num>
  <w:num w:numId="24" w16cid:durableId="1777289412">
    <w:abstractNumId w:val="5"/>
  </w:num>
  <w:num w:numId="25" w16cid:durableId="1996951658">
    <w:abstractNumId w:val="4"/>
  </w:num>
  <w:num w:numId="26" w16cid:durableId="116532216">
    <w:abstractNumId w:val="8"/>
  </w:num>
  <w:num w:numId="27" w16cid:durableId="1693995594">
    <w:abstractNumId w:val="3"/>
  </w:num>
  <w:num w:numId="28" w16cid:durableId="1163816206">
    <w:abstractNumId w:val="2"/>
  </w:num>
  <w:num w:numId="29" w16cid:durableId="137037837">
    <w:abstractNumId w:val="1"/>
  </w:num>
  <w:num w:numId="30" w16cid:durableId="1387873162">
    <w:abstractNumId w:val="0"/>
  </w:num>
  <w:num w:numId="31" w16cid:durableId="1970092348">
    <w:abstractNumId w:val="9"/>
  </w:num>
  <w:num w:numId="32" w16cid:durableId="2142185039">
    <w:abstractNumId w:val="7"/>
  </w:num>
  <w:num w:numId="33" w16cid:durableId="1124540352">
    <w:abstractNumId w:val="6"/>
  </w:num>
  <w:num w:numId="34" w16cid:durableId="404686081">
    <w:abstractNumId w:val="5"/>
  </w:num>
  <w:num w:numId="35" w16cid:durableId="2034308266">
    <w:abstractNumId w:val="4"/>
  </w:num>
  <w:num w:numId="36" w16cid:durableId="1460683077">
    <w:abstractNumId w:val="8"/>
  </w:num>
  <w:num w:numId="37" w16cid:durableId="234897129">
    <w:abstractNumId w:val="3"/>
  </w:num>
  <w:num w:numId="38" w16cid:durableId="1826511971">
    <w:abstractNumId w:val="2"/>
  </w:num>
  <w:num w:numId="39" w16cid:durableId="979960710">
    <w:abstractNumId w:val="1"/>
  </w:num>
  <w:num w:numId="40" w16cid:durableId="321349254">
    <w:abstractNumId w:val="0"/>
  </w:num>
  <w:num w:numId="41" w16cid:durableId="1308167487">
    <w:abstractNumId w:val="10"/>
  </w:num>
  <w:num w:numId="42" w16cid:durableId="34165821">
    <w:abstractNumId w:val="10"/>
  </w:num>
  <w:num w:numId="43" w16cid:durableId="470876313">
    <w:abstractNumId w:val="10"/>
  </w:num>
  <w:num w:numId="44" w16cid:durableId="6829008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5/2025"/>
    <w:docVar w:name="dvlangue" w:val="BG"/>
    <w:docVar w:name="dvnumam" w:val="0"/>
    <w:docVar w:name="dvpe" w:val="764.991"/>
    <w:docVar w:name="dvrapporteur" w:val="Докладчик: "/>
    <w:docVar w:name="dvtitre" w:val="Решение на Европейския парламент от ... 2025 г. относно освобождаването от отговорност във връзка с изпълнението на общия бюджет на Европейския съюз за финансовата 2023 година, раздел VIII ‒ Европейски омбудсман(2024/2027(DEC))"/>
  </w:docVars>
  <w:rsids>
    <w:rsidRoot w:val="002E1BBC"/>
    <w:rsid w:val="00002272"/>
    <w:rsid w:val="00025D86"/>
    <w:rsid w:val="00032D84"/>
    <w:rsid w:val="00064002"/>
    <w:rsid w:val="000677B9"/>
    <w:rsid w:val="000831BA"/>
    <w:rsid w:val="000A42CC"/>
    <w:rsid w:val="000E7DD9"/>
    <w:rsid w:val="0010095E"/>
    <w:rsid w:val="00125B37"/>
    <w:rsid w:val="00187494"/>
    <w:rsid w:val="001F32AE"/>
    <w:rsid w:val="002767FF"/>
    <w:rsid w:val="002B18FE"/>
    <w:rsid w:val="002B5493"/>
    <w:rsid w:val="002E1BBC"/>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6A2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12EF"/>
    <w:rsid w:val="00AC5798"/>
    <w:rsid w:val="00AE0928"/>
    <w:rsid w:val="00AF3B82"/>
    <w:rsid w:val="00B12E95"/>
    <w:rsid w:val="00B2163F"/>
    <w:rsid w:val="00B22876"/>
    <w:rsid w:val="00B558F0"/>
    <w:rsid w:val="00B77636"/>
    <w:rsid w:val="00BD42D6"/>
    <w:rsid w:val="00BD48FE"/>
    <w:rsid w:val="00BD7BD8"/>
    <w:rsid w:val="00BE6ADC"/>
    <w:rsid w:val="00C05BFE"/>
    <w:rsid w:val="00C23CD4"/>
    <w:rsid w:val="00C61C0C"/>
    <w:rsid w:val="00C941CB"/>
    <w:rsid w:val="00CC2357"/>
    <w:rsid w:val="00CF071A"/>
    <w:rsid w:val="00D058B8"/>
    <w:rsid w:val="00D34567"/>
    <w:rsid w:val="00D56C11"/>
    <w:rsid w:val="00D834A0"/>
    <w:rsid w:val="00D872DF"/>
    <w:rsid w:val="00D91E21"/>
    <w:rsid w:val="00DA2211"/>
    <w:rsid w:val="00DA7FCD"/>
    <w:rsid w:val="00E365E1"/>
    <w:rsid w:val="00E36AE7"/>
    <w:rsid w:val="00E51739"/>
    <w:rsid w:val="00E820A4"/>
    <w:rsid w:val="00EB006A"/>
    <w:rsid w:val="00EB4772"/>
    <w:rsid w:val="00ED1631"/>
    <w:rsid w:val="00ED169E"/>
    <w:rsid w:val="00ED4235"/>
    <w:rsid w:val="00F04346"/>
    <w:rsid w:val="00F075DC"/>
    <w:rsid w:val="00F149E9"/>
    <w:rsid w:val="00F5134D"/>
    <w:rsid w:val="00F74202"/>
    <w:rsid w:val="00F87713"/>
    <w:rsid w:val="00FA6E7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5650CD"/>
  <w15:chartTrackingRefBased/>
  <w15:docId w15:val="{AA70F0F9-3FC6-4D51-8612-5CD0FD483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36AE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36AE7"/>
    <w:pPr>
      <w:spacing w:before="480" w:after="240"/>
    </w:pPr>
  </w:style>
  <w:style w:type="paragraph" w:customStyle="1" w:styleId="PageHeading">
    <w:name w:val="PageHeading"/>
    <w:basedOn w:val="Normal"/>
    <w:rsid w:val="00E36AE7"/>
    <w:pPr>
      <w:keepNext/>
      <w:spacing w:after="480"/>
      <w:jc w:val="center"/>
    </w:pPr>
    <w:rPr>
      <w:rFonts w:ascii="Arial" w:hAnsi="Arial" w:cs="Arial"/>
      <w:b/>
    </w:rPr>
  </w:style>
  <w:style w:type="paragraph" w:customStyle="1" w:styleId="NormalBold">
    <w:name w:val="NormalBold"/>
    <w:basedOn w:val="Normal"/>
    <w:rsid w:val="00E36AE7"/>
    <w:rPr>
      <w:b/>
    </w:rPr>
  </w:style>
  <w:style w:type="paragraph" w:customStyle="1" w:styleId="NormalHanging12a">
    <w:name w:val="NormalHanging12a"/>
    <w:basedOn w:val="Normal"/>
    <w:link w:val="NormalHanging12aChar"/>
    <w:qFormat/>
    <w:rsid w:val="00E36AE7"/>
    <w:pPr>
      <w:spacing w:after="240"/>
      <w:ind w:left="567" w:hanging="567"/>
    </w:pPr>
  </w:style>
  <w:style w:type="paragraph" w:styleId="Header">
    <w:name w:val="header"/>
    <w:basedOn w:val="Normal"/>
    <w:link w:val="HeaderChar"/>
    <w:rsid w:val="00E36AE7"/>
    <w:pPr>
      <w:tabs>
        <w:tab w:val="center" w:pos="4513"/>
        <w:tab w:val="right" w:pos="9026"/>
      </w:tabs>
    </w:pPr>
  </w:style>
  <w:style w:type="character" w:customStyle="1" w:styleId="HeaderChar">
    <w:name w:val="Header Char"/>
    <w:basedOn w:val="DefaultParagraphFont"/>
    <w:link w:val="Header"/>
    <w:rsid w:val="00E36AE7"/>
    <w:rPr>
      <w:sz w:val="24"/>
      <w:lang w:val="bg-BG"/>
    </w:rPr>
  </w:style>
  <w:style w:type="paragraph" w:customStyle="1" w:styleId="EPFooter">
    <w:name w:val="EPFooter"/>
    <w:basedOn w:val="Normal"/>
    <w:rsid w:val="00E36AE7"/>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E36AE7"/>
    <w:rPr>
      <w:sz w:val="24"/>
      <w:lang w:val="bg-BG"/>
    </w:rPr>
  </w:style>
  <w:style w:type="character" w:styleId="Hyperlink">
    <w:name w:val="Hyperlink"/>
    <w:basedOn w:val="DefaultParagraphFont"/>
    <w:rsid w:val="00E36AE7"/>
    <w:rPr>
      <w:color w:val="0563C1" w:themeColor="hyperlink"/>
      <w:u w:val="single"/>
    </w:rPr>
  </w:style>
  <w:style w:type="paragraph" w:customStyle="1" w:styleId="NormalCenter12a">
    <w:name w:val="NormalCenter12a"/>
    <w:basedOn w:val="Normal"/>
    <w:rsid w:val="00E36AE7"/>
    <w:pPr>
      <w:spacing w:after="240"/>
      <w:jc w:val="center"/>
    </w:pPr>
  </w:style>
  <w:style w:type="paragraph" w:styleId="Footer">
    <w:name w:val="footer"/>
    <w:basedOn w:val="Normal"/>
    <w:link w:val="FooterChar"/>
    <w:rsid w:val="00AC12EF"/>
    <w:pPr>
      <w:tabs>
        <w:tab w:val="center" w:pos="4513"/>
        <w:tab w:val="right" w:pos="9026"/>
      </w:tabs>
    </w:pPr>
  </w:style>
  <w:style w:type="character" w:customStyle="1" w:styleId="FooterChar">
    <w:name w:val="Footer Char"/>
    <w:basedOn w:val="DefaultParagraphFont"/>
    <w:link w:val="Footer"/>
    <w:rsid w:val="00AC12EF"/>
    <w:rPr>
      <w:sz w:val="24"/>
      <w:lang w:val="bg-BG"/>
    </w:rPr>
  </w:style>
  <w:style w:type="character" w:styleId="UnresolvedMention">
    <w:name w:val="Unresolved Mention"/>
    <w:basedOn w:val="DefaultParagraphFont"/>
    <w:uiPriority w:val="99"/>
    <w:semiHidden/>
    <w:unhideWhenUsed/>
    <w:rsid w:val="00B2163F"/>
    <w:rPr>
      <w:color w:val="605E5C"/>
      <w:shd w:val="clear" w:color="auto" w:fill="E1DFDD"/>
    </w:rPr>
  </w:style>
  <w:style w:type="character" w:styleId="FollowedHyperlink">
    <w:name w:val="FollowedHyperlink"/>
    <w:basedOn w:val="DefaultParagraphFont"/>
    <w:rsid w:val="00B2163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61/oj"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reg/2021/1163/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data.europa.eu/eli/reg/2024/2509/oj" TargetMode="External"/><Relationship Id="rId11" Type="http://schemas.openxmlformats.org/officeDocument/2006/relationships/hyperlink" Target="https://www.ombudsman.europa.eu/bg/multimedia/infographics/bg/142" TargetMode="External"/><Relationship Id="rId5" Type="http://schemas.openxmlformats.org/officeDocument/2006/relationships/hyperlink" Target="http://data.europa.eu/eli/reg/2018/1046/oj" TargetMode="External"/><Relationship Id="rId10" Type="http://schemas.openxmlformats.org/officeDocument/2006/relationships/hyperlink" Target="https://www.ombudsman.europa.eu/bg/doc/annual-report/bg/183636" TargetMode="External"/><Relationship Id="rId4" Type="http://schemas.openxmlformats.org/officeDocument/2006/relationships/hyperlink" Target="http://data.europa.eu/eli/C/2024/6041/oj" TargetMode="External"/><Relationship Id="rId9" Type="http://schemas.openxmlformats.org/officeDocument/2006/relationships/hyperlink" Target="http://data.europa.eu/eli/reg/2001/104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D2FD0-C47A-4E55-B532-52A30175F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5615</Words>
  <Characters>32536</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MINKOVA Maria</cp:lastModifiedBy>
  <cp:revision>2</cp:revision>
  <cp:lastPrinted>2004-11-19T15:42:00Z</cp:lastPrinted>
  <dcterms:created xsi:type="dcterms:W3CDTF">2025-11-26T12:16:00Z</dcterms:created>
  <dcterms:modified xsi:type="dcterms:W3CDTF">2025-11-26T12:16:00Z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P10_TA(2025)0084_</vt:lpwstr>
  </property>
  <property fmtid="{D5CDD505-2E9C-101B-9397-08002B2CF9AE}" pid="4" name="&lt;Type&gt;">
    <vt:lpwstr>RR</vt:lpwstr>
  </property>
</Properties>
</file>