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18A5" w14:paraId="0B763969" w14:textId="77777777" w:rsidTr="0010095E">
        <w:trPr>
          <w:trHeight w:hRule="exact" w:val="1418"/>
        </w:trPr>
        <w:tc>
          <w:tcPr>
            <w:tcW w:w="6804" w:type="dxa"/>
            <w:shd w:val="clear" w:color="auto" w:fill="auto"/>
            <w:vAlign w:val="center"/>
          </w:tcPr>
          <w:p w14:paraId="34481956" w14:textId="77777777" w:rsidR="00751A4A" w:rsidRPr="00A818A5" w:rsidRDefault="008D2D3C" w:rsidP="0010095E">
            <w:pPr>
              <w:pStyle w:val="EPName"/>
            </w:pPr>
            <w:r w:rsidRPr="00A818A5">
              <w:t>Evropský parlament</w:t>
            </w:r>
          </w:p>
          <w:p w14:paraId="4D00CA83" w14:textId="77777777" w:rsidR="00751A4A" w:rsidRPr="00A818A5" w:rsidRDefault="005F1B17" w:rsidP="005F1B17">
            <w:pPr>
              <w:pStyle w:val="EPTerm"/>
              <w:rPr>
                <w:rStyle w:val="HideTWBExt"/>
                <w:noProof w:val="0"/>
                <w:vanish w:val="0"/>
                <w:color w:val="auto"/>
              </w:rPr>
            </w:pPr>
            <w:r w:rsidRPr="00A818A5">
              <w:t>2024</w:t>
            </w:r>
            <w:r w:rsidR="00817416" w:rsidRPr="00A818A5">
              <w:t>-202</w:t>
            </w:r>
            <w:r w:rsidRPr="00A818A5">
              <w:t>9</w:t>
            </w:r>
          </w:p>
        </w:tc>
        <w:tc>
          <w:tcPr>
            <w:tcW w:w="2268" w:type="dxa"/>
            <w:shd w:val="clear" w:color="auto" w:fill="auto"/>
          </w:tcPr>
          <w:p w14:paraId="3265EE5D" w14:textId="77777777" w:rsidR="00751A4A" w:rsidRPr="00A818A5" w:rsidRDefault="00187494" w:rsidP="0010095E">
            <w:pPr>
              <w:pStyle w:val="EPLogo"/>
            </w:pPr>
            <w:r w:rsidRPr="00A818A5">
              <w:rPr>
                <w:noProof/>
                <w:lang w:val="en-GB"/>
              </w:rPr>
              <w:drawing>
                <wp:inline distT="0" distB="0" distL="0" distR="0" wp14:anchorId="202B8DE0" wp14:editId="41EE9D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851988" w14:textId="77777777" w:rsidR="00D058B8" w:rsidRPr="00A818A5" w:rsidRDefault="00D058B8" w:rsidP="004C5D52">
      <w:pPr>
        <w:pStyle w:val="LineTop"/>
      </w:pPr>
    </w:p>
    <w:p w14:paraId="7A314C92" w14:textId="77777777" w:rsidR="00680577" w:rsidRPr="00A818A5" w:rsidRDefault="008D2D3C" w:rsidP="00680577">
      <w:pPr>
        <w:pStyle w:val="EPBodyTA1"/>
      </w:pPr>
      <w:r w:rsidRPr="00A818A5">
        <w:t>PŘIJATÉ TEXTY</w:t>
      </w:r>
    </w:p>
    <w:p w14:paraId="505378E5" w14:textId="77777777" w:rsidR="00D058B8" w:rsidRPr="00A818A5" w:rsidRDefault="00D058B8" w:rsidP="00D058B8">
      <w:pPr>
        <w:pStyle w:val="LineBottom"/>
      </w:pPr>
    </w:p>
    <w:p w14:paraId="2D51CCC6" w14:textId="77777777" w:rsidR="008D2D3C" w:rsidRPr="00A818A5" w:rsidRDefault="008D2D3C" w:rsidP="008D2D3C">
      <w:pPr>
        <w:pStyle w:val="ATHeading1"/>
      </w:pPr>
      <w:bookmarkStart w:id="0" w:name="TANumber"/>
      <w:r w:rsidRPr="00A818A5">
        <w:t>P10_TA(2025)00</w:t>
      </w:r>
      <w:bookmarkEnd w:id="0"/>
      <w:r w:rsidR="00B77A18">
        <w:t>84</w:t>
      </w:r>
    </w:p>
    <w:p w14:paraId="36298AC4" w14:textId="77777777" w:rsidR="008D2D3C" w:rsidRPr="00A818A5" w:rsidRDefault="008D2D3C" w:rsidP="008D2D3C">
      <w:pPr>
        <w:pStyle w:val="ATHeading2"/>
      </w:pPr>
      <w:bookmarkStart w:id="1" w:name="title"/>
      <w:r w:rsidRPr="00A818A5">
        <w:t>Udělení absolutoria za rok 2023: souhrnný rozpočet EU - evropský veřejný ochránce práv</w:t>
      </w:r>
      <w:bookmarkEnd w:id="1"/>
    </w:p>
    <w:p w14:paraId="72BD5BF0" w14:textId="77777777" w:rsidR="008D2D3C" w:rsidRPr="00A818A5" w:rsidRDefault="008D2D3C" w:rsidP="008D2D3C">
      <w:pPr>
        <w:rPr>
          <w:i/>
          <w:vanish/>
        </w:rPr>
      </w:pPr>
      <w:r w:rsidRPr="00A818A5">
        <w:rPr>
          <w:i/>
        </w:rPr>
        <w:fldChar w:fldCharType="begin"/>
      </w:r>
      <w:r w:rsidRPr="00A818A5">
        <w:rPr>
          <w:i/>
        </w:rPr>
        <w:instrText xml:space="preserve"> TC"(</w:instrText>
      </w:r>
      <w:bookmarkStart w:id="2" w:name="DocNumber"/>
      <w:r w:rsidRPr="00A818A5">
        <w:rPr>
          <w:i/>
        </w:rPr>
        <w:instrText>A10-0055/2025</w:instrText>
      </w:r>
      <w:bookmarkEnd w:id="2"/>
      <w:r w:rsidRPr="00A818A5">
        <w:rPr>
          <w:i/>
        </w:rPr>
        <w:instrText xml:space="preserve"> - Zpravodaj: Joachim Stanisław </w:instrText>
      </w:r>
      <w:proofErr w:type="spellStart"/>
      <w:r w:rsidRPr="00A818A5">
        <w:rPr>
          <w:i/>
        </w:rPr>
        <w:instrText>Brudziński</w:instrText>
      </w:r>
      <w:proofErr w:type="spellEnd"/>
      <w:r w:rsidRPr="00A818A5">
        <w:rPr>
          <w:i/>
        </w:rPr>
        <w:instrText xml:space="preserve">)"\l3 \n&gt; \* MERGEFORMAT </w:instrText>
      </w:r>
      <w:r w:rsidRPr="00A818A5">
        <w:rPr>
          <w:i/>
        </w:rPr>
        <w:fldChar w:fldCharType="end"/>
      </w:r>
    </w:p>
    <w:p w14:paraId="657D051D" w14:textId="77777777" w:rsidR="008D2D3C" w:rsidRPr="00A818A5" w:rsidRDefault="008D2D3C" w:rsidP="008D2D3C">
      <w:pPr>
        <w:rPr>
          <w:vanish/>
        </w:rPr>
      </w:pPr>
      <w:bookmarkStart w:id="3" w:name="Commission"/>
      <w:r w:rsidRPr="00A818A5">
        <w:rPr>
          <w:vanish/>
        </w:rPr>
        <w:t>Výbor pro rozpočtovou kontrolu</w:t>
      </w:r>
      <w:bookmarkEnd w:id="3"/>
    </w:p>
    <w:p w14:paraId="083A1E5A" w14:textId="77777777" w:rsidR="008D2D3C" w:rsidRPr="00A818A5" w:rsidRDefault="008D2D3C" w:rsidP="008D2D3C">
      <w:pPr>
        <w:rPr>
          <w:vanish/>
        </w:rPr>
      </w:pPr>
      <w:bookmarkStart w:id="4" w:name="PE"/>
      <w:r w:rsidRPr="00A818A5">
        <w:rPr>
          <w:vanish/>
        </w:rPr>
        <w:t>PE764.991</w:t>
      </w:r>
      <w:bookmarkEnd w:id="4"/>
    </w:p>
    <w:p w14:paraId="0D5097A1" w14:textId="1DDA8AFB" w:rsidR="00156072" w:rsidRPr="00CD519F" w:rsidRDefault="00156072" w:rsidP="00156072">
      <w:pPr>
        <w:pStyle w:val="ATHeading3"/>
      </w:pPr>
      <w:r w:rsidRPr="00CD519F">
        <w:t>1. Rozhodnutí Evropského parlamentu ze dne 7. května 2025 o udělení absolutoria za plnění souhrnného rozpočtu Evropské unie na rozpočtový rok 2023, oddíl VIII – Evropský veřejný ochránce práv (2024/2027(DEC))</w:t>
      </w:r>
    </w:p>
    <w:p w14:paraId="67D5B99A" w14:textId="77777777" w:rsidR="00156072" w:rsidRPr="00CD519F" w:rsidRDefault="00156072" w:rsidP="00156072">
      <w:pPr>
        <w:spacing w:before="480" w:after="240"/>
      </w:pPr>
      <w:r w:rsidRPr="00CD519F">
        <w:rPr>
          <w:i/>
        </w:rPr>
        <w:t>Evropský parlament</w:t>
      </w:r>
      <w:r w:rsidRPr="00CD519F">
        <w:t>,</w:t>
      </w:r>
    </w:p>
    <w:p w14:paraId="0D3E390B" w14:textId="77777777" w:rsidR="00156072" w:rsidRPr="00CD519F" w:rsidRDefault="00156072" w:rsidP="00156072">
      <w:pPr>
        <w:spacing w:after="240"/>
        <w:ind w:left="567" w:hanging="567"/>
      </w:pPr>
      <w:r w:rsidRPr="00CD519F">
        <w:t>–</w:t>
      </w:r>
      <w:r w:rsidRPr="00CD519F">
        <w:tab/>
        <w:t>s ohledem na souhrnný rozpočet Evropské unie na rozpočtový rok 2023</w:t>
      </w:r>
      <w:r w:rsidRPr="00CD519F">
        <w:rPr>
          <w:vertAlign w:val="superscript"/>
        </w:rPr>
        <w:footnoteReference w:id="1"/>
      </w:r>
      <w:r w:rsidRPr="00CD519F">
        <w:t>,</w:t>
      </w:r>
    </w:p>
    <w:p w14:paraId="271F0449" w14:textId="77777777" w:rsidR="00156072" w:rsidRPr="00CD519F" w:rsidRDefault="00156072" w:rsidP="00156072">
      <w:pPr>
        <w:spacing w:after="240"/>
        <w:ind w:left="567" w:hanging="567"/>
      </w:pPr>
      <w:r w:rsidRPr="00CD519F">
        <w:t>–</w:t>
      </w:r>
      <w:r w:rsidRPr="00CD519F">
        <w:tab/>
        <w:t>s ohledem na konsolidovanou roční účetní závěrku Evropské unie za rozpočtový rok 2023 (</w:t>
      </w:r>
      <w:proofErr w:type="gramStart"/>
      <w:r w:rsidRPr="00CD519F">
        <w:t>COM(</w:t>
      </w:r>
      <w:proofErr w:type="gramEnd"/>
      <w:r w:rsidRPr="00CD519F">
        <w:t>2024)0272 – C10</w:t>
      </w:r>
      <w:r w:rsidRPr="00CD519F">
        <w:noBreakHyphen/>
        <w:t>0075/2024)</w:t>
      </w:r>
      <w:r w:rsidRPr="00CD519F">
        <w:rPr>
          <w:vertAlign w:val="superscript"/>
        </w:rPr>
        <w:footnoteReference w:id="2"/>
      </w:r>
      <w:r w:rsidRPr="00CD519F">
        <w:t>,</w:t>
      </w:r>
    </w:p>
    <w:p w14:paraId="6BF41B37" w14:textId="77777777" w:rsidR="00156072" w:rsidRPr="00CD519F" w:rsidRDefault="00156072" w:rsidP="00156072">
      <w:pPr>
        <w:spacing w:after="240"/>
        <w:ind w:left="567" w:hanging="567"/>
      </w:pPr>
      <w:r w:rsidRPr="00CD519F">
        <w:t>–</w:t>
      </w:r>
      <w:r w:rsidRPr="00CD519F">
        <w:tab/>
        <w:t>s ohledem na výroční zprávu o činnosti úřadu evropského veřejného ochránce práv za rok 2023 a na jeho zprávu o rozpočtovém a finančním řízení za rozpočtový rok 2023,</w:t>
      </w:r>
    </w:p>
    <w:p w14:paraId="0EC4FDC0" w14:textId="77777777" w:rsidR="00156072" w:rsidRPr="00CD519F" w:rsidRDefault="00156072" w:rsidP="00156072">
      <w:pPr>
        <w:spacing w:after="240"/>
        <w:ind w:left="567" w:hanging="567"/>
      </w:pPr>
      <w:r w:rsidRPr="00CD519F">
        <w:t>–</w:t>
      </w:r>
      <w:r w:rsidRPr="00CD519F">
        <w:tab/>
        <w:t>s ohledem na výroční zprávu Účetního dvora o plnění rozpočtu na rozpočtový rok 2023 spolu s odpověďmi orgánů</w:t>
      </w:r>
      <w:r w:rsidRPr="00CD519F">
        <w:rPr>
          <w:vertAlign w:val="superscript"/>
        </w:rPr>
        <w:footnoteReference w:id="3"/>
      </w:r>
      <w:r w:rsidRPr="00CD519F">
        <w:t>,</w:t>
      </w:r>
    </w:p>
    <w:p w14:paraId="36477077" w14:textId="77777777" w:rsidR="00156072" w:rsidRPr="00CD519F" w:rsidRDefault="00156072" w:rsidP="00156072">
      <w:pPr>
        <w:spacing w:after="240"/>
        <w:ind w:left="567" w:hanging="567"/>
      </w:pPr>
      <w:r w:rsidRPr="00CD519F">
        <w:t>–</w:t>
      </w:r>
      <w:r w:rsidRPr="00CD519F">
        <w:tab/>
        <w:t>s ohledem na prohlášení o věrohodnosti</w:t>
      </w:r>
      <w:r w:rsidRPr="00CD519F">
        <w:rPr>
          <w:vertAlign w:val="superscript"/>
        </w:rPr>
        <w:footnoteReference w:id="4"/>
      </w:r>
      <w:r w:rsidRPr="00CD519F">
        <w:t xml:space="preserve"> účetnictví a o legalitě a správnosti uskutečněných operací, které předložil Účetní dvůr za rozpočtový rok 2023 podle článku 287 Smlouvy o fungování Evropské unie,</w:t>
      </w:r>
    </w:p>
    <w:p w14:paraId="6DB2442B" w14:textId="77777777" w:rsidR="00156072" w:rsidRPr="00CD519F" w:rsidRDefault="00156072" w:rsidP="00156072">
      <w:pPr>
        <w:spacing w:after="240"/>
        <w:ind w:left="567" w:hanging="567"/>
      </w:pPr>
      <w:r w:rsidRPr="00CD519F">
        <w:t>–</w:t>
      </w:r>
      <w:r w:rsidRPr="00CD519F">
        <w:tab/>
        <w:t>s ohledem na čl. 314 odst. 10 a články 317, 318 a 319 Smlouvy o fungování Evropské unie,</w:t>
      </w:r>
    </w:p>
    <w:p w14:paraId="6AEE15A3" w14:textId="77777777" w:rsidR="00156072" w:rsidRPr="00CD519F" w:rsidRDefault="00156072" w:rsidP="00156072">
      <w:pPr>
        <w:spacing w:after="240"/>
        <w:ind w:left="567" w:hanging="567"/>
      </w:pPr>
      <w:r w:rsidRPr="00CD519F">
        <w:t>–</w:t>
      </w:r>
      <w:r w:rsidRPr="00CD519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CD519F">
        <w:rPr>
          <w:vertAlign w:val="superscript"/>
        </w:rPr>
        <w:footnoteReference w:id="5"/>
      </w:r>
      <w:r w:rsidRPr="00CD519F">
        <w:t>, a zejména na články 59, 118, 260, 261 a 262 tohoto nařízení,</w:t>
      </w:r>
    </w:p>
    <w:p w14:paraId="4AC0FD55" w14:textId="77777777" w:rsidR="00156072" w:rsidRPr="00CD519F" w:rsidRDefault="00156072" w:rsidP="00156072">
      <w:pPr>
        <w:spacing w:after="240"/>
        <w:ind w:left="567" w:hanging="567"/>
      </w:pPr>
      <w:r w:rsidRPr="00CD519F">
        <w:t>–</w:t>
      </w:r>
      <w:r w:rsidRPr="00CD519F">
        <w:tab/>
        <w:t xml:space="preserve">s ohledem na </w:t>
      </w:r>
      <w:r w:rsidRPr="00CD519F">
        <w:rPr>
          <w:shd w:val="clear" w:color="auto" w:fill="FFFFFF"/>
        </w:rPr>
        <w:t>nařízení Evropského parlamentu a Rady (EU, Euratom) 2024/2509 ze dne 23. září 2024, kterým se stanoví finanční pravidla pro souhrnný rozpočet Unie</w:t>
      </w:r>
      <w:r w:rsidRPr="00CD519F">
        <w:rPr>
          <w:bCs/>
          <w:shd w:val="clear" w:color="auto" w:fill="FFFFFF"/>
          <w:vertAlign w:val="superscript"/>
        </w:rPr>
        <w:footnoteReference w:id="6"/>
      </w:r>
      <w:r w:rsidRPr="00CD519F">
        <w:rPr>
          <w:shd w:val="clear" w:color="auto" w:fill="FFFFFF"/>
        </w:rPr>
        <w:t>, a zejména na články 59, 118, 266, 267 a 268 tohoto nařízení</w:t>
      </w:r>
      <w:r w:rsidRPr="00CD519F">
        <w:t>,</w:t>
      </w:r>
    </w:p>
    <w:p w14:paraId="68C38E1A" w14:textId="77777777" w:rsidR="00156072" w:rsidRPr="00CD519F" w:rsidRDefault="00156072" w:rsidP="00156072">
      <w:pPr>
        <w:spacing w:after="240"/>
        <w:ind w:left="567" w:hanging="567"/>
      </w:pPr>
      <w:r w:rsidRPr="00CD519F">
        <w:t>–</w:t>
      </w:r>
      <w:r w:rsidRPr="00CD519F">
        <w:tab/>
        <w:t>s ohledem na článek 102 a přílohu V jednacího řádu,</w:t>
      </w:r>
    </w:p>
    <w:p w14:paraId="312F6EB0" w14:textId="77777777" w:rsidR="00156072" w:rsidRPr="00CD519F" w:rsidRDefault="00156072" w:rsidP="00156072">
      <w:pPr>
        <w:spacing w:after="240"/>
        <w:ind w:left="567" w:hanging="567"/>
      </w:pPr>
      <w:r w:rsidRPr="00CD519F">
        <w:t>–</w:t>
      </w:r>
      <w:r w:rsidRPr="00CD519F">
        <w:tab/>
        <w:t>s ohledem na zprávu Výboru pro rozpočtovou kontrolu (A10</w:t>
      </w:r>
      <w:r w:rsidRPr="00CD519F">
        <w:noBreakHyphen/>
        <w:t>0055/2025),</w:t>
      </w:r>
    </w:p>
    <w:p w14:paraId="03B6175B" w14:textId="77777777" w:rsidR="00156072" w:rsidRPr="00CD519F" w:rsidRDefault="00156072" w:rsidP="00156072">
      <w:pPr>
        <w:spacing w:after="240"/>
        <w:ind w:left="567" w:hanging="567"/>
      </w:pPr>
      <w:r w:rsidRPr="00CD519F">
        <w:t>1.</w:t>
      </w:r>
      <w:r w:rsidRPr="00CD519F">
        <w:tab/>
        <w:t>uděluje absolutorium evropské veřejné ochránkyni práv za plnění rozpočtu úřadu evropského veřejného ochránce práv na rozpočtový rok 2023;</w:t>
      </w:r>
    </w:p>
    <w:p w14:paraId="7BAAA11F" w14:textId="77777777" w:rsidR="00156072" w:rsidRPr="00CD519F" w:rsidRDefault="00156072" w:rsidP="00156072">
      <w:pPr>
        <w:spacing w:after="240"/>
        <w:ind w:left="567" w:hanging="567"/>
      </w:pPr>
      <w:r w:rsidRPr="00CD519F">
        <w:t>2.</w:t>
      </w:r>
      <w:r w:rsidRPr="00CD519F">
        <w:tab/>
        <w:t>předkládá své připomínky v níže uvedeném usnesení;</w:t>
      </w:r>
    </w:p>
    <w:p w14:paraId="5BF422C3" w14:textId="77777777" w:rsidR="00156072" w:rsidRPr="00CD519F" w:rsidRDefault="00156072" w:rsidP="00156072">
      <w:pPr>
        <w:spacing w:after="240"/>
        <w:ind w:left="567" w:hanging="567"/>
      </w:pPr>
      <w:r w:rsidRPr="00CD519F">
        <w:t>3.</w:t>
      </w:r>
      <w:r w:rsidRPr="00CD519F">
        <w:tab/>
        <w:t>pověřuje svou předsedkyni, aby předala toto rozhodnutí a usnesení, které je jeho nedílnou součástí, evropské veřejné ochránkyni práv, Evropské radě, Radě, Komisi, Účetnímu dvoru, Soudnímu dvoru Evropské unie, evropskému inspektorovi ochrany údajů a Evropské službě pro vnější činnost a aby zajistila jejich zveřejnění v </w:t>
      </w:r>
      <w:r w:rsidRPr="00CD519F">
        <w:rPr>
          <w:i/>
        </w:rPr>
        <w:t>Úředním věstníku Evropské unie</w:t>
      </w:r>
      <w:r w:rsidRPr="00CD519F">
        <w:t xml:space="preserve"> (řada L).</w:t>
      </w:r>
    </w:p>
    <w:p w14:paraId="709C3F12" w14:textId="77777777" w:rsidR="00156072" w:rsidRDefault="00156072" w:rsidP="00156072">
      <w:pPr>
        <w:pStyle w:val="ATHeading3"/>
        <w:sectPr w:rsidR="00156072" w:rsidSect="001560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p>
    <w:p w14:paraId="08DAFEBF" w14:textId="77777777" w:rsidR="00156072" w:rsidRPr="00CD519F" w:rsidRDefault="00156072" w:rsidP="00156072">
      <w:pPr>
        <w:pStyle w:val="ATHeading3"/>
      </w:pPr>
      <w:r w:rsidRPr="00CD519F">
        <w:t>2. Usnesení Evropského parlamentu ze dne 7. května 2025 obsahující připomínky, které jsou nedílnou součástí rozhodnutí o udělení absolutoria za plnění souhrnného rozpočtu Evropské unie na rozpočtový rok 2023, oddíl VIII – Evropský veřejný ochránce práv (2024/2027(DEC))</w:t>
      </w:r>
    </w:p>
    <w:p w14:paraId="546B8AA0" w14:textId="77777777" w:rsidR="00156072" w:rsidRPr="00CD519F" w:rsidRDefault="00156072" w:rsidP="00156072">
      <w:pPr>
        <w:spacing w:before="480" w:after="240"/>
      </w:pPr>
      <w:r w:rsidRPr="00CD519F">
        <w:rPr>
          <w:i/>
        </w:rPr>
        <w:t>Evropský parlament</w:t>
      </w:r>
      <w:r w:rsidRPr="00CD519F">
        <w:t>,</w:t>
      </w:r>
    </w:p>
    <w:p w14:paraId="3CB20088" w14:textId="6724DB7A" w:rsidR="00156072" w:rsidRPr="00CD519F" w:rsidRDefault="00156072" w:rsidP="00156072">
      <w:pPr>
        <w:spacing w:after="240"/>
        <w:ind w:left="567" w:hanging="567"/>
      </w:pPr>
      <w:r w:rsidRPr="00CD519F">
        <w:t>–</w:t>
      </w:r>
      <w:r w:rsidRPr="00CD519F">
        <w:tab/>
        <w:t>s ohledem na své rozhodnutí o udělení absolutoria za plnění souhrnného rozpočtu Evropské unie na rozpočtový rok 2023, oddíl VIII – Evropský veřejný ochránce práv,</w:t>
      </w:r>
    </w:p>
    <w:p w14:paraId="13CB242C" w14:textId="3062A623" w:rsidR="00156072" w:rsidRPr="00CD519F" w:rsidRDefault="00156072" w:rsidP="00156072">
      <w:pPr>
        <w:spacing w:after="240"/>
        <w:ind w:left="567" w:hanging="567"/>
      </w:pPr>
      <w:r w:rsidRPr="00CD519F">
        <w:t>–</w:t>
      </w:r>
      <w:r w:rsidRPr="00CD519F">
        <w:tab/>
        <w:t>s ohledem na článek 102 a přílohu V jednacího řádu,</w:t>
      </w:r>
    </w:p>
    <w:p w14:paraId="73375963" w14:textId="4C1089B7" w:rsidR="00156072" w:rsidRPr="00CD519F" w:rsidRDefault="00156072" w:rsidP="00156072">
      <w:pPr>
        <w:spacing w:after="240"/>
        <w:ind w:left="567" w:hanging="567"/>
      </w:pPr>
      <w:r w:rsidRPr="00CD519F">
        <w:t>–</w:t>
      </w:r>
      <w:r w:rsidRPr="00CD519F">
        <w:tab/>
        <w:t>s ohledem na zprávu Výboru pro rozpočtovou kontrolu (A10-0055/2025),</w:t>
      </w:r>
    </w:p>
    <w:p w14:paraId="2D6D2E04" w14:textId="77777777" w:rsidR="00156072" w:rsidRPr="00CD519F" w:rsidRDefault="00156072" w:rsidP="00156072">
      <w:pPr>
        <w:spacing w:after="240"/>
        <w:ind w:left="567" w:hanging="567"/>
      </w:pPr>
      <w:r w:rsidRPr="00CD519F">
        <w:t>A.</w:t>
      </w:r>
      <w:r w:rsidRPr="00CD519F">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konceptu sestavování rozpočtu podle výkonnosti a řádným řízením lidských zdrojů;</w:t>
      </w:r>
    </w:p>
    <w:p w14:paraId="508B1D74" w14:textId="77777777" w:rsidR="00156072" w:rsidRPr="00CD519F" w:rsidRDefault="00156072" w:rsidP="00156072">
      <w:pPr>
        <w:spacing w:after="240"/>
        <w:ind w:left="567" w:hanging="567"/>
      </w:pPr>
      <w:r w:rsidRPr="00CD519F">
        <w:t>B.</w:t>
      </w:r>
      <w:r w:rsidRPr="00CD519F">
        <w:tab/>
        <w:t>vzhledem k tomu, že článek 228 Smlouvy o fungování Evropské unie stanoví, že Evropský parlament volí evropského veřejného ochránce práv, který je oprávněn přijímat od kteréhokoli občana Unie nebo od kterékoli fyzické osoby s bydlištěm nebo právnické osoby se statutárním sídlem v členském státě stížnosti týkající se nesprávného úředního postupu orgánů, institucí nebo jiných subjektů Unie, s výjimkou Soudního dvora Evropské unie při výkonu jeho soudních pravomocí, a tyto stížnosti přezkoumává a podává o nich zprávu;</w:t>
      </w:r>
    </w:p>
    <w:p w14:paraId="03F5C85B" w14:textId="0AD0355F" w:rsidR="00156072" w:rsidRPr="00CD519F" w:rsidRDefault="00156072" w:rsidP="00156072">
      <w:pPr>
        <w:spacing w:after="240"/>
        <w:ind w:left="567" w:hanging="567"/>
      </w:pPr>
      <w:r w:rsidRPr="00CD519F">
        <w:t>C.</w:t>
      </w:r>
      <w:r w:rsidRPr="00CD519F">
        <w:tab/>
        <w:t>vzhledem k tomu, že nařízení Evropského parlamentu (EU, Euratom) 2021/1163</w:t>
      </w:r>
      <w:r w:rsidRPr="00CD519F">
        <w:rPr>
          <w:vertAlign w:val="superscript"/>
        </w:rPr>
        <w:footnoteReference w:id="7"/>
      </w:r>
      <w:r w:rsidRPr="00CD519F">
        <w:t xml:space="preserve"> stanoví pravidla a obecné podmínky výkonu funkce veřejného ochránce práv (statut evropského veřejného ochránce práv);</w:t>
      </w:r>
    </w:p>
    <w:p w14:paraId="0713FD0A" w14:textId="77777777" w:rsidR="00156072" w:rsidRPr="00CD519F" w:rsidRDefault="00156072" w:rsidP="00156072">
      <w:pPr>
        <w:spacing w:after="240"/>
        <w:ind w:left="567" w:hanging="567"/>
      </w:pPr>
      <w:r w:rsidRPr="00CD519F">
        <w:t>D.</w:t>
      </w:r>
      <w:r w:rsidRPr="00CD519F">
        <w:tab/>
        <w:t>vzhledem k tomu, že po přijetí nařízení (EU, Euratom) 2021/1163 přijal evropský veřejný ochránce práv dne 21. června 2023 vlastní revidovaná prováděcí pravidla </w:t>
      </w:r>
      <w:r w:rsidRPr="00CD519F">
        <w:rPr>
          <w:vertAlign w:val="superscript"/>
        </w:rPr>
        <w:footnoteReference w:id="8"/>
      </w:r>
      <w:r w:rsidRPr="00CD519F">
        <w:t>;</w:t>
      </w:r>
    </w:p>
    <w:p w14:paraId="24DF2208" w14:textId="77777777" w:rsidR="00156072" w:rsidRPr="00CD519F" w:rsidRDefault="00156072" w:rsidP="00156072">
      <w:pPr>
        <w:spacing w:after="240"/>
        <w:ind w:left="567" w:hanging="567"/>
      </w:pPr>
      <w:r w:rsidRPr="00CD519F">
        <w:t>1.</w:t>
      </w:r>
      <w:r w:rsidRPr="00CD519F">
        <w:tab/>
        <w:t>konstatuje, že rozpočet evropského veřejného ochránce práv spadá do okruhu 7 VFR „Evropská veřejná správa“, který v roce 2023 činil celkem 12,3 miliardy EUR, tj. 6,4 % rozpočtových výdajů Unie; konstatuje, že rozpočet evropského veřejného ochránce práv představoval 0,11 % prostředků okruhu 7 VFR;</w:t>
      </w:r>
    </w:p>
    <w:p w14:paraId="1F2945A1" w14:textId="77777777" w:rsidR="00156072" w:rsidRPr="00CD519F" w:rsidRDefault="00156072" w:rsidP="00156072">
      <w:pPr>
        <w:spacing w:after="240"/>
        <w:ind w:left="567" w:hanging="567"/>
      </w:pPr>
      <w:r w:rsidRPr="00CD519F">
        <w:t>2.</w:t>
      </w:r>
      <w:r w:rsidRPr="00CD519F">
        <w:tab/>
        <w:t>bere na vědomí, že Účetní dvůr ve své výroční zprávě za rozpočtový rok 2023 (dále jen „zpráva Účetního dvora“) přezkoumal vzorek 70 operací v okruhu „Evropská veřejná správa“, z nichž 21 (30 %) obsahovalo chyby; dále konstatuje, že u pěti z těchto chyb, které Účetní dvůr vyčíslil, odhadl výši chyb pod prahem významnosti; na základě zprávy Účetního dvora s uspokojením konstatuje, že za rok 2023 Účetní dvůr nezjistil žádné významné problémy týkající se úřadu evropského veřejného ochránce práv;</w:t>
      </w:r>
    </w:p>
    <w:p w14:paraId="0D60F839" w14:textId="77777777" w:rsidR="00156072" w:rsidRPr="00CD519F" w:rsidRDefault="00156072" w:rsidP="00156072">
      <w:pPr>
        <w:spacing w:after="240"/>
        <w:ind w:left="567" w:hanging="567"/>
      </w:pPr>
      <w:r w:rsidRPr="00CD519F">
        <w:t>3.</w:t>
      </w:r>
      <w:r w:rsidRPr="00CD519F">
        <w:tab/>
        <w:t>na základě zprávy Účetního dvora bere na vědomí jeho připomínky, že správní výdaje zahrnují výdaje na lidské zdroje, včetně důchodů, které v roce 2023 představovaly přibližně 70 % celkových správních výdajů, a výdaje na budovy, vybavení, energii, komunikaci a informační technologie; vítá skutečnost, že Účetní dvůr dospěl k závěru, že obecně stejně jako v předešlých letech byly administrativní výdaje málo rizikové;</w:t>
      </w:r>
    </w:p>
    <w:p w14:paraId="5C1F682A" w14:textId="77777777" w:rsidR="00156072" w:rsidRPr="00CD519F" w:rsidRDefault="00156072" w:rsidP="00156072">
      <w:pPr>
        <w:spacing w:after="240"/>
        <w:ind w:left="567" w:hanging="567"/>
        <w:rPr>
          <w:b/>
          <w:i/>
        </w:rPr>
      </w:pPr>
      <w:r w:rsidRPr="00CD519F">
        <w:rPr>
          <w:b/>
          <w:i/>
        </w:rPr>
        <w:t>Rozpočtové a finanční řízení</w:t>
      </w:r>
    </w:p>
    <w:p w14:paraId="3BEBFBB5" w14:textId="77777777" w:rsidR="00156072" w:rsidRPr="00CD519F" w:rsidRDefault="00156072" w:rsidP="00156072">
      <w:pPr>
        <w:spacing w:after="240"/>
        <w:ind w:left="567" w:hanging="567"/>
      </w:pPr>
      <w:r w:rsidRPr="00CD519F">
        <w:t>4.</w:t>
      </w:r>
      <w:r w:rsidRPr="00CD519F">
        <w:tab/>
        <w:t>konstatuje, že rozpočet evropského veřejného ochránce práv v roce 2023 činil 13 212 447 EUR, což představuje navýšení o 990 339 EUR (tj. +8,1 %) oproti roku 2022; na základě odpovědí veřejného ochránce práv na dotazník předložený Výborem pro rozpočtovou kontrolu v rámci procesu udělení absolutoria za plnění rozpočtu na rok 2023 (dále jen „dotazník“) konstatuje, že toto navýšení je dáno hlavně úpravami platů a dvěma dalšími pracovními místy, která byla nutná pro posílení hlavních činností veřejného ochránce práv;</w:t>
      </w:r>
    </w:p>
    <w:p w14:paraId="67243089" w14:textId="77777777" w:rsidR="00156072" w:rsidRPr="00CD519F" w:rsidRDefault="00156072" w:rsidP="00156072">
      <w:pPr>
        <w:spacing w:after="240"/>
        <w:ind w:left="567" w:hanging="567"/>
      </w:pPr>
      <w:r w:rsidRPr="00CD519F">
        <w:t>5.</w:t>
      </w:r>
      <w:r w:rsidRPr="00CD519F">
        <w:tab/>
        <w:t>bere na vědomí, že výsledkem úsilí o monitorování rozpočtu během rozpočtového roku 2023 byla míra plnění rozpočtu 95,39 %, což ve srovnání s rokem 2022 představuje pokles o 1,58 %; konstatuje, že míra plnění prostředků na platby v běžném roce činila 97,58 %, což představuje nárůst o 1,31 % oproti roku 2022, a to vedlo k poklesu automaticky přenesených prostředků z 3,73 % (tj. 442 209) v roce 2002 na 2,42 % (tj. 304 550 EUR) v roce 2023; lituje však nižší míry plnění automatických přenosů prostředků z předchozího roku, která v roce 2023 činila 73,27 % oproti 92,59 % v roce 2022; vyzývá v tomto ohledu ke zlepšení;</w:t>
      </w:r>
    </w:p>
    <w:p w14:paraId="7266D32E" w14:textId="77777777" w:rsidR="00156072" w:rsidRPr="00CD519F" w:rsidRDefault="00156072" w:rsidP="00156072">
      <w:pPr>
        <w:spacing w:after="240"/>
        <w:ind w:left="567" w:hanging="567"/>
      </w:pPr>
      <w:r w:rsidRPr="00CD519F">
        <w:t>6.</w:t>
      </w:r>
      <w:r w:rsidRPr="00CD519F">
        <w:tab/>
        <w:t>konstatuje, že v průběhu roku 2023 uskutečnil veřejný ochránce práv devět rozpočtových převodů podle článku 29 finančního nařízení, které dosáhly celkové výše 241 150 EUR neboli 1,8 % prostředků na daný rozpočtový rok oproti 2,8 % v roce 2022; konstatuje, že tyto převody byly nutné k posílení různých rozpočtových položek týkajících se například nábytku, bezpečnosti a ostrahy budov, digitalizace archivů nebo počítačové techniky; v této souvislosti si všímá, že výdaje na IT se zvýšily o 41 % z 159 714 EUR v roce 2022 na 224 698 EUR v roce 2023;</w:t>
      </w:r>
    </w:p>
    <w:p w14:paraId="6DC07CA0" w14:textId="77777777" w:rsidR="00156072" w:rsidRPr="00CD519F" w:rsidRDefault="00156072" w:rsidP="00156072">
      <w:pPr>
        <w:spacing w:after="240"/>
        <w:ind w:left="567" w:hanging="567"/>
      </w:pPr>
      <w:r w:rsidRPr="00CD519F">
        <w:t>7.</w:t>
      </w:r>
      <w:r w:rsidRPr="00CD519F">
        <w:tab/>
        <w:t>konstatuje, že opět – již třetí rok v řadě – došlo k dalšímu navýšení průměrné doby pro provedení plateb; uznává, že navzdory prodlužující se době pro platby z 11,35 dne v roce 2021 na 13,50 dne v roce 2023 je i nadále průměrná doba pro platby poměrně krátká a nedosahuje právními předpisy stanoveného maxima pro dobu platby (30 dnů); v této souvislosti vítá skutečnost, že veřejný ochránce práv mezitím plně zavedl elektronický fakturační systém, který by měl dále zlepšit účinnost platebního procesu od roku 2024;</w:t>
      </w:r>
    </w:p>
    <w:p w14:paraId="0C79FC24" w14:textId="77777777" w:rsidR="00156072" w:rsidRPr="00CD519F" w:rsidRDefault="00156072" w:rsidP="00156072">
      <w:pPr>
        <w:spacing w:after="240"/>
        <w:ind w:left="567" w:hanging="567"/>
      </w:pPr>
      <w:r w:rsidRPr="00CD519F">
        <w:t>8.</w:t>
      </w:r>
      <w:r w:rsidRPr="00CD519F">
        <w:tab/>
        <w:t>konstatuje, že na rok 2023 nepřenesl Parlament na veřejného ochránce práv žádné významné navýšení, pokud jde o nájemné a paušální poplatky za budovy, což veřejnému ochránci práv umožnilo snížit rozpočtovou položku pro nájemné o 8,06 % a posílit tak v roce 2023 jiné rozpočtové položky; bere však na vědomí, že na rok 2024 veřejný ochránce práv očekává navýšení výdajů spojených s budovami o 170 % (tj. 122 260 EUR);</w:t>
      </w:r>
    </w:p>
    <w:p w14:paraId="3ECAA7DA" w14:textId="77777777" w:rsidR="00156072" w:rsidRPr="00CD519F" w:rsidRDefault="00156072" w:rsidP="00156072">
      <w:pPr>
        <w:spacing w:after="240"/>
        <w:ind w:left="567" w:hanging="567"/>
      </w:pPr>
      <w:r w:rsidRPr="00CD519F">
        <w:t>9.</w:t>
      </w:r>
      <w:r w:rsidRPr="00CD519F">
        <w:tab/>
        <w:t>vítá skutečnost, že rozpočet na služební cesty zaměstnanců se snížil ze 120 000 EUR v roce 2022 na 100 000 EUR v roce 2023 díky rozsáhlému využívání zařízení pro pořádání videokonferencí na obou pracovištích; v této souvislosti chválí úřad veřejného ochránce práv za snížení rozpočtu na služební cesty zaměstnanců již čtvrtým rokem v řadě; konstatuje, že rozpočet na služební cesty a cestování zůstal pro úřad veřejného ochránce práv v roce 2023 ve stejné výši jako v předchozích letech (2021 a 2022), tj. 35 000 EUR;</w:t>
      </w:r>
    </w:p>
    <w:p w14:paraId="7F962790" w14:textId="77777777" w:rsidR="00156072" w:rsidRPr="00CD519F" w:rsidRDefault="00156072" w:rsidP="00156072">
      <w:pPr>
        <w:spacing w:after="240"/>
        <w:ind w:left="567" w:hanging="567"/>
        <w:rPr>
          <w:b/>
          <w:i/>
        </w:rPr>
      </w:pPr>
      <w:r w:rsidRPr="00CD519F">
        <w:rPr>
          <w:b/>
          <w:i/>
        </w:rPr>
        <w:t>Vnitřní řízení, výkonnost a interní kontrola</w:t>
      </w:r>
    </w:p>
    <w:p w14:paraId="3E78C98E" w14:textId="77777777" w:rsidR="00156072" w:rsidRPr="00CD519F" w:rsidRDefault="00156072" w:rsidP="00156072">
      <w:pPr>
        <w:spacing w:after="240"/>
        <w:ind w:left="567" w:hanging="567"/>
      </w:pPr>
      <w:r w:rsidRPr="00CD519F">
        <w:t>10.</w:t>
      </w:r>
      <w:r w:rsidRPr="00CD519F">
        <w:tab/>
        <w:t>konstatuje, že veřejný ochránce práv propojil cíle na vysoké úrovni uvedené v jeho strategii „Směrem k roku 2024“ s devíti klíčovými ukazateli výkonnosti (KPI) sestávajícími z 19 složek, jak je stanoveno v ročním plánu řízení veřejného ochránce práv na rok 2023; všímá si, že 14 z těchto složek KPI bylo v roce 2023 splněno nebo překročeno;</w:t>
      </w:r>
    </w:p>
    <w:p w14:paraId="3AD92B5F" w14:textId="77777777" w:rsidR="00156072" w:rsidRPr="00CD519F" w:rsidRDefault="00156072" w:rsidP="00156072">
      <w:pPr>
        <w:spacing w:after="240"/>
        <w:ind w:left="567" w:hanging="567"/>
      </w:pPr>
      <w:r w:rsidRPr="00CD519F">
        <w:t>11.</w:t>
      </w:r>
      <w:r w:rsidRPr="00CD519F">
        <w:tab/>
        <w:t>všímá si celkového nárůstu pracovní zátěže veřejného ochránce práv oproti předchozímu roku, zatímco v roce 2023 veřejný ochránce práv projednal 2 392 nových stížností (2 223 v roce 2022), zahájil 398 šetření (348 v roce 2022), včetně 56 šetření s významem pro veřejnost (60 v roce 2022), uzavřel 372 šetření (330 v roce 2022) a vyřídil rekordní počet stížností týkajících se přístupu veřejnosti k dokumentům, jenž vzrostl z 117 v roce 2022 na rekordní počet 167 v roce 2023, přičemž na 118 z nich navázala šetření; chválí v této souvislosti úřad veřejného ochránce práv za zlepšení efektivity vedoucí ke snížení počtu stížností, kterých bylo dosaženo v roce 2023 zjednodušením projednávání stížností na to, že nebyla obdržena odpověď, a za zefektivnění zpracování „stížností nespadajících do působnosti úřadu“ a žádostí o informace; vyzývá úřad veřejného ochránce práv, aby pracoval na cílenější komunikaci s cílem řešit tuto otázku v budoucnu; vítá jeho úsilí o další zjednodušování postupů v následujících letech;</w:t>
      </w:r>
    </w:p>
    <w:p w14:paraId="3861ACBC" w14:textId="77777777" w:rsidR="00156072" w:rsidRPr="00CD519F" w:rsidRDefault="00156072" w:rsidP="00156072">
      <w:pPr>
        <w:spacing w:after="240"/>
        <w:ind w:left="567" w:hanging="567"/>
      </w:pPr>
      <w:r w:rsidRPr="00CD519F">
        <w:t>12.</w:t>
      </w:r>
      <w:r w:rsidRPr="00CD519F">
        <w:tab/>
        <w:t>chválí úřad veřejného ochránce práv za to, že zkrátil dobu nutnou ke zpracování dokumentů na různých úrovních řízení, jako je čas potřebný k prohlášení přípustnosti (z 16 dnů v roce 2022 na 11 dnů v roce 2023) nebo průměrná doba k uzavření případů v oblasti přístupu veřejnosti k dokumentům (ze 46 dnů v roce 2022 na 42 dnů v roce 2023); lituje však, že průměrná doba (165 dnů) k vyřízení šetření i v roce 2023 zůstala dlouhá; chápe nicméně vysvětlení veřejné ochránkyně práv, že tato průměrná hodnota byla ovlivněna zpožděním při uzavírání šetření kvůli opakovaným výměnám s dotčenými orgány;</w:t>
      </w:r>
    </w:p>
    <w:p w14:paraId="162C7E3E" w14:textId="77777777" w:rsidR="00156072" w:rsidRPr="00CD519F" w:rsidRDefault="00156072" w:rsidP="00156072">
      <w:pPr>
        <w:spacing w:after="240"/>
        <w:ind w:left="567" w:hanging="567"/>
      </w:pPr>
      <w:r w:rsidRPr="00CD519F">
        <w:t>13.</w:t>
      </w:r>
      <w:r w:rsidRPr="00CD519F">
        <w:tab/>
        <w:t>dále konstatuje zlepšení, pokud jde o pozitivní odpovědi orgánů Unie na návrhy veřejné ochránkyně práv na zlepšení jejich správních postupů, přičemž celková míra přijímání těchto návrhů činila v roce 2023 81 % (oproti 79 % v roce 2022); žádá úřad veřejného ochránce práv, aby i nadále usiloval o větší respektování svých závěrů, doporučení a návrhů;</w:t>
      </w:r>
    </w:p>
    <w:p w14:paraId="43F3D11D" w14:textId="77777777" w:rsidR="00156072" w:rsidRPr="00CD519F" w:rsidRDefault="00156072" w:rsidP="00156072">
      <w:pPr>
        <w:spacing w:after="240"/>
        <w:ind w:left="567" w:hanging="567"/>
      </w:pPr>
      <w:r w:rsidRPr="00CD519F">
        <w:t>14.</w:t>
      </w:r>
      <w:r w:rsidRPr="00CD519F">
        <w:tab/>
        <w:t>uznává úsilí, které veřejná ochránkyně práv v roce 2023 odvedla s cílem zlepšit povědomí o mandátu úřadu veřejného ochránce práv a jeho chápání; s uspokojením si v této souvislosti všímá nárůstu počtu stížností spadajících do působnosti úřadu o 20 % ze 740 v roce 2022 na 885 v roce 2023, jakož i nárůstu podílu tohoto typu stížností z 33 % v roce 2022 na 37 % v roce 2023;</w:t>
      </w:r>
    </w:p>
    <w:p w14:paraId="7BAA0F09" w14:textId="77777777" w:rsidR="00156072" w:rsidRPr="00CD519F" w:rsidRDefault="00156072" w:rsidP="00156072">
      <w:pPr>
        <w:spacing w:after="240"/>
        <w:ind w:left="567" w:hanging="567"/>
      </w:pPr>
      <w:r w:rsidRPr="00CD519F">
        <w:t>15.</w:t>
      </w:r>
      <w:r w:rsidRPr="00CD519F">
        <w:tab/>
        <w:t>uznává úsilí úřadu veřejného ochránce práv a jeho pozitivní dopad v oblasti etiky, transparentnosti a odpovědnosti v roce 2023, zejména v důsledku šetření týkajících se přístupu veřejnosti k dokumentům a střetů zájmů týkajících se různých orgánů a agentur Unie nebo Evropské investiční banky; vyjadřuje své uznání za zvláštní zprávu veřejné ochránkyně práv vydanou v září 2023 o prodlevách Komise při vyřizování žádostí o přístup k dokumentům;</w:t>
      </w:r>
    </w:p>
    <w:p w14:paraId="460FD3BD" w14:textId="77777777" w:rsidR="00156072" w:rsidRPr="00CD519F" w:rsidRDefault="00156072" w:rsidP="00156072">
      <w:pPr>
        <w:spacing w:after="240"/>
        <w:ind w:left="567" w:hanging="567"/>
      </w:pPr>
      <w:r w:rsidRPr="00CD519F">
        <w:t>16.</w:t>
      </w:r>
      <w:r w:rsidRPr="00CD519F">
        <w:tab/>
        <w:t>na základě zprávy úřadu veřejného ochránce práv pro orgán příslušný k udělování absolutoria s názvem „Zpráva o návazných opatřeních na absolutorium za finanční rok 2022“ si všímá problémů zjištěných v souvislosti s Nástrojem pro oživení a odolnost (RRF), konkrétně významných zpoždění, s nimiž se potýká Evropská komise při odpovídání na žádosti o přístup k informacím, zejména zpožděného zveřejnění největších příjemců nástroje RRF členskými státy, což podkopává transparentnost, jakož i pokud jde o odůvodnění, na jehož základě Komise stanovila v některých případech úroveň pro udělování přístupu veřejnosti k dokumentům; vyjadřuje znepokojení nad rozhodnutím Komise nepřijmout všechny návrhy včetně návrhů řešení, které v tomto ohledu předložila veřejná ochránkyně práv, a připomíná význam zásad osvědčených postupů pro vládní transparentnost při využívání finančních prostředků na podporu oživení poskytovaných ve spolupráci s OECD; vyjadřuje politování nad tím, že na vnitrostátní úrovni přetrvávají značné rozdíly, pokud jde o včasnost a úplnost informací o konečných příjemcích; vyzývá Komisi, aby zintenzivnila své úsilí o řešení těchto nedostatků v rámci svých průběžných monitorovacích a kontrolních funkcí; zdůrazňuje, že pro zajištění transparentnosti a odpovědnosti je důležité důsledné a úplné podávání zpráv ve všech členských státech; vyzývá veřejnou ochránkyni práv, aby i nadále monitorovala úsilí Komise o zajištění transparentnosti Nástroje pro oživení a odolnost a účinný dohledu nad tímto nástrojem; dále vyzývá úřad veřejného ochránce práv, aby i nadále pravidelně informoval rozpočtový orgán o potížích, s nimiž se ve své práci týkající se transparentnosti a odpovědnosti v rámci nástroje RRF setkal;</w:t>
      </w:r>
    </w:p>
    <w:p w14:paraId="683AE315" w14:textId="77777777" w:rsidR="00156072" w:rsidRPr="00CD519F" w:rsidRDefault="00156072" w:rsidP="00156072">
      <w:pPr>
        <w:spacing w:after="240"/>
        <w:ind w:left="567" w:hanging="567"/>
      </w:pPr>
      <w:r w:rsidRPr="00CD519F">
        <w:t>17.</w:t>
      </w:r>
      <w:r w:rsidRPr="00CD519F">
        <w:tab/>
        <w:t>zdůrazňuje skutečnost, že v návaznosti na šetření z vlastního podnětu, jež odhalilo, že pokud jednotlivci žádají o přezkum rozhodnutí o přístupu, známého jako potvrzující žádost, Komise v 85 % případů lhůty stanovené v příslušném právním předpisu nedodrží, úřad veřejného ochránce práv v roce 2023 naléhavě vyzval Evropskou komisi, aby systémová zpoždění při vyřizování žádostí o přístup k dokumentům urychleně řešila; vyzývá k urychlenému provedení naléhavého doporučení úřadu veřejného ochránce práv k důkladnému přehodnocení s cílem zajistit dodržování lhůt stanovených v právních předpisech Unie, jako je nařízení Evropského parlamentu a Rady (ES) č. 1049/2001 </w:t>
      </w:r>
      <w:r w:rsidRPr="00CD519F">
        <w:rPr>
          <w:rStyle w:val="FootnoteReference"/>
        </w:rPr>
        <w:footnoteReference w:id="9"/>
      </w:r>
      <w:r w:rsidRPr="00CD519F">
        <w:t>; chválí úřad veřejného ochránce práv za jeho zvláštní zprávu Evropskému parlamentu, v níž tento orgán žádá o formální podporu s cílem přimět Komisi, aby jednala na základě jeho doporučení; připomíná, že úřad veřejného ochránce práv projednal zprávu s poslanci Evropského parlamentu v listopadu 2023 ve Výboru pro občanské svobody, spravedlnost a vnitřní věci </w:t>
      </w:r>
      <w:r w:rsidRPr="00CD519F">
        <w:rPr>
          <w:vertAlign w:val="superscript"/>
        </w:rPr>
        <w:footnoteReference w:id="10"/>
      </w:r>
      <w:r w:rsidRPr="00CD519F">
        <w:t>;</w:t>
      </w:r>
    </w:p>
    <w:p w14:paraId="36268C46" w14:textId="77777777" w:rsidR="00156072" w:rsidRPr="00CD519F" w:rsidRDefault="00156072" w:rsidP="00156072">
      <w:pPr>
        <w:spacing w:after="240"/>
        <w:ind w:left="567" w:hanging="567"/>
      </w:pPr>
      <w:r w:rsidRPr="00CD519F">
        <w:t>18.</w:t>
      </w:r>
      <w:r w:rsidRPr="00CD519F">
        <w:tab/>
        <w:t>s velkým znepokojením konstatuje, že úřad veřejného ochránce práv dostává od občanů mnoho stížností na extrémní zpoždění při získávání přístupu k požadovaným dokumentům; podporuje názor EVOP, že opožděný přístup fakticky znamená odepřený přístup a že je nutné zjednodušit administrativní postupy, aby se zajistilo, že občané získají přístup k dokumentům včas </w:t>
      </w:r>
      <w:r w:rsidRPr="00CD519F">
        <w:rPr>
          <w:vertAlign w:val="superscript"/>
        </w:rPr>
        <w:footnoteReference w:id="11"/>
      </w:r>
      <w:r w:rsidRPr="00CD519F">
        <w:t>;</w:t>
      </w:r>
    </w:p>
    <w:p w14:paraId="7FE025A1" w14:textId="77777777" w:rsidR="00156072" w:rsidRPr="00CD519F" w:rsidRDefault="00156072" w:rsidP="00156072">
      <w:pPr>
        <w:spacing w:after="240"/>
        <w:ind w:left="567" w:hanging="567"/>
      </w:pPr>
      <w:r w:rsidRPr="00CD519F">
        <w:t>19.</w:t>
      </w:r>
      <w:r w:rsidRPr="00CD519F">
        <w:tab/>
        <w:t>konstatuje, že interní auditor provedl přezkum rámce řízení rizik úřadu veřejného ochránce práv; konstatuje, že se strany dohodly na devítibodovém akčním plánu, který bude proveden do konce roku 2024; vyzývá úřad veřejného ochránce práv, aby informoval orgán příslušný pro udělení absolutoria o pokroku, jehož bylo při provádění tohoto plánu dosaženo;</w:t>
      </w:r>
    </w:p>
    <w:p w14:paraId="55108746" w14:textId="77777777" w:rsidR="00156072" w:rsidRPr="00CD519F" w:rsidRDefault="00156072" w:rsidP="00156072">
      <w:pPr>
        <w:spacing w:after="240"/>
        <w:ind w:left="567" w:hanging="567"/>
        <w:rPr>
          <w:b/>
          <w:i/>
        </w:rPr>
      </w:pPr>
      <w:r w:rsidRPr="00CD519F">
        <w:rPr>
          <w:b/>
          <w:i/>
        </w:rPr>
        <w:t>Lidské zdroje, rovnost a dobré pracovní podmínky zaměstnanců</w:t>
      </w:r>
    </w:p>
    <w:p w14:paraId="762276F2" w14:textId="77777777" w:rsidR="00156072" w:rsidRPr="00CD519F" w:rsidRDefault="00156072" w:rsidP="00156072">
      <w:pPr>
        <w:spacing w:after="240"/>
        <w:ind w:left="567" w:hanging="567"/>
      </w:pPr>
      <w:r w:rsidRPr="00CD519F">
        <w:t>20.</w:t>
      </w:r>
      <w:r w:rsidRPr="00CD519F">
        <w:tab/>
        <w:t>konstatuje zvýšení celkového počtu zaměstnanců úřadu veřejného ochránce práv o 11 % ze 74 v roce 2022 na 82 v roce 2023, zejména kvůli zvýšení počtu smluvních a dočasných zaměstnanců; dále konstatuje, že bylo v roce 2023 v úřadu veřejného ochránce práv zaměstnáno 40 úředníků oproti 39 v roce 2022 a 38 v roce 2021, dále zde bylo zaměstnáno 33 dočasných zaměstnanců oproti 28 v roce 2022 a 30 v roce 2021 a 9 smluvních zaměstnanců oproti 7 v roce 2022 a 6 v roce 2021; s uspokojením si všímá nárůstu počtu podílu zaměstnanců pracujících na hlavních činnostech úřadu veřejného ochránce práv (stížnosti a šetření) ze 40,54 % v roce 2022 na 42,68 % v roce 2023; s uspokojením bere na vědomí, že se obsazenost zvýšila z 91,8 % v roce 2022 na 95 % v roce 2023 a míra fluktuace se snížila z 9,9 % v roce 2022 na 5,2 % v roce 2023;</w:t>
      </w:r>
    </w:p>
    <w:p w14:paraId="233A1F0C" w14:textId="77777777" w:rsidR="00156072" w:rsidRPr="00CD519F" w:rsidRDefault="00156072" w:rsidP="00156072">
      <w:pPr>
        <w:spacing w:after="240"/>
        <w:ind w:left="567" w:hanging="567"/>
      </w:pPr>
      <w:r w:rsidRPr="00CD519F">
        <w:t>21.</w:t>
      </w:r>
      <w:r w:rsidRPr="00CD519F">
        <w:tab/>
        <w:t>lituje toho, že pozice generálního tajemníka úřadu veřejného ochránce práv není obsazena již více než dva roky, a to od 1. září 2022; na základě dotazníku bere na vědomí, že současná veřejná ochránkyně učinila „gesto dobré vůle vůči novému veřejnému ochránci práv, který bude zvolen na konci roku 2024, neboť se rozhodla, že pozici ponechá neobsazenou, aby se její nástupce mohl rozhodnout, koho jmenuje“; vyzývá příštího veřejného ochránce práv, aby zajistil, aby doba, po kterou jsou vedoucí pozice uvolněné, byla i nadále co nejkratší a nepřekračovala dobu nezbytnou k náboru nových pracovníků na tyto pozice;</w:t>
      </w:r>
    </w:p>
    <w:p w14:paraId="07C5D007" w14:textId="77777777" w:rsidR="00156072" w:rsidRPr="00CD519F" w:rsidRDefault="00156072" w:rsidP="00156072">
      <w:pPr>
        <w:spacing w:after="240"/>
        <w:ind w:left="567" w:hanging="567"/>
      </w:pPr>
      <w:r w:rsidRPr="00CD519F">
        <w:t>22.</w:t>
      </w:r>
      <w:r w:rsidRPr="00CD519F">
        <w:tab/>
        <w:t>oceňuje úřad veřejného ochránce práv za jeho výzvu k vyjádření zájmu (úředníci zabývající se šetřeními), která byla v roce 2023 úspěšně završena vytvořením rezervního seznamu 19 uchazečů, z nichž šest bylo téhož roku přijato; konstatuje, že to umožnilo úřadu veřejného ochránce práv zkrátit dobu nezbytnou k náboru, což byl v minulosti problém; dále konstatuje, že úřad veřejného ochránce práv uspořádal v roce 2023 – s pomocí Evropského úřadu pro výběr personálu (EPSO) – tři interní výběrová řízení s cílem udržet si interní talenty; uznává, že tato opatření pomáhají zlepšit účinný provoz instituce;</w:t>
      </w:r>
    </w:p>
    <w:p w14:paraId="4ACA46A7" w14:textId="77777777" w:rsidR="00156072" w:rsidRPr="00CD519F" w:rsidRDefault="00156072" w:rsidP="00156072">
      <w:pPr>
        <w:spacing w:after="240"/>
        <w:ind w:left="567" w:hanging="567"/>
      </w:pPr>
      <w:r w:rsidRPr="00CD519F">
        <w:t>23.</w:t>
      </w:r>
      <w:r w:rsidRPr="00CD519F">
        <w:tab/>
        <w:t>konstatuje, že navzdory tomu, že je úřad veřejného ochránce práv malou institucí, podařilo se mu díky proaktivním komunikačním a informačním činnostem, zejména prostřednictvím sociálních médií a online platforem k inzerci volných míst, mít v roce 2023 zaměstnance, kteří zastupují 19 státních příslušností; je však nespokojen s nadměrným zastoupením státních příslušníků některých zemí (např. Francie, Irsko) a nedostatečným zastoupením státních příslušníků jiných zemí (například Rumunsko, Španělsko); žádá úřad veřejného ochránce práv, aby ve svém personálním obsazení i nadále usiloval o dosažení rovnováhy mezi státními příslušníky všech členských států, zejména na vedoucí úrovni, zlepšením komunikace, podporou viditelnosti a zlepšením pracovních podmínek s cílem přilákat příslušníky nedostatečně zastoupených zemí;</w:t>
      </w:r>
    </w:p>
    <w:p w14:paraId="4D0551A7" w14:textId="77777777" w:rsidR="00156072" w:rsidRPr="00CD519F" w:rsidRDefault="00156072" w:rsidP="00156072">
      <w:pPr>
        <w:spacing w:after="240"/>
        <w:ind w:left="567" w:hanging="567"/>
      </w:pPr>
      <w:r w:rsidRPr="00CD519F">
        <w:t>24.</w:t>
      </w:r>
      <w:r w:rsidRPr="00CD519F">
        <w:tab/>
        <w:t>konstatuje, že pokud jde o genderovou vyváženost, zaměstnává úřad veřejného ochránce práv ve všech kategoriích zaměstnanců více žen než mužů, zejména na úrovni vedení, přičemž celkový poměr žen a mužů byl v roce 2023 stejný jako v roce 2022, tedy 67 % žen a 33 % mužů; vybízí úřad veřejného ochránce práv, aby pokračoval ve svém úsilí o dosažení vyváženějšího zastoupení žen a mužů mezi zaměstnanci;</w:t>
      </w:r>
    </w:p>
    <w:p w14:paraId="601A5D77" w14:textId="77777777" w:rsidR="00156072" w:rsidRPr="00CD519F" w:rsidRDefault="00156072" w:rsidP="00156072">
      <w:pPr>
        <w:spacing w:after="240"/>
        <w:ind w:left="567" w:hanging="567"/>
      </w:pPr>
      <w:r w:rsidRPr="00CD519F">
        <w:t>25.</w:t>
      </w:r>
      <w:r w:rsidRPr="00CD519F">
        <w:tab/>
        <w:t>konstatuje, že se úřad veřejného ochránce práv snaží zajistit tělesnou a duševní pohodu svých zaměstnanců v práci a zaměřuje se na posílení týmového ducha; vítá v této souvislosti výsledek obecného průzkumu mezi zaměstnanci provedeného v roce 2023, z něhož vyplývá celková míra spokojenosti zaměstnanců ve výši 87 %, přičemž zejména 95 % účastníků průzkumu odpovědělo kladně na otázku, zda úřad veřejného ochránce práv pečuje o pohodu svých zaměstnanců, 97 % bylo spokojeno s hybridním a flexibilním pracovním ujednáním a 90 % bylo spokojeno s vybavením a materiálem, který jim jejich zaměstnavatel poskytuje pro práci na dálku; s uspokojením konstatuje, že v roce 2023 se úřad veřejného ochránce práv rozhodl zajistit všem zaměstnancům, kteří o to požádali, ergonomické židle;</w:t>
      </w:r>
    </w:p>
    <w:p w14:paraId="6E808A59" w14:textId="77777777" w:rsidR="00156072" w:rsidRPr="00CD519F" w:rsidRDefault="00156072" w:rsidP="00156072">
      <w:pPr>
        <w:spacing w:after="240"/>
        <w:ind w:left="567" w:hanging="567"/>
      </w:pPr>
      <w:r w:rsidRPr="00CD519F">
        <w:t>26.</w:t>
      </w:r>
      <w:r w:rsidRPr="00CD519F">
        <w:tab/>
        <w:t>bere na vědomí, že malá velikost úřadu veřejného ochránce práv umožňuje vedoucím pracovníkům pečlivě sledovat pracovní zátěž zaměstnanců a provádět nezbytné úpravy, které umožňují včasné odhalení potenciálních vyhoření; konstatuje, že průzkum mezi zaměstnanci v roce 2023 neodhalil žádné problémy s rozložením pracovní zátěže nebo se zdravotními problémy souvisejícími s prací a že lékařská služba Evropského parlamentu nenahlásila žádná dlouhodobá onemocnění související s vyhořením;</w:t>
      </w:r>
    </w:p>
    <w:p w14:paraId="54487CA8" w14:textId="77777777" w:rsidR="00156072" w:rsidRPr="00CD519F" w:rsidRDefault="00156072" w:rsidP="00156072">
      <w:pPr>
        <w:spacing w:after="240"/>
        <w:ind w:left="567" w:hanging="567"/>
      </w:pPr>
      <w:r w:rsidRPr="00CD519F">
        <w:t>27.</w:t>
      </w:r>
      <w:r w:rsidRPr="00CD519F">
        <w:tab/>
        <w:t>s uspokojením konstatuje, že v roce 2023 nebyly hlášeny žádné případy obtěžování; bere na vědomí úsilí úřadu veřejného ochránce práv zajistit pracovní prostředí bez sexuálního a psychologického obtěžování, zejména prostřednictvím osvěty a školení; s uspokojením konstatuje, že průzkum provedený v roce 2023 v rámci interního auditu etického rámce ukázal, že s politikou a pokyny týkajícími se obtěžování, ať už jakéhokoliv druhu, bylo obeznámeno 90 % zaměstnanců;</w:t>
      </w:r>
    </w:p>
    <w:p w14:paraId="7BE30A7A" w14:textId="77777777" w:rsidR="00156072" w:rsidRPr="00CD519F" w:rsidRDefault="00156072" w:rsidP="00156072">
      <w:pPr>
        <w:spacing w:after="240"/>
        <w:ind w:left="567" w:hanging="567"/>
      </w:pPr>
      <w:r w:rsidRPr="00CD519F">
        <w:t>28.</w:t>
      </w:r>
      <w:r w:rsidRPr="00CD519F">
        <w:tab/>
        <w:t xml:space="preserve">s uspokojením konstatuje, že úřad veřejného ochránce práv přivítal v roce 2023 18 placených stážistů (stejný počet jako v roce 2022), z nichž jeden byl vybrán v rámci první výzvy úřadu veřejného ochránce práv určené uchazečům se zdravotním postižením; uznává, že tato iniciativa podporuje </w:t>
      </w:r>
      <w:proofErr w:type="spellStart"/>
      <w:r w:rsidRPr="00CD519F">
        <w:t>inkluzivnost</w:t>
      </w:r>
      <w:proofErr w:type="spellEnd"/>
      <w:r w:rsidRPr="00CD519F">
        <w:t xml:space="preserve"> a rovné příležitosti tím, že stážistům poskytuje cenné zkušenosti v orgánech EU;</w:t>
      </w:r>
    </w:p>
    <w:p w14:paraId="5015D52B" w14:textId="77777777" w:rsidR="00156072" w:rsidRPr="00CD519F" w:rsidRDefault="00156072" w:rsidP="00156072">
      <w:pPr>
        <w:spacing w:after="240"/>
        <w:ind w:left="567" w:hanging="567"/>
        <w:rPr>
          <w:b/>
          <w:i/>
        </w:rPr>
      </w:pPr>
      <w:r w:rsidRPr="00CD519F">
        <w:rPr>
          <w:b/>
          <w:i/>
        </w:rPr>
        <w:t>Etický rámec a transparentnost</w:t>
      </w:r>
    </w:p>
    <w:p w14:paraId="709FAD5B" w14:textId="77777777" w:rsidR="00156072" w:rsidRPr="00CD519F" w:rsidRDefault="00156072" w:rsidP="00156072">
      <w:pPr>
        <w:spacing w:after="240"/>
        <w:ind w:left="567" w:hanging="567"/>
      </w:pPr>
      <w:r w:rsidRPr="00CD519F">
        <w:t>29.</w:t>
      </w:r>
      <w:r w:rsidRPr="00CD519F">
        <w:tab/>
        <w:t>vítá pokračující úsilí úřadu veřejného ochránce práv o posílení a zvýšení povědomí o etickém rámci orgánu; s uspokojením konstatuje, že v roce 2023 úřad veřejného ochránce práv revidoval politiku oznamovatelů (</w:t>
      </w:r>
      <w:proofErr w:type="spellStart"/>
      <w:r w:rsidRPr="00CD519F">
        <w:t>whistleblowerů</w:t>
      </w:r>
      <w:proofErr w:type="spellEnd"/>
      <w:r w:rsidRPr="00CD519F">
        <w:t>) s cílem posílit ochranu potenciálních oznamovatelů, zajistit lepší soulad se standardy ochrany údajů, posílit důvěrnost a podporu a začlenit ustanovení o etických zpravodajích; dále vítá plné zavedení nástroje SYSPER týkajícího se etiky, který zaměstnancům umožňuje aktualizovat prohlášení (ohledně jejich střetů zájmu a profesních činností jejich manželů/manželek/partnerů/partnerek) a uspořádal interaktivní školení s názvem „Respekt a důstojnost v práci a naše role aktérů, příjemců a přihlížejících“; vítá výsledky obecného průzkumu provedeného mezi zaměstnanci v roce 2023, v němž byly potvrzeny vysoké úrovně povědomí zaměstnanců o etických záležitostech; vyzývá ke zveřejňování veškerých schůzek úřadu veřejného ochránce práv na vysoké úrovni s vnějšími aktéry, včetně podniků, zájmových skupin a agentur EU, s cílem zajistit transparentnost rozhodování a zajišťování podpory;</w:t>
      </w:r>
    </w:p>
    <w:p w14:paraId="38CA7AFD" w14:textId="77777777" w:rsidR="00156072" w:rsidRPr="00CD519F" w:rsidRDefault="00156072" w:rsidP="00156072">
      <w:pPr>
        <w:spacing w:after="240"/>
        <w:ind w:left="567" w:hanging="567"/>
      </w:pPr>
      <w:r w:rsidRPr="00CD519F">
        <w:t>30.</w:t>
      </w:r>
      <w:r w:rsidRPr="00CD519F">
        <w:tab/>
        <w:t>konstatuje, že interní audit (zpráva 22/03) týkající se etického rámce úřadu veřejného ochránce práv byl dokončen v roce 2023 vydáním šesti doporučení, která musí být provedena do 31. prosince 2024; na základě dotazníku konstatuje, že čtyři z těchto doporučení byla provedena v plném rozsahu; vyzývá úřad veřejného ochránce práv, aby podal orgánu příslušnému k udělení absolutoria zprávu o stavu provádění zbývajících dvou doporučení;</w:t>
      </w:r>
    </w:p>
    <w:p w14:paraId="4ADD0A5C" w14:textId="77777777" w:rsidR="00156072" w:rsidRPr="00CD519F" w:rsidRDefault="00156072" w:rsidP="00156072">
      <w:pPr>
        <w:spacing w:after="240"/>
        <w:ind w:left="567" w:hanging="567"/>
      </w:pPr>
      <w:r w:rsidRPr="00CD519F">
        <w:t>31.</w:t>
      </w:r>
      <w:r w:rsidRPr="00CD519F">
        <w:tab/>
        <w:t>konstatuje, že strategie úřadu veřejného ochránce práv v oblasti boje proti podvodům je z velké části založena na existujícím etickém rámci a na zásadě oddělení povinností u finančních funkcí; konstatuje, že v roce 2023 úřad veřejného ochránce práv přezkoumal a přijal kodex profesních norem vztahujících se na zaměstnance zapojené do kontroly finančních operací, který stanoví povinnosti a odpovědnost za odhalování podvodných operací, včetně postupů navazujících na případy podezření z podvodů;</w:t>
      </w:r>
    </w:p>
    <w:p w14:paraId="1CE34C15" w14:textId="77777777" w:rsidR="00156072" w:rsidRPr="00CD519F" w:rsidRDefault="00156072" w:rsidP="00156072">
      <w:pPr>
        <w:spacing w:after="240"/>
        <w:ind w:left="567" w:hanging="567"/>
      </w:pPr>
      <w:r w:rsidRPr="00CD519F">
        <w:t>32.</w:t>
      </w:r>
      <w:r w:rsidRPr="00CD519F">
        <w:tab/>
        <w:t xml:space="preserve">s uspokojením konstatuje, že v roce 2023 nebyly zaznamenány žádné případy střetu zájmů ani případy </w:t>
      </w:r>
      <w:proofErr w:type="spellStart"/>
      <w:r w:rsidRPr="00CD519F">
        <w:t>whistleblowingu</w:t>
      </w:r>
      <w:proofErr w:type="spellEnd"/>
      <w:r w:rsidRPr="00CD519F">
        <w:t>;</w:t>
      </w:r>
    </w:p>
    <w:p w14:paraId="56EA813E" w14:textId="77777777" w:rsidR="00156072" w:rsidRPr="00CD519F" w:rsidRDefault="00156072" w:rsidP="00156072">
      <w:pPr>
        <w:spacing w:after="240"/>
        <w:ind w:left="567" w:hanging="567"/>
      </w:pPr>
      <w:r w:rsidRPr="00CD519F">
        <w:t>33.</w:t>
      </w:r>
      <w:r w:rsidRPr="00CD519F">
        <w:tab/>
        <w:t>na základě dotazníku konstatuje, že se úřad veřejného ochránce práv formálně nepřipojil k rejstříku transparentnosti (zřízenému interinstitucionální dohodou ze dne 20. května 2021 mezi Evropským parlamentem, Radou Evropské unie a Evropskou komisí o povinném rejstříku transparentnosti), aby byl schopen zkoumat případné stížnosti na sekretariát rejstříku transparentnosti; konstatuje však, že úřad veřejného ochránce práv sladil své postupy se zásadami rejstříku transparentnosti a ověřuje, že osoby vystupující s projevy nebo jiní řečníci na akcích a schůzích pořádaných úřadem veřejného ochránce práv jsou v tomto rejstříku registrováni; vítá vysokou míru transparentnosti, které úřad veřejného ochránce práv dosáhl tím, že na svých internetových stránkách zveřejňuje informace o šetřeních, služebních cestách, schůzích a akcích, jichž se úřad veřejného ochránce práv účastní;</w:t>
      </w:r>
    </w:p>
    <w:p w14:paraId="7D6D0987" w14:textId="77777777" w:rsidR="00156072" w:rsidRPr="00CD519F" w:rsidRDefault="00156072" w:rsidP="00156072">
      <w:pPr>
        <w:spacing w:after="240"/>
        <w:ind w:left="567" w:hanging="567"/>
      </w:pPr>
      <w:r w:rsidRPr="00CD519F">
        <w:t>34.</w:t>
      </w:r>
      <w:r w:rsidRPr="00CD519F">
        <w:tab/>
        <w:t>vyzývá úřad veřejného ochránce práv, aby zavedl povinné prohlášení o finančních zájmech pro vedoucí pracovníky a zajistil přístup veřejnosti v reálném čase k informacím o možných střetech zájmů, externích závazcích a finančních aktivech;</w:t>
      </w:r>
    </w:p>
    <w:p w14:paraId="5B13705C" w14:textId="77777777" w:rsidR="00156072" w:rsidRPr="00CD519F" w:rsidRDefault="00156072" w:rsidP="00156072">
      <w:pPr>
        <w:spacing w:after="240"/>
        <w:ind w:left="567" w:hanging="567"/>
        <w:rPr>
          <w:b/>
          <w:i/>
        </w:rPr>
      </w:pPr>
      <w:r w:rsidRPr="00CD519F">
        <w:rPr>
          <w:b/>
          <w:i/>
        </w:rPr>
        <w:t>Budovy</w:t>
      </w:r>
    </w:p>
    <w:p w14:paraId="13CA5E0E" w14:textId="77777777" w:rsidR="00156072" w:rsidRPr="00CD519F" w:rsidRDefault="00156072" w:rsidP="00156072">
      <w:pPr>
        <w:spacing w:after="240"/>
        <w:ind w:left="567" w:hanging="567"/>
      </w:pPr>
      <w:r w:rsidRPr="00CD519F">
        <w:t>35.</w:t>
      </w:r>
      <w:r w:rsidRPr="00CD519F">
        <w:tab/>
        <w:t>vítá skutečnost, že se konečný rozpočet úřadu veřejného ochránce práv (po převodech) na budovy a související náklady snížil o asi 15 % z 1 622 200 EUR v roce 2022 na 1 373 000 EUR v roce 2023; konstatuje, že prostředky na nájemné se snížily o 26 % z 1 177 700 EUR v roce 2022 na 866 100 EUR v roce 2023, přičemž míra plnění plateb se v obou letech blížila 100 %;</w:t>
      </w:r>
    </w:p>
    <w:p w14:paraId="5586F063" w14:textId="77777777" w:rsidR="00156072" w:rsidRPr="00CD519F" w:rsidRDefault="00156072" w:rsidP="00156072">
      <w:pPr>
        <w:spacing w:after="240"/>
        <w:ind w:left="567" w:hanging="567"/>
        <w:rPr>
          <w:b/>
        </w:rPr>
      </w:pPr>
      <w:r w:rsidRPr="00CD519F">
        <w:t>36.</w:t>
      </w:r>
      <w:r w:rsidRPr="00CD519F">
        <w:tab/>
        <w:t>konstatuje, že po přestěhování bruselské kanceláře úřadu veřejného ochránce práv do nových prostor, které poskytl Parlament v roce 2021, byla budova uspořádána jako společný pracovní prostor pro spolupráci s velmi malým počtem individuálních kanceláří a flexibilními prostorami pro společná jednání; s uspokojením konstatuje, že úřad veřejného ochránce práv nepraktikuje sdílení pracovních stolů (tzv. hot-</w:t>
      </w:r>
      <w:proofErr w:type="spellStart"/>
      <w:r w:rsidRPr="00CD519F">
        <w:t>desking</w:t>
      </w:r>
      <w:proofErr w:type="spellEnd"/>
      <w:r w:rsidRPr="00CD519F">
        <w:t>) a že všichni zaměstnanci mají k dispozici vlastní stůl s dostatečným úložným prostorem; konstatuje, že v roce 2023 neproběhla žádná změna kanceláří a že z obecného průzkumu mezi zaměstnanci provedeného v roce 2023 vyplynulo, že většina zaměstnanců (56 %) odpověděla kladně na otázku o fyzických podmínkách v jejich kancelářích v Bruselu;</w:t>
      </w:r>
    </w:p>
    <w:p w14:paraId="34C0F3BC" w14:textId="77777777" w:rsidR="00156072" w:rsidRPr="00CD519F" w:rsidRDefault="00156072" w:rsidP="00156072">
      <w:pPr>
        <w:spacing w:after="240"/>
        <w:ind w:left="567" w:hanging="567"/>
      </w:pPr>
      <w:r w:rsidRPr="00CD519F">
        <w:t>37.</w:t>
      </w:r>
      <w:r w:rsidRPr="00CD519F">
        <w:tab/>
        <w:t>připomíná, že úřad veřejného ochránce práv nemá vlastní budovy, ale pronajímá si budovu v Bruselu a kancelářské prostory ve Štrasburku; s uspokojením konstatuje, že Havlova budova ve Štrasburku je plně přístupná osobám s omezenou schopností pohybu a orientace nebo jiným zdravotním postižením, a s hlubokým politováním konstatuje, že přístupnost pronajaté budovy v Bruselu je třeba zlepšit; vyzývá Parlament, aby zlepšil přístupnost budovy pronajaté úřadem veřejného ochránce práv v Bruselu;</w:t>
      </w:r>
    </w:p>
    <w:p w14:paraId="6953511B" w14:textId="77777777" w:rsidR="00156072" w:rsidRPr="00CD519F" w:rsidRDefault="00156072" w:rsidP="00156072">
      <w:pPr>
        <w:spacing w:after="240"/>
        <w:ind w:left="567" w:hanging="567"/>
        <w:rPr>
          <w:b/>
          <w:i/>
        </w:rPr>
      </w:pPr>
      <w:r w:rsidRPr="00CD519F">
        <w:rPr>
          <w:b/>
          <w:i/>
        </w:rPr>
        <w:t>Digitalizace, kybernetická bezpečnost a ochrana údajů</w:t>
      </w:r>
    </w:p>
    <w:p w14:paraId="3C5B6288" w14:textId="77777777" w:rsidR="00156072" w:rsidRPr="00CD519F" w:rsidRDefault="00156072" w:rsidP="00156072">
      <w:pPr>
        <w:spacing w:after="240"/>
        <w:ind w:left="567" w:hanging="567"/>
      </w:pPr>
      <w:r w:rsidRPr="00CD519F">
        <w:t>38.</w:t>
      </w:r>
      <w:r w:rsidRPr="00CD519F">
        <w:tab/>
        <w:t>uznává úspěchy dlouhodobého přístupu úřadu veřejného ochránce práv spočívajícího ve využívání integrovaných systémů a zdrojů od jiných orgánů Unie, zejména Parlamentu a Komise, v zájmu optimalizace využití rozpočtu a zlepšení koordinace, například v oblasti digitalizace; v této souvislosti konstatuje úspěšné zavedení nástrojů strojového překladu Komise, které byly začleněny do systémů úřadu veřejného ochránce práv (např. webové stránky) v roce 2023; na základě dotazníku s uspokojením konstatuje, že výsledkem tohoto projektu je pokles nákladů na překlad, který se odhaduje na více než 30 % ročně, jakož i menší administrativní zátěž;</w:t>
      </w:r>
    </w:p>
    <w:p w14:paraId="18DFE090" w14:textId="77777777" w:rsidR="00156072" w:rsidRPr="00CD519F" w:rsidRDefault="00156072" w:rsidP="00156072">
      <w:pPr>
        <w:spacing w:after="240"/>
        <w:ind w:left="567" w:hanging="567"/>
      </w:pPr>
      <w:r w:rsidRPr="00CD519F">
        <w:t>39.</w:t>
      </w:r>
      <w:r w:rsidRPr="00CD519F">
        <w:tab/>
        <w:t xml:space="preserve">vitá plné zavedení kvalifikovaného elektronického podpisu, což umožňuje zaměstnancům podepsat dokumenty zabezpečeným způsobem, jakož i využívání systému </w:t>
      </w:r>
      <w:proofErr w:type="spellStart"/>
      <w:r w:rsidRPr="00CD519F">
        <w:t>QSign</w:t>
      </w:r>
      <w:proofErr w:type="spellEnd"/>
      <w:r w:rsidRPr="00CD519F">
        <w:t xml:space="preserve"> Komise, který umožňuje zaměstnancům podepisovat a spravovat dokumenty, včetně zadávacích i smluvních;</w:t>
      </w:r>
    </w:p>
    <w:p w14:paraId="5FB6B007" w14:textId="77777777" w:rsidR="00156072" w:rsidRPr="00CD519F" w:rsidRDefault="00156072" w:rsidP="00156072">
      <w:pPr>
        <w:spacing w:after="240"/>
        <w:ind w:left="567" w:hanging="567"/>
      </w:pPr>
      <w:r w:rsidRPr="00CD519F">
        <w:t>40.</w:t>
      </w:r>
      <w:r w:rsidRPr="00CD519F">
        <w:tab/>
        <w:t>konstatuje, že od roku 2023 úřad veřejného ochránce práv aktivně zkoumal možnosti, které by mohlo nabídnout využívání umělé inteligence (AI); v této souvislosti vítá partnerství úřadu veřejného ochránce práv se Společným výzkumným střediskem Evropské komise za účelem experimentování s velkými jazykovými modely a testování a vyhodnocování případů použití AI; dále konstatuje, že úřad veřejného ochránce práv zakoupil několik nástrojů využívajících AI, které úspěšně přispívají k vytváření video obsahu; vítá přijetí interních pokynů úřadu veřejného ochránce práv, které mají zajistit, aby byly externí nástroje využívající AI používány odpovědným a transparentním způsobem; vybízí úřad veřejného ochránce práv, aby zajistil povinné školení zaměstnanců o bezpečném a etickém používání nástrojů umělé inteligence s cílem zlepšit jejich porozumění a zmírnit potenciální rizika; vyzývá úřad veřejného ochránce práv, aby i nadále informoval orgán příslušný k udělení absolutoria o pokroku dosaženém v oblasti testování a používání řešení založených na AI;</w:t>
      </w:r>
    </w:p>
    <w:p w14:paraId="7E8BF3D3" w14:textId="77777777" w:rsidR="00156072" w:rsidRPr="00CD519F" w:rsidRDefault="00156072" w:rsidP="00156072">
      <w:pPr>
        <w:spacing w:after="240"/>
        <w:ind w:left="567" w:hanging="567"/>
      </w:pPr>
      <w:r w:rsidRPr="00CD519F">
        <w:t>41.</w:t>
      </w:r>
      <w:r w:rsidRPr="00CD519F">
        <w:tab/>
        <w:t xml:space="preserve">konstatuje, že pokud jde o IT, úřad veřejného ochránce práv se spoléhá na infrastrukturu a rámec kybernetické bezpečnosti Parlamentu a úzce spolupracuje s Komisí, pokud jde o integraci a údržbu podnikových nástrojů Unie (SYSPER, ABAC, </w:t>
      </w:r>
      <w:proofErr w:type="spellStart"/>
      <w:r w:rsidRPr="00CD519F">
        <w:t>MiPS</w:t>
      </w:r>
      <w:proofErr w:type="spellEnd"/>
      <w:r w:rsidRPr="00CD519F">
        <w:t xml:space="preserve"> a ARES) a využívání rámcových smluv v oblasti IT; konstatuje, že vzhledem k jeho omezené míře kontroly nad údaji uzavřel úřad veřejného ochránce práv s dotčenými orgány dohody o poskytování služeb (SLA), aby zajistil, že nakládání s osobními údaji bude v souladu s platným právním rámcem; s uspokojením konstatuje, že úřad veřejného ochránce práv se v roce 2023 nesetkal s žádným kybernetickým útokem;</w:t>
      </w:r>
    </w:p>
    <w:p w14:paraId="5A15EC72" w14:textId="77777777" w:rsidR="00156072" w:rsidRPr="00CD519F" w:rsidRDefault="00156072" w:rsidP="00156072">
      <w:pPr>
        <w:spacing w:after="240"/>
        <w:ind w:left="567" w:hanging="567"/>
      </w:pPr>
      <w:r w:rsidRPr="00CD519F">
        <w:t>42.</w:t>
      </w:r>
      <w:r w:rsidRPr="00CD519F">
        <w:tab/>
        <w:t>vybízí úřad veřejného ochránce práv, aby úzce spolupracoval s agenturou ENISA (Agentura Evropské unie pro kybernetickou bezpečnost); navrhuje, aby byly všem zaměstnancům úřadu veřejného ochránce práv nabízeny pravidelně aktualizované programy odborné přípravy v oblasti kybernetické bezpečnosti;</w:t>
      </w:r>
    </w:p>
    <w:p w14:paraId="161CC8ED" w14:textId="77777777" w:rsidR="00156072" w:rsidRPr="00CD519F" w:rsidRDefault="00156072" w:rsidP="00156072">
      <w:pPr>
        <w:spacing w:after="240"/>
        <w:ind w:left="567" w:hanging="567"/>
      </w:pPr>
      <w:r w:rsidRPr="00CD519F">
        <w:t>43.</w:t>
      </w:r>
      <w:r w:rsidRPr="00CD519F">
        <w:tab/>
        <w:t>v souvislosti se zprávou o interním auditu 21/03 o přezkumu rámce ochrany údajů úřadu veřejného ochránce práv konstatuje, že jedno opatření zůstalo ve čtvrtém čtvrtletí roku 2023 otevřené. a v souvislosti se Zprávou o vnitřním auditu 20/04 o zabezpečení IKT úřadu veřejného ochránce práv konstatuje, že v roce 2023 stále nebylo uzavřeno sedm opatření; vyzývá úřad veřejného ochránce práv, aby i nadále informoval orgán příslušný k udělení absolutoria o pokroku dosaženém v těchto záležitostech;</w:t>
      </w:r>
    </w:p>
    <w:p w14:paraId="6954FB12" w14:textId="77777777" w:rsidR="00156072" w:rsidRPr="00CD519F" w:rsidRDefault="00156072" w:rsidP="00156072">
      <w:pPr>
        <w:spacing w:after="240"/>
        <w:ind w:left="567" w:hanging="567"/>
        <w:rPr>
          <w:b/>
          <w:i/>
        </w:rPr>
      </w:pPr>
      <w:r w:rsidRPr="00CD519F">
        <w:rPr>
          <w:b/>
          <w:i/>
        </w:rPr>
        <w:t>Životní prostředí a udržitelnost</w:t>
      </w:r>
    </w:p>
    <w:p w14:paraId="7C30CC9C" w14:textId="77777777" w:rsidR="00156072" w:rsidRPr="00CD519F" w:rsidRDefault="00156072" w:rsidP="00156072">
      <w:pPr>
        <w:spacing w:after="240"/>
        <w:ind w:left="567" w:hanging="567"/>
      </w:pPr>
      <w:r w:rsidRPr="00CD519F">
        <w:t>44.</w:t>
      </w:r>
      <w:r w:rsidRPr="00CD519F">
        <w:tab/>
        <w:t>vítá skutečnost, že v průběhu let úřad veřejného ochránce práv snížil svou environmentální stopu, zejména prostřednictvím digitalizace svých procesů, odstranění individuálních tiskáren, nenahrazování procesorů, když dosáhnou konce životnosti, opatření na zajištění větší udržitelnosti akcí a rozsáhlého využívání systémů pro pořádání videokonferencí, čímž se předejde nutnosti podnikat služební cesty; konstatuje, že pokud jde o ekologickou stopu jeho budov, spoléhá úřad veřejného ochránce práv na opatření, která přijal Parlament jako vlastník budov; s uspokojením konstatuje, že obě budovy, v nichž má úřad veřejného ochránce práv kanceláře, využívají ze 100 % čistou energii; vítá instalaci solárních panelů Parlamentem, mimo jiné v budově Havel ve Štrasburku v roce 2024;</w:t>
      </w:r>
    </w:p>
    <w:p w14:paraId="77266C2A" w14:textId="77777777" w:rsidR="00156072" w:rsidRPr="00CD519F" w:rsidRDefault="00156072" w:rsidP="00156072">
      <w:pPr>
        <w:spacing w:after="240"/>
        <w:ind w:left="567" w:hanging="567"/>
      </w:pPr>
      <w:r w:rsidRPr="00CD519F">
        <w:t>45.</w:t>
      </w:r>
      <w:r w:rsidRPr="00CD519F">
        <w:tab/>
        <w:t>konstatuje, že úřad veřejného ochránce práv v roce 2023 i nadále podporoval udržitelnou mobilitu; v tomto ohledu vítá skutečnost, že úřad veřejného ochránce práv přijal novou politiku mobility, která stanoví platbu paušálního příspěvku zaměstnancům až do platové třídy AST8/AD8, již využívají udržitelné druhy dopravy k dojíždění do práce; dále na základě dotazníku konstatuje, že iniciativa, v jejímž rámci úřad veřejného ochránce práv poskytl jízdní kola k používání zaměstnancům během pracovní doby, nebyla úspěšná, protože během zkušebního období bylo využití jízdních kol minimální;</w:t>
      </w:r>
    </w:p>
    <w:p w14:paraId="18106BE4" w14:textId="77777777" w:rsidR="00156072" w:rsidRPr="00CD519F" w:rsidRDefault="00156072" w:rsidP="00156072">
      <w:pPr>
        <w:spacing w:after="240"/>
        <w:rPr>
          <w:b/>
          <w:i/>
        </w:rPr>
      </w:pPr>
      <w:r w:rsidRPr="00CD519F">
        <w:rPr>
          <w:b/>
          <w:i/>
        </w:rPr>
        <w:t>Interinstitucionální spolupráce</w:t>
      </w:r>
    </w:p>
    <w:p w14:paraId="4907BB35" w14:textId="77777777" w:rsidR="00156072" w:rsidRPr="00CD519F" w:rsidRDefault="00156072" w:rsidP="00156072">
      <w:pPr>
        <w:spacing w:after="240"/>
        <w:ind w:left="567" w:hanging="567"/>
      </w:pPr>
      <w:r w:rsidRPr="00CD519F">
        <w:t>46.</w:t>
      </w:r>
      <w:r w:rsidRPr="00CD519F">
        <w:tab/>
        <w:t>vítá finanční a administrativní úspory dosažené díky interinstitucionální spolupráci, zejména díky široké škále dohod o poskytování služeb (SLA) uzavřených s Parlamentem a Komisí a účasti na interinstitucionálních zadávacích řízeních; vítá formalizaci spolupráce mezi Parlamentem a úřadem veřejného ochránce práv v oblasti kybernetické bezpečnosti prostřednictvím revidované interinstitucionální dohody, která stanoví rámec, podle kterého Parlament i nadále poskytuje úřadu veřejného ochránce práv solidní podporu v oblasti kybernetické bezpečnosti; dále konstatuje, že úřad veřejného ochránce práv v roce 2023 podepsal s úřadem EPSO dohodu o poskytování služeb týkající se pořádání interních výběrových řízení;</w:t>
      </w:r>
    </w:p>
    <w:p w14:paraId="48A5AEA1" w14:textId="77777777" w:rsidR="00156072" w:rsidRPr="00CD519F" w:rsidRDefault="00156072" w:rsidP="00156072">
      <w:pPr>
        <w:spacing w:after="240"/>
        <w:ind w:left="567" w:hanging="567"/>
      </w:pPr>
      <w:r w:rsidRPr="00CD519F">
        <w:t>47.</w:t>
      </w:r>
      <w:r w:rsidRPr="00CD519F">
        <w:tab/>
        <w:t>chválí úřad veřejného ochránce práv za dobrou spolupráci s Evropským úřadem pro boj proti podvodům (OLAF), Účetním dvorem a Úřadem evropského veřejného žalobce (EPPO), která v roce 2023 nabyla podoby schůzí a výměn názorů, například na způsoby, jak zlepšit transparentnost a integritu unijních institucí nebo unijního rámce dohledu; připomíná, že úřad veřejného ochránce a úřad OLAF zavedly systém, který má zabránit zdvojování vyšetřování; na základě dotazníku konstatuje, že úřad veřejného ochránce práv a evropský inspektor ochrany údajů (EIOÚ) spolupracují zejména ad hoc a na neformálním základě v zájmu rychlé a účinné spolupráce, když jeto zapotřebí; vybízí úřad veřejného ochránce práv, aby úzce spolupracoval s dalšími evropskými orgány a agenturami;</w:t>
      </w:r>
    </w:p>
    <w:p w14:paraId="1729302E" w14:textId="77777777" w:rsidR="00156072" w:rsidRPr="00CD519F" w:rsidRDefault="00156072" w:rsidP="00156072">
      <w:pPr>
        <w:spacing w:after="240"/>
        <w:ind w:left="567" w:hanging="567"/>
      </w:pPr>
      <w:r w:rsidRPr="00CD519F">
        <w:t>48.</w:t>
      </w:r>
      <w:r w:rsidRPr="00CD519F">
        <w:tab/>
        <w:t>vyzývá úřad veřejného ochránce práv, aby navázal formalizovaný každoroční dialog s výbory (Výbor pro rozpočtovou kontrolu (CONT) a Výbor pro občanské svobody, spravedlnost a vnitřní věci (LIBE)) Evropského parlamentu a zajistil systematická opatření navazující na institucionální transparentnost, reformy správy věcí veřejných a ochranu základních práv;</w:t>
      </w:r>
    </w:p>
    <w:p w14:paraId="222A1873" w14:textId="77777777" w:rsidR="00156072" w:rsidRPr="00CD519F" w:rsidRDefault="00156072" w:rsidP="00156072">
      <w:pPr>
        <w:spacing w:after="240"/>
        <w:ind w:left="567" w:hanging="567"/>
      </w:pPr>
      <w:r w:rsidRPr="00CD519F">
        <w:t>49.</w:t>
      </w:r>
      <w:r w:rsidRPr="00CD519F">
        <w:tab/>
        <w:t>uznává, že je důležité udržovat vysokou úroveň výměn názorů a koordinace s Evropskou sítí veřejných ochránců práv (ENO); vítá uspořádání výroční konference sítě ENO v roce 2023 s bloky zaměřenými na témata, jako je migrace, umělá inteligence a etika ve veřejné správě; s uspokojením konstatuje, že prostřednictvím postupu dotazování úřad veřejného ochránce práv pomáhá členům sítě ENO řešit vyšetřování na vnitrostátní a regionální úrovni, zatímco v roce 2023 úřad veřejného ochránce práv uzavřel pět dotazů z pěti členských států Unie; oceňuje uspořádání výroční konference ENO v roce 2023 jako cenné platformy pro dialog o klíčových otázkách ovlivňujících činnost veřejných ochránců práv v celé Evropě;</w:t>
      </w:r>
    </w:p>
    <w:p w14:paraId="43F8AF0C" w14:textId="77777777" w:rsidR="00156072" w:rsidRPr="00CD519F" w:rsidRDefault="00156072" w:rsidP="00156072">
      <w:pPr>
        <w:spacing w:after="240"/>
        <w:ind w:left="567" w:hanging="567"/>
      </w:pPr>
      <w:r w:rsidRPr="00CD519F">
        <w:t>50.</w:t>
      </w:r>
      <w:r w:rsidRPr="00CD519F">
        <w:tab/>
        <w:t>oceňuje skutečnost, že v rámci významných šetření úřad veřejného ochránce práv v roce 2023 i nadále úzce spolupracoval s příslušnými výbory Evropského parlamentu, které informuje o své činnosti buď formou prezentací přímo na schůzích výboru, nebo prostřednictvím informací zasílaných předsedům; podtrhuje, že strategické iniciativy a šetření úřadu veřejného ochránce práv jsou klíčové pro zlepšení transparentnosti a odpovědnosti správy Unie;</w:t>
      </w:r>
    </w:p>
    <w:p w14:paraId="36602CD6" w14:textId="77777777" w:rsidR="00156072" w:rsidRPr="00CD519F" w:rsidRDefault="00156072" w:rsidP="00156072">
      <w:pPr>
        <w:spacing w:after="240"/>
        <w:ind w:left="567" w:hanging="567"/>
        <w:rPr>
          <w:b/>
          <w:i/>
        </w:rPr>
      </w:pPr>
      <w:r w:rsidRPr="00CD519F">
        <w:rPr>
          <w:b/>
          <w:i/>
        </w:rPr>
        <w:t>Komunikace</w:t>
      </w:r>
    </w:p>
    <w:p w14:paraId="22A4E08A" w14:textId="77777777" w:rsidR="00156072" w:rsidRPr="00CD519F" w:rsidRDefault="00156072" w:rsidP="00156072">
      <w:pPr>
        <w:spacing w:after="240"/>
        <w:ind w:left="567" w:hanging="567"/>
      </w:pPr>
      <w:r w:rsidRPr="00CD519F">
        <w:t>51.</w:t>
      </w:r>
      <w:r w:rsidRPr="00CD519F">
        <w:tab/>
        <w:t>konstatuje, že celkový rozpočet na komunikaci a propagační činnosti (publikace, pořádání akcí, digitální komunikace atd.) se zvýšil o 17,20 % z 132 400 EUR v roce 2022 na 155 200 EUR v roce 2023;</w:t>
      </w:r>
    </w:p>
    <w:p w14:paraId="2A46DCF6" w14:textId="77777777" w:rsidR="00156072" w:rsidRPr="00CD519F" w:rsidRDefault="00156072" w:rsidP="00156072">
      <w:pPr>
        <w:spacing w:after="240"/>
        <w:ind w:left="567" w:hanging="567"/>
      </w:pPr>
      <w:r w:rsidRPr="00CD519F">
        <w:t>52.</w:t>
      </w:r>
      <w:r w:rsidRPr="00CD519F">
        <w:tab/>
        <w:t xml:space="preserve">vítá úsilí a přijatá opatření úřadu veřejného ochránce práv o zvýšení informovanosti občanů v roce 2023, pokud jde o úlohu úřadu a možnost obrátit se na něj v případě nesprávného úředního postupu některého orgánu Unie; v tomto smyslu bere na vědomí komunikační kampaně provedené v roce 2023 v souvislosti se sérií videí představujících činnost úřadu veřejného ochránce práv a vysvětlujících tři klíčové oblasti jeho intervencí, s vysvětlením ve formě </w:t>
      </w:r>
      <w:proofErr w:type="spellStart"/>
      <w:r w:rsidRPr="00CD519F">
        <w:t>skrolovacího</w:t>
      </w:r>
      <w:proofErr w:type="spellEnd"/>
      <w:r w:rsidRPr="00CD519F">
        <w:t xml:space="preserve"> příběhu o dopadu činnosti úřadu veřejného ochránce práv v průběhu času a s průvodcem ohledně přístupu k dokumentům; navíc vítá uspořádání slavnostního předávání „ceny za řádnou správu“ a účast veřejné ochránkyně práv na Dni otevřených dveří EU v Bruselu a ve Štrasburku, kde hostila akce pro cílové zúčastněné strany za účasti akademické obce a analytických středisek, a na Evropském setkání mládeže ve Štrasburku v roce 2023;</w:t>
      </w:r>
    </w:p>
    <w:p w14:paraId="7B978023" w14:textId="77777777" w:rsidR="00156072" w:rsidRPr="00CD519F" w:rsidRDefault="00156072" w:rsidP="00156072">
      <w:pPr>
        <w:spacing w:after="240"/>
        <w:ind w:left="567" w:hanging="567"/>
      </w:pPr>
      <w:r w:rsidRPr="00CD519F">
        <w:t>53.</w:t>
      </w:r>
      <w:r w:rsidRPr="00CD519F">
        <w:tab/>
        <w:t>uznává úsilí, které vynaložil úřad veřejného ochránce práv, pokud jde o předkládání transparentních informací a zveřejňování údajů (včetně statistických údajů o počtu případů) v informativním a uživatelsky přívětivém formátu na webových stránkách veřejného ochránce práv (ačkoliv tyto údaje nejsou dostupné v otevřeném formátu); vítá, že na webových stránkách byla zveřejněna časová osa pro všechna šetření stížností, ze které lze zjistit informace o minulých a budoucích milnících v rámci každého šetření;</w:t>
      </w:r>
    </w:p>
    <w:p w14:paraId="7B023EAE" w14:textId="61FE2B4A" w:rsidR="00E365E1" w:rsidRPr="00A818A5" w:rsidRDefault="00156072" w:rsidP="00156072">
      <w:pPr>
        <w:spacing w:after="240"/>
        <w:ind w:left="567" w:hanging="567"/>
      </w:pPr>
      <w:r w:rsidRPr="00CD519F">
        <w:t>54.</w:t>
      </w:r>
      <w:r w:rsidRPr="00CD519F">
        <w:tab/>
        <w:t xml:space="preserve">konstatuje, že úřad veřejného ochránce práv má účty na sociálních sítích Instagram, LinkedIn a X (dříve Twitter), kde počet sledujících a míra zapojení v roce 2023 i nadále rostla; vítá účast úřadu veřejného ochránce práv na pilotním projektu vedeném evropským inspektorem ochrany údajů, jehož cílem je zapojit orgány Unie do sítí EU </w:t>
      </w:r>
      <w:proofErr w:type="spellStart"/>
      <w:r w:rsidRPr="00CD519F">
        <w:t>Voice</w:t>
      </w:r>
      <w:proofErr w:type="spellEnd"/>
      <w:r w:rsidRPr="00CD519F">
        <w:t xml:space="preserve"> a EU Video, což jsou dvě bezplatné sociální sítě s otevřeným zdrojovým kódem založené na softwaru </w:t>
      </w:r>
      <w:proofErr w:type="spellStart"/>
      <w:r w:rsidRPr="00CD519F">
        <w:t>Mastodon</w:t>
      </w:r>
      <w:proofErr w:type="spellEnd"/>
      <w:r w:rsidRPr="00CD519F">
        <w:t>, které umožňují orgánům Unie komunikovat s veřejností prostřednictvím sdílení textů, obrázků, videí a </w:t>
      </w:r>
      <w:proofErr w:type="spellStart"/>
      <w:r w:rsidRPr="00CD519F">
        <w:t>podcastů</w:t>
      </w:r>
      <w:proofErr w:type="spellEnd"/>
      <w:r w:rsidRPr="00CD519F">
        <w:t>.</w:t>
      </w:r>
    </w:p>
    <w:sectPr w:rsidR="00E365E1" w:rsidRPr="00A818A5" w:rsidSect="0015607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E834C" w14:textId="77777777" w:rsidR="008D2D3C" w:rsidRPr="00A818A5" w:rsidRDefault="008D2D3C">
      <w:r w:rsidRPr="00A818A5">
        <w:separator/>
      </w:r>
    </w:p>
  </w:endnote>
  <w:endnote w:type="continuationSeparator" w:id="0">
    <w:p w14:paraId="56175500" w14:textId="77777777" w:rsidR="008D2D3C" w:rsidRPr="00A818A5" w:rsidRDefault="008D2D3C">
      <w:r w:rsidRPr="00A818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16D3" w14:textId="77777777" w:rsidR="00064002" w:rsidRPr="00A818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0513E" w14:textId="77777777" w:rsidR="00064002" w:rsidRPr="00A818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435B" w14:textId="77777777" w:rsidR="00064002" w:rsidRPr="00A818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E3555" w14:textId="77777777" w:rsidR="008D2D3C" w:rsidRPr="00A818A5" w:rsidRDefault="008D2D3C">
      <w:r w:rsidRPr="00A818A5">
        <w:separator/>
      </w:r>
    </w:p>
  </w:footnote>
  <w:footnote w:type="continuationSeparator" w:id="0">
    <w:p w14:paraId="538E4BC9" w14:textId="77777777" w:rsidR="008D2D3C" w:rsidRPr="00A818A5" w:rsidRDefault="008D2D3C">
      <w:r w:rsidRPr="00A818A5">
        <w:continuationSeparator/>
      </w:r>
    </w:p>
  </w:footnote>
  <w:footnote w:id="1">
    <w:p w14:paraId="4170DAEE" w14:textId="77777777" w:rsidR="00156072" w:rsidRPr="00667B93" w:rsidRDefault="00156072" w:rsidP="00156072">
      <w:pPr>
        <w:ind w:left="567" w:hanging="567"/>
        <w:rPr>
          <w:lang w:val="fi-FI"/>
        </w:rPr>
      </w:pPr>
      <w:r w:rsidRPr="00667B93">
        <w:rPr>
          <w:rStyle w:val="FootnoteReference"/>
        </w:rPr>
        <w:footnoteRef/>
      </w:r>
      <w:r w:rsidRPr="00667B93">
        <w:rPr>
          <w:lang w:val="fi-FI"/>
        </w:rPr>
        <w:t xml:space="preserve"> </w:t>
      </w:r>
      <w:r w:rsidRPr="00CD519F">
        <w:rPr>
          <w:lang w:val="fi-FI"/>
        </w:rPr>
        <w:tab/>
      </w:r>
      <w:proofErr w:type="spellStart"/>
      <w:r w:rsidRPr="00CD519F">
        <w:rPr>
          <w:lang w:val="fi-FI"/>
        </w:rPr>
        <w:t>Úř</w:t>
      </w:r>
      <w:proofErr w:type="spellEnd"/>
      <w:r w:rsidRPr="00CD519F">
        <w:rPr>
          <w:lang w:val="fi-FI"/>
        </w:rPr>
        <w:t xml:space="preserve">. </w:t>
      </w:r>
      <w:proofErr w:type="spellStart"/>
      <w:r w:rsidRPr="00CD519F">
        <w:rPr>
          <w:lang w:val="fi-FI"/>
        </w:rPr>
        <w:t>věst</w:t>
      </w:r>
      <w:proofErr w:type="spellEnd"/>
      <w:r w:rsidRPr="00CD519F">
        <w:rPr>
          <w:lang w:val="fi-FI"/>
        </w:rPr>
        <w:t xml:space="preserve">. L 58, 23.2.2023, s. 1, ELI: </w:t>
      </w:r>
      <w:hyperlink r:id="rId1" w:tooltip="Umožňuje přístup k tomuto dokumentu prostřednictvím jeho ELI URI." w:history="1">
        <w:r w:rsidRPr="00CD519F">
          <w:rPr>
            <w:color w:val="337AB7"/>
            <w:u w:val="single"/>
            <w:shd w:val="clear" w:color="auto" w:fill="FFFFFF"/>
            <w:lang w:val="fi-FI"/>
          </w:rPr>
          <w:t>http://data.europa.eu/eli/budget/2023/1/oj</w:t>
        </w:r>
      </w:hyperlink>
      <w:r w:rsidRPr="00CD519F">
        <w:rPr>
          <w:shd w:val="clear" w:color="auto" w:fill="FFFFFF"/>
          <w:lang w:val="fi-FI"/>
        </w:rPr>
        <w:t>.</w:t>
      </w:r>
    </w:p>
  </w:footnote>
  <w:footnote w:id="2">
    <w:p w14:paraId="218BB328" w14:textId="77777777" w:rsidR="00156072" w:rsidRPr="00667B93" w:rsidRDefault="00156072" w:rsidP="00156072">
      <w:pPr>
        <w:pStyle w:val="FootnoteText"/>
        <w:ind w:left="567" w:hanging="567"/>
        <w:rPr>
          <w:sz w:val="24"/>
          <w:szCs w:val="24"/>
          <w:lang w:val="cs-CZ"/>
        </w:rPr>
      </w:pPr>
      <w:r w:rsidRPr="00667B93">
        <w:rPr>
          <w:rStyle w:val="FootnoteReference"/>
        </w:rPr>
        <w:footnoteRef/>
      </w:r>
      <w:r w:rsidRPr="00667B93">
        <w:rPr>
          <w:sz w:val="24"/>
          <w:lang w:val="cs-CZ"/>
        </w:rPr>
        <w:t xml:space="preserve"> </w:t>
      </w:r>
      <w:r w:rsidRPr="00CD519F">
        <w:rPr>
          <w:sz w:val="24"/>
          <w:lang w:val="cs-CZ"/>
        </w:rPr>
        <w:tab/>
      </w:r>
      <w:proofErr w:type="spellStart"/>
      <w:r w:rsidRPr="00CD519F">
        <w:rPr>
          <w:sz w:val="24"/>
          <w:lang w:val="cs-CZ"/>
        </w:rPr>
        <w:t>Úř</w:t>
      </w:r>
      <w:proofErr w:type="spellEnd"/>
      <w:r w:rsidRPr="00CD519F">
        <w:rPr>
          <w:sz w:val="24"/>
          <w:lang w:val="cs-CZ"/>
        </w:rPr>
        <w:t xml:space="preserve">. </w:t>
      </w:r>
      <w:proofErr w:type="spellStart"/>
      <w:r w:rsidRPr="00CD519F">
        <w:rPr>
          <w:sz w:val="24"/>
          <w:lang w:val="cs-CZ"/>
        </w:rPr>
        <w:t>věst</w:t>
      </w:r>
      <w:proofErr w:type="spellEnd"/>
      <w:r w:rsidRPr="00CD519F">
        <w:rPr>
          <w:sz w:val="24"/>
          <w:lang w:val="cs-CZ"/>
        </w:rPr>
        <w:t xml:space="preserve">. C, C/2024/5462, 10.10.2024, ELI: </w:t>
      </w:r>
      <w:hyperlink r:id="rId2" w:history="1">
        <w:r w:rsidRPr="00CD519F">
          <w:rPr>
            <w:rStyle w:val="Hyperlink1"/>
            <w:sz w:val="24"/>
            <w:lang w:val="cs-CZ"/>
          </w:rPr>
          <w:t>http://data.europa.eu/eli/C/2024/5462/oj</w:t>
        </w:r>
      </w:hyperlink>
      <w:r w:rsidRPr="00CD519F">
        <w:rPr>
          <w:rStyle w:val="Hyperlink1"/>
          <w:sz w:val="24"/>
          <w:lang w:val="cs-CZ"/>
        </w:rPr>
        <w:t>.</w:t>
      </w:r>
    </w:p>
  </w:footnote>
  <w:footnote w:id="3">
    <w:p w14:paraId="0764BF14" w14:textId="77777777" w:rsidR="00156072" w:rsidRPr="00667B93" w:rsidRDefault="00156072" w:rsidP="00156072">
      <w:pPr>
        <w:pStyle w:val="FootnoteText"/>
        <w:ind w:left="567" w:hanging="567"/>
        <w:rPr>
          <w:sz w:val="24"/>
          <w:szCs w:val="24"/>
          <w:lang w:val="cs-CZ"/>
        </w:rPr>
      </w:pPr>
      <w:r w:rsidRPr="00667B93">
        <w:rPr>
          <w:rStyle w:val="FootnoteReference"/>
        </w:rPr>
        <w:footnoteRef/>
      </w:r>
      <w:r w:rsidRPr="00667B93">
        <w:rPr>
          <w:sz w:val="24"/>
          <w:lang w:val="cs-CZ"/>
        </w:rPr>
        <w:t xml:space="preserve"> </w:t>
      </w:r>
      <w:r w:rsidRPr="00CD519F">
        <w:rPr>
          <w:sz w:val="24"/>
          <w:lang w:val="cs-CZ"/>
        </w:rPr>
        <w:tab/>
      </w:r>
      <w:proofErr w:type="spellStart"/>
      <w:r w:rsidRPr="00CD519F">
        <w:rPr>
          <w:sz w:val="24"/>
          <w:lang w:val="cs-CZ"/>
        </w:rPr>
        <w:t>Úř</w:t>
      </w:r>
      <w:proofErr w:type="spellEnd"/>
      <w:r w:rsidRPr="00CD519F">
        <w:rPr>
          <w:sz w:val="24"/>
          <w:lang w:val="cs-CZ"/>
        </w:rPr>
        <w:t xml:space="preserve">. </w:t>
      </w:r>
      <w:proofErr w:type="spellStart"/>
      <w:r w:rsidRPr="00CD519F">
        <w:rPr>
          <w:sz w:val="24"/>
          <w:lang w:val="cs-CZ"/>
        </w:rPr>
        <w:t>věst</w:t>
      </w:r>
      <w:proofErr w:type="spellEnd"/>
      <w:r w:rsidRPr="00CD519F">
        <w:rPr>
          <w:sz w:val="24"/>
          <w:lang w:val="cs-CZ"/>
        </w:rPr>
        <w:t xml:space="preserve">. C, C/2024/5882, 9.10.2024, ELI: </w:t>
      </w:r>
      <w:hyperlink r:id="rId3" w:history="1">
        <w:r w:rsidRPr="00CD519F">
          <w:rPr>
            <w:rStyle w:val="Hyperlink1"/>
            <w:sz w:val="24"/>
            <w:lang w:val="cs-CZ"/>
          </w:rPr>
          <w:t>http://data.europa.eu/eli/C/2024/5882/oj</w:t>
        </w:r>
      </w:hyperlink>
      <w:r w:rsidRPr="00CD519F">
        <w:rPr>
          <w:rStyle w:val="Hyperlink1"/>
          <w:sz w:val="24"/>
          <w:lang w:val="cs-CZ"/>
        </w:rPr>
        <w:t>.</w:t>
      </w:r>
    </w:p>
  </w:footnote>
  <w:footnote w:id="4">
    <w:p w14:paraId="3F0328EC" w14:textId="77777777" w:rsidR="00156072" w:rsidRPr="00667B93" w:rsidRDefault="00156072" w:rsidP="00156072">
      <w:pPr>
        <w:pStyle w:val="FootnoteText"/>
        <w:ind w:left="567" w:hanging="567"/>
        <w:rPr>
          <w:sz w:val="24"/>
          <w:szCs w:val="24"/>
          <w:lang w:val="cs-CZ"/>
        </w:rPr>
      </w:pPr>
      <w:r w:rsidRPr="00667B93">
        <w:rPr>
          <w:rStyle w:val="FootnoteReference"/>
        </w:rPr>
        <w:footnoteRef/>
      </w:r>
      <w:r w:rsidRPr="00667B93">
        <w:rPr>
          <w:sz w:val="24"/>
          <w:lang w:val="cs-CZ"/>
        </w:rPr>
        <w:t xml:space="preserve"> </w:t>
      </w:r>
      <w:r w:rsidRPr="00CD519F">
        <w:rPr>
          <w:sz w:val="24"/>
          <w:lang w:val="cs-CZ"/>
        </w:rPr>
        <w:tab/>
      </w:r>
      <w:proofErr w:type="spellStart"/>
      <w:r w:rsidRPr="00CD519F">
        <w:rPr>
          <w:sz w:val="24"/>
          <w:lang w:val="cs-CZ"/>
        </w:rPr>
        <w:t>Úř</w:t>
      </w:r>
      <w:proofErr w:type="spellEnd"/>
      <w:r w:rsidRPr="00CD519F">
        <w:rPr>
          <w:sz w:val="24"/>
          <w:lang w:val="cs-CZ"/>
        </w:rPr>
        <w:t xml:space="preserve">. </w:t>
      </w:r>
      <w:proofErr w:type="spellStart"/>
      <w:r w:rsidRPr="00CD519F">
        <w:rPr>
          <w:sz w:val="24"/>
          <w:lang w:val="cs-CZ"/>
        </w:rPr>
        <w:t>věst</w:t>
      </w:r>
      <w:proofErr w:type="spellEnd"/>
      <w:r w:rsidRPr="00CD519F">
        <w:rPr>
          <w:sz w:val="24"/>
          <w:lang w:val="cs-CZ"/>
        </w:rPr>
        <w:t xml:space="preserve">. C, C/2024/6041, 10.10.2024, ELI: </w:t>
      </w:r>
      <w:hyperlink r:id="rId4" w:history="1">
        <w:r w:rsidRPr="00CD519F">
          <w:rPr>
            <w:rStyle w:val="Hyperlink1"/>
            <w:sz w:val="24"/>
            <w:lang w:val="cs-CZ"/>
          </w:rPr>
          <w:t>http://data.europa.eu/eli/C/2024/6041/oj</w:t>
        </w:r>
      </w:hyperlink>
      <w:r w:rsidRPr="00CD519F">
        <w:rPr>
          <w:rStyle w:val="Hyperlink1"/>
          <w:sz w:val="24"/>
          <w:lang w:val="cs-CZ"/>
        </w:rPr>
        <w:t>.</w:t>
      </w:r>
    </w:p>
  </w:footnote>
  <w:footnote w:id="5">
    <w:p w14:paraId="7745CA96" w14:textId="77777777" w:rsidR="00156072" w:rsidRPr="00667B93" w:rsidRDefault="00156072" w:rsidP="00156072">
      <w:pPr>
        <w:pStyle w:val="FootnoteText"/>
        <w:ind w:left="567" w:hanging="567"/>
        <w:rPr>
          <w:sz w:val="24"/>
          <w:szCs w:val="24"/>
          <w:lang w:val="cs-CZ"/>
        </w:rPr>
      </w:pPr>
      <w:r w:rsidRPr="00667B93">
        <w:rPr>
          <w:rStyle w:val="FootnoteReference"/>
        </w:rPr>
        <w:footnoteRef/>
      </w:r>
      <w:r w:rsidRPr="00667B93">
        <w:rPr>
          <w:sz w:val="24"/>
          <w:lang w:val="cs-CZ"/>
        </w:rPr>
        <w:t xml:space="preserve"> </w:t>
      </w:r>
      <w:r w:rsidRPr="00CD519F">
        <w:rPr>
          <w:sz w:val="24"/>
          <w:lang w:val="cs-CZ"/>
        </w:rPr>
        <w:tab/>
      </w:r>
      <w:proofErr w:type="spellStart"/>
      <w:r w:rsidRPr="00CD519F">
        <w:rPr>
          <w:sz w:val="24"/>
          <w:lang w:val="cs-CZ"/>
        </w:rPr>
        <w:t>Úř</w:t>
      </w:r>
      <w:proofErr w:type="spellEnd"/>
      <w:r w:rsidRPr="00CD519F">
        <w:rPr>
          <w:sz w:val="24"/>
          <w:lang w:val="cs-CZ"/>
        </w:rPr>
        <w:t xml:space="preserve">. </w:t>
      </w:r>
      <w:proofErr w:type="spellStart"/>
      <w:r w:rsidRPr="00CD519F">
        <w:rPr>
          <w:sz w:val="24"/>
          <w:lang w:val="cs-CZ"/>
        </w:rPr>
        <w:t>věst</w:t>
      </w:r>
      <w:proofErr w:type="spellEnd"/>
      <w:r w:rsidRPr="00CD519F">
        <w:rPr>
          <w:sz w:val="24"/>
          <w:lang w:val="cs-CZ"/>
        </w:rPr>
        <w:t xml:space="preserve">. L 193, 30.7.2018, s. 1, ELI: </w:t>
      </w:r>
      <w:hyperlink r:id="rId5" w:history="1">
        <w:r w:rsidRPr="00CD519F">
          <w:rPr>
            <w:rStyle w:val="Hyperlink1"/>
            <w:sz w:val="24"/>
            <w:lang w:val="cs-CZ"/>
          </w:rPr>
          <w:t>http://data.europa.eu/eli/reg/2018/1046/oj</w:t>
        </w:r>
      </w:hyperlink>
      <w:r w:rsidRPr="00CD519F">
        <w:rPr>
          <w:sz w:val="24"/>
          <w:lang w:val="cs-CZ"/>
        </w:rPr>
        <w:t>.</w:t>
      </w:r>
    </w:p>
  </w:footnote>
  <w:footnote w:id="6">
    <w:p w14:paraId="4B79C910" w14:textId="77777777" w:rsidR="00156072" w:rsidRPr="00667B93" w:rsidRDefault="00156072" w:rsidP="00156072">
      <w:pPr>
        <w:pStyle w:val="FootnoteText"/>
        <w:ind w:left="567" w:hanging="567"/>
        <w:rPr>
          <w:sz w:val="24"/>
          <w:szCs w:val="24"/>
          <w:lang w:val="cs-CZ"/>
        </w:rPr>
      </w:pPr>
      <w:r w:rsidRPr="00667B93">
        <w:rPr>
          <w:rStyle w:val="FootnoteReference"/>
        </w:rPr>
        <w:footnoteRef/>
      </w:r>
      <w:r w:rsidRPr="00667B93">
        <w:rPr>
          <w:sz w:val="24"/>
          <w:lang w:val="cs-CZ"/>
        </w:rPr>
        <w:t xml:space="preserve"> </w:t>
      </w:r>
      <w:r w:rsidRPr="00CD519F">
        <w:rPr>
          <w:sz w:val="24"/>
          <w:lang w:val="cs-CZ"/>
        </w:rPr>
        <w:tab/>
      </w:r>
      <w:proofErr w:type="spellStart"/>
      <w:r w:rsidRPr="00CD519F">
        <w:rPr>
          <w:sz w:val="24"/>
          <w:lang w:val="cs-CZ"/>
        </w:rPr>
        <w:t>Úř</w:t>
      </w:r>
      <w:proofErr w:type="spellEnd"/>
      <w:r w:rsidRPr="00CD519F">
        <w:rPr>
          <w:sz w:val="24"/>
          <w:lang w:val="cs-CZ"/>
        </w:rPr>
        <w:t>. </w:t>
      </w:r>
      <w:proofErr w:type="spellStart"/>
      <w:r w:rsidRPr="00CD519F">
        <w:rPr>
          <w:sz w:val="24"/>
          <w:lang w:val="cs-CZ"/>
        </w:rPr>
        <w:t>věst</w:t>
      </w:r>
      <w:proofErr w:type="spellEnd"/>
      <w:r w:rsidRPr="00CD519F">
        <w:rPr>
          <w:sz w:val="24"/>
          <w:lang w:val="cs-CZ"/>
        </w:rPr>
        <w:t xml:space="preserve">. L, 2024/2509, 26.9.2024, ELI: </w:t>
      </w:r>
      <w:hyperlink r:id="rId6" w:history="1">
        <w:r w:rsidRPr="00CD519F">
          <w:rPr>
            <w:rStyle w:val="Hyperlink1"/>
            <w:sz w:val="24"/>
            <w:lang w:val="cs-CZ"/>
          </w:rPr>
          <w:t>https://data.europa.eu/eli/reg/2024/2509/oj</w:t>
        </w:r>
      </w:hyperlink>
      <w:r w:rsidRPr="00CD519F">
        <w:rPr>
          <w:rStyle w:val="Hyperlink1"/>
          <w:sz w:val="24"/>
          <w:lang w:val="cs-CZ"/>
        </w:rPr>
        <w:t>.</w:t>
      </w:r>
    </w:p>
  </w:footnote>
  <w:footnote w:id="7">
    <w:p w14:paraId="1A234C4C" w14:textId="77777777" w:rsidR="00156072" w:rsidRPr="00D054A6" w:rsidRDefault="00156072" w:rsidP="00156072">
      <w:pPr>
        <w:pStyle w:val="FootnoteText"/>
        <w:ind w:left="567" w:hanging="567"/>
        <w:rPr>
          <w:sz w:val="24"/>
          <w:lang w:val="cs-CZ"/>
        </w:rPr>
      </w:pPr>
      <w:r w:rsidRPr="00D054A6">
        <w:rPr>
          <w:rStyle w:val="FootnoteReference"/>
        </w:rPr>
        <w:footnoteRef/>
      </w:r>
      <w:r w:rsidRPr="00CD519F">
        <w:rPr>
          <w:sz w:val="24"/>
          <w:lang w:val="cs-CZ"/>
        </w:rPr>
        <w:tab/>
        <w:t>Nařízení Evropského parlamentu (EU, Euratom) 2021/1163 ze dne 24. června 2021, kterým se stanoví pravidla a obecné podmínky výkonu funkce veřejného ochránce práv (statut evropského veřejného ochránce práv) a zrušuje rozhodnutí 94/262/ESUO, ES, Euratom (</w:t>
      </w:r>
      <w:proofErr w:type="spellStart"/>
      <w:r w:rsidRPr="00CD519F">
        <w:rPr>
          <w:sz w:val="24"/>
          <w:lang w:val="cs-CZ"/>
        </w:rPr>
        <w:t>Úř</w:t>
      </w:r>
      <w:proofErr w:type="spellEnd"/>
      <w:r w:rsidRPr="00CD519F">
        <w:rPr>
          <w:sz w:val="24"/>
          <w:lang w:val="cs-CZ"/>
        </w:rPr>
        <w:t xml:space="preserve">. </w:t>
      </w:r>
      <w:proofErr w:type="spellStart"/>
      <w:r w:rsidRPr="00CD519F">
        <w:rPr>
          <w:sz w:val="24"/>
          <w:lang w:val="cs-CZ"/>
        </w:rPr>
        <w:t>věst</w:t>
      </w:r>
      <w:proofErr w:type="spellEnd"/>
      <w:r w:rsidRPr="00CD519F">
        <w:rPr>
          <w:sz w:val="24"/>
          <w:lang w:val="cs-CZ"/>
        </w:rPr>
        <w:t xml:space="preserve">. L 253, 16.7.2021, s. 1, ELI: </w:t>
      </w:r>
      <w:hyperlink r:id="rId7" w:history="1">
        <w:r w:rsidRPr="00CD519F">
          <w:rPr>
            <w:rStyle w:val="Hyperlink"/>
            <w:sz w:val="24"/>
            <w:lang w:val="cs-CZ"/>
          </w:rPr>
          <w:t>http://data.europa.eu/eli/reg/2021/1163/oj</w:t>
        </w:r>
      </w:hyperlink>
      <w:r w:rsidRPr="00CD519F">
        <w:rPr>
          <w:sz w:val="24"/>
          <w:lang w:val="cs-CZ"/>
        </w:rPr>
        <w:t>).</w:t>
      </w:r>
    </w:p>
  </w:footnote>
  <w:footnote w:id="8">
    <w:p w14:paraId="5732BF26" w14:textId="77777777" w:rsidR="00156072" w:rsidRPr="00D054A6" w:rsidRDefault="00156072" w:rsidP="00156072">
      <w:pPr>
        <w:pStyle w:val="FootnoteText"/>
        <w:ind w:left="567" w:hanging="567"/>
        <w:rPr>
          <w:sz w:val="24"/>
          <w:lang w:val="cs-CZ"/>
        </w:rPr>
      </w:pPr>
      <w:r w:rsidRPr="00D054A6">
        <w:rPr>
          <w:rStyle w:val="FootnoteReference"/>
        </w:rPr>
        <w:footnoteRef/>
      </w:r>
      <w:r w:rsidRPr="00CD519F">
        <w:rPr>
          <w:color w:val="333333"/>
          <w:sz w:val="24"/>
          <w:shd w:val="clear" w:color="auto" w:fill="FFFFFF"/>
          <w:lang w:val="cs-CZ"/>
        </w:rPr>
        <w:tab/>
      </w:r>
      <w:proofErr w:type="spellStart"/>
      <w:r w:rsidRPr="00CD519F">
        <w:rPr>
          <w:color w:val="333333"/>
          <w:sz w:val="24"/>
          <w:shd w:val="clear" w:color="auto" w:fill="FFFFFF"/>
          <w:lang w:val="cs-CZ"/>
        </w:rPr>
        <w:t>Úř</w:t>
      </w:r>
      <w:proofErr w:type="spellEnd"/>
      <w:r w:rsidRPr="00CD519F">
        <w:rPr>
          <w:color w:val="333333"/>
          <w:sz w:val="24"/>
          <w:shd w:val="clear" w:color="auto" w:fill="FFFFFF"/>
          <w:lang w:val="cs-CZ"/>
        </w:rPr>
        <w:t xml:space="preserve">. </w:t>
      </w:r>
      <w:proofErr w:type="spellStart"/>
      <w:r w:rsidRPr="00CD519F">
        <w:rPr>
          <w:color w:val="333333"/>
          <w:sz w:val="24"/>
          <w:shd w:val="clear" w:color="auto" w:fill="FFFFFF"/>
          <w:lang w:val="cs-CZ"/>
        </w:rPr>
        <w:t>věst</w:t>
      </w:r>
      <w:proofErr w:type="spellEnd"/>
      <w:r w:rsidRPr="00CD519F">
        <w:rPr>
          <w:color w:val="333333"/>
          <w:sz w:val="24"/>
          <w:shd w:val="clear" w:color="auto" w:fill="FFFFFF"/>
          <w:lang w:val="cs-CZ"/>
        </w:rPr>
        <w:t xml:space="preserve">. C, C/2023/161, 10.10.2023, ELI: </w:t>
      </w:r>
      <w:hyperlink r:id="rId8" w:tgtFrame="_blank" w:tooltip="Umožňuje přístup k tomuto dokumentu prostřednictvím jeho ELI URI." w:history="1">
        <w:r w:rsidRPr="00CD519F">
          <w:rPr>
            <w:color w:val="23527C"/>
            <w:sz w:val="24"/>
            <w:u w:val="single"/>
            <w:lang w:val="cs-CZ"/>
          </w:rPr>
          <w:t>http://data.europa.eu/eli/C/2023/161/oj</w:t>
        </w:r>
      </w:hyperlink>
      <w:r w:rsidRPr="00CD519F">
        <w:rPr>
          <w:color w:val="23527C"/>
          <w:sz w:val="24"/>
          <w:lang w:val="cs-CZ"/>
        </w:rPr>
        <w:t>.</w:t>
      </w:r>
    </w:p>
  </w:footnote>
  <w:footnote w:id="9">
    <w:p w14:paraId="50DBEFD8" w14:textId="77777777" w:rsidR="00156072" w:rsidRPr="00D054A6" w:rsidRDefault="00156072" w:rsidP="00156072">
      <w:pPr>
        <w:pStyle w:val="FootnoteText"/>
        <w:ind w:left="567" w:hanging="567"/>
        <w:rPr>
          <w:sz w:val="24"/>
          <w:lang w:val="cs-CZ"/>
        </w:rPr>
      </w:pPr>
      <w:r w:rsidRPr="00D054A6">
        <w:rPr>
          <w:rStyle w:val="FootnoteReference"/>
        </w:rPr>
        <w:footnoteRef/>
      </w:r>
      <w:r w:rsidRPr="00CD519F">
        <w:rPr>
          <w:sz w:val="24"/>
          <w:lang w:val="cs-CZ"/>
        </w:rPr>
        <w:tab/>
        <w:t>Nařízení Evropského parlamentu a Rady (ES) č. 1049/2001 ze dne 30. května 2001 o přístupu veřejnosti k dokumentům Evropského parlamentu, Rady a Komise (</w:t>
      </w:r>
      <w:proofErr w:type="spellStart"/>
      <w:r w:rsidRPr="00CD519F">
        <w:rPr>
          <w:sz w:val="24"/>
          <w:lang w:val="cs-CZ"/>
        </w:rPr>
        <w:t>Úř</w:t>
      </w:r>
      <w:proofErr w:type="spellEnd"/>
      <w:r w:rsidRPr="00CD519F">
        <w:rPr>
          <w:sz w:val="24"/>
          <w:lang w:val="cs-CZ"/>
        </w:rPr>
        <w:t xml:space="preserve">. </w:t>
      </w:r>
      <w:proofErr w:type="spellStart"/>
      <w:r w:rsidRPr="00CD519F">
        <w:rPr>
          <w:sz w:val="24"/>
          <w:lang w:val="cs-CZ"/>
        </w:rPr>
        <w:t>věst</w:t>
      </w:r>
      <w:proofErr w:type="spellEnd"/>
      <w:r w:rsidRPr="00CD519F">
        <w:rPr>
          <w:sz w:val="24"/>
          <w:lang w:val="cs-CZ"/>
        </w:rPr>
        <w:t>. L 145, 31.5.2001, s. 43, ELI: http://data.europa.eu/eli/reg/2001/1049/oj).</w:t>
      </w:r>
    </w:p>
  </w:footnote>
  <w:footnote w:id="10">
    <w:p w14:paraId="208CFF8C" w14:textId="77777777" w:rsidR="00156072" w:rsidRPr="00D054A6" w:rsidRDefault="00156072" w:rsidP="00156072">
      <w:pPr>
        <w:pStyle w:val="FootnoteText"/>
        <w:ind w:left="567" w:hanging="567"/>
        <w:rPr>
          <w:sz w:val="24"/>
          <w:lang w:val="cs-CZ"/>
        </w:rPr>
      </w:pPr>
      <w:r w:rsidRPr="00D054A6">
        <w:rPr>
          <w:rStyle w:val="FootnoteReference"/>
        </w:rPr>
        <w:footnoteRef/>
      </w:r>
      <w:r w:rsidRPr="00CD519F">
        <w:rPr>
          <w:sz w:val="24"/>
          <w:lang w:val="cs-CZ"/>
        </w:rPr>
        <w:tab/>
      </w:r>
      <w:hyperlink r:id="rId9" w:history="1">
        <w:r w:rsidRPr="00CD519F">
          <w:rPr>
            <w:rStyle w:val="Hyperlink"/>
            <w:sz w:val="24"/>
            <w:lang w:val="cs-CZ"/>
          </w:rPr>
          <w:t>https://www.ombudsman.europa.eu/en/doc/annual-report/en/183636</w:t>
        </w:r>
      </w:hyperlink>
      <w:r w:rsidRPr="00CD519F">
        <w:rPr>
          <w:sz w:val="24"/>
          <w:lang w:val="cs-CZ"/>
        </w:rPr>
        <w:t>.</w:t>
      </w:r>
    </w:p>
  </w:footnote>
  <w:footnote w:id="11">
    <w:p w14:paraId="5C345BAC" w14:textId="77777777" w:rsidR="00156072" w:rsidRPr="00D054A6" w:rsidRDefault="00156072" w:rsidP="00156072">
      <w:pPr>
        <w:pStyle w:val="FootnoteText"/>
        <w:ind w:left="567" w:hanging="567"/>
        <w:rPr>
          <w:sz w:val="24"/>
          <w:lang w:val="cs-CZ"/>
        </w:rPr>
      </w:pPr>
      <w:r w:rsidRPr="00D054A6">
        <w:rPr>
          <w:rStyle w:val="FootnoteReference"/>
        </w:rPr>
        <w:footnoteRef/>
      </w:r>
      <w:r w:rsidRPr="00CD519F">
        <w:rPr>
          <w:sz w:val="24"/>
          <w:lang w:val="cs-CZ"/>
        </w:rPr>
        <w:tab/>
      </w:r>
      <w:hyperlink r:id="rId10" w:history="1">
        <w:r w:rsidRPr="00CD519F">
          <w:rPr>
            <w:rStyle w:val="Hyperlink"/>
            <w:sz w:val="24"/>
            <w:lang w:val="cs-CZ"/>
          </w:rPr>
          <w:t>https://www.ombudsman.europa.eu/en/multimedia/infographics/en/142</w:t>
        </w:r>
      </w:hyperlink>
      <w:r w:rsidRPr="00CD519F">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1D10" w14:textId="77777777" w:rsidR="00064002" w:rsidRPr="00A818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8583" w14:textId="77777777" w:rsidR="00064002" w:rsidRPr="00A818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FE8E" w14:textId="77777777" w:rsidR="00064002" w:rsidRPr="00A818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0601128">
    <w:abstractNumId w:val="9"/>
  </w:num>
  <w:num w:numId="2" w16cid:durableId="306129002">
    <w:abstractNumId w:val="9"/>
  </w:num>
  <w:num w:numId="3" w16cid:durableId="1513764738">
    <w:abstractNumId w:val="7"/>
  </w:num>
  <w:num w:numId="4" w16cid:durableId="374276513">
    <w:abstractNumId w:val="7"/>
  </w:num>
  <w:num w:numId="5" w16cid:durableId="1172992109">
    <w:abstractNumId w:val="6"/>
  </w:num>
  <w:num w:numId="6" w16cid:durableId="1991787730">
    <w:abstractNumId w:val="6"/>
  </w:num>
  <w:num w:numId="7" w16cid:durableId="887031091">
    <w:abstractNumId w:val="5"/>
  </w:num>
  <w:num w:numId="8" w16cid:durableId="1531526921">
    <w:abstractNumId w:val="5"/>
  </w:num>
  <w:num w:numId="9" w16cid:durableId="800155843">
    <w:abstractNumId w:val="4"/>
  </w:num>
  <w:num w:numId="10" w16cid:durableId="1947421946">
    <w:abstractNumId w:val="4"/>
  </w:num>
  <w:num w:numId="11" w16cid:durableId="1787306099">
    <w:abstractNumId w:val="8"/>
  </w:num>
  <w:num w:numId="12" w16cid:durableId="1449810089">
    <w:abstractNumId w:val="8"/>
  </w:num>
  <w:num w:numId="13" w16cid:durableId="623923170">
    <w:abstractNumId w:val="3"/>
  </w:num>
  <w:num w:numId="14" w16cid:durableId="1272207768">
    <w:abstractNumId w:val="3"/>
  </w:num>
  <w:num w:numId="15" w16cid:durableId="612786150">
    <w:abstractNumId w:val="2"/>
  </w:num>
  <w:num w:numId="16" w16cid:durableId="9722623">
    <w:abstractNumId w:val="2"/>
  </w:num>
  <w:num w:numId="17" w16cid:durableId="257367476">
    <w:abstractNumId w:val="1"/>
  </w:num>
  <w:num w:numId="18" w16cid:durableId="462117841">
    <w:abstractNumId w:val="1"/>
  </w:num>
  <w:num w:numId="19" w16cid:durableId="1981032147">
    <w:abstractNumId w:val="0"/>
  </w:num>
  <w:num w:numId="20" w16cid:durableId="1723360621">
    <w:abstractNumId w:val="0"/>
  </w:num>
  <w:num w:numId="21" w16cid:durableId="1654945621">
    <w:abstractNumId w:val="9"/>
  </w:num>
  <w:num w:numId="22" w16cid:durableId="954405472">
    <w:abstractNumId w:val="7"/>
  </w:num>
  <w:num w:numId="23" w16cid:durableId="1263681394">
    <w:abstractNumId w:val="6"/>
  </w:num>
  <w:num w:numId="24" w16cid:durableId="1225678873">
    <w:abstractNumId w:val="5"/>
  </w:num>
  <w:num w:numId="25" w16cid:durableId="1174488996">
    <w:abstractNumId w:val="4"/>
  </w:num>
  <w:num w:numId="26" w16cid:durableId="1644582208">
    <w:abstractNumId w:val="8"/>
  </w:num>
  <w:num w:numId="27" w16cid:durableId="458300420">
    <w:abstractNumId w:val="3"/>
  </w:num>
  <w:num w:numId="28" w16cid:durableId="291982136">
    <w:abstractNumId w:val="2"/>
  </w:num>
  <w:num w:numId="29" w16cid:durableId="1660882574">
    <w:abstractNumId w:val="1"/>
  </w:num>
  <w:num w:numId="30" w16cid:durableId="1254900846">
    <w:abstractNumId w:val="0"/>
  </w:num>
  <w:num w:numId="31" w16cid:durableId="994534064">
    <w:abstractNumId w:val="9"/>
  </w:num>
  <w:num w:numId="32" w16cid:durableId="329480689">
    <w:abstractNumId w:val="7"/>
  </w:num>
  <w:num w:numId="33" w16cid:durableId="1858153557">
    <w:abstractNumId w:val="6"/>
  </w:num>
  <w:num w:numId="34" w16cid:durableId="881984447">
    <w:abstractNumId w:val="5"/>
  </w:num>
  <w:num w:numId="35" w16cid:durableId="1804999897">
    <w:abstractNumId w:val="4"/>
  </w:num>
  <w:num w:numId="36" w16cid:durableId="1009674479">
    <w:abstractNumId w:val="8"/>
  </w:num>
  <w:num w:numId="37" w16cid:durableId="807431691">
    <w:abstractNumId w:val="3"/>
  </w:num>
  <w:num w:numId="38" w16cid:durableId="476340406">
    <w:abstractNumId w:val="2"/>
  </w:num>
  <w:num w:numId="39" w16cid:durableId="916354953">
    <w:abstractNumId w:val="1"/>
  </w:num>
  <w:num w:numId="40" w16cid:durableId="856045201">
    <w:abstractNumId w:val="0"/>
  </w:num>
  <w:num w:numId="41" w16cid:durableId="585187251">
    <w:abstractNumId w:val="10"/>
  </w:num>
  <w:num w:numId="42" w16cid:durableId="1879925075">
    <w:abstractNumId w:val="10"/>
  </w:num>
  <w:num w:numId="43" w16cid:durableId="1048800533">
    <w:abstractNumId w:val="10"/>
  </w:num>
  <w:num w:numId="44" w16cid:durableId="1675255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CS"/>
    <w:docVar w:name="dvnumam" w:val="0"/>
    <w:docVar w:name="dvpe" w:val="764.991"/>
    <w:docVar w:name="dvrapporteur" w:val="Zpravodaj: "/>
    <w:docVar w:name="dvtitre" w:val="1. Rozhodnutí Evropského parlamentu ze dne.... 2025 o udělení absolutoria za plnění souhrnného rozpočtu Evropské unie na rozpočtový rok 2023, oddíl VIII – Evropský veřejný ochránce práv(2024/2027(DEC))"/>
  </w:docVars>
  <w:rsids>
    <w:rsidRoot w:val="008D2D3C"/>
    <w:rsid w:val="00002272"/>
    <w:rsid w:val="00064002"/>
    <w:rsid w:val="000677B9"/>
    <w:rsid w:val="000831BA"/>
    <w:rsid w:val="000A42CC"/>
    <w:rsid w:val="000E7DD9"/>
    <w:rsid w:val="0010095E"/>
    <w:rsid w:val="00125B37"/>
    <w:rsid w:val="00156072"/>
    <w:rsid w:val="00187494"/>
    <w:rsid w:val="001F32AE"/>
    <w:rsid w:val="002348F6"/>
    <w:rsid w:val="002767FF"/>
    <w:rsid w:val="002B18FE"/>
    <w:rsid w:val="002B5493"/>
    <w:rsid w:val="00343214"/>
    <w:rsid w:val="00361C00"/>
    <w:rsid w:val="00395FA1"/>
    <w:rsid w:val="003E15D4"/>
    <w:rsid w:val="00411CCE"/>
    <w:rsid w:val="0041666E"/>
    <w:rsid w:val="00421060"/>
    <w:rsid w:val="00431017"/>
    <w:rsid w:val="00471C19"/>
    <w:rsid w:val="004867E3"/>
    <w:rsid w:val="00494A28"/>
    <w:rsid w:val="004C0004"/>
    <w:rsid w:val="004C5D52"/>
    <w:rsid w:val="0050519A"/>
    <w:rsid w:val="005072A1"/>
    <w:rsid w:val="00514517"/>
    <w:rsid w:val="00545827"/>
    <w:rsid w:val="00560270"/>
    <w:rsid w:val="005C2568"/>
    <w:rsid w:val="005E4B7E"/>
    <w:rsid w:val="005F1B17"/>
    <w:rsid w:val="006037C0"/>
    <w:rsid w:val="0061555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D3C"/>
    <w:rsid w:val="00930C23"/>
    <w:rsid w:val="0093193B"/>
    <w:rsid w:val="009509D8"/>
    <w:rsid w:val="00950B64"/>
    <w:rsid w:val="00981893"/>
    <w:rsid w:val="00A1687D"/>
    <w:rsid w:val="00A43E52"/>
    <w:rsid w:val="00A4678D"/>
    <w:rsid w:val="00A778C7"/>
    <w:rsid w:val="00A818A5"/>
    <w:rsid w:val="00AB441E"/>
    <w:rsid w:val="00AB6293"/>
    <w:rsid w:val="00AE0928"/>
    <w:rsid w:val="00AF3B82"/>
    <w:rsid w:val="00B12E95"/>
    <w:rsid w:val="00B22876"/>
    <w:rsid w:val="00B558F0"/>
    <w:rsid w:val="00B77A1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F4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948A6"/>
  <w15:chartTrackingRefBased/>
  <w15:docId w15:val="{40BA659C-5CAA-4F4F-9BB7-6C42422FF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348F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348F6"/>
    <w:pPr>
      <w:spacing w:before="480" w:after="240"/>
    </w:pPr>
  </w:style>
  <w:style w:type="paragraph" w:customStyle="1" w:styleId="PageHeading">
    <w:name w:val="PageHeading"/>
    <w:basedOn w:val="Normal"/>
    <w:rsid w:val="002348F6"/>
    <w:pPr>
      <w:keepNext/>
      <w:spacing w:after="480"/>
      <w:jc w:val="center"/>
    </w:pPr>
    <w:rPr>
      <w:rFonts w:ascii="Arial" w:hAnsi="Arial" w:cs="Arial"/>
      <w:b/>
    </w:rPr>
  </w:style>
  <w:style w:type="paragraph" w:customStyle="1" w:styleId="NormalBold">
    <w:name w:val="NormalBold"/>
    <w:basedOn w:val="Normal"/>
    <w:rsid w:val="002348F6"/>
    <w:rPr>
      <w:b/>
    </w:rPr>
  </w:style>
  <w:style w:type="paragraph" w:customStyle="1" w:styleId="NormalHanging12a">
    <w:name w:val="NormalHanging12a"/>
    <w:basedOn w:val="Normal"/>
    <w:link w:val="NormalHanging12aChar"/>
    <w:qFormat/>
    <w:rsid w:val="002348F6"/>
    <w:pPr>
      <w:spacing w:after="240"/>
      <w:ind w:left="567" w:hanging="567"/>
    </w:pPr>
  </w:style>
  <w:style w:type="paragraph" w:styleId="Header">
    <w:name w:val="header"/>
    <w:basedOn w:val="Normal"/>
    <w:link w:val="HeaderChar"/>
    <w:rsid w:val="002348F6"/>
    <w:pPr>
      <w:tabs>
        <w:tab w:val="center" w:pos="4513"/>
        <w:tab w:val="right" w:pos="9026"/>
      </w:tabs>
    </w:pPr>
  </w:style>
  <w:style w:type="character" w:customStyle="1" w:styleId="HeaderChar">
    <w:name w:val="Header Char"/>
    <w:basedOn w:val="DefaultParagraphFont"/>
    <w:link w:val="Header"/>
    <w:rsid w:val="002348F6"/>
    <w:rPr>
      <w:sz w:val="24"/>
      <w:lang w:val="cs-CZ"/>
    </w:rPr>
  </w:style>
  <w:style w:type="paragraph" w:customStyle="1" w:styleId="EPFooter">
    <w:name w:val="EPFooter"/>
    <w:basedOn w:val="Normal"/>
    <w:rsid w:val="002348F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348F6"/>
    <w:rPr>
      <w:sz w:val="24"/>
      <w:lang w:val="cs-CZ"/>
    </w:rPr>
  </w:style>
  <w:style w:type="character" w:styleId="Hyperlink">
    <w:name w:val="Hyperlink"/>
    <w:basedOn w:val="DefaultParagraphFont"/>
    <w:uiPriority w:val="99"/>
    <w:rsid w:val="002348F6"/>
    <w:rPr>
      <w:color w:val="0563C1" w:themeColor="hyperlink"/>
      <w:u w:val="single"/>
    </w:rPr>
  </w:style>
  <w:style w:type="paragraph" w:customStyle="1" w:styleId="NormalCenter12a">
    <w:name w:val="NormalCenter12a"/>
    <w:basedOn w:val="Normal"/>
    <w:rsid w:val="002348F6"/>
    <w:pPr>
      <w:spacing w:after="240"/>
      <w:jc w:val="center"/>
    </w:pPr>
  </w:style>
  <w:style w:type="paragraph" w:styleId="Footer">
    <w:name w:val="footer"/>
    <w:basedOn w:val="Normal"/>
    <w:link w:val="FooterChar"/>
    <w:rsid w:val="00615555"/>
    <w:pPr>
      <w:tabs>
        <w:tab w:val="center" w:pos="4513"/>
        <w:tab w:val="right" w:pos="9026"/>
      </w:tabs>
    </w:pPr>
  </w:style>
  <w:style w:type="character" w:customStyle="1" w:styleId="FooterChar">
    <w:name w:val="Footer Char"/>
    <w:basedOn w:val="DefaultParagraphFont"/>
    <w:link w:val="Footer"/>
    <w:rsid w:val="00615555"/>
    <w:rPr>
      <w:sz w:val="24"/>
      <w:lang w:val="cs-CZ"/>
    </w:rPr>
  </w:style>
  <w:style w:type="character" w:customStyle="1" w:styleId="Hyperlink1">
    <w:name w:val="Hyperlink1"/>
    <w:basedOn w:val="DefaultParagraphFont"/>
    <w:rsid w:val="00156072"/>
    <w:rPr>
      <w:color w:val="0563C1"/>
      <w:u w:val="single"/>
    </w:rPr>
  </w:style>
  <w:style w:type="character" w:styleId="CommentReference">
    <w:name w:val="annotation reference"/>
    <w:basedOn w:val="DefaultParagraphFont"/>
    <w:uiPriority w:val="99"/>
    <w:unhideWhenUsed/>
    <w:rsid w:val="00156072"/>
    <w:rPr>
      <w:sz w:val="16"/>
      <w:szCs w:val="16"/>
    </w:rPr>
  </w:style>
  <w:style w:type="paragraph" w:styleId="CommentText">
    <w:name w:val="annotation text"/>
    <w:basedOn w:val="Normal"/>
    <w:link w:val="CommentTextChar"/>
    <w:uiPriority w:val="99"/>
    <w:unhideWhenUsed/>
    <w:rsid w:val="00156072"/>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156072"/>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multimedia/infographics/en/142" TargetMode="External"/><Relationship Id="rId4" Type="http://schemas.openxmlformats.org/officeDocument/2006/relationships/hyperlink" Target="http://data.europa.eu/eli/C/2024/6041/oj" TargetMode="External"/><Relationship Id="rId9" Type="http://schemas.openxmlformats.org/officeDocument/2006/relationships/hyperlink" Target="https://www.ombudsman.europa.eu/en/doc/annual-report/en/1836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D854B-B194-4F6A-851B-ECDFE3495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5312</Words>
  <Characters>30725</Characters>
  <Application>Microsoft Office Word</Application>
  <DocSecurity>0</DocSecurity>
  <Lines>256</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KONOPKOVA Jindra</cp:lastModifiedBy>
  <cp:revision>2</cp:revision>
  <cp:lastPrinted>2004-11-19T15:42:00Z</cp:lastPrinted>
  <dcterms:created xsi:type="dcterms:W3CDTF">2025-11-25T13:19:00Z</dcterms:created>
  <dcterms:modified xsi:type="dcterms:W3CDTF">2025-11-25T13:19:00Z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P10_TA(2025)0084_</vt:lpwstr>
  </property>
  <property fmtid="{D5CDD505-2E9C-101B-9397-08002B2CF9AE}" pid="4" name="&lt;Type&gt;">
    <vt:lpwstr>RR</vt:lpwstr>
  </property>
</Properties>
</file>