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01505">
        <w:trPr>
          <w:trHeight w:hRule="exact" w:val="1418"/>
        </w:trPr>
        <w:tc>
          <w:tcPr>
            <w:tcW w:w="6804" w:type="dxa"/>
            <w:shd w:val="clear" w:color="auto" w:fill="auto"/>
            <w:vAlign w:val="center"/>
          </w:tcPr>
          <w:p w:rsidR="00D01505" w:rsidRDefault="009D6246">
            <w:pPr>
              <w:pStyle w:val="EPName"/>
            </w:pPr>
            <w:r>
              <w:t>Parlement européen</w:t>
            </w:r>
          </w:p>
          <w:p w:rsidR="00D01505" w:rsidRDefault="009D6246">
            <w:pPr>
              <w:pStyle w:val="EPTerm"/>
              <w:rPr>
                <w:rStyle w:val="HideTWBExt"/>
                <w:noProof w:val="0"/>
                <w:vanish w:val="0"/>
                <w:color w:val="auto"/>
              </w:rPr>
            </w:pPr>
            <w:r>
              <w:t>2024-2029</w:t>
            </w:r>
          </w:p>
        </w:tc>
        <w:tc>
          <w:tcPr>
            <w:tcW w:w="2268" w:type="dxa"/>
            <w:shd w:val="clear" w:color="auto" w:fill="auto"/>
          </w:tcPr>
          <w:p w:rsidR="00D01505" w:rsidRDefault="009D6246">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1505" w:rsidRDefault="00D01505">
      <w:pPr>
        <w:pStyle w:val="LineTop"/>
      </w:pPr>
    </w:p>
    <w:p w:rsidR="00D01505" w:rsidRDefault="009D6246">
      <w:pPr>
        <w:pStyle w:val="EPBodyTA1"/>
      </w:pPr>
      <w:r>
        <w:t>TEXTES ADOPTÉS</w:t>
      </w:r>
    </w:p>
    <w:p w:rsidR="00D01505" w:rsidRDefault="00D01505">
      <w:pPr>
        <w:pStyle w:val="LineBottom"/>
      </w:pPr>
    </w:p>
    <w:p w:rsidR="00D01505" w:rsidRDefault="009D6246">
      <w:pPr>
        <w:pStyle w:val="ATHeading1"/>
      </w:pPr>
      <w:bookmarkStart w:id="0" w:name="TANumber"/>
      <w:r>
        <w:t>P10_</w:t>
      </w:r>
      <w:proofErr w:type="gramStart"/>
      <w:r>
        <w:t>TA(</w:t>
      </w:r>
      <w:proofErr w:type="gramEnd"/>
      <w:r>
        <w:t>2025)0084</w:t>
      </w:r>
      <w:bookmarkEnd w:id="0"/>
    </w:p>
    <w:p w:rsidR="00D01505" w:rsidRDefault="009D6246">
      <w:pPr>
        <w:pStyle w:val="ATHeading2"/>
      </w:pPr>
      <w:bookmarkStart w:id="1" w:name="title"/>
      <w:r>
        <w:t xml:space="preserve">Décharge 2023: budget général de l'Union européenne </w:t>
      </w:r>
      <w:bookmarkStart w:id="2" w:name="_GoBack"/>
      <w:bookmarkEnd w:id="2"/>
      <w:r>
        <w:t>- Médiateur européen</w:t>
      </w:r>
      <w:bookmarkEnd w:id="1"/>
    </w:p>
    <w:p w:rsidR="00D01505" w:rsidRDefault="009D6246">
      <w:pPr>
        <w:rPr>
          <w:i/>
          <w:vanish/>
        </w:rPr>
      </w:pPr>
      <w:r>
        <w:rPr>
          <w:i/>
        </w:rPr>
        <w:fldChar w:fldCharType="begin"/>
      </w:r>
      <w:r>
        <w:rPr>
          <w:i/>
        </w:rPr>
        <w:instrText xml:space="preserve"> TC"(</w:instrText>
      </w:r>
      <w:bookmarkStart w:id="3" w:name="DocNumber"/>
      <w:r>
        <w:rPr>
          <w:i/>
        </w:rPr>
        <w:instrText>A10-0055/2025</w:instrText>
      </w:r>
      <w:bookmarkEnd w:id="3"/>
      <w:r>
        <w:rPr>
          <w:i/>
        </w:rPr>
        <w:instrText xml:space="preserve"> - Rapporteur: Joachim </w:instrText>
      </w:r>
      <w:proofErr w:type="spellStart"/>
      <w:r>
        <w:rPr>
          <w:i/>
        </w:rPr>
        <w:instrText>Stanisław</w:instrText>
      </w:r>
      <w:proofErr w:type="spellEnd"/>
      <w:r>
        <w:rPr>
          <w:i/>
        </w:rPr>
        <w:instrText xml:space="preserve"> </w:instrText>
      </w:r>
      <w:proofErr w:type="spellStart"/>
      <w:r>
        <w:rPr>
          <w:i/>
        </w:rPr>
        <w:instrText>Brudziński</w:instrText>
      </w:r>
      <w:proofErr w:type="spellEnd"/>
      <w:r>
        <w:rPr>
          <w:i/>
        </w:rPr>
        <w:instrText xml:space="preserve">)"\l3 \n&gt; \* MERGEFORMAT </w:instrText>
      </w:r>
      <w:r>
        <w:rPr>
          <w:i/>
        </w:rPr>
        <w:fldChar w:fldCharType="end"/>
      </w:r>
    </w:p>
    <w:p w:rsidR="00D01505" w:rsidRDefault="009D6246">
      <w:pPr>
        <w:rPr>
          <w:vanish/>
        </w:rPr>
      </w:pPr>
      <w:bookmarkStart w:id="4" w:name="Commission"/>
      <w:r>
        <w:rPr>
          <w:vanish/>
        </w:rPr>
        <w:t>Commission du contrôle budgétaire</w:t>
      </w:r>
      <w:bookmarkEnd w:id="4"/>
    </w:p>
    <w:p w:rsidR="00D01505" w:rsidRDefault="009D6246">
      <w:pPr>
        <w:rPr>
          <w:vanish/>
        </w:rPr>
      </w:pPr>
      <w:bookmarkStart w:id="5" w:name="PE"/>
      <w:r>
        <w:rPr>
          <w:vanish/>
        </w:rPr>
        <w:t>PE764.991</w:t>
      </w:r>
      <w:bookmarkEnd w:id="5"/>
    </w:p>
    <w:p w:rsidR="00D01505" w:rsidRDefault="009D6246">
      <w:pPr>
        <w:pStyle w:val="ATHeading3"/>
      </w:pPr>
      <w:bookmarkStart w:id="6" w:name="Sujet"/>
      <w:r>
        <w:t>1. Décision du Parlement européen du 7 mai 2025 concernant la décharge sur l’exécution du budget général de l’Union européenne pour l’exercice 2023, section VIII – Médiateur européen</w:t>
      </w:r>
      <w:bookmarkEnd w:id="6"/>
      <w:r>
        <w:t xml:space="preserve"> </w:t>
      </w:r>
      <w:bookmarkStart w:id="7" w:name="References"/>
      <w:r>
        <w:t>(2024/2027(DEC))</w:t>
      </w:r>
      <w:bookmarkEnd w:id="7"/>
    </w:p>
    <w:p w:rsidR="00D01505" w:rsidRDefault="009D6246">
      <w:pPr>
        <w:pStyle w:val="EPComma"/>
      </w:pPr>
      <w:bookmarkStart w:id="8" w:name="TextBodyBegin"/>
      <w:bookmarkEnd w:id="8"/>
      <w:r>
        <w:rPr>
          <w:i/>
        </w:rPr>
        <w:t>Le Parlement européen</w:t>
      </w:r>
      <w:r>
        <w:t>,</w:t>
      </w:r>
    </w:p>
    <w:p w:rsidR="00D01505" w:rsidRDefault="009D6246">
      <w:pPr>
        <w:pStyle w:val="NormalHanging12a"/>
      </w:pPr>
      <w:r>
        <w:t>–</w:t>
      </w:r>
      <w:r>
        <w:tab/>
        <w:t xml:space="preserve">vu le budget général </w:t>
      </w:r>
      <w:r>
        <w:t>de l’Union européenne pour l’exercice 2023</w:t>
      </w:r>
      <w:r>
        <w:rPr>
          <w:rStyle w:val="FootnoteReference"/>
        </w:rPr>
        <w:footnoteReference w:id="1"/>
      </w:r>
      <w:r>
        <w:t>,</w:t>
      </w:r>
    </w:p>
    <w:p w:rsidR="00D01505" w:rsidRDefault="009D6246">
      <w:pPr>
        <w:pStyle w:val="NormalHanging12a"/>
      </w:pPr>
      <w:r>
        <w:t>–</w:t>
      </w:r>
      <w:r>
        <w:tab/>
        <w:t>vu les comptes annuels consolidés de l’Union européenne relatifs à l’exercice 2023 (COM(2024)0272 – C10</w:t>
      </w:r>
      <w:r>
        <w:noBreakHyphen/>
        <w:t>0075/2024)</w:t>
      </w:r>
      <w:r>
        <w:rPr>
          <w:rStyle w:val="FootnoteReference"/>
        </w:rPr>
        <w:footnoteReference w:id="2"/>
      </w:r>
      <w:r>
        <w:t>,</w:t>
      </w:r>
    </w:p>
    <w:p w:rsidR="00D01505" w:rsidRDefault="009D6246">
      <w:pPr>
        <w:pStyle w:val="NormalHanging12a"/>
      </w:pPr>
      <w:r>
        <w:t>–</w:t>
      </w:r>
      <w:r>
        <w:tab/>
        <w:t xml:space="preserve">vu le rapport d’activité annuel du Médiateur européen pour l’exercice 2023 et son rapport </w:t>
      </w:r>
      <w:r>
        <w:t>sur la gestion budgétaire et financière pour l’exercice 2023,</w:t>
      </w:r>
    </w:p>
    <w:p w:rsidR="00D01505" w:rsidRDefault="009D6246">
      <w:pPr>
        <w:pStyle w:val="NormalHanging12a"/>
      </w:pPr>
      <w:r>
        <w:t>–</w:t>
      </w:r>
      <w:r>
        <w:tab/>
        <w:t>vu le rapport annuel de la Cour des comptes sur l’exécution du budget relatif à l’exercice 2023, accompagné des réponses des institutions</w:t>
      </w:r>
      <w:r>
        <w:rPr>
          <w:rStyle w:val="FootnoteReference"/>
        </w:rPr>
        <w:footnoteReference w:id="3"/>
      </w:r>
      <w:r>
        <w:t>,</w:t>
      </w:r>
    </w:p>
    <w:p w:rsidR="00D01505" w:rsidRDefault="009D6246">
      <w:pPr>
        <w:pStyle w:val="NormalHanging12a"/>
      </w:pPr>
      <w:r>
        <w:t>–</w:t>
      </w:r>
      <w:r>
        <w:tab/>
        <w:t>vu la déclaration d’assurance</w:t>
      </w:r>
      <w:r>
        <w:rPr>
          <w:rStyle w:val="FootnoteReference"/>
        </w:rPr>
        <w:footnoteReference w:id="4"/>
      </w:r>
      <w:r>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D01505" w:rsidRDefault="009D6246">
      <w:pPr>
        <w:pStyle w:val="NormalHanging12a"/>
      </w:pPr>
      <w:r>
        <w:t>–</w:t>
      </w:r>
      <w:r>
        <w:tab/>
        <w:t>vu l’articl</w:t>
      </w:r>
      <w:r>
        <w:t>e 314, paragraphe 10, et les articles 317, 318 et 319 du traité sur le fonctionnement de l’Union européenne,</w:t>
      </w:r>
    </w:p>
    <w:p w:rsidR="00D01505" w:rsidRDefault="009D6246">
      <w:pPr>
        <w:pStyle w:val="NormalHanging12a"/>
      </w:pPr>
      <w:r>
        <w:t>–</w:t>
      </w:r>
      <w:r>
        <w:tab/>
        <w:t>vu le règlement (UE, Euratom) 2018/1046 du Parlement européen et du Conseil du 18 juillet 2018 relatif aux règles financières applicables au budg</w:t>
      </w:r>
      <w:r>
        <w:t xml:space="preserve">et général de l’Union, modifiant les règlements (UE) nº 1296/2013, (UE) nº 1301/2013, (UE) nº 1303/2013, </w:t>
      </w:r>
      <w:r>
        <w:lastRenderedPageBreak/>
        <w:t>(UE) nº 1304/2013, (UE) nº 1309/2013, (UE) nº 1316/2013, (UE) nº 223/2014, (UE) nº 283/2014 et la décision nº 541/2014/UE, et abrogeant le règlement (U</w:t>
      </w:r>
      <w:r>
        <w:t>E, Euratom) nº 966/2012</w:t>
      </w:r>
      <w:r>
        <w:rPr>
          <w:vertAlign w:val="superscript"/>
        </w:rPr>
        <w:footnoteReference w:id="5"/>
      </w:r>
      <w:r>
        <w:t>, et notamment ses articles 59, 118, 260, 261 et 262,</w:t>
      </w:r>
    </w:p>
    <w:p w:rsidR="00D01505" w:rsidRDefault="009D6246">
      <w:pPr>
        <w:pStyle w:val="NormalHanging12a"/>
      </w:pPr>
      <w:r>
        <w:t>–</w:t>
      </w:r>
      <w:r>
        <w:tab/>
        <w:t xml:space="preserve">vu le </w:t>
      </w:r>
      <w:r>
        <w:rPr>
          <w:shd w:val="clear" w:color="auto" w:fill="FFFFFF"/>
        </w:rPr>
        <w:t>règlement (UE, Euratom) 2024/2509 du Parlement européen et du Conseil du 23 septembre 2024 relatif aux règles financières applicables au budget général de l’Union</w:t>
      </w:r>
      <w:r>
        <w:rPr>
          <w:rStyle w:val="FootnoteReference"/>
          <w:bCs/>
          <w:szCs w:val="24"/>
          <w:shd w:val="clear" w:color="auto" w:fill="FFFFFF"/>
        </w:rPr>
        <w:footnoteReference w:id="6"/>
      </w:r>
      <w:r>
        <w:rPr>
          <w:shd w:val="clear" w:color="auto" w:fill="FFFFFF"/>
        </w:rPr>
        <w:t>, et no</w:t>
      </w:r>
      <w:r>
        <w:rPr>
          <w:shd w:val="clear" w:color="auto" w:fill="FFFFFF"/>
        </w:rPr>
        <w:t>tamment ses articles 59, 118, 266, 267 et 268</w:t>
      </w:r>
      <w:r>
        <w:t>,</w:t>
      </w:r>
    </w:p>
    <w:p w:rsidR="00D01505" w:rsidRDefault="009D6246">
      <w:pPr>
        <w:pStyle w:val="NormalHanging12a"/>
      </w:pPr>
      <w:r>
        <w:t>–</w:t>
      </w:r>
      <w:r>
        <w:tab/>
        <w:t>vu l’article 102 et l’annexe V de son règlement intérieur,</w:t>
      </w:r>
    </w:p>
    <w:p w:rsidR="00D01505" w:rsidRDefault="009D6246">
      <w:pPr>
        <w:pStyle w:val="NormalHanging12a"/>
      </w:pPr>
      <w:r>
        <w:t>–</w:t>
      </w:r>
      <w:r>
        <w:tab/>
        <w:t>vu le rapport de la commission du contrôle budgétaire (A10-0055/2025),</w:t>
      </w:r>
    </w:p>
    <w:p w:rsidR="00D01505" w:rsidRDefault="009D6246">
      <w:pPr>
        <w:pStyle w:val="NormalHanging12a"/>
      </w:pPr>
      <w:r>
        <w:t>1.</w:t>
      </w:r>
      <w:r>
        <w:tab/>
        <w:t>donne décharge à la Médiatrice européenne sur l’exécution du budget du M</w:t>
      </w:r>
      <w:r>
        <w:t>édiateur européen pour l’exercice 2023;</w:t>
      </w:r>
    </w:p>
    <w:p w:rsidR="00D01505" w:rsidRDefault="009D6246">
      <w:pPr>
        <w:pStyle w:val="NormalHanging12a"/>
      </w:pPr>
      <w:r>
        <w:t>2.</w:t>
      </w:r>
      <w:r>
        <w:tab/>
        <w:t>présente ses observations dans la résolution ci-après;</w:t>
      </w:r>
    </w:p>
    <w:p w:rsidR="00D01505" w:rsidRDefault="009D6246">
      <w:pPr>
        <w:pStyle w:val="NormalHanging12a"/>
        <w:sectPr w:rsidR="00D0150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t>3.</w:t>
      </w:r>
      <w:r>
        <w:tab/>
        <w:t>charge sa Présidente de transmettre la prés</w:t>
      </w:r>
      <w:r>
        <w:t>ente décision, ainsi que la résolution qui en fait partie intégrante, à la Médiatrice européenne, au Conseil européen, au Conseil, à la Commission, à la Cour des comptes, à la Cour de justice de l’Union européenne, au Contrôleur européen de la protection d</w:t>
      </w:r>
      <w:r>
        <w:t xml:space="preserve">es données et au Service européen pour l’action extérieure, et d’en assurer la publication au </w:t>
      </w:r>
      <w:r>
        <w:rPr>
          <w:i/>
        </w:rPr>
        <w:t>Journal officiel de l’Union européenne</w:t>
      </w:r>
      <w:r>
        <w:t xml:space="preserve"> (série L).</w:t>
      </w:r>
    </w:p>
    <w:p w:rsidR="00D01505" w:rsidRDefault="009D6246">
      <w:pPr>
        <w:pStyle w:val="NormalBold"/>
      </w:pPr>
      <w:r>
        <w:rPr>
          <w:lang w:eastAsia="fr-FR"/>
        </w:rPr>
        <w:lastRenderedPageBreak/>
        <w:t>2. Résolution du Parlement</w:t>
      </w:r>
      <w:r>
        <w:t xml:space="preserve"> européen du 7 mai 2025 contenant les observations qui font partie intégrante de la dé</w:t>
      </w:r>
      <w:r>
        <w:t>cision concernant la décharge sur l’exécution du budget général de l’Union européenne pour l’exercice 2023, section VIII – Médiateur européen (2024/2027(DEC))</w:t>
      </w:r>
    </w:p>
    <w:p w:rsidR="00D01505" w:rsidRDefault="009D6246">
      <w:pPr>
        <w:pStyle w:val="EPComma"/>
      </w:pPr>
      <w:r>
        <w:rPr>
          <w:i/>
        </w:rPr>
        <w:t>Le Parlement européen</w:t>
      </w:r>
      <w:r>
        <w:t>,</w:t>
      </w:r>
    </w:p>
    <w:p w:rsidR="00D01505" w:rsidRDefault="009D6246">
      <w:pPr>
        <w:pStyle w:val="NormalHanging12a"/>
      </w:pPr>
      <w:r>
        <w:t>–</w:t>
      </w:r>
      <w:r>
        <w:tab/>
        <w:t xml:space="preserve">vu sa décision concernant la décharge sur l’exécution du budget général </w:t>
      </w:r>
      <w:r>
        <w:t>de l’Union européenne pour l’exercice 2023, section VIII – Médiateur européen,</w:t>
      </w:r>
    </w:p>
    <w:p w:rsidR="00D01505" w:rsidRDefault="009D6246">
      <w:pPr>
        <w:pStyle w:val="NormalHanging12a"/>
      </w:pPr>
      <w:r>
        <w:t>–</w:t>
      </w:r>
      <w:r>
        <w:tab/>
        <w:t>vu l’article 102 et l’annexe V de son règlement intérieur,</w:t>
      </w:r>
    </w:p>
    <w:p w:rsidR="00D01505" w:rsidRDefault="009D6246">
      <w:pPr>
        <w:pStyle w:val="NormalHanging12a"/>
      </w:pPr>
      <w:r>
        <w:t>–</w:t>
      </w:r>
      <w:r>
        <w:tab/>
        <w:t>vu le rapport de la commission du contrôle budgétaire (A10-0055/2025),</w:t>
      </w:r>
    </w:p>
    <w:p w:rsidR="00D01505" w:rsidRDefault="009D6246">
      <w:pPr>
        <w:pStyle w:val="NormalHanging12a"/>
      </w:pPr>
      <w:r>
        <w:t>A.</w:t>
      </w:r>
      <w:r>
        <w:tab/>
        <w:t>considérant, dans le contexte de la proc</w:t>
      </w:r>
      <w:r>
        <w:t>édure de décharge, que l’autorité de décharge tient à souligner qu’il est particulièrement important de renforcer la légitimité démocratique des institutions de l’Union en améliorant la transparence et la responsabilité, et en appliquant les concepts de bu</w:t>
      </w:r>
      <w:r>
        <w:t>dgétisation axée sur les performances et de bonne gestion des ressources humaines;</w:t>
      </w:r>
    </w:p>
    <w:p w:rsidR="00D01505" w:rsidRDefault="009D6246">
      <w:pPr>
        <w:pStyle w:val="NormalHanging12a"/>
      </w:pPr>
      <w:r>
        <w:t>B.</w:t>
      </w:r>
      <w:r>
        <w:tab/>
        <w:t xml:space="preserve">considérant que l’article 228 du traité sur le fonctionnement de l’Union européenne prévoit l’élection d’un Médiateur européen (ci-après le «Médiateur») par le Parlement </w:t>
      </w:r>
      <w:r>
        <w:t>européen, qui est habilité à recevoir les plaintes émanant de tout citoyen de l’Union ou de toute personne physique ou morale résidant ou ayant son siège statutaire dans un État membre et relatives à des cas de mauvaise administration dans l’action des ins</w:t>
      </w:r>
      <w:r>
        <w:t>titutions, organes ou organismes de l’Union, à l’exclusion de la Cour de justice de l’Union européenne dans l’exercice de ses fonctions juridictionnelles, à instruire ces plaintes et à faire rapport à leur sujet;</w:t>
      </w:r>
    </w:p>
    <w:p w:rsidR="00D01505" w:rsidRDefault="009D6246">
      <w:pPr>
        <w:pStyle w:val="NormalHanging12a"/>
      </w:pPr>
      <w:r>
        <w:t>C.</w:t>
      </w:r>
      <w:r>
        <w:tab/>
        <w:t>considérant que le règlement (UE, Eurato</w:t>
      </w:r>
      <w:r>
        <w:t>m) 2021/1163 du Parlement européen du 24 juin 2021</w:t>
      </w:r>
      <w:r>
        <w:rPr>
          <w:rStyle w:val="FootnoteReference"/>
        </w:rPr>
        <w:footnoteReference w:id="7"/>
      </w:r>
      <w:r>
        <w:t xml:space="preserve"> fixe le statut et les conditions générales d’exercice des fonctions du Médiateur (statut du Médiateur européen);</w:t>
      </w:r>
    </w:p>
    <w:p w:rsidR="00D01505" w:rsidRDefault="009D6246">
      <w:pPr>
        <w:pStyle w:val="NormalHanging12a"/>
      </w:pPr>
      <w:r>
        <w:t>D.</w:t>
      </w:r>
      <w:r>
        <w:tab/>
        <w:t xml:space="preserve">considérant </w:t>
      </w:r>
      <w:r>
        <w:rPr>
          <w:shd w:val="clear" w:color="auto" w:fill="FFFFFF"/>
        </w:rPr>
        <w:t>qu’à la suite de l’adoption du règlement (UE, Euratom) 2021/1163</w:t>
      </w:r>
      <w:r>
        <w:t>, le Médiate</w:t>
      </w:r>
      <w:r>
        <w:t>ur a adopté ses dispositions d’exécution révisées</w:t>
      </w:r>
      <w:r>
        <w:rPr>
          <w:rStyle w:val="FootnoteReference"/>
        </w:rPr>
        <w:footnoteReference w:id="8"/>
      </w:r>
      <w:r>
        <w:t xml:space="preserve"> le 21 juin 2023;</w:t>
      </w:r>
    </w:p>
    <w:p w:rsidR="00D01505" w:rsidRDefault="009D6246">
      <w:pPr>
        <w:pStyle w:val="NormalHanging12a"/>
      </w:pPr>
      <w:r>
        <w:t>1.</w:t>
      </w:r>
      <w:r>
        <w:tab/>
        <w:t>note que le budget du Médiateur relève de la rubrique 7 du CFP,</w:t>
      </w:r>
      <w:proofErr w:type="gramStart"/>
      <w:r>
        <w:t xml:space="preserve"> «Administration</w:t>
      </w:r>
      <w:proofErr w:type="gramEnd"/>
      <w:r>
        <w:t xml:space="preserve"> publique européenne», qui s’élevait au total à 12,3 milliards d’EUR en 2023, soit 6,4 % des dépenses budg</w:t>
      </w:r>
      <w:r>
        <w:t>étaires de l’Union; relève que le budget du Médiateur représentait 0,11 % des crédits de la rubrique 7 du CFP;</w:t>
      </w:r>
    </w:p>
    <w:p w:rsidR="00D01505" w:rsidRDefault="009D6246">
      <w:pPr>
        <w:pStyle w:val="NormalHanging12a"/>
      </w:pPr>
      <w:r>
        <w:t>2.</w:t>
      </w:r>
      <w:r>
        <w:tab/>
        <w:t>relève que la Cour des comptes (ci-après la «Cour»), dans son rapport annuel relatif à l’exercice 2023 (ci-après le «rapport de la Cour»), a e</w:t>
      </w:r>
      <w:r>
        <w:t>xaminé un échantillon de 70 opérations sous la rubrique «Administration publique européenne», dont 21 (30 %) contenaient des erreurs; observe par ailleurs que, pour cinq de ces erreurs, qui ont été quantifiées par la Cour, celle-ci a estimé que le niveau d</w:t>
      </w:r>
      <w:r>
        <w:t xml:space="preserve">’erreur était inférieur au seuil de signification; relève avec satisfaction, à la lecture du rapport de la Cour, que celle-ci n’a </w:t>
      </w:r>
      <w:r>
        <w:lastRenderedPageBreak/>
        <w:t>constaté aucun problème significatif concernant le Médiateur;</w:t>
      </w:r>
    </w:p>
    <w:p w:rsidR="00D01505" w:rsidRDefault="009D6246">
      <w:pPr>
        <w:pStyle w:val="NormalHanging12a"/>
      </w:pPr>
      <w:r>
        <w:t>3.</w:t>
      </w:r>
      <w:r>
        <w:tab/>
        <w:t>relève l’observation du rapport de la Cour selon laquelle les</w:t>
      </w:r>
      <w:r>
        <w:t xml:space="preserve"> dépenses administratives comprennent les dépenses relatives aux ressources humaines, y compris les pensions, qui ont représenté environ 70 % du total des dépenses administratives en 2023, ainsi que les dépenses liées aux bâtiments, à l’équipement, à l’éne</w:t>
      </w:r>
      <w:r>
        <w:t>rgie, aux communications et aux technologies de l’information; se félicite que la Cour ait conclu, comme lors des exercices précédents, que, dans l’ensemble, les dépenses administratives présentaient un risque faible;</w:t>
      </w:r>
    </w:p>
    <w:p w:rsidR="00D01505" w:rsidRDefault="009D6246">
      <w:pPr>
        <w:pStyle w:val="NormalHanging12a"/>
        <w:rPr>
          <w:b/>
          <w:i/>
        </w:rPr>
      </w:pPr>
      <w:r>
        <w:rPr>
          <w:b/>
          <w:i/>
        </w:rPr>
        <w:t>Gestion budgétaire et financière</w:t>
      </w:r>
    </w:p>
    <w:p w:rsidR="00D01505" w:rsidRDefault="009D6246">
      <w:pPr>
        <w:pStyle w:val="NormalHanging12a"/>
      </w:pPr>
      <w:r>
        <w:t>4.</w:t>
      </w:r>
      <w:r>
        <w:tab/>
        <w:t>re</w:t>
      </w:r>
      <w:r>
        <w:t>lève que le budget du Médiateur s’élevait à 13 212 447 EUR en 2023, ce qui représente une hausse de 990 339 EUR (soit +8,1 %) par rapport à 2022; note, à la lecture des réponses du Médiateur au questionnaire présenté par la commission du contrôle budgétair</w:t>
      </w:r>
      <w:r>
        <w:t>e en vue de la décharge budgétaire 2023 (ci-après le «questionnaire»), que cette augmentation tient pour l’essentiel à des ajustements de salaire et à la création de deux postes qui étaient nécessaires pour renforcer les activités principales du Médiateur;</w:t>
      </w:r>
    </w:p>
    <w:p w:rsidR="00D01505" w:rsidRDefault="009D6246">
      <w:pPr>
        <w:pStyle w:val="NormalHanging12a"/>
      </w:pPr>
      <w:r>
        <w:t>5.</w:t>
      </w:r>
      <w:r>
        <w:tab/>
        <w:t>relève que les efforts de suivi du budget au cours de l’exercice 2023 se sont traduits par un taux d’exécution budgétaire de 95,39 %, ce qui représente une baisse de 1,58 % par rapport à 2022; relève que le taux d’exécution des crédits de paiement pour</w:t>
      </w:r>
      <w:r>
        <w:t xml:space="preserve"> l’exercice en cours s’élevait à 97,58 %, ce qui a représenté une hausse de 1,31 % par rapport à 2022 et entraîné une diminution des reports automatiques de 3,73 % (soit 442 209 EUR) en 2022 à 2,42 % (soit 304 550 EUR) en 2023; déplore, cependant, la baiss</w:t>
      </w:r>
      <w:r>
        <w:t>e du taux d’exécution des reports automatiques de crédits de l’exercice précédent: 73,27 % en 2023 contre 92,59 % en 2022; demande une amélioration à cet égard;</w:t>
      </w:r>
    </w:p>
    <w:p w:rsidR="00D01505" w:rsidRDefault="009D6246">
      <w:pPr>
        <w:pStyle w:val="NormalHanging12a"/>
      </w:pPr>
      <w:r>
        <w:t>6.</w:t>
      </w:r>
      <w:r>
        <w:tab/>
        <w:t>note qu’au cours de l’exercice 2023, le Médiateur a effectué neuf virements budgétaires conf</w:t>
      </w:r>
      <w:r>
        <w:t>ormément à l’article 29 du règlement financier, ce qui représente un total de 241 150 EUR, soit 1,8 % des crédits de l’exercice, contre 2,8 % en 2022; note que ces virements étaient nécessaires au renforcement de différentes lignes budgétaires, par exemple</w:t>
      </w:r>
      <w:r>
        <w:t xml:space="preserve"> en ce qui concerne le mobilier, la sécurité et la surveillance, les bâtiments, la numérisation des archives ou l’informatique; observe, dans ce contexte, que les dépenses informatiques ont augmenté de 41 %, passant de 159 714 EUR en 2022 à 224 698 EUR en </w:t>
      </w:r>
      <w:r>
        <w:t>2023;</w:t>
      </w:r>
    </w:p>
    <w:p w:rsidR="00D01505" w:rsidRDefault="009D6246">
      <w:pPr>
        <w:pStyle w:val="NormalHanging12a"/>
      </w:pPr>
      <w:r>
        <w:t>7.</w:t>
      </w:r>
      <w:r>
        <w:tab/>
        <w:t>constate une nouvelle augmentation, pour la troisième année consécutive, du délai moyen d’exécution des paiements; reconnaît que, bien que le délai de paiement soit passé de 11,35 jours en 2021 à 13,50 jours en 2023, il reste relativement court, e</w:t>
      </w:r>
      <w:r>
        <w:t>n moyenne, et inférieur au délai maximal réglementaire (30 jours); se félicite, dans ce contexte, que le Médiateur ait entre-temps pleinement mis en œuvre un système de facturation électronique qui devrait améliorer encore l’efficacité du processus de paie</w:t>
      </w:r>
      <w:r>
        <w:t>ment à partir de 2024;</w:t>
      </w:r>
    </w:p>
    <w:p w:rsidR="00D01505" w:rsidRDefault="009D6246">
      <w:pPr>
        <w:pStyle w:val="NormalHanging12a"/>
      </w:pPr>
      <w:r>
        <w:t>8.</w:t>
      </w:r>
      <w:r>
        <w:tab/>
        <w:t>relève que, pour 2023, le Parlement européen n’avait communiqué au Médiateur aucune augmentation significative des loyers et des charges immobilières forfaitaires, ce qui a permis au Médiateur de réduire sa ligne budgétaire relati</w:t>
      </w:r>
      <w:r>
        <w:t xml:space="preserve">ve aux loyers de 8,06 % afin de renforcer d’autres lignes budgétaires en 2023; prend toutefois acte que, pour 2024, le Médiateur prévoit une hausse des dépenses liées aux bâtiments de 170 % (soit </w:t>
      </w:r>
      <w:r>
        <w:lastRenderedPageBreak/>
        <w:t>122 260 EUR);</w:t>
      </w:r>
    </w:p>
    <w:p w:rsidR="00D01505" w:rsidRDefault="009D6246">
      <w:pPr>
        <w:pStyle w:val="NormalHanging12a"/>
      </w:pPr>
      <w:r>
        <w:t>9.</w:t>
      </w:r>
      <w:r>
        <w:tab/>
        <w:t xml:space="preserve">se félicite que le budget consacré aux </w:t>
      </w:r>
      <w:r>
        <w:t xml:space="preserve">missions du personnel soit passé de 120 000 EUR en 2022 à 100 000 EUR en 2023 grâce à un recours intensif aux installations de vidéoconférence dans les deux lieux de travail; à cet égard, félicite le Médiateur d’avoir réduit son budget alloué aux missions </w:t>
      </w:r>
      <w:r>
        <w:t>du personnel pour la quatrième année consécutive; relève que le budget des missions et des déplacements du Médiateur est resté inchangé en 2023 par rapport aux années précédentes (2021 et 2022), soit 35 000 EUR;</w:t>
      </w:r>
    </w:p>
    <w:p w:rsidR="00D01505" w:rsidRDefault="009D6246">
      <w:pPr>
        <w:pStyle w:val="NormalHanging12a"/>
        <w:rPr>
          <w:b/>
          <w:i/>
        </w:rPr>
      </w:pPr>
      <w:r>
        <w:rPr>
          <w:b/>
          <w:i/>
        </w:rPr>
        <w:t>Gestion interne, performances et contrôle in</w:t>
      </w:r>
      <w:r>
        <w:rPr>
          <w:b/>
          <w:i/>
        </w:rPr>
        <w:t>terne</w:t>
      </w:r>
    </w:p>
    <w:p w:rsidR="00D01505" w:rsidRDefault="009D6246">
      <w:pPr>
        <w:pStyle w:val="NormalHanging12a"/>
      </w:pPr>
      <w:r>
        <w:t>10.</w:t>
      </w:r>
      <w:r>
        <w:tab/>
        <w:t>relève que le Médiateur a lié aux objectifs de haut niveau de sa stratégie</w:t>
      </w:r>
      <w:proofErr w:type="gramStart"/>
      <w:r>
        <w:t xml:space="preserve"> «Cap</w:t>
      </w:r>
      <w:proofErr w:type="gramEnd"/>
      <w:r>
        <w:t xml:space="preserve"> sur 2024» neuf indicateurs clés de performance (ICP) composés de 19 éléments, tels que définis dans son plan de gestion annuel pour 2023; observe que pour 14 de ces é</w:t>
      </w:r>
      <w:r>
        <w:t>léments, les objectifs ont été atteints ou dépassés en 2023;</w:t>
      </w:r>
    </w:p>
    <w:p w:rsidR="00D01505" w:rsidRDefault="009D6246">
      <w:pPr>
        <w:pStyle w:val="NormalHanging12a"/>
      </w:pPr>
      <w:r>
        <w:t>11.</w:t>
      </w:r>
      <w:r>
        <w:tab/>
        <w:t>observe une augmentation globale de la charge de travail du Médiateur par rapport à l’année précédente: en 2023, il a ainsi traité 2 392 nouvelles plaintes (contre 2 223 en 2022), ouvert 398 </w:t>
      </w:r>
      <w:r>
        <w:t>enquêtes (contre 348 en 2022), dont 56 d’importance publique (contre 60 en 2022), clos 372 enquêtes (contre 330 en 2022) et traité un nombre record de plaintes relatives à l’accès du public, qui est passé de 117 en 2022 à 167 en 2023, dont 118 ont donné li</w:t>
      </w:r>
      <w:r>
        <w:t>eu à des enquêtes; félicite, à cet égard, le Médiateur pour les gains d’efficacité réalisés en 2023 pour réduire le nombre de plaintes grâce à la simplification du traitement des enquêtes pour «absence de réponse» ainsi qu’à la rationalisation du traitemen</w:t>
      </w:r>
      <w:r>
        <w:t>t des plaintes «hors mandat» et des demandes d’information; invite le Médiateur à œuvrer à une communication plus ciblée afin de traiter cette question à l’avenir; se félicite des efforts déployés pour poursuivre la rationalisation et la simplification des</w:t>
      </w:r>
      <w:r>
        <w:t xml:space="preserve"> processus pour les années suivantes;</w:t>
      </w:r>
    </w:p>
    <w:p w:rsidR="00D01505" w:rsidRDefault="009D6246">
      <w:pPr>
        <w:pStyle w:val="NormalHanging12a"/>
      </w:pPr>
      <w:r>
        <w:t>12.</w:t>
      </w:r>
      <w:r>
        <w:tab/>
        <w:t>félicite le Médiateur d’avoir réduit le temps nécessaire pour traiter les dossiers à différents niveaux de la procédure, comme le délai pour se prononcer sur la recevabilité (de 16 jours en 2022 à 11 jours en 2023)</w:t>
      </w:r>
      <w:r>
        <w:t xml:space="preserve"> ou le délai moyen de classement des dossiers dans le domaine de l’accès du public aux documents (de 46 jours en 2022 à 42 jours en 2023); regrette toutefois que le délai moyen (165 jours) de traitement d’une enquête soit resté élevé en 2023; comprend néan</w:t>
      </w:r>
      <w:r>
        <w:t>moins l’explication du Médiateur, qui précise que cette moyenne a été affectée par le retard dans la clôture des enquêtes en raison d’échanges répétés avec les institutions concernées;</w:t>
      </w:r>
    </w:p>
    <w:p w:rsidR="00D01505" w:rsidRDefault="009D6246">
      <w:pPr>
        <w:pStyle w:val="NormalHanging12a"/>
      </w:pPr>
      <w:r>
        <w:t>13.</w:t>
      </w:r>
      <w:r>
        <w:tab/>
        <w:t xml:space="preserve">constate en outre une amélioration en ce qui concerne les réponses </w:t>
      </w:r>
      <w:r>
        <w:t xml:space="preserve">positives des institutions de l’Union aux propositions du Médiateur visant à améliorer leur administration, le taux d’acceptation global s’établissant à 81 % en 2023 (contre 79 % en 2022); demande au Médiateur de continuer à œuvrer en faveur d’un meilleur </w:t>
      </w:r>
      <w:r>
        <w:t>respect de ses conclusions, recommandations et suggestions;</w:t>
      </w:r>
    </w:p>
    <w:p w:rsidR="00D01505" w:rsidRDefault="009D6246">
      <w:pPr>
        <w:pStyle w:val="NormalHanging12a"/>
      </w:pPr>
      <w:r>
        <w:t>14.</w:t>
      </w:r>
      <w:r>
        <w:tab/>
        <w:t>salue les efforts déployés par le Médiateur en 2023 pour mieux faire connaître et comprendre son mandat; observe avec satisfaction, dans ce contexte, une augmentation de 20 % du nombre de plai</w:t>
      </w:r>
      <w:r>
        <w:t>ntes relevant du mandat, qui est passé de 740 en 2022 à 885 en 2023, ainsi qu’une augmentation de la part de ce type de plaintes, qui a progressé de 33 % en 2022 à 37 % en 2023;</w:t>
      </w:r>
    </w:p>
    <w:p w:rsidR="00D01505" w:rsidRDefault="009D6246">
      <w:pPr>
        <w:pStyle w:val="NormalHanging12a"/>
      </w:pPr>
      <w:r>
        <w:lastRenderedPageBreak/>
        <w:t>15.</w:t>
      </w:r>
      <w:r>
        <w:tab/>
        <w:t xml:space="preserve">reconnaît les efforts déployés par le Médiateur et son incidence positive </w:t>
      </w:r>
      <w:r>
        <w:t>dans les domaines de l’éthique, de la transparence et de la responsabilité en 2023, notamment à la suite d’enquêtes sur l’accès du public aux documents et les conflits d’intérêts concernant diverses institutions et agences de l’Union ou la Banque européenn</w:t>
      </w:r>
      <w:r>
        <w:t>e d’investissement; exprime sa reconnaissance concernant le rapport spécial publié par le Médiateur en septembre 2023 sur les retards pris par la Commission dans le traitement des demandes d’accès aux documents;</w:t>
      </w:r>
    </w:p>
    <w:p w:rsidR="00D01505" w:rsidRDefault="009D6246">
      <w:pPr>
        <w:pStyle w:val="NormalHanging12a"/>
      </w:pPr>
      <w:r>
        <w:t>16.</w:t>
      </w:r>
      <w:r>
        <w:tab/>
        <w:t>prend acte, à la lecture du rapport du M</w:t>
      </w:r>
      <w:r>
        <w:t>édiateur à l’autorité de décharge intitulé «Rapport sur le suivi de la décharge pour l’exercice 2022», des problèmes observés concernant la facilité pour la reprise et la résilience (FRR), à savoir les retards importants rencontrés par la Commission europé</w:t>
      </w:r>
      <w:r>
        <w:t>enne dans la réponse aux demandes d’accès à l’information, en particulier la publication tardive des principaux bénéficiaires de la FRR par les États membres, ce qui compromet les demandes de transparence, ainsi qu’en ce qui concerne le raisonnement sur la</w:t>
      </w:r>
      <w:r>
        <w:t xml:space="preserve"> base duquel la Commission a établi le niveau d’octroi de l’accès du public aux documents dans certains cas; se déclare préoccupé par la décision de la Commission de ne pas accepter toutes les suggestions et propositions de solutions formulées par le Média</w:t>
      </w:r>
      <w:r>
        <w:t>teur à cet égard, en rappelant l’importance des principes de bonnes pratiques pour la transparence gouvernementale dans l’utilisation des fonds de relance produits en coopération avec l’OCDE; regrette que des divergences importantes persistent au niveau na</w:t>
      </w:r>
      <w:r>
        <w:t>tional en ce qui concerne l’actualité et l’exhaustivité des informations sur les bénéficiaires finaux; invite la Commission à intensifier ses efforts pour remédier à ces lacunes dans le cadre de ses fonctions de surveillance et de contrôle permanentes; sou</w:t>
      </w:r>
      <w:r>
        <w:t>ligne l'importance de la cohérence et de l'exhaustivité des rapports établis dans tous les États membres pour assurer la transparence et la responsabilité; invite le Médiateur à continuer à suivre les efforts de la Commission pour assurer la transparence e</w:t>
      </w:r>
      <w:r>
        <w:t>t la supervision effective de la FRR; invite en outre le Médiateur à continuer d’informer périodiquement l’autorité budgétaire des difficultés rencontrées dans ses travaux sur la transparence et la responsabilité de la FRR;</w:t>
      </w:r>
    </w:p>
    <w:p w:rsidR="00D01505" w:rsidRDefault="009D6246">
      <w:pPr>
        <w:pStyle w:val="NormalHanging12a"/>
      </w:pPr>
      <w:r>
        <w:t>17.</w:t>
      </w:r>
      <w:r>
        <w:tab/>
        <w:t>souligne qu’en 2023, à la su</w:t>
      </w:r>
      <w:r>
        <w:t xml:space="preserve">ite d’une enquête d’initiative qui a révélé que, lorsque des particuliers demandent le réexamen d’une décision d’accès, connue sous le nom de demande confirmative, la Commission ne respecte pas les délais fixés par la loi dans 85 % des cas, le Médiateur a </w:t>
      </w:r>
      <w:r>
        <w:t>demandé instamment à la Commission européenne de remédier rapidement aux retards systémiques dans le traitement des demandes d’accès aux documents; demande la mise en œuvre rapide de la recommandation urgente du Médiateur en faveur d’une réévaluation appro</w:t>
      </w:r>
      <w:r>
        <w:t>fondie afin de garantir le respect des délais fixés dans la législation de l’Union, comme le règlement (UE) n° 1049/2001; félicite le Médiateur pour son rapport spécial au Parlement européen, demandant à l’institution de lui apporter son soutien formel pou</w:t>
      </w:r>
      <w:r>
        <w:t>r amener la Commission à donner suite à sa recommandation; rappelle que le Médiateur a examiné le rapport avec des députés au Parlement européen au sein de la commission des libertés civiles, de la justice et des affaires intérieures en novembre 2023</w:t>
      </w:r>
      <w:r>
        <w:rPr>
          <w:vertAlign w:val="superscript"/>
        </w:rPr>
        <w:footnoteReference w:id="9"/>
      </w:r>
      <w:r>
        <w:t>;</w:t>
      </w:r>
    </w:p>
    <w:p w:rsidR="00D01505" w:rsidRDefault="009D6246">
      <w:pPr>
        <w:pStyle w:val="NormalHanging12a"/>
      </w:pPr>
      <w:r>
        <w:t>18.</w:t>
      </w:r>
      <w:r>
        <w:tab/>
        <w:t>relève avec une vive inquiétude que le Médiateur reçoit nombre de plaintes de citoyens relatives aux très longs retards dans l’obtention d’un accès aux documents demandés; rejoint le Médiateur lorsqu’il estime qu’un accès retardé équivaut de fait à un acc</w:t>
      </w:r>
      <w:r>
        <w:t xml:space="preserve">ès refusé et qu’il convient que les procédures administratives soient rationalisées afin de </w:t>
      </w:r>
      <w:r>
        <w:lastRenderedPageBreak/>
        <w:t>donner aux citoyens accès aux documents en temps utile</w:t>
      </w:r>
      <w:r>
        <w:rPr>
          <w:vertAlign w:val="superscript"/>
        </w:rPr>
        <w:footnoteReference w:id="10"/>
      </w:r>
      <w:r>
        <w:t>;</w:t>
      </w:r>
    </w:p>
    <w:p w:rsidR="00D01505" w:rsidRDefault="009D6246">
      <w:pPr>
        <w:pStyle w:val="NormalHanging12a"/>
      </w:pPr>
      <w:r>
        <w:t>19.</w:t>
      </w:r>
      <w:r>
        <w:tab/>
        <w:t xml:space="preserve">relève que l’auditeur interne a procédé à un examen du cadre de gestion des risques du Médiateur; note </w:t>
      </w:r>
      <w:r>
        <w:t>que les parties sont convenues d’un plan d’action en neuf points à mettre en œuvre d’ici la fin de l’année 2024; invite le Médiateur à informer l’autorité de décharge des progrès accomplis dans la mise en œuvre de ce plan;</w:t>
      </w:r>
    </w:p>
    <w:p w:rsidR="00D01505" w:rsidRDefault="009D6246">
      <w:pPr>
        <w:pStyle w:val="NormalHanging12a"/>
        <w:rPr>
          <w:b/>
          <w:i/>
        </w:rPr>
      </w:pPr>
      <w:r>
        <w:rPr>
          <w:b/>
          <w:i/>
        </w:rPr>
        <w:t>Ressources humaines, égalité et b</w:t>
      </w:r>
      <w:r>
        <w:rPr>
          <w:b/>
          <w:i/>
        </w:rPr>
        <w:t>ien-être du personnel</w:t>
      </w:r>
    </w:p>
    <w:p w:rsidR="00D01505" w:rsidRDefault="009D6246">
      <w:pPr>
        <w:pStyle w:val="NormalHanging12a"/>
      </w:pPr>
      <w:r>
        <w:t>20.</w:t>
      </w:r>
      <w:r>
        <w:tab/>
        <w:t>constate une augmentation de 11 % du nombre total de membres du personnel du Médiateur, qui est passé de 74 en 2022 à 82 en 2023, principalement en raison d’une hausse du nombre d’agents contractuels et temporaires; relève en outr</w:t>
      </w:r>
      <w:r>
        <w:t>e qu’en 2023, 40 fonctionnaires étaient employés par le Médiateur, contre 39 et 38 en 2022 et 2021 respectivement, 33 agents temporaires, contre 28 et 30 en 2022 et 2021 respectivement, et 9 agents contractuels, contre 7 et 6 en 2022 et 2021 respectivement</w:t>
      </w:r>
      <w:r>
        <w:t>; constate avec satisfaction une augmentation de la part du personnel affecté aux activités principales du Médiateur (les plaintes et enquêtes), qui est passée de 40,54 % en 2022 à 42,68 % en 2023; constate avec satisfaction que le taux d’occupation des po</w:t>
      </w:r>
      <w:r>
        <w:t>stes est passé de 91,8 % en 2022 à 95 % en 2023 et que le taux de rotation a été ramené de 9,9 % en 2022 à 5,2 % en 2023;</w:t>
      </w:r>
    </w:p>
    <w:p w:rsidR="00D01505" w:rsidRDefault="009D6246">
      <w:pPr>
        <w:pStyle w:val="NormalHanging12a"/>
      </w:pPr>
      <w:r>
        <w:t>21.</w:t>
      </w:r>
      <w:r>
        <w:tab/>
        <w:t>déplore que le poste de secrétaire général du Médiateur soit vacant depuis le 1er septembre 2022, soit plus de deux ans; relève, à</w:t>
      </w:r>
      <w:r>
        <w:t xml:space="preserve"> la lecture du questionnaire, que «par courtoisie envers le nouveau Médiateur, qui sera élu d’ici à la fin de l’année 2024, l’actuelle Médiatrice a décidé de laisser le poste vacant pour que la personne qui lui succédera décide de cette nomination»; invite</w:t>
      </w:r>
      <w:r>
        <w:t xml:space="preserve"> le prochain Médiateur à veiller à ce que les périodes de vacance des postes d’encadrement soient aussi brèves que possible et ne dépassent pas le temps nécessaire au recrutement de nouveaux membres du personnel à ces postes;</w:t>
      </w:r>
    </w:p>
    <w:p w:rsidR="00D01505" w:rsidRDefault="009D6246">
      <w:pPr>
        <w:pStyle w:val="NormalHanging12a"/>
      </w:pPr>
      <w:r>
        <w:t>22.</w:t>
      </w:r>
      <w:r>
        <w:tab/>
        <w:t>félicite le Médiateur pour</w:t>
      </w:r>
      <w:r>
        <w:t xml:space="preserve"> son appel à manifestation d’intérêt pour des emplois (chargés d’enquêtes), qui a abouti en 2023 à la constitution d’une liste de réserve de 19 candidats, six d’entre eux ayant été recrutés la même année; relève que cela a permis au Médiateur de réduire le</w:t>
      </w:r>
      <w:r>
        <w:t xml:space="preserve"> temps nécessaire au recrutement, ce qui a pu poser problème dans le passé; relève en outre que le Médiateur a organisé trois concours internes en 2023, avec l’aide de l’EPSO, afin de retenir les talents internes; reconnaît que de telles actions contribuen</w:t>
      </w:r>
      <w:r>
        <w:t>t à améliorer l’efficacité de l’institution;</w:t>
      </w:r>
    </w:p>
    <w:p w:rsidR="00D01505" w:rsidRDefault="009D6246">
      <w:pPr>
        <w:pStyle w:val="NormalHanging12a"/>
      </w:pPr>
      <w:r>
        <w:t>23.</w:t>
      </w:r>
      <w:r>
        <w:tab/>
        <w:t>relève que, bien qu’il s’agisse d’une petite institution, le Médiateur est parvenu à compter 19 nationalités au sein de son personnel en 2023, grâce à une communication proactive et à des actions de sensibil</w:t>
      </w:r>
      <w:r>
        <w:t>isation, notamment par l’intermédiaire des médias sociaux et des plateformes en ligne pour publier des offres d’emploi; déplore toutefois une surreprésentation de certaines nationalités (par exemple, française et irlandaise) et une sous-représentation d’au</w:t>
      </w:r>
      <w:r>
        <w:t>tres nationalités (par exemple, roumaine et espagnole); invite instamment le Médiateur à poursuivre ses efforts pour parvenir à une répartition géographique équilibrée des ressortissants de tous les États membres au sein de son personnel, en particulier au</w:t>
      </w:r>
      <w:r>
        <w:t xml:space="preserve"> niveau de l’encadrement, en améliorant la communication, en favorisant la visibilité et en améliorant les conditions d’emploi afin d’attirer les </w:t>
      </w:r>
      <w:r>
        <w:lastRenderedPageBreak/>
        <w:t>nationalités sous-représentées;</w:t>
      </w:r>
    </w:p>
    <w:p w:rsidR="00D01505" w:rsidRDefault="009D6246">
      <w:pPr>
        <w:pStyle w:val="NormalHanging12a"/>
      </w:pPr>
      <w:r>
        <w:t>24.</w:t>
      </w:r>
      <w:r>
        <w:tab/>
        <w:t>note qu’en ce qui concerne l’équilibre femmes-hommes, le Médiateur emploie</w:t>
      </w:r>
      <w:r>
        <w:t xml:space="preserve"> plus de femmes que d’hommes dans toutes les catégories de personnel, en particulier au niveau de l’encadrement, et que le rapport global femmes-hommes est resté le même en 2023 qu'en 2022, soit 67 % de femmes et 33 % d’hommes; encourage le Médiateur à pou</w:t>
      </w:r>
      <w:r>
        <w:t>rsuivre ses efforts pour parvenir à une représentation plus équilibrée entre les femmes et les hommes au sein de son personnel;</w:t>
      </w:r>
    </w:p>
    <w:p w:rsidR="00D01505" w:rsidRDefault="009D6246">
      <w:pPr>
        <w:pStyle w:val="NormalHanging12a"/>
      </w:pPr>
      <w:r>
        <w:t>25.</w:t>
      </w:r>
      <w:r>
        <w:tab/>
        <w:t>relève que le Médiateur s’efforce d’assurer le bien-être physique et mental de son personnel sur le lieu de travail et met l</w:t>
      </w:r>
      <w:r>
        <w:t>’accent sur le renforcement de l’esprit d’équipe; se félicite, dans ce contexte, du résultat de l’enquête générale menée auprès du personnel en 2023, qui indique un taux global de satisfaction de 87 %. Plus précisément, 95 % des participants à l’enquête on</w:t>
      </w:r>
      <w:r>
        <w:t>t répondu positivement à la question de savoir si le Médiateur se soucie du bien-être de son personnel, 97 % sont satisfaits des modalités de travail hybrides et flexibles du Médiateur et 90 % sont satisfaits des équipements et du matériel mis à dispositio</w:t>
      </w:r>
      <w:r>
        <w:t>n par leur employeur pour travailler à distance; constate avec satisfaction qu’en 2023, le Médiateur a décidé de fournir des chaises ergonomiques à tous les membres du personnel qui en font la demande;</w:t>
      </w:r>
    </w:p>
    <w:p w:rsidR="00D01505" w:rsidRDefault="009D6246">
      <w:pPr>
        <w:pStyle w:val="NormalHanging12a"/>
      </w:pPr>
      <w:r>
        <w:t>26.</w:t>
      </w:r>
      <w:r>
        <w:tab/>
        <w:t>reconnaît que la dimension limitée des services du</w:t>
      </w:r>
      <w:r>
        <w:t xml:space="preserve"> Médiateur permet aux gestionnaires de suivre de près la charge de travail du personnel et de procéder aux ajustements nécessaires, et de détecter rapidement les burnouts potentiels; relève que l’enquête auprès du personnel de 2023 n’a révélé aucun problèm</w:t>
      </w:r>
      <w:r>
        <w:t>e de répartition de la charge de travail ou de problèmes de santé liés au travail, et que le service médical du Parlement européen n’a signalé aucune maladie de longue durée liée à l’épuisement professionnel;</w:t>
      </w:r>
    </w:p>
    <w:p w:rsidR="00D01505" w:rsidRDefault="009D6246">
      <w:pPr>
        <w:pStyle w:val="NormalHanging12a"/>
      </w:pPr>
      <w:r>
        <w:t>27.</w:t>
      </w:r>
      <w:r>
        <w:tab/>
        <w:t>se réjouit qu’aucun cas de harcèlement n’ai</w:t>
      </w:r>
      <w:r>
        <w:t>t été rapporté en 2023; reconnaît les efforts déployés par le Médiateur pour assurer un environnement de travail exempt de harcèlement sexuel et psychologique, notamment par la sensibilisation et la formation; constate avec satisfaction qu’une enquête mené</w:t>
      </w:r>
      <w:r>
        <w:t>e en 2023 dans le cadre d’un audit interne sur le cadre éthique a montré que 90 % du personnel connaissaient la politique et les lignes directrices en matière de harcèlement, quel qu’en soit le type;</w:t>
      </w:r>
    </w:p>
    <w:p w:rsidR="00D01505" w:rsidRDefault="009D6246">
      <w:pPr>
        <w:pStyle w:val="NormalHanging12a"/>
      </w:pPr>
      <w:r>
        <w:t>28.</w:t>
      </w:r>
      <w:r>
        <w:tab/>
        <w:t>relève avec satisfaction que le Médiateur a accueill</w:t>
      </w:r>
      <w:r>
        <w:t xml:space="preserve">i 18 stagiaires rémunérés en 2023 (soit le même nombre qu’en 2022), dont l’un a été sélectionné à la suite du premier appel du Médiateur visant les candidatures de personnes handicapées; reconnaît que cette initiative favorise l’inclusion et l’égalité des </w:t>
      </w:r>
      <w:r>
        <w:t>chances en fournissant aux stagiaires une expérience précieuse au sein des institutions de l’Union;</w:t>
      </w:r>
    </w:p>
    <w:p w:rsidR="00D01505" w:rsidRDefault="009D6246">
      <w:pPr>
        <w:pStyle w:val="NormalHanging12a"/>
        <w:rPr>
          <w:b/>
          <w:i/>
        </w:rPr>
      </w:pPr>
      <w:r>
        <w:rPr>
          <w:b/>
          <w:i/>
        </w:rPr>
        <w:t>Cadre éthique et transparence</w:t>
      </w:r>
    </w:p>
    <w:p w:rsidR="00D01505" w:rsidRDefault="009D6246">
      <w:pPr>
        <w:pStyle w:val="NormalHanging12a"/>
      </w:pPr>
      <w:r>
        <w:t>29.</w:t>
      </w:r>
      <w:r>
        <w:tab/>
        <w:t>salue les efforts continus du Médiateur visant à renforcer le cadre éthique de l’institution et à mieux le faire connaître</w:t>
      </w:r>
      <w:r>
        <w:t>; note avec satisfaction qu’en 2023, le Médiateur a révisé la politique en matière de lanceurs d’alerte afin de renforcer la protection des lanceurs d’alerte potentiels, de garantir un meilleur alignement sur les normes en matière de protection des données</w:t>
      </w:r>
      <w:r>
        <w:t>, d’améliorer la confidentialité et le soutien, et d’intégrer des dispositions relatives aux correspondants éthiques; se félicite en outre du déploiement complet de l’outil d’éthique SYSPER, qui permet au personnel de mettre à jour les déclarations (sur le</w:t>
      </w:r>
      <w:r>
        <w:t xml:space="preserve">urs conflits d’intérêts et sur les activités professionnelles de leur conjoint/partenaire) et a organisé une formation interactive </w:t>
      </w:r>
      <w:r>
        <w:lastRenderedPageBreak/>
        <w:t>intitulée «Respect et dignité au travail et nos rôles en tant qu’acteurs, destinataires et spectateurs»; se félicite du résul</w:t>
      </w:r>
      <w:r>
        <w:t xml:space="preserve">tat de l’enquête générale menée auprès du personnel en 2023, qui confirme un niveau élevé de sensibilisation aux questions éthiques; demande la publication de toutes les réunions de haut niveau du bureau du Médiateur avec des acteurs extérieurs, y compris </w:t>
      </w:r>
      <w:r>
        <w:t>des entreprises, des groupes d’intérêt et des agences de l’Union, afin de garantir la transparence dans la prise de décision et les efforts de sensibilisation;</w:t>
      </w:r>
    </w:p>
    <w:p w:rsidR="00D01505" w:rsidRDefault="009D6246">
      <w:pPr>
        <w:pStyle w:val="NormalHanging12a"/>
      </w:pPr>
      <w:r>
        <w:t>30.</w:t>
      </w:r>
      <w:r>
        <w:tab/>
        <w:t xml:space="preserve">relève que l’audit interne (rapport 22/03) sur le cadre éthique du Médiateur a été finalisé </w:t>
      </w:r>
      <w:r>
        <w:t>en 2023 et que six recommandations ont été émises, qui doivent être mises en œuvre d’ici au 31 décembre 2024; constate qu’il ressort du questionnaire que quatre de ces recommandations ont été pleinement mises en œuvre; invite le Médiateur à informer l’auto</w:t>
      </w:r>
      <w:r>
        <w:t>rité de décharge de l’état d’avancement de la mise en œuvre des deux autres recommandations;</w:t>
      </w:r>
    </w:p>
    <w:p w:rsidR="00D01505" w:rsidRDefault="009D6246">
      <w:pPr>
        <w:pStyle w:val="NormalHanging12a"/>
      </w:pPr>
      <w:r>
        <w:t>31.</w:t>
      </w:r>
      <w:r>
        <w:tab/>
        <w:t>note que la stratégie antifraude du Médiateur repose en grande partie sur le cadre éthique en place et sur le principe de la séparation des tâches pour les fon</w:t>
      </w:r>
      <w:r>
        <w:t>ctions financières; relève qu’en 2023, le Médiateur a examiné et adopté le code de normes professionnelles applicables au personnel participant au contrôle des opérations financières, qui définit les devoirs et les responsabilités en matière de détection d</w:t>
      </w:r>
      <w:r>
        <w:t>es opérations frauduleuses, y compris la procédure à suivre en cas de soupçon de fraude;</w:t>
      </w:r>
    </w:p>
    <w:p w:rsidR="00D01505" w:rsidRDefault="009D6246">
      <w:pPr>
        <w:pStyle w:val="NormalHanging12a"/>
      </w:pPr>
      <w:r>
        <w:t>32.</w:t>
      </w:r>
      <w:r>
        <w:tab/>
        <w:t>constate avec satisfaction qu’aucun cas de conflit d’intérêts ni aucun cas visant des lanceurs d’alerte n’a été signalé en 2023;</w:t>
      </w:r>
    </w:p>
    <w:p w:rsidR="00D01505" w:rsidRDefault="009D6246">
      <w:pPr>
        <w:pStyle w:val="NormalHanging12a"/>
      </w:pPr>
      <w:r>
        <w:t>33.</w:t>
      </w:r>
      <w:r>
        <w:tab/>
        <w:t>relève, à la lecture du questi</w:t>
      </w:r>
      <w:r>
        <w:t>onnaire, que le Médiateur n’a pas officiellement adhéré au registre de transparence de l’Union (établi par l’accord interinstitutionnel du 20 mai 2021 entre le Parlement européen, le Conseil de l’Union européenne et la Commission européenne sur un registre</w:t>
      </w:r>
      <w:r>
        <w:t xml:space="preserve"> de transparence obligatoire) afin de pouvoir également examiner d’éventuelles plaintes concernant le secrétariat de ce registre de transparence; observe, toutefois, que le Médiateur a aligné ses pratiques sur les principes du registre de transparence, en </w:t>
      </w:r>
      <w:r>
        <w:t>vérifiant que les orateurs ou les interlocuteurs lors d’événements ou de réunions organisés par le Médiateur y sont inscrits; se félicite du degré élevé de transparence atteint par la publication sur son site internet d’informations sur les enquêtes, les m</w:t>
      </w:r>
      <w:r>
        <w:t>issions, les réunions et les événements auxquels le Médiateur participe;</w:t>
      </w:r>
    </w:p>
    <w:p w:rsidR="00D01505" w:rsidRDefault="009D6246">
      <w:pPr>
        <w:pStyle w:val="NormalHanging12a"/>
      </w:pPr>
      <w:r>
        <w:t>34.</w:t>
      </w:r>
      <w:r>
        <w:tab/>
        <w:t>invite le Médiateur à introduire une déclaration d’intérêts financiers obligatoire pour le personnel d’encadrement supérieur, avec un accès public en temps réel aux informations r</w:t>
      </w:r>
      <w:r>
        <w:t>elatives aux conflits d’intérêts potentiels, aux engagements extérieurs et aux actifs financiers;</w:t>
      </w:r>
    </w:p>
    <w:p w:rsidR="00D01505" w:rsidRDefault="009D6246">
      <w:pPr>
        <w:pStyle w:val="NormalHanging12a"/>
        <w:rPr>
          <w:b/>
          <w:i/>
        </w:rPr>
      </w:pPr>
      <w:r>
        <w:rPr>
          <w:b/>
          <w:i/>
        </w:rPr>
        <w:t>Bâtiments</w:t>
      </w:r>
    </w:p>
    <w:p w:rsidR="00D01505" w:rsidRDefault="009D6246">
      <w:pPr>
        <w:pStyle w:val="NormalHanging12a"/>
      </w:pPr>
      <w:r>
        <w:t>35.</w:t>
      </w:r>
      <w:r>
        <w:tab/>
        <w:t>se félicite que le budget définitif (après virements) du Médiateur consacré aux bâtiments et aux coûts connexes a diminué d’environ 15 %, passan</w:t>
      </w:r>
      <w:r>
        <w:t>t de 1 622 200 EUR en 2022 à 1 373 000 EUR en 2023; relève que les crédits pour les loyers ont baissé de 26 %, passant de 1 177 700 EUR en 2022 à 866 100 EUR en 2023, avec un taux d’exécution des paiements proche de 100 % pour les deux années;</w:t>
      </w:r>
    </w:p>
    <w:p w:rsidR="00D01505" w:rsidRDefault="009D6246">
      <w:pPr>
        <w:pStyle w:val="NormalHanging12a"/>
        <w:rPr>
          <w:b/>
        </w:rPr>
      </w:pPr>
      <w:r>
        <w:t>36.</w:t>
      </w:r>
      <w:r>
        <w:tab/>
        <w:t>note qu’</w:t>
      </w:r>
      <w:r>
        <w:t xml:space="preserve">à la suite du déménagement du bureau du Médiateur à Bruxelles vers de </w:t>
      </w:r>
      <w:r>
        <w:lastRenderedPageBreak/>
        <w:t>nouveaux locaux fournis par le Parlement en 2021, le bâtiment a été organisé sous la forme d’un espace de travail collaboratif, comprenant très peu de bureaux individuels et des locaux d</w:t>
      </w:r>
      <w:r>
        <w:t>e réunion collaboratifs et flexibles; prend acte avec satisfaction du fait que le Médiateur ne pratique pas la politique des bureaux nomades («hot-</w:t>
      </w:r>
      <w:proofErr w:type="spellStart"/>
      <w:r>
        <w:t>desking</w:t>
      </w:r>
      <w:proofErr w:type="spellEnd"/>
      <w:r>
        <w:t>») dans ses locaux et que tous les membres du personnel disposent de leur propre table de travail avec</w:t>
      </w:r>
      <w:r>
        <w:t xml:space="preserve"> des possibilités de stockage importantes; relève qu’aucune modification n’a été apportée aux bureaux en 2023 et qu’une enquête générale menée auprès du personnel cette même année a montré que la majorité des membres du personnel (56 %) ont répondu positiv</w:t>
      </w:r>
      <w:r>
        <w:t>ement en ce qui concerne l’agencement physique de leurs bureaux à Bruxelles;</w:t>
      </w:r>
    </w:p>
    <w:p w:rsidR="00D01505" w:rsidRDefault="009D6246">
      <w:pPr>
        <w:pStyle w:val="NormalHanging12a"/>
      </w:pPr>
      <w:r>
        <w:t>37.</w:t>
      </w:r>
      <w:r>
        <w:tab/>
        <w:t>rappelle que le Médiateur n’est pas propriétaire de ses bâtiments mais qu’il loue un bâtiment à Bruxelles et des espaces de bureaux à Strasbourg; note avec satisfaction que le</w:t>
      </w:r>
      <w:r>
        <w:t xml:space="preserve"> bâtiment Havel à Strasbourg est pleinement accessible aux personnes à mobilité réduite ou ayant d’autres handicaps et regrette fortement que l’accessibilité du bâtiment loué à Bruxelles doive être améliorée; invite le Parlement à améliorer l’accessibilité</w:t>
      </w:r>
      <w:r>
        <w:t xml:space="preserve"> du bâtiment loué au Médiateur à Bruxelles;</w:t>
      </w:r>
    </w:p>
    <w:p w:rsidR="00D01505" w:rsidRDefault="009D6246">
      <w:pPr>
        <w:pStyle w:val="NormalHanging12a"/>
        <w:rPr>
          <w:b/>
          <w:i/>
        </w:rPr>
      </w:pPr>
      <w:r>
        <w:rPr>
          <w:b/>
          <w:i/>
        </w:rPr>
        <w:t xml:space="preserve">Numérisation, </w:t>
      </w:r>
      <w:proofErr w:type="spellStart"/>
      <w:r>
        <w:rPr>
          <w:b/>
          <w:i/>
        </w:rPr>
        <w:t>cybersécurité</w:t>
      </w:r>
      <w:proofErr w:type="spellEnd"/>
      <w:r>
        <w:rPr>
          <w:b/>
          <w:i/>
        </w:rPr>
        <w:t xml:space="preserve"> et protection des données</w:t>
      </w:r>
    </w:p>
    <w:p w:rsidR="00D01505" w:rsidRDefault="009D6246">
      <w:pPr>
        <w:pStyle w:val="NormalHanging12a"/>
      </w:pPr>
      <w:r>
        <w:t>38.</w:t>
      </w:r>
      <w:r>
        <w:tab/>
        <w:t>reconnaît le succès de l’approche, appliquée de longue date par le Médiateur, consistant à mobiliser des systèmes et des ressources intégrés d’autres inst</w:t>
      </w:r>
      <w:r>
        <w:t>itutions de l’Union, en particulier le Parlement et la Commission, afin d’optimiser l’utilisation du budget et de renforcer la coordination, par exemple dans le domaine de la numérisation; note, dans ce contexte, la mise en œuvre réussie des outils de trad</w:t>
      </w:r>
      <w:r>
        <w:t>uction automatique de la Commission qui ont été intégrés dans les systèmes du Médiateur (par exemple, le site web) en 2023; constate avec satisfaction, à la lecture du questionnaire, que ce projet a entraîné une baisse des coûts de traduction estimée à plu</w:t>
      </w:r>
      <w:r>
        <w:t>s de 30 % par an, ainsi qu’une réduction de la charge administrative;</w:t>
      </w:r>
    </w:p>
    <w:p w:rsidR="00D01505" w:rsidRDefault="009D6246">
      <w:pPr>
        <w:pStyle w:val="NormalHanging12a"/>
      </w:pPr>
      <w:r>
        <w:t>39.</w:t>
      </w:r>
      <w:r>
        <w:tab/>
        <w:t>se félicite de la mise en œuvre complète de la signature électronique qualifiée, qui permet au personnel de signer les documents de manière sécurisée, ainsi que de l’utilisation du s</w:t>
      </w:r>
      <w:r>
        <w:t xml:space="preserve">ystème </w:t>
      </w:r>
      <w:proofErr w:type="spellStart"/>
      <w:r>
        <w:t>QSign</w:t>
      </w:r>
      <w:proofErr w:type="spellEnd"/>
      <w:r>
        <w:t xml:space="preserve"> de la Commission, grâce auquel le personnel peut signer et gérer les documents, y compris les documents de marché et les documents contractuels;</w:t>
      </w:r>
    </w:p>
    <w:p w:rsidR="00D01505" w:rsidRDefault="009D6246">
      <w:pPr>
        <w:pStyle w:val="NormalHanging12a"/>
      </w:pPr>
      <w:r>
        <w:t>40.</w:t>
      </w:r>
      <w:r>
        <w:tab/>
        <w:t xml:space="preserve">relève que, depuis 2023, le Médiateur explore activement les possibilités que pourrait offrir </w:t>
      </w:r>
      <w:r>
        <w:t>le recours à l’intelligence artificielle (IA); se félicite, dans ce contexte, du partenariat noué entre le Médiateur et le Centre commun de recherche de la Commission européenne afin de mener des expériences sur de grands modèles linguistiques ainsi que de</w:t>
      </w:r>
      <w:r>
        <w:t xml:space="preserve"> tester et d’évaluer les cas d’utilisation de l’IA; relève en outre que le Médiateur a fait l’acquisition de plusieurs outils d’IA qui ont contribué avec succès à la création de contenus vidéo; se félicite de l’adoption par le Médiateur de lignes directric</w:t>
      </w:r>
      <w:r>
        <w:t>es internes visant à garantir que les outils d’IA externes sont utilisés de manière responsable et transparente; encourage le Médiateur à veiller à ce que le personnel reçoive une formation obligatoire sur l’utilisation sûre et éthique des outils d’IA afin</w:t>
      </w:r>
      <w:r>
        <w:t xml:space="preserve"> d’améliorer sa compréhension et d’atténuer les risques potentiels; demande au Médiateur de tenir l’autorité de décharge informée des progrès réalisés concernant les tests et l’utilisation des solutions d’IA;</w:t>
      </w:r>
    </w:p>
    <w:p w:rsidR="00D01505" w:rsidRDefault="009D6246">
      <w:pPr>
        <w:pStyle w:val="NormalHanging12a"/>
      </w:pPr>
      <w:r>
        <w:t>41.</w:t>
      </w:r>
      <w:r>
        <w:tab/>
        <w:t>note qu’en matière informatique, le Médiate</w:t>
      </w:r>
      <w:r>
        <w:t xml:space="preserve">ur s’appuie sur l’infrastructure et le cadre de </w:t>
      </w:r>
      <w:proofErr w:type="spellStart"/>
      <w:r>
        <w:lastRenderedPageBreak/>
        <w:t>cybersécurité</w:t>
      </w:r>
      <w:proofErr w:type="spellEnd"/>
      <w:r>
        <w:t xml:space="preserve"> du Parlement et coopère étroitement avec la Commission en ce qui concerne l’intégration et la maintenance des outils institutionnels de l’Union (SYSPER, ABAC, </w:t>
      </w:r>
      <w:proofErr w:type="spellStart"/>
      <w:r>
        <w:t>MiPS</w:t>
      </w:r>
      <w:proofErr w:type="spellEnd"/>
      <w:r>
        <w:t xml:space="preserve"> et ARES) et l’utilisation de c</w:t>
      </w:r>
      <w:r>
        <w:t>ontrats-cadres informatiques; note que, étant donné que son niveau de contrôle sur les données est limité, le Médiateur a conclu des accords de niveau de service avec les institutions concernées afin de garantir que le traitement des données à caractère pe</w:t>
      </w:r>
      <w:r>
        <w:t>rsonnel est conforme au cadre juridique applicable; constate avec satisfaction que le Médiateur n’a été confronté à aucune cyberattaque en 2023;</w:t>
      </w:r>
    </w:p>
    <w:p w:rsidR="00D01505" w:rsidRDefault="009D6246">
      <w:pPr>
        <w:pStyle w:val="NormalHanging12a"/>
      </w:pPr>
      <w:r>
        <w:t>42.</w:t>
      </w:r>
      <w:r>
        <w:tab/>
        <w:t xml:space="preserve">encourage le Médiateur à travailler en étroite coopération avec l’Agence de l’Union européenne pour la </w:t>
      </w:r>
      <w:proofErr w:type="spellStart"/>
      <w:r>
        <w:t>cybe</w:t>
      </w:r>
      <w:r>
        <w:t>rsécurité</w:t>
      </w:r>
      <w:proofErr w:type="spellEnd"/>
      <w:r>
        <w:t xml:space="preserve"> (ENISA); suggère que des programmes de formation à la </w:t>
      </w:r>
      <w:proofErr w:type="spellStart"/>
      <w:r>
        <w:t>cybersécurité</w:t>
      </w:r>
      <w:proofErr w:type="spellEnd"/>
      <w:r>
        <w:t xml:space="preserve"> actualisés régulièrement soient proposés à tout le personnel du Médiateur;</w:t>
      </w:r>
    </w:p>
    <w:p w:rsidR="00D01505" w:rsidRDefault="009D6246">
      <w:pPr>
        <w:pStyle w:val="NormalHanging12a"/>
      </w:pPr>
      <w:r>
        <w:t>43.</w:t>
      </w:r>
      <w:r>
        <w:tab/>
        <w:t>relève, en ce qui concerne le rapport d’audit interne 21/03 sur l’examen du cadre de protection des</w:t>
      </w:r>
      <w:r>
        <w:t xml:space="preserve"> données du Médiateur, qu’une action était toujours en cours au quatrième trimestre de 2023 et, en ce qui concerne le rapport d’audit interne 20/04 sur la sécurité informatique du Médiateur, que sept actions étaient en cours en 2023; demande au Médiateur d</w:t>
      </w:r>
      <w:r>
        <w:t>e tenir l’autorité de décharge informée de l’état d’avancement de ces dossiers;</w:t>
      </w:r>
    </w:p>
    <w:p w:rsidR="00D01505" w:rsidRDefault="009D6246">
      <w:pPr>
        <w:pStyle w:val="NormalHanging12a"/>
        <w:rPr>
          <w:b/>
          <w:i/>
        </w:rPr>
      </w:pPr>
      <w:r>
        <w:rPr>
          <w:b/>
          <w:i/>
        </w:rPr>
        <w:t>Environnement et durabilité</w:t>
      </w:r>
    </w:p>
    <w:p w:rsidR="00D01505" w:rsidRDefault="009D6246">
      <w:pPr>
        <w:pStyle w:val="NormalHanging12a"/>
      </w:pPr>
      <w:r>
        <w:t>44.</w:t>
      </w:r>
      <w:r>
        <w:tab/>
        <w:t xml:space="preserve">se félicite qu’au fil des ans, le Médiateur ait réduit son empreinte environnementale, notamment grâce à la numérisation de ses processus, à la </w:t>
      </w:r>
      <w:r>
        <w:t>suppression des imprimantes individuelles, au non-remplacement des unités centrales de traitement lorsqu’elles arrivent en fin de vie, à des mesures visant à rendre les événements plus durables et au recours intensif aux systèmes de vidéoconférence pour év</w:t>
      </w:r>
      <w:r>
        <w:t>iter les missions; note qu’en ce qui concerne l’empreinte environnementale de ses bâtiments, le Médiateur s’appuie sur les mesures prises par le Parlement en sa qualité de propriétaire des bâtiments; constate avec satisfaction que les deux bâtiments dans l</w:t>
      </w:r>
      <w:r>
        <w:t>esquels le Médiateur dispose de bureaux fonctionnent à 100 % à l’énergie propre; se félicite de l’installation par le Parlement de panneaux solaires, y compris sur le bâtiment Havel à Strasbourg en 2024;</w:t>
      </w:r>
    </w:p>
    <w:p w:rsidR="00D01505" w:rsidRDefault="009D6246">
      <w:pPr>
        <w:pStyle w:val="NormalHanging12a"/>
      </w:pPr>
      <w:r>
        <w:t>45.</w:t>
      </w:r>
      <w:r>
        <w:tab/>
        <w:t>note que le Médiateur a continué d’encourager la</w:t>
      </w:r>
      <w:r>
        <w:t xml:space="preserve"> mobilité durable en 2023; se félicite, à cet égard, que le Médiateur ait adopté une nouvelle politique de mobilité qui prévoit le versement d’une contribution forfaitaire aux membres du personnel, jusqu’au grade AST8/AD8, qui se rendent au travail par des</w:t>
      </w:r>
      <w:r>
        <w:t xml:space="preserve"> modes de transport durables; constate en outre, à la lecture du questionnaire, que l’initiative dans le cadre de laquelle le Médiateur a mis des vélos à la disposition du personnel pendant les heures de travail n’a pas abouti, étant donné que les vélos n’</w:t>
      </w:r>
      <w:r>
        <w:t>ont guère été utilisés au cours de la période d’essai;</w:t>
      </w:r>
    </w:p>
    <w:p w:rsidR="00D01505" w:rsidRDefault="009D6246">
      <w:pPr>
        <w:pStyle w:val="NormalHanging12a"/>
        <w:ind w:left="0" w:firstLine="0"/>
        <w:rPr>
          <w:b/>
          <w:i/>
        </w:rPr>
      </w:pPr>
      <w:r>
        <w:rPr>
          <w:b/>
          <w:i/>
        </w:rPr>
        <w:t>Coopération interinstitutionnelle</w:t>
      </w:r>
    </w:p>
    <w:p w:rsidR="00D01505" w:rsidRDefault="009D6246">
      <w:pPr>
        <w:pStyle w:val="NormalHanging12a"/>
      </w:pPr>
      <w:r>
        <w:t>46.</w:t>
      </w:r>
      <w:r>
        <w:tab/>
      </w:r>
      <w:r>
        <w:t>se félicite des économies financières et administratives réalisées grâce à la coopération interinstitutionnelle, en particulier le large éventail d’accords de niveau de service (ANS) conclus avec le Parlement et la Commission et la participation aux procéd</w:t>
      </w:r>
      <w:r>
        <w:t xml:space="preserve">ures interinstitutionnelles de passation de marchés; se félicite de la formalisation de la collaboration entre le Parlement et le Médiateur dans le domaine de la </w:t>
      </w:r>
      <w:proofErr w:type="spellStart"/>
      <w:r>
        <w:t>cybersécurité</w:t>
      </w:r>
      <w:proofErr w:type="spellEnd"/>
      <w:r>
        <w:t xml:space="preserve"> au moyen d’un accord interinstitutionnel révisé qui fournit un cadre permettant </w:t>
      </w:r>
      <w:r>
        <w:t xml:space="preserve">au </w:t>
      </w:r>
      <w:r>
        <w:lastRenderedPageBreak/>
        <w:t xml:space="preserve">Parlement de continuer à apporter au Médiateur un soutien solide en matière de </w:t>
      </w:r>
      <w:proofErr w:type="spellStart"/>
      <w:r>
        <w:t>cybersécurité</w:t>
      </w:r>
      <w:proofErr w:type="spellEnd"/>
      <w:r>
        <w:t>; relève en outre qu’en 2023, le Médiateur a signé un ANS avec l’EPSO concernant l’organisation de concours internes;</w:t>
      </w:r>
    </w:p>
    <w:p w:rsidR="00D01505" w:rsidRDefault="009D6246">
      <w:pPr>
        <w:pStyle w:val="NormalHanging12a"/>
      </w:pPr>
      <w:r>
        <w:t>47.</w:t>
      </w:r>
      <w:r>
        <w:tab/>
        <w:t xml:space="preserve">félicite le Médiateur pour sa bonne </w:t>
      </w:r>
      <w:r>
        <w:t>collaboration avec l’OLAF, la Cour des comptes européenne et le Parquet européen, qui, en 2023, a pris la forme de réunions et d’échanges de vues sur, par exemple, les moyens d’améliorer la transparence et l’intégrité des institutions de l’Union ou le cadr</w:t>
      </w:r>
      <w:r>
        <w:t>e de surveillance de l’Union; rappelle que le Médiateur et l’OLAF ont mis en place un système destiné à éviter la duplication des enquêtes; relève, à la lecture du questionnaire, que le Médiateur et le CEPD coopèrent principalement sur une base ad hoc et i</w:t>
      </w:r>
      <w:r>
        <w:t>nformelle en vue d’une collaboration rapide et efficace en cas de besoin; encourage le Médiateur à travailler en étroite coopération avec les autres institutions et agences européennes;</w:t>
      </w:r>
    </w:p>
    <w:p w:rsidR="00D01505" w:rsidRDefault="009D6246">
      <w:pPr>
        <w:pStyle w:val="NormalHanging12a"/>
      </w:pPr>
      <w:r>
        <w:t>48.</w:t>
      </w:r>
      <w:r>
        <w:tab/>
        <w:t>invite le Médiateur à établir un dialogue annuel formel avec les c</w:t>
      </w:r>
      <w:r>
        <w:t>ommissions CONT et LIBE du Parlement européen, afin d’assurer un suivi systématique de la transparence institutionnelle, des réformes de la gouvernance et de la protection des droits fondamentaux;</w:t>
      </w:r>
    </w:p>
    <w:p w:rsidR="00D01505" w:rsidRDefault="009D6246">
      <w:pPr>
        <w:pStyle w:val="NormalHanging12a"/>
      </w:pPr>
      <w:r>
        <w:t>49.</w:t>
      </w:r>
      <w:r>
        <w:tab/>
        <w:t>reconnaît qu’il importe de maintenir un niveau élevé d’</w:t>
      </w:r>
      <w:r>
        <w:t>échanges et de coopération avec le Réseau européen des médiateurs; se félicite de l’organisation de la conférence annuelle de ce dernier, dont les sessions ont porté en 2023 sur des sujets tels que les migrations, l’intelligence artificielle et l’éthique d</w:t>
      </w:r>
      <w:r>
        <w:t>ans l’administration publique; constate avec satisfaction que, grâce à la procédure de requête, le Médiateur aide les membres du Réseau européen des médiateurs à résoudre des enquêtes aux niveaux national et régional, sachant qu’en 2023, le Médiateur a clo</w:t>
      </w:r>
      <w:r>
        <w:t>s cinq requêtes émanant de cinq États membres de l’Union; se félicite de l’organisation de la conférence annuelle du Réseau européen des médiateurs en 2023, qui constitue une plateforme de dialogue précieuse sur des questions clés influençant les activités</w:t>
      </w:r>
      <w:r>
        <w:t xml:space="preserve"> des médiateurs dans toute l’Europe;</w:t>
      </w:r>
    </w:p>
    <w:p w:rsidR="00D01505" w:rsidRDefault="009D6246">
      <w:pPr>
        <w:pStyle w:val="NormalHanging12a"/>
      </w:pPr>
      <w:r>
        <w:t>50.</w:t>
      </w:r>
      <w:r>
        <w:tab/>
        <w:t>se félicite qu’en 2023, le Médiateur ait continué de coopérer étroitement avec les commissions compétentes du Parlement européen sur les enquêtes importantes, soit en présentant les travaux directement lors des réun</w:t>
      </w:r>
      <w:r>
        <w:t>ions des commissions, soit en envoyant des informations aux présidents des commissions; souligne que les initiatives stratégiques et les enquêtes menées par le Médiateur sont essentielles pour améliorer la transparence et la responsabilité de l’administrat</w:t>
      </w:r>
      <w:r>
        <w:t>ion de l’Union;</w:t>
      </w:r>
    </w:p>
    <w:p w:rsidR="00D01505" w:rsidRDefault="009D6246">
      <w:pPr>
        <w:pStyle w:val="NormalHanging12a"/>
        <w:rPr>
          <w:b/>
          <w:i/>
        </w:rPr>
      </w:pPr>
      <w:r>
        <w:rPr>
          <w:b/>
          <w:i/>
        </w:rPr>
        <w:t>Communication</w:t>
      </w:r>
    </w:p>
    <w:p w:rsidR="00D01505" w:rsidRDefault="009D6246">
      <w:pPr>
        <w:pStyle w:val="NormalHanging12a"/>
      </w:pPr>
      <w:r>
        <w:t>51.</w:t>
      </w:r>
      <w:r>
        <w:tab/>
        <w:t>relève que le budget global consacré aux activités de communication et de promotion (publications, organisation d’événements, communication numérique, etc.) a augmenté de 17,20 %, passant de 132 400 EUR en 2022 à 155 200 E</w:t>
      </w:r>
      <w:r>
        <w:t>UR en 2023;</w:t>
      </w:r>
    </w:p>
    <w:p w:rsidR="00D01505" w:rsidRDefault="009D6246">
      <w:pPr>
        <w:pStyle w:val="NormalHanging12a"/>
      </w:pPr>
      <w:r>
        <w:t>52.</w:t>
      </w:r>
      <w:r>
        <w:tab/>
        <w:t>se félicite des efforts déployés par le Médiateur et des mesures qu’il a prises pour sensibiliser les citoyens à son rôle et à la possibilité de recourir à ses services en cas de mauvaise administration de la part d’une institution de l’Uni</w:t>
      </w:r>
      <w:r>
        <w:t>on; prend acte, à cet égard, des campagnes de communication menées en 2023 au moyen d’une série de vidéos présentant les travaux du Médiateur et expliquant trois des domaines clés de ses interventions, d’une note explicative, sous la forme d’une histoire à</w:t>
      </w:r>
      <w:r>
        <w:t xml:space="preserve"> défilement, sur l’incidence de ses travaux au fil du temps, et d’un guide sur l’accès aux documents; se </w:t>
      </w:r>
      <w:r>
        <w:lastRenderedPageBreak/>
        <w:t>félicite en outre de l’organisation de la cérémonie de remise du «prix d’excellence de la bonne administration» et de la participation du Médiateur à l</w:t>
      </w:r>
      <w:r>
        <w:t>a Journée portes ouvertes de l’Union à Bruxelles et à Strasbourg, où il a organisé des événements ciblés avec des parties prenantes ainsi que des universitaires et des groupes de réflexion, et à la Rencontre des jeunes européens à Strasbourg en 2023;</w:t>
      </w:r>
    </w:p>
    <w:p w:rsidR="00D01505" w:rsidRDefault="009D6246">
      <w:pPr>
        <w:pStyle w:val="NormalHanging12a"/>
      </w:pPr>
      <w:r>
        <w:t>53.</w:t>
      </w:r>
      <w:r>
        <w:tab/>
        <w:t>r</w:t>
      </w:r>
      <w:r>
        <w:t xml:space="preserve">econnaît les efforts entrepris par le Médiateur pour fournir des informations transparentes et publier des données (y compris des statistiques sur ses dossiers) dans un format informatif et convivial sur le site internet du Médiateur, bien que ces données </w:t>
      </w:r>
      <w:r>
        <w:t>ne soient pas disponibles dans un format ouvert; se félicite de la publication sur le site web d’une frise chronologique qui porte sur toutes les enquêtes sur les plaintes et fournit des informations sur les étapes passées et futures de chaque enquête;</w:t>
      </w:r>
    </w:p>
    <w:p w:rsidR="00D01505" w:rsidRDefault="009D6246">
      <w:pPr>
        <w:pStyle w:val="NormalHanging12a"/>
      </w:pPr>
      <w:r>
        <w:t>54.</w:t>
      </w:r>
      <w:r>
        <w:tab/>
        <w:t>relève que le Médiateur dispose de comptes de médias sociaux sur Instagram, LinkedIn et X (ex-Twitter), où la croissance des abonnés et les taux d’engagement ont continué à augmenter en 2023; se félicite de la participation du Médiateur à un projet pilote</w:t>
      </w:r>
      <w:r>
        <w:t xml:space="preserve"> mené par le CEPD visant à amener les institutions de l’Union sur EU-Voice et EU-</w:t>
      </w:r>
      <w:proofErr w:type="spellStart"/>
      <w:r>
        <w:t>Video</w:t>
      </w:r>
      <w:proofErr w:type="spellEnd"/>
      <w:r>
        <w:t xml:space="preserve">, qui sont deux réseaux de médias sociaux libres et ouverts, basés sur le logiciel </w:t>
      </w:r>
      <w:proofErr w:type="spellStart"/>
      <w:r>
        <w:t>Mastodon</w:t>
      </w:r>
      <w:proofErr w:type="spellEnd"/>
      <w:r>
        <w:t>, permettant aux institutions de l’Union d’interagir avec le public en partagea</w:t>
      </w:r>
      <w:r>
        <w:t>nt des textes, des images, des vidéos et des podcasts.</w:t>
      </w:r>
    </w:p>
    <w:p w:rsidR="00D01505" w:rsidRDefault="00D01505"/>
    <w:sectPr w:rsidR="00D0150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505" w:rsidRDefault="009D6246">
      <w:r>
        <w:separator/>
      </w:r>
    </w:p>
  </w:endnote>
  <w:endnote w:type="continuationSeparator" w:id="0">
    <w:p w:rsidR="00D01505" w:rsidRDefault="009D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9D6246">
    <w:pPr>
      <w:pStyle w:val="EPFooter"/>
    </w:pPr>
    <w:r>
      <w:t>PE</w:t>
    </w:r>
    <w:r>
      <w:rPr>
        <w:rStyle w:val="HideTWBExt"/>
      </w:rPr>
      <w:t>&lt;</w:t>
    </w:r>
    <w:proofErr w:type="spellStart"/>
    <w:r>
      <w:rPr>
        <w:rStyle w:val="HideTWBExt"/>
      </w:rPr>
      <w:t>NoPE</w:t>
    </w:r>
    <w:proofErr w:type="spellEnd"/>
    <w:r>
      <w:rPr>
        <w:rStyle w:val="HideTWBExt"/>
      </w:rPr>
      <w:t>&gt;</w:t>
    </w:r>
    <w:r>
      <w:t>764.991</w:t>
    </w:r>
    <w:r>
      <w:rPr>
        <w:rStyle w:val="HideTWBExt"/>
      </w:rPr>
      <w:t>&lt;/</w:t>
    </w:r>
    <w:proofErr w:type="spellStart"/>
    <w:r>
      <w:rPr>
        <w:rStyle w:val="HideTWBExt"/>
      </w:rPr>
      <w:t>NoPE</w:t>
    </w:r>
    <w:proofErr w:type="spellEnd"/>
    <w:r>
      <w:rPr>
        <w:rStyle w:val="HideTWBExt"/>
      </w:rPr>
      <w:t>&gt;&lt;Version&gt;</w:t>
    </w:r>
    <w:r>
      <w:t>v01-00</w:t>
    </w:r>
    <w:r>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2</w:t>
    </w:r>
    <w:r>
      <w:rPr>
        <w:noProof/>
      </w:rPr>
      <w:fldChar w:fldCharType="end"/>
    </w:r>
    <w:r>
      <w:tab/>
    </w:r>
    <w:r>
      <w:rPr>
        <w:rStyle w:val="HideTWBExt"/>
      </w:rPr>
      <w:t>&lt;PathFdR&gt;</w:t>
    </w:r>
    <w:r>
      <w:t>RR\1318734FR.docx</w:t>
    </w:r>
    <w:r>
      <w:rPr>
        <w:rStyle w:val="HideTWBExt"/>
      </w:rPr>
      <w:t>&lt;/</w:t>
    </w:r>
    <w:proofErr w:type="spellStart"/>
    <w:r>
      <w:rPr>
        <w:rStyle w:val="HideTWBExt"/>
      </w:rPr>
      <w:t>PathFdR</w:t>
    </w:r>
    <w:proofErr w:type="spellEnd"/>
    <w:r>
      <w:rPr>
        <w:rStyle w:val="HideTWBExt"/>
      </w:rPr>
      <w:t>&gt;</w:t>
    </w:r>
  </w:p>
  <w:p w:rsidR="00D01505" w:rsidRDefault="009D6246">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9D6246">
    <w:pPr>
      <w:pStyle w:val="EPFooter"/>
    </w:pPr>
    <w:r>
      <w:rPr>
        <w:rStyle w:val="HideTWBExt"/>
      </w:rPr>
      <w:t>&lt;PathFdR&gt;</w:t>
    </w:r>
    <w:r>
      <w:t>RR\1318734FR.docx</w:t>
    </w:r>
    <w:r>
      <w:rPr>
        <w:rStyle w:val="HideTWBExt"/>
      </w:rPr>
      <w:t>&lt;/</w:t>
    </w:r>
    <w:proofErr w:type="spellStart"/>
    <w:r>
      <w:rPr>
        <w:rStyle w:val="HideTWBExt"/>
      </w:rPr>
      <w:t>PathFdR</w:t>
    </w:r>
    <w:proofErr w:type="spellEnd"/>
    <w:r>
      <w:rPr>
        <w:rStyle w:val="HideTWBExt"/>
      </w:rPr>
      <w:t>&gt;</w:t>
    </w:r>
    <w:r>
      <w:tab/>
    </w:r>
    <w:r>
      <w:tab/>
      <w:t>PE</w:t>
    </w:r>
    <w:r>
      <w:rPr>
        <w:rStyle w:val="HideTWBExt"/>
      </w:rPr>
      <w:t>&lt;</w:t>
    </w:r>
    <w:proofErr w:type="spellStart"/>
    <w:r>
      <w:rPr>
        <w:rStyle w:val="HideTWBExt"/>
      </w:rPr>
      <w:t>NoPE</w:t>
    </w:r>
    <w:proofErr w:type="spellEnd"/>
    <w:r>
      <w:rPr>
        <w:rStyle w:val="HideTWBExt"/>
      </w:rPr>
      <w:t>&gt;</w:t>
    </w:r>
    <w:r>
      <w:t>764.991</w:t>
    </w:r>
    <w:r>
      <w:rPr>
        <w:rStyle w:val="HideTWBExt"/>
      </w:rPr>
      <w:t>&lt;/</w:t>
    </w:r>
    <w:proofErr w:type="spellStart"/>
    <w:r>
      <w:rPr>
        <w:rStyle w:val="HideTWBExt"/>
      </w:rPr>
      <w:t>NoPE</w:t>
    </w:r>
    <w:proofErr w:type="spellEnd"/>
    <w:r>
      <w:rPr>
        <w:rStyle w:val="HideTWBExt"/>
      </w:rPr>
      <w:t>&gt;&lt;Version&gt;</w:t>
    </w:r>
    <w:r>
      <w:t>v01-00</w:t>
    </w:r>
    <w:r>
      <w:rPr>
        <w:rStyle w:val="HideTWBExt"/>
      </w:rPr>
      <w:t>&lt;/Version&gt;</w:t>
    </w:r>
  </w:p>
  <w:p w:rsidR="00D01505" w:rsidRDefault="009D6246">
    <w:pPr>
      <w:pStyle w:val="EPFooter2"/>
    </w:pPr>
    <w:r>
      <w:t>FR</w:t>
    </w:r>
    <w:r>
      <w:tab/>
    </w:r>
    <w:r>
      <w:rPr>
        <w:b w:val="0"/>
        <w:i/>
        <w:color w:val="C0C0C0"/>
        <w:sz w:val="22"/>
      </w:rPr>
      <w:t>Unie dans la diversité</w:t>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505" w:rsidRDefault="009D6246">
      <w:r>
        <w:separator/>
      </w:r>
    </w:p>
  </w:footnote>
  <w:footnote w:type="continuationSeparator" w:id="0">
    <w:p w:rsidR="00D01505" w:rsidRDefault="009D6246">
      <w:r>
        <w:continuationSeparator/>
      </w:r>
    </w:p>
  </w:footnote>
  <w:footnote w:id="1">
    <w:p w:rsidR="00D01505" w:rsidRDefault="009D6246">
      <w:pPr>
        <w:ind w:left="567" w:hanging="567"/>
        <w:rPr>
          <w:lang w:val="fi-FI"/>
        </w:rPr>
      </w:pPr>
      <w:r>
        <w:rPr>
          <w:rStyle w:val="FootnoteReference"/>
        </w:rPr>
        <w:footnoteRef/>
      </w:r>
      <w:r>
        <w:rPr>
          <w:lang w:val="fi-FI"/>
        </w:rPr>
        <w:t xml:space="preserve"> </w:t>
      </w:r>
      <w:r>
        <w:rPr>
          <w:lang w:val="fi-FI"/>
        </w:rPr>
        <w:tab/>
        <w:t xml:space="preserve">JO L 58 du 23.2.2023, p. 1, ELI: </w:t>
      </w:r>
      <w:hyperlink r:id="rId1" w:tooltip="Donne accès à ce document par l’intermédiaire des identifiants URI et ELI." w:history="1">
        <w:r>
          <w:rPr>
            <w:color w:val="337AB7"/>
            <w:u w:val="single"/>
            <w:shd w:val="clear" w:color="auto" w:fill="FFFFFF"/>
            <w:lang w:val="fi-FI"/>
          </w:rPr>
          <w:t>http://data.eur</w:t>
        </w:r>
        <w:r>
          <w:rPr>
            <w:color w:val="337AB7"/>
            <w:u w:val="single"/>
            <w:shd w:val="clear" w:color="auto" w:fill="FFFFFF"/>
            <w:lang w:val="fi-FI"/>
          </w:rPr>
          <w:t>opa.eu/eli/budget/2023/1/oj</w:t>
        </w:r>
      </w:hyperlink>
      <w:r>
        <w:rPr>
          <w:shd w:val="clear" w:color="auto" w:fill="FFFFFF"/>
          <w:lang w:val="fi-FI"/>
        </w:rPr>
        <w:t>.</w:t>
      </w:r>
    </w:p>
  </w:footnote>
  <w:footnote w:id="2">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C/2024/5462, 10.10.2024, ELI: </w:t>
      </w:r>
      <w:r>
        <w:fldChar w:fldCharType="begin"/>
      </w:r>
      <w:r w:rsidRPr="009D6246">
        <w:rPr>
          <w:lang w:val="fi-FI"/>
        </w:rPr>
        <w:instrText xml:space="preserve"> HYPERLINK "http://data.europa.eu/eli/C/2024/5462/oj" </w:instrText>
      </w:r>
      <w:r>
        <w:fldChar w:fldCharType="separate"/>
      </w:r>
      <w:r>
        <w:rPr>
          <w:rStyle w:val="Hyperlink"/>
          <w:sz w:val="24"/>
          <w:lang w:val="fi-FI"/>
        </w:rPr>
        <w:t>http://data.europa.eu/eli/C/2024/5462/oj</w:t>
      </w:r>
      <w:r>
        <w:rPr>
          <w:rStyle w:val="Hyperlink"/>
          <w:sz w:val="24"/>
          <w:lang w:val="fi-FI"/>
        </w:rPr>
        <w:fldChar w:fldCharType="end"/>
      </w:r>
      <w:r>
        <w:rPr>
          <w:rStyle w:val="Hyperlink"/>
          <w:sz w:val="24"/>
          <w:lang w:val="fi-FI"/>
        </w:rPr>
        <w:t>.</w:t>
      </w:r>
    </w:p>
  </w:footnote>
  <w:footnote w:id="3">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C/2024/5882, 9.10.2024, ELI: </w:t>
      </w:r>
      <w:r>
        <w:fldChar w:fldCharType="begin"/>
      </w:r>
      <w:r w:rsidRPr="009D6246">
        <w:rPr>
          <w:lang w:val="fi-FI"/>
        </w:rPr>
        <w:instrText xml:space="preserve"> HYPERLINK "http://data.europa.eu/eli/C/2024/5882</w:instrText>
      </w:r>
      <w:r w:rsidRPr="009D6246">
        <w:rPr>
          <w:lang w:val="fi-FI"/>
        </w:rPr>
        <w:instrText xml:space="preserve">/oj" </w:instrText>
      </w:r>
      <w:r>
        <w:fldChar w:fldCharType="separate"/>
      </w:r>
      <w:r>
        <w:rPr>
          <w:rStyle w:val="Hyperlink"/>
          <w:sz w:val="24"/>
          <w:lang w:val="fi-FI"/>
        </w:rPr>
        <w:t>http://data.europa.eu/eli/C/2024/5882/oj</w:t>
      </w:r>
      <w:r>
        <w:rPr>
          <w:rStyle w:val="Hyperlink"/>
          <w:sz w:val="24"/>
          <w:lang w:val="fi-FI"/>
        </w:rPr>
        <w:fldChar w:fldCharType="end"/>
      </w:r>
      <w:r>
        <w:rPr>
          <w:rStyle w:val="Hyperlink"/>
          <w:sz w:val="24"/>
          <w:lang w:val="fi-FI"/>
        </w:rPr>
        <w:t>.</w:t>
      </w:r>
    </w:p>
  </w:footnote>
  <w:footnote w:id="4">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C/2024/6041, 10.10.2024, ELI: </w:t>
      </w:r>
      <w:r>
        <w:fldChar w:fldCharType="begin"/>
      </w:r>
      <w:r w:rsidRPr="009D6246">
        <w:rPr>
          <w:lang w:val="fi-FI"/>
        </w:rPr>
        <w:instrText xml:space="preserve"> HYPERLINK "http://data.europa.eu/eli/C/2024/6041/oj" </w:instrText>
      </w:r>
      <w:r>
        <w:fldChar w:fldCharType="separate"/>
      </w:r>
      <w:r>
        <w:rPr>
          <w:rStyle w:val="Hyperlink"/>
          <w:sz w:val="24"/>
          <w:lang w:val="fi-FI"/>
        </w:rPr>
        <w:t>http://data.europa.eu/eli/C/2024/6041/oj</w:t>
      </w:r>
      <w:r>
        <w:rPr>
          <w:rStyle w:val="Hyperlink"/>
          <w:sz w:val="24"/>
          <w:lang w:val="fi-FI"/>
        </w:rPr>
        <w:fldChar w:fldCharType="end"/>
      </w:r>
      <w:r>
        <w:rPr>
          <w:rStyle w:val="Hyperlink"/>
          <w:sz w:val="24"/>
          <w:lang w:val="fi-FI"/>
        </w:rPr>
        <w:t>.</w:t>
      </w:r>
    </w:p>
  </w:footnote>
  <w:footnote w:id="5">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193 du 30.7.2018, p. 1, ELI: </w:t>
      </w:r>
      <w:r>
        <w:fldChar w:fldCharType="begin"/>
      </w:r>
      <w:r w:rsidRPr="009D6246">
        <w:rPr>
          <w:lang w:val="fi-FI"/>
        </w:rPr>
        <w:instrText xml:space="preserve"> HYPERLINK "http://data.europa.</w:instrText>
      </w:r>
      <w:r w:rsidRPr="009D6246">
        <w:rPr>
          <w:lang w:val="fi-FI"/>
        </w:rPr>
        <w:instrText xml:space="preserve">eu/eli/reg/2018/1046/oj" </w:instrText>
      </w:r>
      <w:r>
        <w:fldChar w:fldCharType="separate"/>
      </w:r>
      <w:r>
        <w:rPr>
          <w:rStyle w:val="Hyperlink"/>
          <w:sz w:val="24"/>
          <w:lang w:val="fi-FI"/>
        </w:rPr>
        <w:t>http://data.europa.eu/eli/reg/2018/1046/oj</w:t>
      </w:r>
      <w:r>
        <w:rPr>
          <w:rStyle w:val="Hyperlink"/>
          <w:sz w:val="24"/>
          <w:lang w:val="fi-FI"/>
        </w:rPr>
        <w:fldChar w:fldCharType="end"/>
      </w:r>
      <w:r>
        <w:rPr>
          <w:sz w:val="24"/>
          <w:lang w:val="fi-FI"/>
        </w:rPr>
        <w:t>.</w:t>
      </w:r>
    </w:p>
  </w:footnote>
  <w:footnote w:id="6">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2024/2509, 26.9.2024, ELI: </w:t>
      </w:r>
      <w:r>
        <w:fldChar w:fldCharType="begin"/>
      </w:r>
      <w:r w:rsidRPr="009D6246">
        <w:rPr>
          <w:lang w:val="fi-FI"/>
        </w:rPr>
        <w:instrText xml:space="preserve"> HYPERLINK "https://data.europa.eu/eli/reg/2024/2509/oj" </w:instrText>
      </w:r>
      <w:r>
        <w:fldChar w:fldCharType="separate"/>
      </w:r>
      <w:r>
        <w:rPr>
          <w:rStyle w:val="Hyperlink"/>
          <w:sz w:val="24"/>
          <w:lang w:val="fi-FI"/>
        </w:rPr>
        <w:t>https://data.europa.eu/eli/reg/2024/2509/oj</w:t>
      </w:r>
      <w:r>
        <w:rPr>
          <w:rStyle w:val="Hyperlink"/>
          <w:sz w:val="24"/>
          <w:lang w:val="fi-FI"/>
        </w:rPr>
        <w:fldChar w:fldCharType="end"/>
      </w:r>
      <w:r>
        <w:rPr>
          <w:rStyle w:val="Hyperlink"/>
          <w:sz w:val="24"/>
          <w:lang w:val="fi-FI"/>
        </w:rPr>
        <w:t>.</w:t>
      </w:r>
    </w:p>
  </w:footnote>
  <w:footnote w:id="7">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253 du 16.7.2021, p. 1, ELI: </w:t>
      </w:r>
      <w:r>
        <w:fldChar w:fldCharType="begin"/>
      </w:r>
      <w:r w:rsidRPr="009D6246">
        <w:rPr>
          <w:lang w:val="fi-FI"/>
        </w:rPr>
        <w:instrText xml:space="preserve"> HYPERLINK "http://data.europa.eu/eli/reg/2021/1163/oj" </w:instrText>
      </w:r>
      <w:r>
        <w:fldChar w:fldCharType="separate"/>
      </w:r>
      <w:r>
        <w:rPr>
          <w:rStyle w:val="Hyperlink"/>
          <w:sz w:val="24"/>
          <w:lang w:val="fi-FI"/>
        </w:rPr>
        <w:t>http://data.europa.eu/eli/reg/2021/1163/oj</w:t>
      </w:r>
      <w:r>
        <w:rPr>
          <w:rStyle w:val="Hyperlink"/>
          <w:sz w:val="24"/>
          <w:lang w:val="fi-FI"/>
        </w:rPr>
        <w:fldChar w:fldCharType="end"/>
      </w:r>
      <w:r>
        <w:rPr>
          <w:sz w:val="24"/>
          <w:lang w:val="fi-FI"/>
        </w:rPr>
        <w:t>.</w:t>
      </w:r>
    </w:p>
  </w:footnote>
  <w:footnote w:id="8">
    <w:p w:rsidR="00D01505" w:rsidRDefault="009D6246">
      <w:pPr>
        <w:pStyle w:val="FootnoteText"/>
        <w:ind w:left="567" w:hanging="567"/>
        <w:rPr>
          <w:sz w:val="24"/>
          <w:lang w:val="fi-FI"/>
        </w:rPr>
      </w:pPr>
      <w:r>
        <w:rPr>
          <w:rStyle w:val="FootnoteReference"/>
          <w:sz w:val="24"/>
        </w:rPr>
        <w:footnoteRef/>
      </w:r>
      <w:r>
        <w:rPr>
          <w:color w:val="333333"/>
          <w:sz w:val="24"/>
          <w:shd w:val="clear" w:color="auto" w:fill="FFFFFF"/>
          <w:lang w:val="fi-FI"/>
        </w:rPr>
        <w:t xml:space="preserve"> </w:t>
      </w:r>
      <w:r>
        <w:rPr>
          <w:color w:val="333333"/>
          <w:sz w:val="24"/>
          <w:shd w:val="clear" w:color="auto" w:fill="FFFFFF"/>
          <w:lang w:val="fi-FI"/>
        </w:rPr>
        <w:tab/>
        <w:t>JO C, C/2023/161, 10.10.2023, ELI: </w:t>
      </w:r>
      <w:r>
        <w:fldChar w:fldCharType="begin"/>
      </w:r>
      <w:r w:rsidRPr="009D6246">
        <w:rPr>
          <w:lang w:val="fi-FI"/>
        </w:rPr>
        <w:instrText xml:space="preserve"> HYPERLINK "http://data.europa.eu/eli/C/2023/161/oj" \t "_blank" \o "Donne accès à ce document par l’intermédiaire </w:instrText>
      </w:r>
      <w:r w:rsidRPr="009D6246">
        <w:rPr>
          <w:lang w:val="fi-FI"/>
        </w:rPr>
        <w:instrText xml:space="preserve">des identifiants URI et ELI." </w:instrText>
      </w:r>
      <w:r>
        <w:fldChar w:fldCharType="separate"/>
      </w:r>
      <w:r>
        <w:rPr>
          <w:color w:val="23527C"/>
          <w:sz w:val="24"/>
          <w:u w:val="single"/>
          <w:lang w:val="fi-FI"/>
        </w:rPr>
        <w:t>http://data.europa.eu/eli/C/2023/161/oj</w:t>
      </w:r>
      <w:r>
        <w:rPr>
          <w:color w:val="23527C"/>
          <w:sz w:val="24"/>
          <w:u w:val="single"/>
          <w:lang w:val="fi-FI"/>
        </w:rPr>
        <w:fldChar w:fldCharType="end"/>
      </w:r>
      <w:r>
        <w:rPr>
          <w:color w:val="23527C"/>
          <w:sz w:val="24"/>
          <w:lang w:val="fi-FI"/>
        </w:rPr>
        <w:t>.</w:t>
      </w:r>
    </w:p>
  </w:footnote>
  <w:footnote w:id="9">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r>
      <w:r>
        <w:fldChar w:fldCharType="begin"/>
      </w:r>
      <w:r w:rsidRPr="009D6246">
        <w:rPr>
          <w:lang w:val="fi-FI"/>
        </w:rPr>
        <w:instrText xml:space="preserve"> HYPERLINK "https://www.ombudsman.europa.eu/fr/doc/annual-report/fr/183636" </w:instrText>
      </w:r>
      <w:r>
        <w:fldChar w:fldCharType="separate"/>
      </w:r>
      <w:r>
        <w:rPr>
          <w:rStyle w:val="Hyperlink"/>
          <w:sz w:val="24"/>
          <w:lang w:val="fi-FI"/>
        </w:rPr>
        <w:t>https://www.ombudsman.europa.eu/fr/doc/annual-report/fr/183636</w:t>
      </w:r>
      <w:r>
        <w:rPr>
          <w:rStyle w:val="Hyperlink"/>
          <w:sz w:val="24"/>
          <w:lang w:val="fi-FI"/>
        </w:rPr>
        <w:fldChar w:fldCharType="end"/>
      </w:r>
    </w:p>
  </w:footnote>
  <w:footnote w:id="10">
    <w:p w:rsidR="00D01505" w:rsidRDefault="009D6246">
      <w:pPr>
        <w:pStyle w:val="FootnoteText"/>
        <w:ind w:left="567" w:hanging="567"/>
        <w:rPr>
          <w:sz w:val="24"/>
          <w:lang w:val="fi-FI"/>
        </w:rPr>
      </w:pPr>
      <w:r>
        <w:rPr>
          <w:rStyle w:val="FootnoteReference"/>
          <w:sz w:val="24"/>
        </w:rPr>
        <w:footnoteRef/>
      </w:r>
      <w:r>
        <w:rPr>
          <w:sz w:val="24"/>
          <w:lang w:val="fi-FI"/>
        </w:rPr>
        <w:t xml:space="preserve"> </w:t>
      </w:r>
      <w:r>
        <w:rPr>
          <w:sz w:val="24"/>
          <w:lang w:val="fi-FI"/>
        </w:rPr>
        <w:tab/>
      </w:r>
      <w:r>
        <w:fldChar w:fldCharType="begin"/>
      </w:r>
      <w:r w:rsidRPr="009D6246">
        <w:rPr>
          <w:lang w:val="fi-FI"/>
        </w:rPr>
        <w:instrText xml:space="preserve"> HYPERLINK "https://www.ombudsman.europa.eu/fr/multimedia/infographics/fr/142" </w:instrText>
      </w:r>
      <w:r>
        <w:fldChar w:fldCharType="separate"/>
      </w:r>
      <w:r>
        <w:rPr>
          <w:rStyle w:val="Hyperlink"/>
          <w:sz w:val="24"/>
          <w:lang w:val="fi-FI"/>
        </w:rPr>
        <w:t>https://www.ombudsman.europa.eu/fr/multimedia/infographics/fr/142</w:t>
      </w:r>
      <w:r>
        <w:rPr>
          <w:rStyle w:val="Hyperlink"/>
          <w:sz w:val="24"/>
          <w:lang w:val="fi-F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505" w:rsidRDefault="00D015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5/2025"/>
    <w:docVar w:name="dvlangue" w:val="FR"/>
    <w:docVar w:name="dvnumam" w:val="0"/>
    <w:docVar w:name="dvpe" w:val="764.991"/>
    <w:docVar w:name="dvrapporteur" w:val="Rapporteur: "/>
    <w:docVar w:name="dvtitre" w:val="1. Décision du Parlement européen du 7 mai 2025 concernant la décharge sur l’exécution du budget général de l’Union européenne pour l’exercice 2023, section VIII – Médiateur européen(2024/2027(DEC))"/>
  </w:docVars>
  <w:rsids>
    <w:rsidRoot w:val="00D01505"/>
    <w:rsid w:val="009D6246"/>
    <w:rsid w:val="00D0150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D7756"/>
  <w15:chartTrackingRefBased/>
  <w15:docId w15:val="{F389D4D0-2DF5-452E-8931-5760E613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fr-FR"/>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Pr>
      <w:sz w:val="24"/>
      <w:lang w:val="fr-FR"/>
    </w:rPr>
  </w:style>
  <w:style w:type="character" w:styleId="Hyperlink">
    <w:name w:val="Hyperlink"/>
    <w:basedOn w:val="DefaultParagraphFont"/>
    <w:rPr>
      <w:color w:val="0563C1" w:themeColor="hyperlink"/>
      <w:u w:val="single"/>
    </w:rPr>
  </w:style>
  <w:style w:type="paragraph" w:customStyle="1" w:styleId="NormalCenter12a">
    <w:name w:val="NormalCenter12a"/>
    <w:basedOn w:val="Normal"/>
    <w:pPr>
      <w:spacing w:after="240"/>
      <w:jc w:val="center"/>
    </w:p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D70AD-20EC-4E8C-9AAB-7A68C65F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5977</Words>
  <Characters>32183</Characters>
  <Application>Microsoft Office Word</Application>
  <DocSecurity>0</DocSecurity>
  <Lines>268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DELECROIX Dorothee</cp:lastModifiedBy>
  <cp:revision>2</cp:revision>
  <cp:lastPrinted>2004-11-19T15:42:00Z</cp:lastPrinted>
  <dcterms:created xsi:type="dcterms:W3CDTF">2025-05-07T17:20:00Z</dcterms:created>
  <dcterms:modified xsi:type="dcterms:W3CDTF">2025-05-07T17:20:00Z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P10_TA(2025)0084_</vt:lpwstr>
  </property>
  <property fmtid="{D5CDD505-2E9C-101B-9397-08002B2CF9AE}" pid="4" name="&lt;Type&gt;">
    <vt:lpwstr>RR</vt:lpwstr>
  </property>
</Properties>
</file>