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B514F" w:rsidRPr="00EB514F" w14:paraId="0AE649A6" w14:textId="77777777" w:rsidTr="000327AA">
        <w:trPr>
          <w:trHeight w:hRule="exact" w:val="1418"/>
        </w:trPr>
        <w:tc>
          <w:tcPr>
            <w:tcW w:w="6804" w:type="dxa"/>
            <w:shd w:val="clear" w:color="auto" w:fill="auto"/>
            <w:vAlign w:val="center"/>
          </w:tcPr>
          <w:p w14:paraId="68435B5C" w14:textId="77777777" w:rsidR="00EB514F" w:rsidRPr="00EB514F" w:rsidRDefault="00EB514F" w:rsidP="000327AA">
            <w:pPr>
              <w:pStyle w:val="EPName"/>
            </w:pPr>
            <w:r w:rsidRPr="00EB514F">
              <w:t>Európai Parlament</w:t>
            </w:r>
          </w:p>
          <w:p w14:paraId="7B14D3D3" w14:textId="77777777" w:rsidR="00EB514F" w:rsidRPr="00EB514F" w:rsidRDefault="00EB514F" w:rsidP="000327AA">
            <w:pPr>
              <w:pStyle w:val="EPTerm"/>
              <w:rPr>
                <w:rStyle w:val="HideTWBExt"/>
                <w:rFonts w:eastAsiaTheme="majorEastAsia"/>
                <w:vanish w:val="0"/>
              </w:rPr>
            </w:pPr>
            <w:r w:rsidRPr="00EB514F">
              <w:t>2024-2029</w:t>
            </w:r>
          </w:p>
        </w:tc>
        <w:tc>
          <w:tcPr>
            <w:tcW w:w="2268" w:type="dxa"/>
            <w:shd w:val="clear" w:color="auto" w:fill="auto"/>
          </w:tcPr>
          <w:p w14:paraId="690F4C12" w14:textId="77777777" w:rsidR="00EB514F" w:rsidRPr="00EB514F" w:rsidRDefault="00EB514F" w:rsidP="000327AA">
            <w:pPr>
              <w:pStyle w:val="EPLogo"/>
            </w:pPr>
            <w:r w:rsidRPr="00EB514F">
              <w:rPr>
                <w:noProof/>
                <w:lang w:eastAsia="hu-HU"/>
              </w:rPr>
              <w:drawing>
                <wp:inline distT="0" distB="0" distL="0" distR="0" wp14:anchorId="2656FB88" wp14:editId="71FC64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A4297D" w14:textId="77777777" w:rsidR="00EB514F" w:rsidRPr="00EB514F" w:rsidRDefault="00EB514F" w:rsidP="00EB514F">
      <w:pPr>
        <w:pStyle w:val="LineTop"/>
      </w:pPr>
    </w:p>
    <w:p w14:paraId="17D8857E" w14:textId="77777777" w:rsidR="00EB514F" w:rsidRPr="00EB514F" w:rsidRDefault="00EB514F" w:rsidP="00EB514F">
      <w:pPr>
        <w:pStyle w:val="EPBodyTA1"/>
      </w:pPr>
      <w:r w:rsidRPr="00EB514F">
        <w:t>ELFOGADOTT SZÖVEGEK</w:t>
      </w:r>
    </w:p>
    <w:p w14:paraId="6885E785" w14:textId="77777777" w:rsidR="00EB514F" w:rsidRPr="00EB514F" w:rsidRDefault="00EB514F" w:rsidP="00EB514F">
      <w:pPr>
        <w:pStyle w:val="LineBottom"/>
      </w:pPr>
    </w:p>
    <w:p w14:paraId="740FD4B8" w14:textId="77777777" w:rsidR="00EB514F" w:rsidRPr="00EB514F" w:rsidRDefault="00EB514F" w:rsidP="00EB514F">
      <w:pPr>
        <w:pStyle w:val="ATHeading1"/>
      </w:pPr>
      <w:bookmarkStart w:id="0" w:name="TANumber"/>
      <w:r w:rsidRPr="00EB514F">
        <w:t>P10_</w:t>
      </w:r>
      <w:proofErr w:type="gramStart"/>
      <w:r w:rsidRPr="00EB514F">
        <w:t>TA(</w:t>
      </w:r>
      <w:proofErr w:type="gramEnd"/>
      <w:r w:rsidRPr="00EB514F">
        <w:t>2025)0084</w:t>
      </w:r>
      <w:bookmarkEnd w:id="0"/>
    </w:p>
    <w:p w14:paraId="1E609D44" w14:textId="77777777" w:rsidR="00EB514F" w:rsidRPr="00EB514F" w:rsidRDefault="00EB514F" w:rsidP="00EB514F">
      <w:pPr>
        <w:pStyle w:val="ATHeading2"/>
      </w:pPr>
      <w:r w:rsidRPr="00EB514F">
        <w:rPr>
          <w:bCs/>
        </w:rPr>
        <w:t>2023. évi mentesítés: Az EU általános költségvetése – Európai Ombudsman</w:t>
      </w:r>
    </w:p>
    <w:p w14:paraId="7B7E0E72" w14:textId="77777777" w:rsidR="00EB514F" w:rsidRPr="00EB514F" w:rsidRDefault="00EB514F" w:rsidP="00EB514F">
      <w:pPr>
        <w:rPr>
          <w:i/>
          <w:vanish/>
          <w:lang w:val="hu-HU"/>
        </w:rPr>
      </w:pPr>
      <w:r w:rsidRPr="00EB514F">
        <w:rPr>
          <w:i/>
        </w:rPr>
        <w:fldChar w:fldCharType="begin"/>
      </w:r>
      <w:r w:rsidRPr="00EB514F">
        <w:rPr>
          <w:i/>
          <w:lang w:val="hu-HU"/>
        </w:rPr>
        <w:instrText xml:space="preserve"> TC"(</w:instrText>
      </w:r>
      <w:bookmarkStart w:id="1" w:name="DocNumber"/>
      <w:r w:rsidRPr="00EB514F">
        <w:rPr>
          <w:i/>
          <w:lang w:val="hu-HU"/>
        </w:rPr>
        <w:instrText>A10-0055/2025</w:instrText>
      </w:r>
      <w:bookmarkEnd w:id="1"/>
      <w:r w:rsidRPr="00EB514F">
        <w:rPr>
          <w:i/>
          <w:lang w:val="hu-HU"/>
        </w:rPr>
        <w:instrText xml:space="preserve"> - Előadó: Joachim </w:instrText>
      </w:r>
      <w:proofErr w:type="spellStart"/>
      <w:r w:rsidRPr="00EB514F">
        <w:rPr>
          <w:i/>
          <w:lang w:val="hu-HU"/>
        </w:rPr>
        <w:instrText>Stanisław</w:instrText>
      </w:r>
      <w:proofErr w:type="spellEnd"/>
      <w:r w:rsidRPr="00EB514F">
        <w:rPr>
          <w:i/>
          <w:lang w:val="hu-HU"/>
        </w:rPr>
        <w:instrText xml:space="preserve"> </w:instrText>
      </w:r>
      <w:proofErr w:type="spellStart"/>
      <w:r w:rsidRPr="00EB514F">
        <w:rPr>
          <w:i/>
          <w:lang w:val="hu-HU"/>
        </w:rPr>
        <w:instrText>Brudziński</w:instrText>
      </w:r>
      <w:proofErr w:type="spellEnd"/>
      <w:r w:rsidRPr="00EB514F">
        <w:rPr>
          <w:i/>
          <w:lang w:val="hu-HU"/>
        </w:rPr>
        <w:instrText xml:space="preserve">)"\l3 \n&gt; \* MERGEFORMAT </w:instrText>
      </w:r>
      <w:r w:rsidRPr="00EB514F">
        <w:rPr>
          <w:i/>
        </w:rPr>
        <w:fldChar w:fldCharType="end"/>
      </w:r>
    </w:p>
    <w:p w14:paraId="2DFD15F7" w14:textId="77777777" w:rsidR="00EB514F" w:rsidRPr="00EB514F" w:rsidRDefault="00EB514F" w:rsidP="00EB514F">
      <w:pPr>
        <w:rPr>
          <w:vanish/>
          <w:lang w:val="hu-HU"/>
        </w:rPr>
      </w:pPr>
      <w:bookmarkStart w:id="2" w:name="Commission"/>
      <w:r w:rsidRPr="00EB514F">
        <w:rPr>
          <w:vanish/>
          <w:lang w:val="hu-HU"/>
        </w:rPr>
        <w:t>Költségvetési Ellenőrző Bizottság</w:t>
      </w:r>
      <w:bookmarkEnd w:id="2"/>
    </w:p>
    <w:p w14:paraId="61406398" w14:textId="77777777" w:rsidR="00EB514F" w:rsidRPr="00EB514F" w:rsidRDefault="00EB514F" w:rsidP="00EB514F">
      <w:pPr>
        <w:rPr>
          <w:vanish/>
          <w:lang w:val="hu-HU"/>
        </w:rPr>
      </w:pPr>
      <w:bookmarkStart w:id="3" w:name="PE"/>
      <w:r w:rsidRPr="00EB514F">
        <w:rPr>
          <w:vanish/>
          <w:lang w:val="hu-HU"/>
        </w:rPr>
        <w:t>PE764.991</w:t>
      </w:r>
      <w:bookmarkEnd w:id="3"/>
    </w:p>
    <w:p w14:paraId="7E39A744" w14:textId="77777777" w:rsidR="00EB514F" w:rsidRPr="00EB514F" w:rsidRDefault="00EB514F" w:rsidP="00EB514F">
      <w:pPr>
        <w:pStyle w:val="ATHeading3"/>
      </w:pPr>
      <w:bookmarkStart w:id="4" w:name="Sujet"/>
      <w:r w:rsidRPr="00EB514F">
        <w:t>1. Az Európai Parlament 2025. május 7-i határozata az Európai Unió 2023. évi pénzügyi évre szóló általános költségvetésének végrehajtására vonatkozó mentesítésről, VIII. szakasz – Európai ombudsman</w:t>
      </w:r>
      <w:bookmarkEnd w:id="4"/>
      <w:r w:rsidRPr="00EB514F">
        <w:t xml:space="preserve"> </w:t>
      </w:r>
      <w:bookmarkStart w:id="5" w:name="References"/>
      <w:r w:rsidRPr="00EB514F">
        <w:t>(2024/2027(DEC))</w:t>
      </w:r>
      <w:bookmarkEnd w:id="5"/>
    </w:p>
    <w:p w14:paraId="04D2CEDF" w14:textId="77777777" w:rsidR="00EB514F" w:rsidRPr="00EB514F" w:rsidRDefault="00EB514F" w:rsidP="00EB514F">
      <w:pPr>
        <w:pStyle w:val="EPComma"/>
      </w:pPr>
      <w:bookmarkStart w:id="6" w:name="TextBodyBegin"/>
      <w:bookmarkEnd w:id="6"/>
      <w:r w:rsidRPr="00EB514F">
        <w:rPr>
          <w:i/>
        </w:rPr>
        <w:t>Az Európai Parlament</w:t>
      </w:r>
      <w:r w:rsidRPr="00EB514F">
        <w:t>,</w:t>
      </w:r>
    </w:p>
    <w:p w14:paraId="0FEBFBCB" w14:textId="77777777" w:rsidR="001A0353" w:rsidRPr="00EB514F" w:rsidRDefault="001A0353" w:rsidP="001C7C4B">
      <w:pPr>
        <w:spacing w:after="240"/>
        <w:ind w:left="567" w:hanging="567"/>
        <w:jc w:val="left"/>
        <w:rPr>
          <w:rFonts w:eastAsia="Times New Roman"/>
          <w:szCs w:val="20"/>
          <w:lang w:val="hu-HU" w:eastAsia="en-GB"/>
        </w:rPr>
      </w:pPr>
      <w:r w:rsidRPr="00EB514F">
        <w:rPr>
          <w:rFonts w:eastAsia="Times New Roman"/>
          <w:szCs w:val="20"/>
          <w:lang w:val="hu-HU" w:eastAsia="en-GB"/>
        </w:rPr>
        <w:t>–</w:t>
      </w:r>
      <w:r w:rsidRPr="00EB514F">
        <w:rPr>
          <w:rFonts w:eastAsia="Times New Roman"/>
          <w:szCs w:val="20"/>
          <w:lang w:val="hu-HU" w:eastAsia="en-GB"/>
        </w:rPr>
        <w:tab/>
        <w:t>tekintettel az Európai Unió 2023-as pénzügyi évre vonatkozó általános költségvetésére</w:t>
      </w:r>
      <w:r w:rsidRPr="00EB514F">
        <w:rPr>
          <w:rFonts w:eastAsia="Times New Roman"/>
          <w:szCs w:val="20"/>
          <w:vertAlign w:val="superscript"/>
          <w:lang w:val="hu-HU" w:eastAsia="en-GB"/>
        </w:rPr>
        <w:footnoteReference w:id="1"/>
      </w:r>
      <w:r w:rsidRPr="00EB514F">
        <w:rPr>
          <w:rFonts w:eastAsia="Times New Roman"/>
          <w:szCs w:val="20"/>
          <w:lang w:val="hu-HU" w:eastAsia="en-GB"/>
        </w:rPr>
        <w:t>,</w:t>
      </w:r>
    </w:p>
    <w:p w14:paraId="6B2752DD" w14:textId="77777777" w:rsidR="001A0353" w:rsidRPr="00EB514F" w:rsidRDefault="001A0353" w:rsidP="001C7C4B">
      <w:pPr>
        <w:spacing w:after="240"/>
        <w:ind w:left="567" w:hanging="567"/>
        <w:jc w:val="left"/>
        <w:rPr>
          <w:rFonts w:eastAsia="Times New Roman"/>
          <w:szCs w:val="20"/>
          <w:lang w:val="hu-HU" w:eastAsia="en-GB"/>
        </w:rPr>
      </w:pPr>
      <w:r w:rsidRPr="00EB514F">
        <w:rPr>
          <w:rFonts w:eastAsia="Times New Roman"/>
          <w:szCs w:val="20"/>
          <w:lang w:val="hu-HU" w:eastAsia="en-GB"/>
        </w:rPr>
        <w:t>–</w:t>
      </w:r>
      <w:r w:rsidRPr="00EB514F">
        <w:rPr>
          <w:rFonts w:eastAsia="Times New Roman"/>
          <w:szCs w:val="20"/>
          <w:lang w:val="hu-HU" w:eastAsia="en-GB"/>
        </w:rPr>
        <w:tab/>
        <w:t>tekintettel az Európai Unió 2023. évi pénzügyi évre vonatkozó összevont éves beszámolójára (</w:t>
      </w:r>
      <w:proofErr w:type="gramStart"/>
      <w:r w:rsidRPr="00EB514F">
        <w:rPr>
          <w:rFonts w:eastAsia="Times New Roman"/>
          <w:szCs w:val="20"/>
          <w:lang w:val="hu-HU" w:eastAsia="en-GB"/>
        </w:rPr>
        <w:t>COM(</w:t>
      </w:r>
      <w:proofErr w:type="gramEnd"/>
      <w:r w:rsidRPr="00EB514F">
        <w:rPr>
          <w:rFonts w:eastAsia="Times New Roman"/>
          <w:szCs w:val="20"/>
          <w:lang w:val="hu-HU" w:eastAsia="en-GB"/>
        </w:rPr>
        <w:t>2024)0272 – C10</w:t>
      </w:r>
      <w:r w:rsidRPr="00EB514F">
        <w:rPr>
          <w:rFonts w:eastAsia="Times New Roman"/>
          <w:szCs w:val="20"/>
          <w:lang w:val="hu-HU" w:eastAsia="en-GB"/>
        </w:rPr>
        <w:noBreakHyphen/>
        <w:t>0075/2024)</w:t>
      </w:r>
      <w:r w:rsidRPr="00EB514F">
        <w:rPr>
          <w:rFonts w:eastAsia="Times New Roman"/>
          <w:szCs w:val="20"/>
          <w:vertAlign w:val="superscript"/>
          <w:lang w:val="hu-HU" w:eastAsia="en-GB"/>
        </w:rPr>
        <w:footnoteReference w:id="2"/>
      </w:r>
      <w:r w:rsidRPr="00EB514F">
        <w:rPr>
          <w:rFonts w:eastAsia="Times New Roman"/>
          <w:szCs w:val="20"/>
          <w:lang w:val="hu-HU" w:eastAsia="en-GB"/>
        </w:rPr>
        <w:t>,</w:t>
      </w:r>
    </w:p>
    <w:p w14:paraId="5EA2EA5C" w14:textId="77777777" w:rsidR="001A0353" w:rsidRPr="00EB514F" w:rsidRDefault="001A0353" w:rsidP="001C7C4B">
      <w:pPr>
        <w:spacing w:after="240"/>
        <w:ind w:left="567" w:hanging="567"/>
        <w:jc w:val="left"/>
        <w:rPr>
          <w:rFonts w:eastAsia="Times New Roman"/>
          <w:szCs w:val="20"/>
          <w:lang w:val="hu-HU" w:eastAsia="en-GB"/>
        </w:rPr>
      </w:pPr>
      <w:r w:rsidRPr="00EB514F">
        <w:rPr>
          <w:rFonts w:eastAsia="Times New Roman"/>
          <w:szCs w:val="20"/>
          <w:lang w:val="hu-HU" w:eastAsia="en-GB"/>
        </w:rPr>
        <w:t>–</w:t>
      </w:r>
      <w:r w:rsidRPr="00EB514F">
        <w:rPr>
          <w:rFonts w:eastAsia="Times New Roman"/>
          <w:szCs w:val="20"/>
          <w:lang w:val="hu-HU" w:eastAsia="en-GB"/>
        </w:rPr>
        <w:tab/>
        <w:t>tekintettel az európai ombudsman 2023. évi éves tevékenységi jelentésére és a költségvetési és pénzgazdálkodásról szóló, 2023-as pénzügyi évre vonatkozó jelentésére,</w:t>
      </w:r>
    </w:p>
    <w:p w14:paraId="2B05B1DA" w14:textId="77777777" w:rsidR="001A0353" w:rsidRPr="00EB514F" w:rsidRDefault="001A0353" w:rsidP="001C7C4B">
      <w:pPr>
        <w:spacing w:after="240"/>
        <w:ind w:left="567" w:hanging="567"/>
        <w:jc w:val="left"/>
        <w:rPr>
          <w:rFonts w:eastAsia="Times New Roman"/>
          <w:szCs w:val="20"/>
          <w:lang w:val="hu-HU" w:eastAsia="en-GB"/>
        </w:rPr>
      </w:pPr>
      <w:r w:rsidRPr="00EB514F">
        <w:rPr>
          <w:rFonts w:eastAsia="Times New Roman"/>
          <w:szCs w:val="20"/>
          <w:lang w:val="hu-HU" w:eastAsia="en-GB"/>
        </w:rPr>
        <w:t>–</w:t>
      </w:r>
      <w:r w:rsidRPr="00EB514F">
        <w:rPr>
          <w:rFonts w:eastAsia="Times New Roman"/>
          <w:szCs w:val="20"/>
          <w:lang w:val="hu-HU" w:eastAsia="en-GB"/>
        </w:rPr>
        <w:tab/>
        <w:t>tekintettel a Számvevőszéknek a 2023. évi pénzügyi év költségvetésének végrehajtásáról szóló éves jelentésére, az intézmények válaszaival együtt</w:t>
      </w:r>
      <w:r w:rsidRPr="00EB514F">
        <w:rPr>
          <w:rFonts w:eastAsia="Times New Roman"/>
          <w:szCs w:val="20"/>
          <w:vertAlign w:val="superscript"/>
          <w:lang w:val="hu-HU" w:eastAsia="en-GB"/>
        </w:rPr>
        <w:footnoteReference w:id="3"/>
      </w:r>
      <w:r w:rsidRPr="00EB514F">
        <w:rPr>
          <w:rFonts w:eastAsia="Times New Roman"/>
          <w:szCs w:val="20"/>
          <w:lang w:val="hu-HU" w:eastAsia="en-GB"/>
        </w:rPr>
        <w:t>,</w:t>
      </w:r>
    </w:p>
    <w:p w14:paraId="1484B74A" w14:textId="77777777" w:rsidR="001A0353" w:rsidRPr="00EB514F" w:rsidRDefault="001A0353" w:rsidP="001C7C4B">
      <w:pPr>
        <w:spacing w:after="240"/>
        <w:ind w:left="567" w:hanging="567"/>
        <w:jc w:val="left"/>
        <w:rPr>
          <w:rFonts w:eastAsia="Times New Roman"/>
          <w:szCs w:val="20"/>
          <w:lang w:val="hu-HU" w:eastAsia="en-GB"/>
        </w:rPr>
      </w:pPr>
      <w:r w:rsidRPr="00EB514F">
        <w:rPr>
          <w:rFonts w:eastAsia="Times New Roman"/>
          <w:szCs w:val="20"/>
          <w:lang w:val="hu-HU" w:eastAsia="en-GB"/>
        </w:rPr>
        <w:t>–</w:t>
      </w:r>
      <w:r w:rsidRPr="00EB514F">
        <w:rPr>
          <w:rFonts w:eastAsia="Times New Roman"/>
          <w:szCs w:val="20"/>
          <w:lang w:val="hu-HU" w:eastAsia="en-GB"/>
        </w:rPr>
        <w:tab/>
        <w:t>tekintettel a Számvevőszéknek a 2023-as pénzügyi évre vonatkozóan az elszámolás megbízhatóságát, valamint az alapjául szolgáló ügyletek jogszerűségét és szabályszerűségét igazoló, az Európai Unió működéséről szóló szerződés 287. cikke szerinti nyilatkozatára</w:t>
      </w:r>
      <w:r w:rsidRPr="00EB514F">
        <w:rPr>
          <w:rFonts w:eastAsia="Times New Roman"/>
          <w:szCs w:val="20"/>
          <w:vertAlign w:val="superscript"/>
          <w:lang w:val="hu-HU" w:eastAsia="en-GB"/>
        </w:rPr>
        <w:footnoteReference w:id="4"/>
      </w:r>
      <w:r w:rsidRPr="00EB514F">
        <w:rPr>
          <w:rFonts w:eastAsia="Times New Roman"/>
          <w:szCs w:val="20"/>
          <w:lang w:val="hu-HU" w:eastAsia="en-GB"/>
        </w:rPr>
        <w:t>,</w:t>
      </w:r>
    </w:p>
    <w:p w14:paraId="4278431C" w14:textId="77777777" w:rsidR="001A0353" w:rsidRPr="00EB514F" w:rsidRDefault="001A0353" w:rsidP="001C7C4B">
      <w:pPr>
        <w:spacing w:after="240"/>
        <w:ind w:left="567" w:hanging="567"/>
        <w:jc w:val="left"/>
        <w:rPr>
          <w:rFonts w:eastAsia="Times New Roman"/>
          <w:szCs w:val="20"/>
          <w:lang w:val="hu-HU" w:eastAsia="en-GB"/>
        </w:rPr>
      </w:pPr>
      <w:r w:rsidRPr="00EB514F">
        <w:rPr>
          <w:rFonts w:eastAsia="Times New Roman"/>
          <w:szCs w:val="20"/>
          <w:lang w:val="hu-HU" w:eastAsia="en-GB"/>
        </w:rPr>
        <w:t>–</w:t>
      </w:r>
      <w:r w:rsidRPr="00EB514F">
        <w:rPr>
          <w:rFonts w:eastAsia="Times New Roman"/>
          <w:szCs w:val="20"/>
          <w:lang w:val="hu-HU" w:eastAsia="en-GB"/>
        </w:rPr>
        <w:tab/>
        <w:t>tekintettel az Európai Unió működéséről szóló szerződés 314. cikkének (10) bekezdésére, valamint 317., 318. és 319. cikkére,</w:t>
      </w:r>
    </w:p>
    <w:p w14:paraId="1AB36FFA" w14:textId="77777777" w:rsidR="001A0353" w:rsidRPr="00EB514F" w:rsidRDefault="001A0353" w:rsidP="001C7C4B">
      <w:pPr>
        <w:spacing w:after="240"/>
        <w:ind w:left="567" w:hanging="567"/>
        <w:jc w:val="left"/>
        <w:rPr>
          <w:rFonts w:eastAsia="Times New Roman"/>
          <w:szCs w:val="20"/>
          <w:lang w:val="hu-HU" w:eastAsia="en-GB"/>
        </w:rPr>
      </w:pPr>
      <w:r w:rsidRPr="00EB514F">
        <w:rPr>
          <w:rFonts w:eastAsia="Times New Roman"/>
          <w:szCs w:val="20"/>
          <w:lang w:val="hu-HU" w:eastAsia="en-GB"/>
        </w:rPr>
        <w:t>–</w:t>
      </w:r>
      <w:r w:rsidRPr="00EB514F">
        <w:rPr>
          <w:rFonts w:eastAsia="Times New Roman"/>
          <w:szCs w:val="20"/>
          <w:lang w:val="hu-HU" w:eastAsia="en-GB"/>
        </w:rPr>
        <w:tab/>
        <w:t xml:space="preserve">tekintettel az Unió általános költségvetésére alkalmazandó pénzügyi szabályokról, az 1296/2013/EU, az 1301/2013/EU, az 1303/2013/EU, az 1304/2013/EU, az </w:t>
      </w:r>
      <w:r w:rsidRPr="00EB514F">
        <w:rPr>
          <w:rFonts w:eastAsia="Times New Roman"/>
          <w:szCs w:val="20"/>
          <w:lang w:val="hu-HU" w:eastAsia="en-GB"/>
        </w:rPr>
        <w:lastRenderedPageBreak/>
        <w:t>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EB514F">
        <w:rPr>
          <w:rFonts w:eastAsia="Times New Roman"/>
          <w:szCs w:val="20"/>
          <w:vertAlign w:val="superscript"/>
          <w:lang w:val="hu-HU" w:eastAsia="en-GB"/>
        </w:rPr>
        <w:footnoteReference w:id="5"/>
      </w:r>
      <w:r w:rsidRPr="00EB514F">
        <w:rPr>
          <w:rFonts w:eastAsia="Times New Roman"/>
          <w:szCs w:val="20"/>
          <w:lang w:val="hu-HU" w:eastAsia="en-GB"/>
        </w:rPr>
        <w:t xml:space="preserve"> és különösen annak 59., 118., 260., 261. és 262. cikkére,</w:t>
      </w:r>
    </w:p>
    <w:p w14:paraId="70DB8563" w14:textId="77777777" w:rsidR="001A0353" w:rsidRPr="00EB514F" w:rsidRDefault="001A0353" w:rsidP="001C7C4B">
      <w:pPr>
        <w:spacing w:after="240"/>
        <w:ind w:left="567" w:hanging="567"/>
        <w:jc w:val="left"/>
        <w:rPr>
          <w:rFonts w:eastAsia="Times New Roman"/>
          <w:szCs w:val="20"/>
          <w:lang w:val="hu-HU" w:eastAsia="en-GB"/>
        </w:rPr>
      </w:pPr>
      <w:r w:rsidRPr="00EB514F">
        <w:rPr>
          <w:rFonts w:eastAsia="Times New Roman"/>
          <w:szCs w:val="20"/>
          <w:lang w:val="hu-HU" w:eastAsia="en-GB"/>
        </w:rPr>
        <w:t>–</w:t>
      </w:r>
      <w:r w:rsidRPr="00EB514F">
        <w:rPr>
          <w:rFonts w:eastAsia="Times New Roman"/>
          <w:szCs w:val="20"/>
          <w:lang w:val="hu-HU" w:eastAsia="en-GB"/>
        </w:rPr>
        <w:tab/>
        <w:t xml:space="preserve">tekintettel </w:t>
      </w:r>
      <w:r w:rsidRPr="00EB514F">
        <w:rPr>
          <w:rFonts w:eastAsia="Times New Roman"/>
          <w:szCs w:val="20"/>
          <w:shd w:val="clear" w:color="auto" w:fill="FFFFFF"/>
          <w:lang w:val="hu-HU" w:eastAsia="en-GB"/>
        </w:rPr>
        <w:t>az Unió általános költségvetésére alkalmazandó pénzügyi szabályokról szóló, 2024. szeptember 23-i (EU, Euratom) 2024/2509 európai parlamenti és tanácsi rendeletre</w:t>
      </w:r>
      <w:r w:rsidRPr="00EB514F">
        <w:rPr>
          <w:rFonts w:eastAsia="Times New Roman"/>
          <w:bCs/>
          <w:shd w:val="clear" w:color="auto" w:fill="FFFFFF"/>
          <w:vertAlign w:val="superscript"/>
          <w:lang w:val="hu-HU" w:eastAsia="en-GB"/>
        </w:rPr>
        <w:footnoteReference w:id="6"/>
      </w:r>
      <w:r w:rsidRPr="00EB514F">
        <w:rPr>
          <w:rFonts w:eastAsia="Times New Roman"/>
          <w:szCs w:val="20"/>
          <w:shd w:val="clear" w:color="auto" w:fill="FFFFFF"/>
          <w:lang w:val="hu-HU" w:eastAsia="en-GB"/>
        </w:rPr>
        <w:t xml:space="preserve"> és különösen annak 59., 118., 266., 267. és 268. cikkére</w:t>
      </w:r>
      <w:r w:rsidRPr="00EB514F">
        <w:rPr>
          <w:rFonts w:eastAsia="Times New Roman"/>
          <w:szCs w:val="20"/>
          <w:lang w:val="hu-HU" w:eastAsia="en-GB"/>
        </w:rPr>
        <w:t>,</w:t>
      </w:r>
    </w:p>
    <w:p w14:paraId="30991051" w14:textId="77777777" w:rsidR="001A0353" w:rsidRPr="00EB514F" w:rsidRDefault="001A0353" w:rsidP="001C7C4B">
      <w:pPr>
        <w:spacing w:after="240"/>
        <w:ind w:left="567" w:hanging="567"/>
        <w:jc w:val="left"/>
        <w:rPr>
          <w:rFonts w:eastAsia="Times New Roman"/>
          <w:szCs w:val="20"/>
          <w:lang w:val="hu-HU" w:eastAsia="en-GB"/>
        </w:rPr>
      </w:pPr>
      <w:r w:rsidRPr="00EB514F">
        <w:rPr>
          <w:rFonts w:eastAsia="Times New Roman"/>
          <w:szCs w:val="20"/>
          <w:lang w:val="hu-HU" w:eastAsia="en-GB"/>
        </w:rPr>
        <w:t>–</w:t>
      </w:r>
      <w:r w:rsidRPr="00EB514F">
        <w:rPr>
          <w:rFonts w:eastAsia="Times New Roman"/>
          <w:szCs w:val="20"/>
          <w:lang w:val="hu-HU" w:eastAsia="en-GB"/>
        </w:rPr>
        <w:tab/>
        <w:t>tekintettel eljárási szabályzata 102. cikkére és V. mellékletére,</w:t>
      </w:r>
    </w:p>
    <w:p w14:paraId="7B13B5E2" w14:textId="77777777" w:rsidR="001A0353" w:rsidRPr="00EB514F" w:rsidRDefault="001A0353" w:rsidP="001C7C4B">
      <w:pPr>
        <w:spacing w:after="240"/>
        <w:ind w:left="567" w:hanging="567"/>
        <w:jc w:val="left"/>
        <w:rPr>
          <w:rFonts w:eastAsia="Times New Roman"/>
          <w:szCs w:val="20"/>
          <w:lang w:val="hu-HU" w:eastAsia="en-GB"/>
        </w:rPr>
      </w:pPr>
      <w:r w:rsidRPr="00EB514F">
        <w:rPr>
          <w:rFonts w:eastAsia="Times New Roman"/>
          <w:szCs w:val="20"/>
          <w:lang w:val="hu-HU" w:eastAsia="en-GB"/>
        </w:rPr>
        <w:t>–</w:t>
      </w:r>
      <w:r w:rsidRPr="00EB514F">
        <w:rPr>
          <w:rFonts w:eastAsia="Times New Roman"/>
          <w:szCs w:val="20"/>
          <w:lang w:val="hu-HU" w:eastAsia="en-GB"/>
        </w:rPr>
        <w:tab/>
        <w:t>tekintettel a Költségvetési Ellenőrző Bizottság jelentésére (A10-0055/2025),</w:t>
      </w:r>
    </w:p>
    <w:p w14:paraId="3E35A3BA" w14:textId="77777777" w:rsidR="001A0353" w:rsidRPr="00EB514F" w:rsidRDefault="001A0353" w:rsidP="001C7C4B">
      <w:pPr>
        <w:spacing w:after="240"/>
        <w:ind w:left="567" w:hanging="567"/>
        <w:jc w:val="left"/>
        <w:rPr>
          <w:rFonts w:eastAsia="Times New Roman"/>
          <w:szCs w:val="20"/>
          <w:lang w:val="hu-HU" w:eastAsia="en-GB"/>
        </w:rPr>
      </w:pPr>
      <w:r w:rsidRPr="00EB514F">
        <w:rPr>
          <w:rFonts w:eastAsia="Times New Roman"/>
          <w:szCs w:val="20"/>
          <w:lang w:val="hu-HU" w:eastAsia="en-GB"/>
        </w:rPr>
        <w:t>1.</w:t>
      </w:r>
      <w:r w:rsidRPr="00EB514F">
        <w:rPr>
          <w:rFonts w:eastAsia="Times New Roman"/>
          <w:szCs w:val="20"/>
          <w:lang w:val="hu-HU" w:eastAsia="en-GB"/>
        </w:rPr>
        <w:tab/>
        <w:t>mentesítést ad az európai ombudsman számára a 2023. évi pénzügyi évre szóló költségvetésének végrehajtására vonatkozóan;</w:t>
      </w:r>
    </w:p>
    <w:p w14:paraId="2AD6DD87" w14:textId="77777777" w:rsidR="001A0353" w:rsidRPr="00EB514F" w:rsidRDefault="001A0353" w:rsidP="001C7C4B">
      <w:pPr>
        <w:spacing w:after="240"/>
        <w:ind w:left="567" w:hanging="567"/>
        <w:jc w:val="left"/>
        <w:rPr>
          <w:rFonts w:eastAsia="Times New Roman"/>
          <w:szCs w:val="20"/>
          <w:lang w:val="hu-HU" w:eastAsia="en-GB"/>
        </w:rPr>
      </w:pPr>
      <w:r w:rsidRPr="00EB514F">
        <w:rPr>
          <w:rFonts w:eastAsia="Times New Roman"/>
          <w:szCs w:val="20"/>
          <w:lang w:val="hu-HU" w:eastAsia="en-GB"/>
        </w:rPr>
        <w:t>2.</w:t>
      </w:r>
      <w:r w:rsidRPr="00EB514F">
        <w:rPr>
          <w:rFonts w:eastAsia="Times New Roman"/>
          <w:szCs w:val="20"/>
          <w:lang w:val="hu-HU" w:eastAsia="en-GB"/>
        </w:rPr>
        <w:tab/>
        <w:t>megjegyzéseit a mellékelt állásfoglalásban foglalja össze;</w:t>
      </w:r>
    </w:p>
    <w:p w14:paraId="0FFD5E69" w14:textId="77777777" w:rsidR="001A0353" w:rsidRPr="00EB514F" w:rsidRDefault="001A0353" w:rsidP="001C7C4B">
      <w:pPr>
        <w:spacing w:after="240"/>
        <w:ind w:left="567" w:hanging="567"/>
        <w:jc w:val="left"/>
        <w:rPr>
          <w:rFonts w:eastAsia="Times New Roman"/>
          <w:szCs w:val="20"/>
          <w:lang w:val="hu-HU" w:eastAsia="en-GB"/>
        </w:rPr>
      </w:pPr>
      <w:r w:rsidRPr="00EB514F">
        <w:rPr>
          <w:rFonts w:eastAsia="Times New Roman"/>
          <w:szCs w:val="20"/>
          <w:lang w:val="hu-HU" w:eastAsia="en-GB"/>
        </w:rPr>
        <w:t>3.</w:t>
      </w:r>
      <w:r w:rsidRPr="00EB514F">
        <w:rPr>
          <w:rFonts w:eastAsia="Times New Roman"/>
          <w:szCs w:val="20"/>
          <w:lang w:val="hu-HU" w:eastAsia="en-GB"/>
        </w:rPr>
        <w:tab/>
        <w:t xml:space="preserve">utasítja elnökét, hogy továbbítsa ezt a határozatot, valamint az annak szerves részét képező állásfoglalást az európai ombudsmannak, az Európai Unió Tanácsának, a Tanácsnak, a Bizottságnak, a Számvevőszéknek, az Európai Unió Bíróságának, az európai adatvédelmi biztosnak és az Európai Külügyi Szolgálatnak és gondoskodjon az </w:t>
      </w:r>
      <w:r w:rsidRPr="00EB514F">
        <w:rPr>
          <w:rFonts w:eastAsia="Times New Roman"/>
          <w:i/>
          <w:szCs w:val="20"/>
          <w:lang w:val="hu-HU" w:eastAsia="en-GB"/>
        </w:rPr>
        <w:t xml:space="preserve">Európai Unió Hivatalos Lapjában </w:t>
      </w:r>
      <w:r w:rsidRPr="00EB514F">
        <w:rPr>
          <w:rFonts w:eastAsia="Times New Roman"/>
          <w:szCs w:val="20"/>
          <w:lang w:val="hu-HU" w:eastAsia="en-GB"/>
        </w:rPr>
        <w:t>(L sorozat) való közzétételükről.</w:t>
      </w:r>
    </w:p>
    <w:p w14:paraId="74323642" w14:textId="77777777" w:rsidR="001A0353" w:rsidRPr="00EB514F" w:rsidRDefault="001A0353">
      <w:pPr>
        <w:rPr>
          <w:lang w:val="hu-HU"/>
        </w:rPr>
        <w:sectPr w:rsidR="001A0353" w:rsidRPr="00EB514F">
          <w:footnotePr>
            <w:numRestart w:val="eachSect"/>
          </w:footnotePr>
          <w:pgSz w:w="11906" w:h="16838"/>
          <w:pgMar w:top="1440" w:right="1440" w:bottom="1440" w:left="1440" w:header="708" w:footer="708" w:gutter="0"/>
          <w:cols w:space="708"/>
          <w:docGrid w:linePitch="360"/>
        </w:sectPr>
      </w:pPr>
    </w:p>
    <w:p w14:paraId="6FEDE487" w14:textId="77777777" w:rsidR="003654FB" w:rsidRPr="00EB514F" w:rsidRDefault="003654FB" w:rsidP="00EB514F">
      <w:pPr>
        <w:pStyle w:val="ATHeading3"/>
      </w:pPr>
      <w:r w:rsidRPr="00EB514F">
        <w:lastRenderedPageBreak/>
        <w:t>2. Az Európai Parlament 2025. május 7-i állásfoglalása az Európai Unió 2023-as pénzügyi évre szóló általános költségvetésének végrehajtására vonatkozó mentesítésről szóló határozat szerves részét képező megjegyzésekkel, VIII. szakasz – Európai ombudsman (2024/2027(DEC))</w:t>
      </w:r>
    </w:p>
    <w:p w14:paraId="2A0D0576" w14:textId="77777777" w:rsidR="00EB514F" w:rsidRPr="00EB514F" w:rsidRDefault="00EB514F" w:rsidP="00EB514F">
      <w:pPr>
        <w:pStyle w:val="EPComma"/>
        <w:widowControl/>
        <w:spacing w:before="360"/>
        <w:ind w:left="567" w:hanging="567"/>
      </w:pPr>
      <w:r w:rsidRPr="00EB514F">
        <w:rPr>
          <w:i/>
        </w:rPr>
        <w:t>Az Európai Parlament</w:t>
      </w:r>
      <w:r w:rsidRPr="00EB514F">
        <w:t>,</w:t>
      </w:r>
    </w:p>
    <w:p w14:paraId="6F85CACB"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w:t>
      </w:r>
      <w:r w:rsidRPr="00EB514F">
        <w:rPr>
          <w:rFonts w:eastAsia="Times New Roman"/>
          <w:szCs w:val="20"/>
          <w:lang w:val="hu-HU" w:eastAsia="en-GB"/>
        </w:rPr>
        <w:tab/>
        <w:t>tekintettel az Európai Unió 2023-as pénzügyi évre szóló általános költségvetésének végrehajtására vonatkozó mentesítésről szóló határozatára, VIII. szakasz – Európai ombudsman,</w:t>
      </w:r>
    </w:p>
    <w:p w14:paraId="7AC1C0FC"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w:t>
      </w:r>
      <w:r w:rsidRPr="00EB514F">
        <w:rPr>
          <w:rFonts w:eastAsia="Times New Roman"/>
          <w:szCs w:val="20"/>
          <w:lang w:val="hu-HU" w:eastAsia="en-GB"/>
        </w:rPr>
        <w:tab/>
        <w:t>tekintettel eljárási szabályzata 102. cikkére és V. mellékletére,</w:t>
      </w:r>
    </w:p>
    <w:p w14:paraId="76156B78"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w:t>
      </w:r>
      <w:r w:rsidRPr="00EB514F">
        <w:rPr>
          <w:rFonts w:eastAsia="Times New Roman"/>
          <w:szCs w:val="20"/>
          <w:lang w:val="hu-HU" w:eastAsia="en-GB"/>
        </w:rPr>
        <w:tab/>
        <w:t>tekintettel a Költségvetési Ellenőrző Bizottság jelentésére (A10-0055/2025),</w:t>
      </w:r>
    </w:p>
    <w:p w14:paraId="2EC8D866"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A.</w:t>
      </w:r>
      <w:r w:rsidRPr="00EB514F">
        <w:rPr>
          <w:rFonts w:eastAsia="Times New Roman"/>
          <w:szCs w:val="20"/>
          <w:lang w:val="hu-HU" w:eastAsia="en-GB"/>
        </w:rPr>
        <w:tab/>
        <w:t>mivel a mentesítésért felelős hatóság a mentesítési eljárás keretében hangsúlyozni kívánja, hogy különösen fontos az uniós intézmények demokratikus legitimitásának további erősítése az átláthatóság és az elszámoltathatóság javítása, a teljesítményalapú költségvetés-tervezés koncepciójának végrehajtása és az emberi erőforrások megfelelő irányítása révén;</w:t>
      </w:r>
    </w:p>
    <w:p w14:paraId="6A2299FE"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B.</w:t>
      </w:r>
      <w:r w:rsidRPr="00EB514F">
        <w:rPr>
          <w:rFonts w:eastAsia="Times New Roman"/>
          <w:szCs w:val="20"/>
          <w:lang w:val="hu-HU" w:eastAsia="en-GB"/>
        </w:rPr>
        <w:tab/>
        <w:t>mivel az Európai Unió működéséről szóló szerződés 228. cikke előírja, hogy az Európai Parlament európai ombudsmant választ, akihez bármely uniós polgár vagy valamely tagállamban lakóhellyel, illetve létesítő okirat szerinti székhellyel rendelkező természetes vagy jogi személy panasszal fordulhat, amennyiben hivatali visszásságokat tapasztal az uniós intézmények, szervek vagy hivatalok – kivéve az Európai Unió igazságszolgáltatási hatáskörében eljáró Bíróságát – tevékenysége során, és aki jogosult e panaszok kivizsgálására, és azokról jelentést készít;</w:t>
      </w:r>
    </w:p>
    <w:p w14:paraId="4C7A966A"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C.</w:t>
      </w:r>
      <w:r w:rsidRPr="00EB514F">
        <w:rPr>
          <w:rFonts w:eastAsia="Times New Roman"/>
          <w:szCs w:val="20"/>
          <w:lang w:val="hu-HU" w:eastAsia="en-GB"/>
        </w:rPr>
        <w:tab/>
        <w:t>mivel az (EU, Euratom) 2021/1163 európai parlamenti rendelet </w:t>
      </w:r>
      <w:r w:rsidRPr="00EB514F">
        <w:rPr>
          <w:rFonts w:eastAsia="Times New Roman"/>
          <w:szCs w:val="20"/>
          <w:vertAlign w:val="superscript"/>
          <w:lang w:val="hu-HU" w:eastAsia="en-GB"/>
        </w:rPr>
        <w:footnoteReference w:id="7"/>
      </w:r>
      <w:r w:rsidRPr="00EB514F">
        <w:rPr>
          <w:rFonts w:eastAsia="Times New Roman"/>
          <w:szCs w:val="20"/>
          <w:lang w:val="hu-HU" w:eastAsia="en-GB"/>
        </w:rPr>
        <w:t xml:space="preserve"> megállapítja az ombudsman feladatainak ellátására vonatkozó szabályokat és általános feltételeket (az európai ombudsman alapokmánya);</w:t>
      </w:r>
    </w:p>
    <w:p w14:paraId="15E944FD"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D.</w:t>
      </w:r>
      <w:r w:rsidRPr="00EB514F">
        <w:rPr>
          <w:rFonts w:eastAsia="Times New Roman"/>
          <w:szCs w:val="20"/>
          <w:lang w:val="hu-HU" w:eastAsia="en-GB"/>
        </w:rPr>
        <w:tab/>
        <w:t xml:space="preserve">mivel </w:t>
      </w:r>
      <w:r w:rsidRPr="00EB514F">
        <w:rPr>
          <w:rFonts w:eastAsia="Times New Roman"/>
          <w:szCs w:val="20"/>
          <w:shd w:val="clear" w:color="auto" w:fill="FFFFFF"/>
          <w:lang w:val="hu-HU" w:eastAsia="en-GB"/>
        </w:rPr>
        <w:t>az (EU, Euratom) 2021/1163 rendelet elfogadását követően</w:t>
      </w:r>
      <w:r w:rsidRPr="00EB514F">
        <w:rPr>
          <w:rFonts w:eastAsia="Times New Roman"/>
          <w:szCs w:val="20"/>
          <w:lang w:val="hu-HU" w:eastAsia="en-GB"/>
        </w:rPr>
        <w:t xml:space="preserve"> az ombudsman 2023. június 21-én elfogadta felülvizsgált végrehajtási rendelkezéseit </w:t>
      </w:r>
      <w:r w:rsidRPr="00EB514F">
        <w:rPr>
          <w:rFonts w:eastAsia="Times New Roman"/>
          <w:szCs w:val="20"/>
          <w:vertAlign w:val="superscript"/>
          <w:lang w:val="hu-HU" w:eastAsia="en-GB"/>
        </w:rPr>
        <w:footnoteReference w:id="8"/>
      </w:r>
      <w:r w:rsidRPr="00EB514F">
        <w:rPr>
          <w:rFonts w:eastAsia="Times New Roman"/>
          <w:szCs w:val="20"/>
          <w:lang w:val="hu-HU" w:eastAsia="en-GB"/>
        </w:rPr>
        <w:t>;</w:t>
      </w:r>
    </w:p>
    <w:p w14:paraId="310867A4"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1.</w:t>
      </w:r>
      <w:r w:rsidRPr="00EB514F">
        <w:rPr>
          <w:rFonts w:eastAsia="Times New Roman"/>
          <w:szCs w:val="20"/>
          <w:lang w:val="hu-HU" w:eastAsia="en-GB"/>
        </w:rPr>
        <w:tab/>
        <w:t>megjegyzi, hogy az ombudsman költségvetése a többéves pénzügyi keret „Európai közigazgatás” elnevezésű 7. fejezetébe tartozik, amely 2023-ban összesen 12,3 milliárd EUR-t tett ki, ami az uniós költségvetési kiadások 6,4 %-</w:t>
      </w:r>
      <w:proofErr w:type="spellStart"/>
      <w:r w:rsidRPr="00EB514F">
        <w:rPr>
          <w:rFonts w:eastAsia="Times New Roman"/>
          <w:szCs w:val="20"/>
          <w:lang w:val="hu-HU" w:eastAsia="en-GB"/>
        </w:rPr>
        <w:t>ának</w:t>
      </w:r>
      <w:proofErr w:type="spellEnd"/>
      <w:r w:rsidRPr="00EB514F">
        <w:rPr>
          <w:rFonts w:eastAsia="Times New Roman"/>
          <w:szCs w:val="20"/>
          <w:lang w:val="hu-HU" w:eastAsia="en-GB"/>
        </w:rPr>
        <w:t xml:space="preserve"> felel meg; megállapítja, hogy az ombudsman költségvetése a többéves pénzügyi keret 7. fejezete szerinti előirányzatok 0,11 %-át képviseli;</w:t>
      </w:r>
    </w:p>
    <w:p w14:paraId="2A7CCE3B"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2.</w:t>
      </w:r>
      <w:r w:rsidRPr="00EB514F">
        <w:rPr>
          <w:rFonts w:eastAsia="Times New Roman"/>
          <w:szCs w:val="20"/>
          <w:lang w:val="hu-HU" w:eastAsia="en-GB"/>
        </w:rPr>
        <w:tab/>
        <w:t xml:space="preserve">megjegyzi, hogy az Európai Számvevőszék (a továbbiakban: a Számvevőszék) a 2023. évi pénzügyi évre vonatkozó éves jelentésében egy 70, az „Európai közigazgatás” </w:t>
      </w:r>
      <w:r w:rsidRPr="00EB514F">
        <w:rPr>
          <w:rFonts w:eastAsia="Times New Roman"/>
          <w:szCs w:val="20"/>
          <w:lang w:val="hu-HU" w:eastAsia="en-GB"/>
        </w:rPr>
        <w:lastRenderedPageBreak/>
        <w:t>fejezete alá tartozó ügyletből álló mintát vizsgált meg, amelyből 21 tartalmazott hibákat (30 %); megjegyzi továbbá, hogy ezen – a Számvevőszék által számszerűsített – hibák közül öt esetében a Számvevőszék a lényegességi küszöb alatti hibaarányt becsült; elégedetten nyugtázza, hogy a 2023. évi pénzügyi évről szóló éves jelentésben a Számvevőszék nem állapított meg semmilyen jelentős problémát az ombudsmannal kapcsolatban;</w:t>
      </w:r>
    </w:p>
    <w:p w14:paraId="11006422"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3.</w:t>
      </w:r>
      <w:r w:rsidRPr="00EB514F">
        <w:rPr>
          <w:rFonts w:eastAsia="Times New Roman"/>
          <w:szCs w:val="20"/>
          <w:lang w:val="hu-HU" w:eastAsia="en-GB"/>
        </w:rPr>
        <w:tab/>
        <w:t>tudomásul veszi a Számvevőszéknek a jelentésben foglalt azon megállapítását, hogy igazgatási kiadások alatt a személyi jellegű ráfordításokra és ezen belül a nyugdíjakra – ezek 2023-ben az összes igazgatási kiadás mintegy 70 %-át tették ki –, valamint az épületekre, a berendezésekre, az energiára, a kommunikációra és az információtechnológiára fordított kiadások értendők; üdvözli, hogy a Számvevőszék a korábbi évekhez hasonlóan arra a következtetésre jutott, hogy az igazgatási kiadások összességében alacsony kockázatúak;</w:t>
      </w:r>
    </w:p>
    <w:p w14:paraId="570E36C1" w14:textId="77777777" w:rsidR="001A0353" w:rsidRPr="00EB514F" w:rsidRDefault="001A0353" w:rsidP="00B02C4E">
      <w:pPr>
        <w:spacing w:after="240"/>
        <w:ind w:left="567" w:hanging="567"/>
        <w:jc w:val="left"/>
        <w:rPr>
          <w:rFonts w:eastAsia="Times New Roman"/>
          <w:b/>
          <w:i/>
          <w:szCs w:val="20"/>
          <w:lang w:val="hu-HU" w:eastAsia="en-GB"/>
        </w:rPr>
      </w:pPr>
      <w:r w:rsidRPr="00EB514F">
        <w:rPr>
          <w:rFonts w:eastAsia="Times New Roman"/>
          <w:b/>
          <w:i/>
          <w:szCs w:val="20"/>
          <w:lang w:val="hu-HU" w:eastAsia="en-GB"/>
        </w:rPr>
        <w:t>Költségvetési és pénzgazdálkodás</w:t>
      </w:r>
    </w:p>
    <w:p w14:paraId="5757721D"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4.</w:t>
      </w:r>
      <w:r w:rsidRPr="00EB514F">
        <w:rPr>
          <w:rFonts w:eastAsia="Times New Roman"/>
          <w:szCs w:val="20"/>
          <w:lang w:val="hu-HU" w:eastAsia="en-GB"/>
        </w:rPr>
        <w:tab/>
        <w:t>megállapítja, hogy az ombudsman költségvetése 2023-ban 13 212 447 EUR-t tett ki, ami 2022-höz képest 990 339 EUR növekedést (+ 8,1 %) jelent; az ombudsmannak a Költségvetési Ellenőrző Bizottság által a 2023. évi költségvetési mentesítésre vonatkozóan kiküldött kérdőívre (a továbbiakban: a kérdőív) adott válaszai alapján tudomásul veszi, hogy ezt a növekedést főként bérkiigazítások és két további álláshely létesítése idézték elő, amelyekre az ombudsman alapvető tevékenységeinek megerősítéséhez volt szükség;</w:t>
      </w:r>
    </w:p>
    <w:p w14:paraId="50C1A0DF"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5.</w:t>
      </w:r>
      <w:r w:rsidRPr="00EB514F">
        <w:rPr>
          <w:rFonts w:eastAsia="Times New Roman"/>
          <w:szCs w:val="20"/>
          <w:lang w:val="hu-HU" w:eastAsia="en-GB"/>
        </w:rPr>
        <w:tab/>
        <w:t>megállapítja, hogy a 2023-as pénzügyi év során folytatott költségvetés-ellenőrzési erőfeszítések 95,39 %-os végrehajtási arányt eredményeztek, ami 2022-höz képest 1,58 %-os visszaesést jelent; megjegyzi, hogy a folyó évi kifizetési előirányzatok végrehajtási aránya 97,58 %-os volt, ami 2022-höz képest 1,31 %-os javulást jelent, ami az automatikus átvitelek csökkenéséhez vezetett (a 2022. évi 3,73 %-</w:t>
      </w:r>
      <w:proofErr w:type="spellStart"/>
      <w:r w:rsidRPr="00EB514F">
        <w:rPr>
          <w:rFonts w:eastAsia="Times New Roman"/>
          <w:szCs w:val="20"/>
          <w:lang w:val="hu-HU" w:eastAsia="en-GB"/>
        </w:rPr>
        <w:t>ról</w:t>
      </w:r>
      <w:proofErr w:type="spellEnd"/>
      <w:r w:rsidRPr="00EB514F">
        <w:rPr>
          <w:rFonts w:eastAsia="Times New Roman"/>
          <w:szCs w:val="20"/>
          <w:lang w:val="hu-HU" w:eastAsia="en-GB"/>
        </w:rPr>
        <w:t xml:space="preserve"> (442 209 EUR) 2,42 %-</w:t>
      </w:r>
      <w:proofErr w:type="spellStart"/>
      <w:r w:rsidRPr="00EB514F">
        <w:rPr>
          <w:rFonts w:eastAsia="Times New Roman"/>
          <w:szCs w:val="20"/>
          <w:lang w:val="hu-HU" w:eastAsia="en-GB"/>
        </w:rPr>
        <w:t>ra</w:t>
      </w:r>
      <w:proofErr w:type="spellEnd"/>
      <w:r w:rsidRPr="00EB514F">
        <w:rPr>
          <w:rFonts w:eastAsia="Times New Roman"/>
          <w:szCs w:val="20"/>
          <w:lang w:val="hu-HU" w:eastAsia="en-GB"/>
        </w:rPr>
        <w:t xml:space="preserve"> (304 550 EUR) 2023-ban); sajnálatát fejezi ki azonban az előző évről automatikusan átvitt előirányzatok alacsonyabb végrehajtási aránya miatt, amely 2023-ban 73,27 % volt, szemben a 2022. évi 92,59 %-kal; e téren javulást szorgalmaz;</w:t>
      </w:r>
    </w:p>
    <w:p w14:paraId="2F4558CA"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6.</w:t>
      </w:r>
      <w:r w:rsidRPr="00EB514F">
        <w:rPr>
          <w:rFonts w:eastAsia="Times New Roman"/>
          <w:szCs w:val="20"/>
          <w:lang w:val="hu-HU" w:eastAsia="en-GB"/>
        </w:rPr>
        <w:tab/>
        <w:t>megállapítja, hogy 2023-ban az ombudsman kilenc költségvetési átcsoportosítást hajtott végre a költségvetési rendelet 29. cikke alapján, amelyek teljes összege 241 150 EUR, vagyis az adott pénzügyi év előirányzatainak 1,8 %-a volt, szemben a 2022. évi 2,8 %-kal; megjegyzi, hogy ezekre az átcsoportosításokra különböző – például a bútorokat, az épületek biztonságát és felügyeletét, az archívumok digitalizálását vagy az informatikát érintő – költségvetési sorok megerősítéséhez volt szükség; ezzel összefüggésben megállapítja, hogy az informatikai kiadások 41 %-kal nőttek (2023-ban 224 698 EUR, szemben a 2022. évi 159 714 EUR-val);</w:t>
      </w:r>
    </w:p>
    <w:p w14:paraId="126C05B1"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7.</w:t>
      </w:r>
      <w:r w:rsidRPr="00EB514F">
        <w:rPr>
          <w:rFonts w:eastAsia="Times New Roman"/>
          <w:szCs w:val="20"/>
          <w:lang w:val="hu-HU" w:eastAsia="en-GB"/>
        </w:rPr>
        <w:tab/>
        <w:t>megjegyzi, hogy tovább nőtt a kifizetések teljesítéséhez szükséges átlagos idő, immár a harmadik egymást követő évben; elismeri, hogy bár a kifizetésekhez igénybe vett idő a 2021. évi 11,35 napról 2023-ban 13,50 napra nőtt, a kifizetések átlagos ideje továbbra is viszonylag rövid, és elmarad a kifizetések teljesítésére jogszabályban előírt maximális időtől (30 nap); ezzel összefüggésben üdvözli, hogy az ombudsman időközben sort kerített egy elektronikus számlázási rendszer teljeskörű bevezetésére, amelynek 2024-től tovább kell javítania a fizetési folyamat hatékonyságát;</w:t>
      </w:r>
    </w:p>
    <w:p w14:paraId="552315A4"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lastRenderedPageBreak/>
        <w:t>8.</w:t>
      </w:r>
      <w:r w:rsidRPr="00EB514F">
        <w:rPr>
          <w:rFonts w:eastAsia="Times New Roman"/>
          <w:szCs w:val="20"/>
          <w:lang w:val="hu-HU" w:eastAsia="en-GB"/>
        </w:rPr>
        <w:tab/>
        <w:t>megjegyzi, hogy 2023-ban az Európai Parlament nem hárította át az ombudsmanra a bérleti díjak és az átalányösszegű rezsidíjak jelentős növekedését, ami lehetővé tette az ombudsman számára, hogy 2023-ban 8,06 %-kal csökkentse bérleti díjakra vonatkozó költségvetési sorát, és e megtakarítást más költségvetési sorok megerősítésére használja fel; tudomásul veszi azonban, hogy 2024-ben az ombudsman az épületekkel kapcsolatos kiadások 170 %-os (azaz 122 260 EUR-s) növekedésére számít;</w:t>
      </w:r>
    </w:p>
    <w:p w14:paraId="3E021337"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9.</w:t>
      </w:r>
      <w:r w:rsidRPr="00EB514F">
        <w:rPr>
          <w:rFonts w:eastAsia="Times New Roman"/>
          <w:szCs w:val="20"/>
          <w:lang w:val="hu-HU" w:eastAsia="en-GB"/>
        </w:rPr>
        <w:tab/>
        <w:t>üdvözli, hogy a személyzeti kiküldetések költségvetése a 2022. évi 120 000 EUR-ról 2023-ban 100 000 EUR-ra csökkent a videokonferencia-eszközök mindkét munkahelyen történő széles körű használatának köszönhetően; ezzel összefüggésben elismerését fejezi ki az ombudsmannak a kiküldetések költségvetésének negyedik egymást követő évben elért csökkentéséért; megjegyzi, hogy az ombudsman kiküldetési és utazási költségvetése 2023-ban az előző évekhez (2021 és 2022) képest nem változott (35 000 EUR);</w:t>
      </w:r>
    </w:p>
    <w:p w14:paraId="70A7E843" w14:textId="77777777" w:rsidR="001A0353" w:rsidRPr="00EB514F" w:rsidRDefault="001A0353" w:rsidP="00B02C4E">
      <w:pPr>
        <w:spacing w:after="240"/>
        <w:ind w:left="567" w:hanging="567"/>
        <w:jc w:val="left"/>
        <w:rPr>
          <w:rFonts w:eastAsia="Times New Roman"/>
          <w:b/>
          <w:i/>
          <w:szCs w:val="20"/>
          <w:lang w:val="hu-HU" w:eastAsia="en-GB"/>
        </w:rPr>
      </w:pPr>
      <w:r w:rsidRPr="00EB514F">
        <w:rPr>
          <w:rFonts w:eastAsia="Times New Roman"/>
          <w:b/>
          <w:i/>
          <w:szCs w:val="20"/>
          <w:lang w:val="hu-HU" w:eastAsia="en-GB"/>
        </w:rPr>
        <w:t>Belső irányítás, teljesítmény és belső kontroll</w:t>
      </w:r>
    </w:p>
    <w:p w14:paraId="748656E3"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10.</w:t>
      </w:r>
      <w:r w:rsidRPr="00EB514F">
        <w:rPr>
          <w:rFonts w:eastAsia="Times New Roman"/>
          <w:szCs w:val="20"/>
          <w:lang w:val="hu-HU" w:eastAsia="en-GB"/>
        </w:rPr>
        <w:tab/>
        <w:t>megjegyzi, hogy az ombudsman „2024 felé” című stratégiájának magas szintű célkitűzéseihez kilenc fő teljesítménymutatót rendelt, amelyek 19 összetevőből állnak, az ombudsman 2023. évi éves irányítási tervében meghatározottak szerint; megállapítja, hogy 2023-ban e fő teljesítménymutatók közül 14-et sikerült elérni vagy meghaladni;</w:t>
      </w:r>
    </w:p>
    <w:p w14:paraId="60C028BE"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11.</w:t>
      </w:r>
      <w:r w:rsidRPr="00EB514F">
        <w:rPr>
          <w:rFonts w:eastAsia="Times New Roman"/>
          <w:szCs w:val="20"/>
          <w:lang w:val="hu-HU" w:eastAsia="en-GB"/>
        </w:rPr>
        <w:tab/>
        <w:t xml:space="preserve">megállapítja, hogy az ombudsman munkaterhe összességében nőtt az előző évhez képest, mivel 2023-ban az ombudsman 2392 új panaszt kezelt (2022-ben 2223), 398 vizsgálatot indított (2022-ben 348-at), köztük 56 közérdekű vizsgálatot (2022-ben 60), lezárt 372 vizsgálatot (2022-ben 330), és rekordszámú nyilvános hozzáférési panaszt kezelt, amely a 2022. évi 117-ről 2023-ban rekordszámú 167-re nőtt, amelyek közül 118 esetében vizsgálat indult; ezzel összefüggésben elismerését fejezi ki az ombudsmannak, hogy a panaszok számának csökkentése céljából 2023-ban a válaszadás elmulasztásával kapcsolatos vizsgálatok kezelésének egyszerűsítése, valamint a hatáskörön kívül eső panaszok és az információkérések feldolgozásának egyszerűsítése révén növelte hatékonyságát; kéri az ombudsmant, hogy dolgozzon ki </w:t>
      </w:r>
      <w:proofErr w:type="spellStart"/>
      <w:r w:rsidRPr="00EB514F">
        <w:rPr>
          <w:rFonts w:eastAsia="Times New Roman"/>
          <w:szCs w:val="20"/>
          <w:lang w:val="hu-HU" w:eastAsia="en-GB"/>
        </w:rPr>
        <w:t>célzottabb</w:t>
      </w:r>
      <w:proofErr w:type="spellEnd"/>
      <w:r w:rsidRPr="00EB514F">
        <w:rPr>
          <w:rFonts w:eastAsia="Times New Roman"/>
          <w:szCs w:val="20"/>
          <w:lang w:val="hu-HU" w:eastAsia="en-GB"/>
        </w:rPr>
        <w:t xml:space="preserve"> kommunikációt e kérdés jövőbeli kezelése érdekében; üdvözli, hogy a következő években is erőfeszítéseket kíván tenni a folyamatok észszerűsítése és egyszerűsítése céljából;</w:t>
      </w:r>
    </w:p>
    <w:p w14:paraId="46E7D89D"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12.</w:t>
      </w:r>
      <w:r w:rsidRPr="00EB514F">
        <w:rPr>
          <w:rFonts w:eastAsia="Times New Roman"/>
          <w:szCs w:val="20"/>
          <w:lang w:val="hu-HU" w:eastAsia="en-GB"/>
        </w:rPr>
        <w:tab/>
        <w:t>elismerését fejezi ki az ombudsmannak azért, hogy az eljárások különböző szintjein csökkentette az akták feldolgozásához szükséges időt, például az elfogadhatóság ellenőrzésére fordított időt (a 2022. évi 16 napról 2023-ban 11 napra), vagy a dokumentumokhoz való nyilvános hozzáféréshez kapcsolódó ügyek lezárásához szükséges átlagos időt (a 2022. évi 46 napról 2023-ban 42 napra); sajnálatát fejezi ki azonban amiatt, hogy 2023-ban továbbra is hosszú volt a vizsgálatok lefolytatására fordított átlagos idő (165 nap); mindazonáltal megérti az ombudsman magyarázatát, amely szerint ezt az átlagot az rontotta le, hogy a vizsgálatok lezárását késleltették az érintett intézményekkel folytatott elhúzódó eszmecserék;</w:t>
      </w:r>
    </w:p>
    <w:p w14:paraId="476DE5D6"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13.</w:t>
      </w:r>
      <w:r w:rsidRPr="00EB514F">
        <w:rPr>
          <w:rFonts w:eastAsia="Times New Roman"/>
          <w:szCs w:val="20"/>
          <w:lang w:val="hu-HU" w:eastAsia="en-GB"/>
        </w:rPr>
        <w:tab/>
        <w:t>további javulást észlel az uniós intézmények által az ombudsmannak adott pozitív válaszok tekintetében, mivel az intézmények 2023-ban összességében az igazgatásuk javítására irányuló javaslatok 81 %-át elfogadták (szemben a 2022. évi 79 %-kal); kéri az ombudsmant, hogy továbbra is igyekezzen elérni, hogy az érintettek nagyobb mértékben kövessék megállapításait, ajánlásait és javaslatait;</w:t>
      </w:r>
    </w:p>
    <w:p w14:paraId="5E1724AC"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lastRenderedPageBreak/>
        <w:t>14.</w:t>
      </w:r>
      <w:r w:rsidRPr="00EB514F">
        <w:rPr>
          <w:rFonts w:eastAsia="Times New Roman"/>
          <w:szCs w:val="20"/>
          <w:lang w:val="hu-HU" w:eastAsia="en-GB"/>
        </w:rPr>
        <w:tab/>
        <w:t xml:space="preserve">elismeri az ombudsman által 2023-ban annak érdekében tett erőfeszítéseket, hogy növelje megbízatásának ismertségét és megértését; ezzel összefüggésben megelégedéssel állapítja meg, hogy a hatáskörébe tartozó panaszok száma a 2022. évi 740-ről 2023-ban 885-re (20 %-kal) nőtt, </w:t>
      </w:r>
      <w:proofErr w:type="gramStart"/>
      <w:r w:rsidRPr="00EB514F">
        <w:rPr>
          <w:rFonts w:eastAsia="Times New Roman"/>
          <w:szCs w:val="20"/>
          <w:lang w:val="hu-HU" w:eastAsia="en-GB"/>
        </w:rPr>
        <w:t>valamint</w:t>
      </w:r>
      <w:proofErr w:type="gramEnd"/>
      <w:r w:rsidRPr="00EB514F">
        <w:rPr>
          <w:rFonts w:eastAsia="Times New Roman"/>
          <w:szCs w:val="20"/>
          <w:lang w:val="hu-HU" w:eastAsia="en-GB"/>
        </w:rPr>
        <w:t xml:space="preserve"> hogy az ilyen panaszok aránya a 2022. évi 33 %-</w:t>
      </w:r>
      <w:proofErr w:type="spellStart"/>
      <w:r w:rsidRPr="00EB514F">
        <w:rPr>
          <w:rFonts w:eastAsia="Times New Roman"/>
          <w:szCs w:val="20"/>
          <w:lang w:val="hu-HU" w:eastAsia="en-GB"/>
        </w:rPr>
        <w:t>ról</w:t>
      </w:r>
      <w:proofErr w:type="spellEnd"/>
      <w:r w:rsidRPr="00EB514F">
        <w:rPr>
          <w:rFonts w:eastAsia="Times New Roman"/>
          <w:szCs w:val="20"/>
          <w:lang w:val="hu-HU" w:eastAsia="en-GB"/>
        </w:rPr>
        <w:t xml:space="preserve"> 2023-ban 37 %-</w:t>
      </w:r>
      <w:proofErr w:type="spellStart"/>
      <w:r w:rsidRPr="00EB514F">
        <w:rPr>
          <w:rFonts w:eastAsia="Times New Roman"/>
          <w:szCs w:val="20"/>
          <w:lang w:val="hu-HU" w:eastAsia="en-GB"/>
        </w:rPr>
        <w:t>ra</w:t>
      </w:r>
      <w:proofErr w:type="spellEnd"/>
      <w:r w:rsidRPr="00EB514F">
        <w:rPr>
          <w:rFonts w:eastAsia="Times New Roman"/>
          <w:szCs w:val="20"/>
          <w:lang w:val="hu-HU" w:eastAsia="en-GB"/>
        </w:rPr>
        <w:t xml:space="preserve"> nőtt;</w:t>
      </w:r>
    </w:p>
    <w:p w14:paraId="38E6C3D6"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15.</w:t>
      </w:r>
      <w:r w:rsidRPr="00EB514F">
        <w:rPr>
          <w:rFonts w:eastAsia="Times New Roman"/>
          <w:szCs w:val="20"/>
          <w:lang w:val="hu-HU" w:eastAsia="en-GB"/>
        </w:rPr>
        <w:tab/>
        <w:t xml:space="preserve">elismeri az ombudsman által az etika, az átláthatóság és az elszámoltathatóság területén 2023-ban tett erőfeszítéseket és azok pozitív hatását, amely különösen a különböző uniós intézményeket, ügynökségeket vagy az Európai Beruházási Bankot érintő, dokumentumokhoz való nyilvános hozzáféréssel és összeférhetetlenséggel kapcsolatos vizsgálatok eredménye; elismerését fejezi ki az ombudsman által 2023 szeptemberében kiadott, a dokumentumokhoz való hozzáférés iránti kérelmek Bizottság általi késedelmes kezeléséről szóló </w:t>
      </w:r>
      <w:proofErr w:type="spellStart"/>
      <w:r w:rsidRPr="00EB514F">
        <w:rPr>
          <w:rFonts w:eastAsia="Times New Roman"/>
          <w:szCs w:val="20"/>
          <w:lang w:val="hu-HU" w:eastAsia="en-GB"/>
        </w:rPr>
        <w:t>különjelentésért</w:t>
      </w:r>
      <w:proofErr w:type="spellEnd"/>
      <w:r w:rsidRPr="00EB514F">
        <w:rPr>
          <w:rFonts w:eastAsia="Times New Roman"/>
          <w:szCs w:val="20"/>
          <w:lang w:val="hu-HU" w:eastAsia="en-GB"/>
        </w:rPr>
        <w:t>;</w:t>
      </w:r>
    </w:p>
    <w:p w14:paraId="07F3AB0F"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16.</w:t>
      </w:r>
      <w:r w:rsidRPr="00EB514F">
        <w:rPr>
          <w:rFonts w:eastAsia="Times New Roman"/>
          <w:szCs w:val="20"/>
          <w:lang w:val="hu-HU" w:eastAsia="en-GB"/>
        </w:rPr>
        <w:tab/>
        <w:t xml:space="preserve">az ombudsman mentesítésért felelős hatóság számára készített, „Jelentés a 2022-es pénzügyi évre vonatkozó mentesítés nyomon követéséről” című jelentése alapján tudomásul veszi a Helyreállítási és </w:t>
      </w:r>
      <w:proofErr w:type="spellStart"/>
      <w:r w:rsidRPr="00EB514F">
        <w:rPr>
          <w:rFonts w:eastAsia="Times New Roman"/>
          <w:szCs w:val="20"/>
          <w:lang w:val="hu-HU" w:eastAsia="en-GB"/>
        </w:rPr>
        <w:t>Rezilienciaépítési</w:t>
      </w:r>
      <w:proofErr w:type="spellEnd"/>
      <w:r w:rsidRPr="00EB514F">
        <w:rPr>
          <w:rFonts w:eastAsia="Times New Roman"/>
          <w:szCs w:val="20"/>
          <w:lang w:val="hu-HU" w:eastAsia="en-GB"/>
        </w:rPr>
        <w:t xml:space="preserve"> Eszköz területén megfigyelt problémákat, nevezetesen az Európai Bizottság által az információkhoz való hozzáférés iránti kérelmek megválaszolása során tapasztalt jelentős késedelmeket, különösen a Helyreállítási és </w:t>
      </w:r>
      <w:proofErr w:type="spellStart"/>
      <w:r w:rsidRPr="00EB514F">
        <w:rPr>
          <w:rFonts w:eastAsia="Times New Roman"/>
          <w:szCs w:val="20"/>
          <w:lang w:val="hu-HU" w:eastAsia="en-GB"/>
        </w:rPr>
        <w:t>Rezilienciaépítési</w:t>
      </w:r>
      <w:proofErr w:type="spellEnd"/>
      <w:r w:rsidRPr="00EB514F">
        <w:rPr>
          <w:rFonts w:eastAsia="Times New Roman"/>
          <w:szCs w:val="20"/>
          <w:lang w:val="hu-HU" w:eastAsia="en-GB"/>
        </w:rPr>
        <w:t xml:space="preserve"> Eszköz legnagyobb kedvezményezettjeinek tagállamok általi késedelmes közzétételét – ami aláássa az átláthatóságot –, valamint a problémás érvrendszert, amely alapján a Bizottság bizonyos esetekben megállapítja a dokumentumokhoz való nyilvános hozzáférés biztosításának szintjét; aggodalmát fejezi ki a Bizottság azon döntése miatt, hogy nem fogadja el az ombudsman e tekintetben megfogalmazott valamennyi indítványát és megoldási javaslatát, emlékeztetve az OECD-vel együttműködésben létrehozott helyreállítási alapok felhasználása során a kormányzati átláthatósággal kapcsolatos bevált gyakorlatokra vonatkozó elvek fontosságára; sajnálatát fejezi ki amiatt, hogy nemzeti szinten továbbra is jelentős eltérések vannak a végső kedvezményezettekre vonatkozó információk időszerűsége és teljessége tekintetében; kéri a Bizottságot, hogy folyamatos </w:t>
      </w:r>
      <w:proofErr w:type="spellStart"/>
      <w:r w:rsidRPr="00EB514F">
        <w:rPr>
          <w:rFonts w:eastAsia="Times New Roman"/>
          <w:szCs w:val="20"/>
          <w:lang w:val="hu-HU" w:eastAsia="en-GB"/>
        </w:rPr>
        <w:t>nyomonkövetési</w:t>
      </w:r>
      <w:proofErr w:type="spellEnd"/>
      <w:r w:rsidRPr="00EB514F">
        <w:rPr>
          <w:rFonts w:eastAsia="Times New Roman"/>
          <w:szCs w:val="20"/>
          <w:lang w:val="hu-HU" w:eastAsia="en-GB"/>
        </w:rPr>
        <w:t xml:space="preserve"> és ellenőrzési feladatai keretében fokozza az e hiányosságok kezelésére irányuló erőfeszítéseit; hangsúlyozza, hogy az átláthatóság és az elszámoltathatóság biztosítása érdekében valamennyi tagállamban következetes és teljeskörű jelentéstételre van szükség; felhívja az ombudsmant, hogy továbbra is kövesse nyomon a Helyreállítási és </w:t>
      </w:r>
      <w:proofErr w:type="spellStart"/>
      <w:r w:rsidRPr="00EB514F">
        <w:rPr>
          <w:rFonts w:eastAsia="Times New Roman"/>
          <w:szCs w:val="20"/>
          <w:lang w:val="hu-HU" w:eastAsia="en-GB"/>
        </w:rPr>
        <w:t>Rezilienciaépítési</w:t>
      </w:r>
      <w:proofErr w:type="spellEnd"/>
      <w:r w:rsidRPr="00EB514F">
        <w:rPr>
          <w:rFonts w:eastAsia="Times New Roman"/>
          <w:szCs w:val="20"/>
          <w:lang w:val="hu-HU" w:eastAsia="en-GB"/>
        </w:rPr>
        <w:t xml:space="preserve"> Eszköz átláthatóságának és hatékony felügyeletének biztosítására irányuló bizottsági erőfeszítéseket; felhívja továbbá az ombudsmant, hogy továbbra is rendszeresen tájékoztassa a költségvetési hatóságot a Helyreállítási és </w:t>
      </w:r>
      <w:proofErr w:type="spellStart"/>
      <w:r w:rsidRPr="00EB514F">
        <w:rPr>
          <w:rFonts w:eastAsia="Times New Roman"/>
          <w:szCs w:val="20"/>
          <w:lang w:val="hu-HU" w:eastAsia="en-GB"/>
        </w:rPr>
        <w:t>Rezilienciaépítési</w:t>
      </w:r>
      <w:proofErr w:type="spellEnd"/>
      <w:r w:rsidRPr="00EB514F">
        <w:rPr>
          <w:rFonts w:eastAsia="Times New Roman"/>
          <w:szCs w:val="20"/>
          <w:lang w:val="hu-HU" w:eastAsia="en-GB"/>
        </w:rPr>
        <w:t xml:space="preserve"> Eszköz átláthatóságával és elszámoltathatóságával kapcsolatos munkája során tapasztalt nehézségekről;</w:t>
      </w:r>
    </w:p>
    <w:p w14:paraId="29F60869"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17.</w:t>
      </w:r>
      <w:r w:rsidRPr="00EB514F">
        <w:rPr>
          <w:rFonts w:eastAsia="Times New Roman"/>
          <w:szCs w:val="20"/>
          <w:lang w:val="hu-HU" w:eastAsia="en-GB"/>
        </w:rPr>
        <w:tab/>
        <w:t>kiemeli, hogy 2023-ban egy saját kezdeményezésű vizsgálatot követően, amely feltárta, hogy amikor a magánszemélyek valamely hozzáférési határozat felülvizsgálatát kérik, azaz úgynevezett hozzáférés iránti megerősítő kérelmet nyújtanak be, a Bizottság az esetek 85 %-</w:t>
      </w:r>
      <w:proofErr w:type="spellStart"/>
      <w:r w:rsidRPr="00EB514F">
        <w:rPr>
          <w:rFonts w:eastAsia="Times New Roman"/>
          <w:szCs w:val="20"/>
          <w:lang w:val="hu-HU" w:eastAsia="en-GB"/>
        </w:rPr>
        <w:t>ában</w:t>
      </w:r>
      <w:proofErr w:type="spellEnd"/>
      <w:r w:rsidRPr="00EB514F">
        <w:rPr>
          <w:rFonts w:eastAsia="Times New Roman"/>
          <w:szCs w:val="20"/>
          <w:lang w:val="hu-HU" w:eastAsia="en-GB"/>
        </w:rPr>
        <w:t xml:space="preserve"> nem tartja be a jogszabályban meghatározott határidőket, az ombudsman sürgette az Európai Bizottságot, hogy haladéktalanul foglalkozzon a dokumentumokhoz való hozzáférés iránti kérelmek feldolgozása terén tapasztalható rendszeres késedelmekkel; kéri, hogy az uniós jogban, például a 1049/2001/EK európai </w:t>
      </w:r>
      <w:r w:rsidRPr="00EB514F">
        <w:rPr>
          <w:rFonts w:eastAsia="Times New Roman"/>
          <w:szCs w:val="20"/>
          <w:lang w:val="hu-HU" w:eastAsia="en-GB"/>
        </w:rPr>
        <w:lastRenderedPageBreak/>
        <w:t>parlamenti és tanácsi rendeletben</w:t>
      </w:r>
      <w:r w:rsidRPr="00EB514F">
        <w:rPr>
          <w:rStyle w:val="FootnoteReference"/>
          <w:rFonts w:eastAsia="Times New Roman"/>
          <w:szCs w:val="20"/>
          <w:lang w:val="hu-HU" w:eastAsia="en-GB"/>
        </w:rPr>
        <w:footnoteReference w:id="9"/>
      </w:r>
      <w:r w:rsidRPr="00EB514F">
        <w:rPr>
          <w:rFonts w:eastAsia="Times New Roman"/>
          <w:szCs w:val="20"/>
          <w:lang w:val="hu-HU" w:eastAsia="en-GB"/>
        </w:rPr>
        <w:t xml:space="preserve"> meghatározott határidők betartásának biztosítása érdekében mielőbb hajtsák végre az ombudsman alapos újraértékelésre vonatkozó sürgős ajánlását; elismerését fejezi ki az ombudsmannak az Európai Parlamenthez intézett </w:t>
      </w:r>
      <w:proofErr w:type="spellStart"/>
      <w:r w:rsidRPr="00EB514F">
        <w:rPr>
          <w:rFonts w:eastAsia="Times New Roman"/>
          <w:szCs w:val="20"/>
          <w:lang w:val="hu-HU" w:eastAsia="en-GB"/>
        </w:rPr>
        <w:t>különjelentéséért</w:t>
      </w:r>
      <w:proofErr w:type="spellEnd"/>
      <w:r w:rsidRPr="00EB514F">
        <w:rPr>
          <w:rFonts w:eastAsia="Times New Roman"/>
          <w:szCs w:val="20"/>
          <w:lang w:val="hu-HU" w:eastAsia="en-GB"/>
        </w:rPr>
        <w:t>, amelyben hivatalos támogatást kér az intézménytől a Bizottság arra való ösztönzéséhez, hogy az az ajánlása alapján járjon el; emlékeztet arra, hogy az ombudsman 2023 novemberében az Állampolgári Jogi, Bel- és Igazságügyi Bizottság keretében megvitatta a jelentést az Európai Parlament képviselőivel </w:t>
      </w:r>
      <w:r w:rsidRPr="00EB514F">
        <w:rPr>
          <w:rFonts w:eastAsia="Times New Roman"/>
          <w:szCs w:val="20"/>
          <w:vertAlign w:val="superscript"/>
          <w:lang w:val="hu-HU" w:eastAsia="en-GB"/>
        </w:rPr>
        <w:footnoteReference w:id="10"/>
      </w:r>
      <w:r w:rsidRPr="00EB514F">
        <w:rPr>
          <w:rFonts w:eastAsia="Times New Roman"/>
          <w:szCs w:val="20"/>
          <w:lang w:val="hu-HU" w:eastAsia="en-GB"/>
        </w:rPr>
        <w:t>;</w:t>
      </w:r>
    </w:p>
    <w:p w14:paraId="5EAD7331"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18.</w:t>
      </w:r>
      <w:r w:rsidRPr="00EB514F">
        <w:rPr>
          <w:rFonts w:eastAsia="Times New Roman"/>
          <w:szCs w:val="20"/>
          <w:lang w:val="hu-HU" w:eastAsia="en-GB"/>
        </w:rPr>
        <w:tab/>
        <w:t xml:space="preserve">mély aggodalommal jegyzi meg, hogy az ombudsmanhoz számos panasz érkezik a polgároktól a kért dokumentumokhoz való hozzáférés megszerzése során tapasztalható rendkívüli késedelmekről; támogatja az ombudsman azon véleményét, miszerint a hozzáférés késleltetése lényegében a hozzáférés megtagadását jelenti, és hogy az adminisztratív folyamatokat </w:t>
      </w:r>
      <w:proofErr w:type="spellStart"/>
      <w:r w:rsidRPr="00EB514F">
        <w:rPr>
          <w:rFonts w:eastAsia="Times New Roman"/>
          <w:szCs w:val="20"/>
          <w:lang w:val="hu-HU" w:eastAsia="en-GB"/>
        </w:rPr>
        <w:t>észszerűsíteni</w:t>
      </w:r>
      <w:proofErr w:type="spellEnd"/>
      <w:r w:rsidRPr="00EB514F">
        <w:rPr>
          <w:rFonts w:eastAsia="Times New Roman"/>
          <w:szCs w:val="20"/>
          <w:lang w:val="hu-HU" w:eastAsia="en-GB"/>
        </w:rPr>
        <w:t xml:space="preserve"> kell annak biztosítása érdekében, hogy a polgárok időben hozzáférjenek a dokumentumokhoz </w:t>
      </w:r>
      <w:r w:rsidRPr="00EB514F">
        <w:rPr>
          <w:rFonts w:eastAsia="Times New Roman"/>
          <w:szCs w:val="20"/>
          <w:vertAlign w:val="superscript"/>
          <w:lang w:val="hu-HU" w:eastAsia="en-GB"/>
        </w:rPr>
        <w:footnoteReference w:id="11"/>
      </w:r>
      <w:r w:rsidRPr="00EB514F">
        <w:rPr>
          <w:rFonts w:eastAsia="Times New Roman"/>
          <w:szCs w:val="20"/>
          <w:lang w:val="hu-HU" w:eastAsia="en-GB"/>
        </w:rPr>
        <w:t>;</w:t>
      </w:r>
    </w:p>
    <w:p w14:paraId="3F2910D8"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19.</w:t>
      </w:r>
      <w:r w:rsidRPr="00EB514F">
        <w:rPr>
          <w:rFonts w:eastAsia="Times New Roman"/>
          <w:szCs w:val="20"/>
          <w:lang w:val="hu-HU" w:eastAsia="en-GB"/>
        </w:rPr>
        <w:tab/>
        <w:t>megjegyzi, hogy a belső ellenőr elvégezte az ombudsman kockázatkezelési keretének felülvizsgálatát; megjegyzi, hogy a felek megállapodtak egy kilenc pontból álló cselekvési tervben, amelyet 2024 végéig végre kell hajtani; felszólítja az ombudsmant, hogy tájékoztassa a mentesítésért felelős hatóságot az említett terv végrehajtásának előrehaladásáról;</w:t>
      </w:r>
    </w:p>
    <w:p w14:paraId="2577F37B" w14:textId="77777777" w:rsidR="001A0353" w:rsidRPr="00EB514F" w:rsidRDefault="001A0353" w:rsidP="00B02C4E">
      <w:pPr>
        <w:spacing w:after="240"/>
        <w:ind w:left="567" w:hanging="567"/>
        <w:jc w:val="left"/>
        <w:rPr>
          <w:rFonts w:eastAsia="Times New Roman"/>
          <w:b/>
          <w:i/>
          <w:szCs w:val="20"/>
          <w:lang w:val="hu-HU" w:eastAsia="en-GB"/>
        </w:rPr>
      </w:pPr>
      <w:r w:rsidRPr="00EB514F">
        <w:rPr>
          <w:rFonts w:eastAsia="Times New Roman"/>
          <w:b/>
          <w:i/>
          <w:szCs w:val="20"/>
          <w:lang w:val="hu-HU" w:eastAsia="en-GB"/>
        </w:rPr>
        <w:t>Emberi erőforrások, egyenlőség és a személyzet jólléte</w:t>
      </w:r>
    </w:p>
    <w:p w14:paraId="05C47454"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20.</w:t>
      </w:r>
      <w:r w:rsidRPr="00EB514F">
        <w:rPr>
          <w:rFonts w:eastAsia="Times New Roman"/>
          <w:szCs w:val="20"/>
          <w:lang w:val="hu-HU" w:eastAsia="en-GB"/>
        </w:rPr>
        <w:tab/>
        <w:t>megjegyzi, hogy az ombudsman teljes személyzete 11 %-kal, a 2022. évi 74 főről 2023-ban 82 főre nőtt, főként a szerződéses és ideiglenes alkalmazottak számának növekedése miatt; megjegyzi továbbá, hogy 2023-ban az ombudsman 40 tisztviselőt (2022-ben 39, 2021-ben 38), 33 ideiglenes alkalmazottat (2022-ben 28, 2021-ben 30), valamint 9 szerződéses alkalmazottat (2022-ben 7, 2021-ben 6) foglalkoztatott; megelégedéssel veszi tudomásul, hogy az ombudsman alaptevékenységével (panaszokkal és vizsgálatokkal) foglalkozó személyzet aránya a 2022. évi 40,54 %-</w:t>
      </w:r>
      <w:proofErr w:type="spellStart"/>
      <w:r w:rsidRPr="00EB514F">
        <w:rPr>
          <w:rFonts w:eastAsia="Times New Roman"/>
          <w:szCs w:val="20"/>
          <w:lang w:val="hu-HU" w:eastAsia="en-GB"/>
        </w:rPr>
        <w:t>ról</w:t>
      </w:r>
      <w:proofErr w:type="spellEnd"/>
      <w:r w:rsidRPr="00EB514F">
        <w:rPr>
          <w:rFonts w:eastAsia="Times New Roman"/>
          <w:szCs w:val="20"/>
          <w:lang w:val="hu-HU" w:eastAsia="en-GB"/>
        </w:rPr>
        <w:t xml:space="preserve"> 2023-ban 42,68 %-</w:t>
      </w:r>
      <w:proofErr w:type="spellStart"/>
      <w:r w:rsidRPr="00EB514F">
        <w:rPr>
          <w:rFonts w:eastAsia="Times New Roman"/>
          <w:szCs w:val="20"/>
          <w:lang w:val="hu-HU" w:eastAsia="en-GB"/>
        </w:rPr>
        <w:t>ra</w:t>
      </w:r>
      <w:proofErr w:type="spellEnd"/>
      <w:r w:rsidRPr="00EB514F">
        <w:rPr>
          <w:rFonts w:eastAsia="Times New Roman"/>
          <w:szCs w:val="20"/>
          <w:lang w:val="hu-HU" w:eastAsia="en-GB"/>
        </w:rPr>
        <w:t xml:space="preserve"> nőtt; megelégedéssel veszi tudomásul, hogy a létszámterv betöltöttségi aránya a 2022. évi 91,8 %-</w:t>
      </w:r>
      <w:proofErr w:type="spellStart"/>
      <w:r w:rsidRPr="00EB514F">
        <w:rPr>
          <w:rFonts w:eastAsia="Times New Roman"/>
          <w:szCs w:val="20"/>
          <w:lang w:val="hu-HU" w:eastAsia="en-GB"/>
        </w:rPr>
        <w:t>ról</w:t>
      </w:r>
      <w:proofErr w:type="spellEnd"/>
      <w:r w:rsidRPr="00EB514F">
        <w:rPr>
          <w:rFonts w:eastAsia="Times New Roman"/>
          <w:szCs w:val="20"/>
          <w:lang w:val="hu-HU" w:eastAsia="en-GB"/>
        </w:rPr>
        <w:t xml:space="preserve"> 2023-ban 95 %-</w:t>
      </w:r>
      <w:proofErr w:type="spellStart"/>
      <w:r w:rsidRPr="00EB514F">
        <w:rPr>
          <w:rFonts w:eastAsia="Times New Roman"/>
          <w:szCs w:val="20"/>
          <w:lang w:val="hu-HU" w:eastAsia="en-GB"/>
        </w:rPr>
        <w:t>ra</w:t>
      </w:r>
      <w:proofErr w:type="spellEnd"/>
      <w:r w:rsidRPr="00EB514F">
        <w:rPr>
          <w:rFonts w:eastAsia="Times New Roman"/>
          <w:szCs w:val="20"/>
          <w:lang w:val="hu-HU" w:eastAsia="en-GB"/>
        </w:rPr>
        <w:t xml:space="preserve"> nőtt, a fluktuációs arány pedig a 2022. évi 9,9 %-</w:t>
      </w:r>
      <w:proofErr w:type="spellStart"/>
      <w:r w:rsidRPr="00EB514F">
        <w:rPr>
          <w:rFonts w:eastAsia="Times New Roman"/>
          <w:szCs w:val="20"/>
          <w:lang w:val="hu-HU" w:eastAsia="en-GB"/>
        </w:rPr>
        <w:t>ról</w:t>
      </w:r>
      <w:proofErr w:type="spellEnd"/>
      <w:r w:rsidRPr="00EB514F">
        <w:rPr>
          <w:rFonts w:eastAsia="Times New Roman"/>
          <w:szCs w:val="20"/>
          <w:lang w:val="hu-HU" w:eastAsia="en-GB"/>
        </w:rPr>
        <w:t xml:space="preserve"> 2023-ban 5,2 %-</w:t>
      </w:r>
      <w:proofErr w:type="spellStart"/>
      <w:r w:rsidRPr="00EB514F">
        <w:rPr>
          <w:rFonts w:eastAsia="Times New Roman"/>
          <w:szCs w:val="20"/>
          <w:lang w:val="hu-HU" w:eastAsia="en-GB"/>
        </w:rPr>
        <w:t>ra</w:t>
      </w:r>
      <w:proofErr w:type="spellEnd"/>
      <w:r w:rsidRPr="00EB514F">
        <w:rPr>
          <w:rFonts w:eastAsia="Times New Roman"/>
          <w:szCs w:val="20"/>
          <w:lang w:val="hu-HU" w:eastAsia="en-GB"/>
        </w:rPr>
        <w:t xml:space="preserve"> csökkent;</w:t>
      </w:r>
    </w:p>
    <w:p w14:paraId="5CAF684C"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21.</w:t>
      </w:r>
      <w:r w:rsidRPr="00EB514F">
        <w:rPr>
          <w:rFonts w:eastAsia="Times New Roman"/>
          <w:szCs w:val="20"/>
          <w:lang w:val="hu-HU" w:eastAsia="en-GB"/>
        </w:rPr>
        <w:tab/>
        <w:t xml:space="preserve">sajnálja, hogy az ombudsman főtitkári posztja több mint két éve – nevezetesen, 2022. szeptember 1-je óta – betöltetlen; a kérdőív alapján megállapítja, hogy „a jelenlegi ombudsman a 2024 végéig megválasztandó új ombudsman felé gyakorolt gesztusként úgy határozott, hogy betöltetlenül hagyja ezt az </w:t>
      </w:r>
      <w:proofErr w:type="spellStart"/>
      <w:r w:rsidRPr="00EB514F">
        <w:rPr>
          <w:rFonts w:eastAsia="Times New Roman"/>
          <w:szCs w:val="20"/>
          <w:lang w:val="hu-HU" w:eastAsia="en-GB"/>
        </w:rPr>
        <w:t>álláshelyet</w:t>
      </w:r>
      <w:proofErr w:type="spellEnd"/>
      <w:r w:rsidRPr="00EB514F">
        <w:rPr>
          <w:rFonts w:eastAsia="Times New Roman"/>
          <w:szCs w:val="20"/>
          <w:lang w:val="hu-HU" w:eastAsia="en-GB"/>
        </w:rPr>
        <w:t xml:space="preserve">, hogy utódja </w:t>
      </w:r>
      <w:proofErr w:type="spellStart"/>
      <w:r w:rsidRPr="00EB514F">
        <w:rPr>
          <w:rFonts w:eastAsia="Times New Roman"/>
          <w:szCs w:val="20"/>
          <w:lang w:val="hu-HU" w:eastAsia="en-GB"/>
        </w:rPr>
        <w:t>dönthessen</w:t>
      </w:r>
      <w:proofErr w:type="spellEnd"/>
      <w:r w:rsidRPr="00EB514F">
        <w:rPr>
          <w:rFonts w:eastAsia="Times New Roman"/>
          <w:szCs w:val="20"/>
          <w:lang w:val="hu-HU" w:eastAsia="en-GB"/>
        </w:rPr>
        <w:t xml:space="preserve"> a kinevezésről”; felhívja a következő ombudsmant annak biztosítására, hogy a vezetői álláshelyek csak a lehető legrövidebb ideig maradjanak betöltetlenül, és semmiképp se tovább, mint amennyi időre az új alkalmazottak felvételéhez szükség van;</w:t>
      </w:r>
    </w:p>
    <w:p w14:paraId="504104C6"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lastRenderedPageBreak/>
        <w:t>22.</w:t>
      </w:r>
      <w:r w:rsidRPr="00EB514F">
        <w:rPr>
          <w:rFonts w:eastAsia="Times New Roman"/>
          <w:szCs w:val="20"/>
          <w:lang w:val="hu-HU" w:eastAsia="en-GB"/>
        </w:rPr>
        <w:tab/>
        <w:t>elismerését fejezi ki az ombudsmannak a vizsgálati tisztviselői állásokra vonatkozó pályázati felhívásért, amely 2023-ban sikeresen lezárult egy 19 jelöltből álló tartaléklista felállításával, amelyről hat főt még ugyanabban az évben felvettek; megjegyzi, hogy ez lehetővé teszi az ombudsman számára, hogy lerövidítse a munkaerő-felvételhez szükséges időt, ami a múltban problémát jelentett; megjegyzi továbbá, hogy az ombudsman az Európai Személyzeti Felvételi Hivatal (EPSO) segítségével 2023-ban három belső versenyvizsgát szervezett a házon belüli alkalmas személyzet megtartása érdekében; elismeri, hogy ezek az intézkedések hozzájárulnak az intézmény hatékonyságának javításához;</w:t>
      </w:r>
    </w:p>
    <w:p w14:paraId="6960FF9C"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23.</w:t>
      </w:r>
      <w:r w:rsidRPr="00EB514F">
        <w:rPr>
          <w:rFonts w:eastAsia="Times New Roman"/>
          <w:szCs w:val="20"/>
          <w:lang w:val="hu-HU" w:eastAsia="en-GB"/>
        </w:rPr>
        <w:tab/>
        <w:t xml:space="preserve">megjegyzi, hogy bár az ombudsman hivatala kis intézmény, 2023-ban a különösen a közösségi médián és online platformokon keresztüli, az álláshirdetések közzétételére irányuló proaktív kommunikációjának és tájékoztatási tevékenységének köszönhetően 19 különböző állampolgárságú alkalmazottat foglalkoztatott; elégedetlenségének adott hangot azonban azzal kapcsolatban, hogy egyes állampolgárságok (például francia és ír) felülreprezentáltak, más állampolgárságok (például román és spanyol) pedig </w:t>
      </w:r>
      <w:proofErr w:type="spellStart"/>
      <w:r w:rsidRPr="00EB514F">
        <w:rPr>
          <w:rFonts w:eastAsia="Times New Roman"/>
          <w:szCs w:val="20"/>
          <w:lang w:val="hu-HU" w:eastAsia="en-GB"/>
        </w:rPr>
        <w:t>alulreprezentáltak</w:t>
      </w:r>
      <w:proofErr w:type="spellEnd"/>
      <w:r w:rsidRPr="00EB514F">
        <w:rPr>
          <w:rFonts w:eastAsia="Times New Roman"/>
          <w:szCs w:val="20"/>
          <w:lang w:val="hu-HU" w:eastAsia="en-GB"/>
        </w:rPr>
        <w:t xml:space="preserve">; sürgeti az ombudsmant, hogy folytassa erőfeszítéseit a személyzetén belül valamennyi tagállam kiegyensúlyozott földrajzi képviseletének elérése érdekében, különösen vezetői szinten, és az </w:t>
      </w:r>
      <w:proofErr w:type="spellStart"/>
      <w:r w:rsidRPr="00EB514F">
        <w:rPr>
          <w:rFonts w:eastAsia="Times New Roman"/>
          <w:szCs w:val="20"/>
          <w:lang w:val="hu-HU" w:eastAsia="en-GB"/>
        </w:rPr>
        <w:t>alulreprezentált</w:t>
      </w:r>
      <w:proofErr w:type="spellEnd"/>
      <w:r w:rsidRPr="00EB514F">
        <w:rPr>
          <w:rFonts w:eastAsia="Times New Roman"/>
          <w:szCs w:val="20"/>
          <w:lang w:val="hu-HU" w:eastAsia="en-GB"/>
        </w:rPr>
        <w:t xml:space="preserve"> nemzetiségek vonzása érdekében javítsa kommunikációját, növelje láthatóságát és javítsa a munkakörülményeket;</w:t>
      </w:r>
    </w:p>
    <w:p w14:paraId="493B0227"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24.</w:t>
      </w:r>
      <w:r w:rsidRPr="00EB514F">
        <w:rPr>
          <w:rFonts w:eastAsia="Times New Roman"/>
          <w:szCs w:val="20"/>
          <w:lang w:val="hu-HU" w:eastAsia="en-GB"/>
        </w:rPr>
        <w:tab/>
        <w:t>megjegyzi, hogy a nemek közötti egyensúly tekintetében az ombudsman valamennyi személyzeti kategóriában – különösen vezetői szinten – továbbra is több nőt foglalkoztat, mint férfit, és hogy a nők és férfiak aránya 2023-ban összességében megegyezik a 2022. évivel, azaz a munkaerő 67 %-a nő és 33 %-a férfi; arra ösztönzi az ombudsmant, hogy folytassa a nemek személyzetén belüli kiegyensúlyozottabb képviseletének elérésére irányuló erőfeszítéseit;</w:t>
      </w:r>
    </w:p>
    <w:p w14:paraId="77CE5D05"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25.</w:t>
      </w:r>
      <w:r w:rsidRPr="00EB514F">
        <w:rPr>
          <w:rFonts w:eastAsia="Times New Roman"/>
          <w:szCs w:val="20"/>
          <w:lang w:val="hu-HU" w:eastAsia="en-GB"/>
        </w:rPr>
        <w:tab/>
        <w:t>nyugtázza az ombudsmannak a személyzet fizikai és mentális munkahelyi jóllétének biztosítására irányuló erőfeszítéseit és a csapatszellem megerősítésére irányuló igyekezetét; ezzel összefüggésben üdvözli a 2023-ban végzett általános személyzeti felmérés eredményét, amely 87 %-os általános személyzeti elégedettségi arányt mutatott és különösen azt, hogy a felmérés résztvevői 95 %-ban pozitívan válaszoltak arra a kérdésre, hogy az ombudsman gondoskodik-e személyzetének jóllétéről, 97 %-</w:t>
      </w:r>
      <w:proofErr w:type="spellStart"/>
      <w:r w:rsidRPr="00EB514F">
        <w:rPr>
          <w:rFonts w:eastAsia="Times New Roman"/>
          <w:szCs w:val="20"/>
          <w:lang w:val="hu-HU" w:eastAsia="en-GB"/>
        </w:rPr>
        <w:t>uk</w:t>
      </w:r>
      <w:proofErr w:type="spellEnd"/>
      <w:r w:rsidRPr="00EB514F">
        <w:rPr>
          <w:rFonts w:eastAsia="Times New Roman"/>
          <w:szCs w:val="20"/>
          <w:lang w:val="hu-HU" w:eastAsia="en-GB"/>
        </w:rPr>
        <w:t xml:space="preserve"> elégedett volt az ombudsman által biztosított hibrid és rugalmas munkarenddel, 90 %-</w:t>
      </w:r>
      <w:proofErr w:type="spellStart"/>
      <w:r w:rsidRPr="00EB514F">
        <w:rPr>
          <w:rFonts w:eastAsia="Times New Roman"/>
          <w:szCs w:val="20"/>
          <w:lang w:val="hu-HU" w:eastAsia="en-GB"/>
        </w:rPr>
        <w:t>uk</w:t>
      </w:r>
      <w:proofErr w:type="spellEnd"/>
      <w:r w:rsidRPr="00EB514F">
        <w:rPr>
          <w:rFonts w:eastAsia="Times New Roman"/>
          <w:szCs w:val="20"/>
          <w:lang w:val="hu-HU" w:eastAsia="en-GB"/>
        </w:rPr>
        <w:t xml:space="preserve"> pedig elégedett volt a munkáltatójuk által a távmunkához biztosított eszközökkel és anyagokkal; megelégedéssel veszi tudomásul, hogy 2023-ban az ombudsman úgy határozott, hogy ergonomikus székeket biztosít minden olyan alkalmazott számára, aki azt kéri;</w:t>
      </w:r>
    </w:p>
    <w:p w14:paraId="42D37444"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26.</w:t>
      </w:r>
      <w:r w:rsidRPr="00EB514F">
        <w:rPr>
          <w:rFonts w:eastAsia="Times New Roman"/>
          <w:szCs w:val="20"/>
          <w:lang w:val="hu-HU" w:eastAsia="en-GB"/>
        </w:rPr>
        <w:tab/>
        <w:t>elismeri, hogy az ombudsmani hivatal kis mérete lehetővé teszi a vezetők számára, hogy szorosan nyomon kövessék a személyzet munkaterhelését és elvégezzék a szükséges kiigazításokat, lehetővé téve az esetleges kiégések korai felismerését; megjegyzi, hogy a 2023. évi személyzeti felmérés nem jelzett semmilyen gondot a munkateher elosztásával vagy a munkával kapcsolatos egészségügyi problémákkal kapcsolatban, továbbá az Európai Parlament orvosi szolgálata nem számolt be kiégéssel kapcsolatos krónikus betegségekről;</w:t>
      </w:r>
    </w:p>
    <w:p w14:paraId="45201A76"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27.</w:t>
      </w:r>
      <w:r w:rsidRPr="00EB514F">
        <w:rPr>
          <w:rFonts w:eastAsia="Times New Roman"/>
          <w:szCs w:val="20"/>
          <w:lang w:val="hu-HU" w:eastAsia="en-GB"/>
        </w:rPr>
        <w:tab/>
        <w:t xml:space="preserve">megelégedéssel állapítja meg, hogy 2023-ban nem érkezett bejelentés zaklatási esetről; elismeri az ombudsman arra irányuló erőfeszítéseit, hogy szexuális és pszichológiai zaklatástól mentes munkakörnyezetet biztosítson, különösen a tudatosság növelése és </w:t>
      </w:r>
      <w:r w:rsidRPr="00EB514F">
        <w:rPr>
          <w:rFonts w:eastAsia="Times New Roman"/>
          <w:szCs w:val="20"/>
          <w:lang w:val="hu-HU" w:eastAsia="en-GB"/>
        </w:rPr>
        <w:lastRenderedPageBreak/>
        <w:t>képzés révén; elégedetten veszi tudomásul, hogy egy, az etikai keretrendszerrel kapcsolatos belső ellenőrzés keretében 2023-ban végzett felmérés azt mutatta, hogy a személyzet 90 %-a ismerte a zaklatás bármilyen formájával kapcsolatos politikát és iránymutatásokat;</w:t>
      </w:r>
    </w:p>
    <w:p w14:paraId="7BA3FED3"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28.</w:t>
      </w:r>
      <w:r w:rsidRPr="00EB514F">
        <w:rPr>
          <w:rFonts w:eastAsia="Times New Roman"/>
          <w:szCs w:val="20"/>
          <w:lang w:val="hu-HU" w:eastAsia="en-GB"/>
        </w:rPr>
        <w:tab/>
        <w:t xml:space="preserve">megelégedettséggel jegyzi meg, hogy az ombudsman 2023-ban 18 fizetett gyakornokot fogadott (csakúgy, mint 2022-ben), akik egyikét az ombudsman első, fogyatékossággal élő jelöltekre irányuló felhívását követően választották ki; elismeri, hogy ez a kezdeményezés előmozdítja az </w:t>
      </w:r>
      <w:proofErr w:type="spellStart"/>
      <w:r w:rsidRPr="00EB514F">
        <w:rPr>
          <w:rFonts w:eastAsia="Times New Roman"/>
          <w:szCs w:val="20"/>
          <w:lang w:val="hu-HU" w:eastAsia="en-GB"/>
        </w:rPr>
        <w:t>inkluzivitást</w:t>
      </w:r>
      <w:proofErr w:type="spellEnd"/>
      <w:r w:rsidRPr="00EB514F">
        <w:rPr>
          <w:rFonts w:eastAsia="Times New Roman"/>
          <w:szCs w:val="20"/>
          <w:lang w:val="hu-HU" w:eastAsia="en-GB"/>
        </w:rPr>
        <w:t xml:space="preserve"> és az esélyegyenlőséget azáltal, hogy lehetővé teszi a gyakornokok számára, hogy értékes tapasztalatokat szerezzenek az uniós intézményeken belül;</w:t>
      </w:r>
    </w:p>
    <w:p w14:paraId="5D73DC50" w14:textId="77777777" w:rsidR="001A0353" w:rsidRPr="00EB514F" w:rsidRDefault="001A0353" w:rsidP="00B02C4E">
      <w:pPr>
        <w:spacing w:after="240"/>
        <w:ind w:left="567" w:hanging="567"/>
        <w:jc w:val="left"/>
        <w:rPr>
          <w:rFonts w:eastAsia="Times New Roman"/>
          <w:b/>
          <w:i/>
          <w:szCs w:val="20"/>
          <w:lang w:val="hu-HU" w:eastAsia="en-GB"/>
        </w:rPr>
      </w:pPr>
      <w:r w:rsidRPr="00EB514F">
        <w:rPr>
          <w:rFonts w:eastAsia="Times New Roman"/>
          <w:b/>
          <w:i/>
          <w:szCs w:val="20"/>
          <w:lang w:val="hu-HU" w:eastAsia="en-GB"/>
        </w:rPr>
        <w:t>Etikai keret és átláthatóság</w:t>
      </w:r>
    </w:p>
    <w:p w14:paraId="40D7C60C"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29.</w:t>
      </w:r>
      <w:r w:rsidRPr="00EB514F">
        <w:rPr>
          <w:rFonts w:eastAsia="Times New Roman"/>
          <w:szCs w:val="20"/>
          <w:lang w:val="hu-HU" w:eastAsia="en-GB"/>
        </w:rPr>
        <w:tab/>
        <w:t>üdvözli az ombudsman etikai keretének megerősítésére és tudatosítására irányuló folyamatos erőfeszítéseket; elismeréssel veszi tudomásul, hogy 2023-ban az ombudsman felülvizsgálta a visszaélést bejelentő személyekre vonatkozó politikát a visszaélést bejelentő személyek védelmének megerősítése, az adatvédelmi normákkal való jobb összhang biztosítása, a titoktartás és a támogatás fokozása, valamint az etikai kapcsolattartókra vonatkozó rendelkezések beépítése érdekében; üdvözli továbbá, hogy teljes mértékben bevezette a SYSPER etikai eszközt, amely lehetővé teszi a személyzet tagjai számára, hogy frissítsék nyilatkozataikat (az összeférhetetlenségekről és házastársuk/partnerük szakmai tevékenységeiről), és interaktív tanfolyamot szervezett „A munkahelyi tisztelet és méltóság, valamint a kezdeményezőként, címzettként és passzív megfigyelőként betöltött szerepünk” címmel; üdvözli a 2023-ban végzett általános személyzeti felmérés eredményét, amely megerősíti a személyzet etikai kérdésekkel kapcsolatos magas szintű tudatosságát; kéri, hogy a döntéshozatali és érdekképviseleti erőfeszítések átláthatóságának biztosítása érdekében tegyék közzé az ombudsmani hivatal külső szereplőkkel, többek között vállalatokkal, érdekcsoportokkal és uniós ügynökségekkel tartott összes magas szintű találkozóját;</w:t>
      </w:r>
    </w:p>
    <w:p w14:paraId="30D5A429"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30.</w:t>
      </w:r>
      <w:r w:rsidRPr="00EB514F">
        <w:rPr>
          <w:rFonts w:eastAsia="Times New Roman"/>
          <w:szCs w:val="20"/>
          <w:lang w:val="hu-HU" w:eastAsia="en-GB"/>
        </w:rPr>
        <w:tab/>
        <w:t>megjegyzi, hogy az ombudsman etikai keretére vonatkozó belső ellenőrzést (22/03. sz. jelentés) 2023-ban véglegesítették, és annak keretében hat ajánlást adtak ki, amelyeket 2024. december 31-ig kellett végrehajtani; a kérdőív alapján megjegyzi, hogy ezen ajánlások közül négyet teljes mértékben végrehajtottak; felhívja az ombudsmant, hogy számoljon be a mentesítésért felelős hatóságnak a fennmaradó két ajánlás végrehajtásának állásáról;</w:t>
      </w:r>
    </w:p>
    <w:p w14:paraId="0F077EA8"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31.</w:t>
      </w:r>
      <w:r w:rsidRPr="00EB514F">
        <w:rPr>
          <w:rFonts w:eastAsia="Times New Roman"/>
          <w:szCs w:val="20"/>
          <w:lang w:val="hu-HU" w:eastAsia="en-GB"/>
        </w:rPr>
        <w:tab/>
        <w:t>megjegyzi, hogy az ombudsman csalás elleni stratégiája nagyrészt a hatályos etikai keretre és a pénzügyi funkciókhoz kapcsolódó feladatok elkülönítésének elvére épül; megjegyzi, hogy 2023-ban az ombudsman felülvizsgálta és elfogadta a pénzügyi műveletek ellenőrzésében részt vevő személyzetre alkalmazandó szakmai normák kódexét, amely meghatározza a csalárd ügyletek felderítésével kapcsolatos feladatokat és felelősségi köröket, beleértve a csalás gyanúja esetén követendő eljárást is;</w:t>
      </w:r>
    </w:p>
    <w:p w14:paraId="2D92AAA1"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32.</w:t>
      </w:r>
      <w:r w:rsidRPr="00EB514F">
        <w:rPr>
          <w:rFonts w:eastAsia="Times New Roman"/>
          <w:szCs w:val="20"/>
          <w:lang w:val="hu-HU" w:eastAsia="en-GB"/>
        </w:rPr>
        <w:tab/>
        <w:t>megelégedéssel veszi tudomásul, hogy 2023-ban nem jelentettek összeférhetetlenséget, és nem érkezett visszaéléssel kapcsolatos bejelentés sem;</w:t>
      </w:r>
    </w:p>
    <w:p w14:paraId="6EA8B3C8"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33.</w:t>
      </w:r>
      <w:r w:rsidRPr="00EB514F">
        <w:rPr>
          <w:rFonts w:eastAsia="Times New Roman"/>
          <w:szCs w:val="20"/>
          <w:lang w:val="hu-HU" w:eastAsia="en-GB"/>
        </w:rPr>
        <w:tab/>
        <w:t xml:space="preserve">a kérdőív alapján tudomásul veszi, hogy az ombudsman hivatalosan nem csatlakozott az uniós átláthatósági nyilvántartáshoz (amelyet az Európai Parlament, az Európai Unió Tanácsa és az Európai Bizottság közötti, a kötelező átláthatósági nyilvántartásról szóló, </w:t>
      </w:r>
      <w:r w:rsidRPr="00EB514F">
        <w:rPr>
          <w:rFonts w:eastAsia="Times New Roman"/>
          <w:szCs w:val="20"/>
          <w:lang w:val="hu-HU" w:eastAsia="en-GB"/>
        </w:rPr>
        <w:lastRenderedPageBreak/>
        <w:t>2021. május 20-i intézményközi megállapodás hozott létre), amit azzal indokolt, hogy így lehetősége nyílik vizsgálni az említett átláthatósági nyilvántartás titkárságát érintő esetleges panaszokat is; megjegyzi ugyanakkor, hogy az ombudsman hozzáigazította eljárásait az átláthatósági nyilvántartás elveihez, például ellenőrzi, hogy az ombudsman által szervezett rendezvényeken vagy üléseken részt vevő felszólalók vagy tárgyalópartnerek szerepelnek-e a nyilvántartásban; üdvözli az ombudsman által annak révén elért magas szintű átláthatóságot, hogy információkat tesz közzé honlapján azokról a vizsgálatokról, kiküldetésekről, találkozókról és eseményekről, amelyekben az ombudsman részt vesz;</w:t>
      </w:r>
    </w:p>
    <w:p w14:paraId="590602EE"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34.</w:t>
      </w:r>
      <w:r w:rsidRPr="00EB514F">
        <w:rPr>
          <w:rFonts w:eastAsia="Times New Roman"/>
          <w:szCs w:val="20"/>
          <w:lang w:val="hu-HU" w:eastAsia="en-GB"/>
        </w:rPr>
        <w:tab/>
        <w:t>kéri az ombudsmant, hogy a vezető beosztású alkalmazottak esetében vezesse be a kötelezően kitöltendő, magánérdekeltségekről szóló nyilatkozatot, valós idejű nyilvános hozzáférést biztosítva az esetleges összeférhetetlenségekre, külső szerepvállalásokra és pénzügyi eszközökre vonatkozó információkhoz;</w:t>
      </w:r>
    </w:p>
    <w:p w14:paraId="56AB474A" w14:textId="77777777" w:rsidR="001A0353" w:rsidRPr="00EB514F" w:rsidRDefault="001A0353" w:rsidP="00B02C4E">
      <w:pPr>
        <w:spacing w:after="240"/>
        <w:ind w:left="567" w:hanging="567"/>
        <w:jc w:val="left"/>
        <w:rPr>
          <w:rFonts w:eastAsia="Times New Roman"/>
          <w:b/>
          <w:i/>
          <w:szCs w:val="20"/>
          <w:lang w:val="hu-HU" w:eastAsia="en-GB"/>
        </w:rPr>
      </w:pPr>
      <w:r w:rsidRPr="00EB514F">
        <w:rPr>
          <w:rFonts w:eastAsia="Times New Roman"/>
          <w:b/>
          <w:i/>
          <w:szCs w:val="20"/>
          <w:lang w:val="hu-HU" w:eastAsia="en-GB"/>
        </w:rPr>
        <w:t>Ingatlanok</w:t>
      </w:r>
    </w:p>
    <w:p w14:paraId="03DAD221"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35.</w:t>
      </w:r>
      <w:r w:rsidRPr="00EB514F">
        <w:rPr>
          <w:rFonts w:eastAsia="Times New Roman"/>
          <w:szCs w:val="20"/>
          <w:lang w:val="hu-HU" w:eastAsia="en-GB"/>
        </w:rPr>
        <w:tab/>
        <w:t>üdvözli, hogy az ombudsman ingatlanokra és kapcsolódó költségekre vonatkozó végleges költségvetése (az átcsoportosításokat követően) körülbelül 15 %-kal, a 2022. évi 1 622 200 EUR-ról 2023-ban 1 373 000 EUR-ra csökkent; megjegyzi, hogy a bérleti díjakra vonatkozó előirányzatok 26 %-kal, a 2022. évi 1 177 700 EUR-ról 2023-ban 866 100 EUR-ra csökkentek, és a kifizetések végrehajtási aránya mindkét évben közel 100 %-os volt;</w:t>
      </w:r>
    </w:p>
    <w:p w14:paraId="7CBBF335" w14:textId="77777777" w:rsidR="001A0353" w:rsidRPr="00EB514F" w:rsidRDefault="001A0353" w:rsidP="00B02C4E">
      <w:pPr>
        <w:spacing w:after="240"/>
        <w:ind w:left="567" w:hanging="567"/>
        <w:jc w:val="left"/>
        <w:rPr>
          <w:rFonts w:eastAsia="Times New Roman"/>
          <w:b/>
          <w:szCs w:val="20"/>
          <w:lang w:val="hu-HU" w:eastAsia="en-GB"/>
        </w:rPr>
      </w:pPr>
      <w:r w:rsidRPr="00EB514F">
        <w:rPr>
          <w:rFonts w:eastAsia="Times New Roman"/>
          <w:szCs w:val="20"/>
          <w:lang w:val="hu-HU" w:eastAsia="en-GB"/>
        </w:rPr>
        <w:t>36.</w:t>
      </w:r>
      <w:r w:rsidRPr="00EB514F">
        <w:rPr>
          <w:rFonts w:eastAsia="Times New Roman"/>
          <w:szCs w:val="20"/>
          <w:lang w:val="hu-HU" w:eastAsia="en-GB"/>
        </w:rPr>
        <w:tab/>
        <w:t xml:space="preserve">megjegyzi, hogy az ombudsman brüsszeli hivatalának a Parlament által 2021-ben biztosított új létesítményekbe való átköltözését követően az épületet </w:t>
      </w:r>
      <w:proofErr w:type="spellStart"/>
      <w:r w:rsidRPr="00EB514F">
        <w:rPr>
          <w:rFonts w:eastAsia="Times New Roman"/>
          <w:szCs w:val="20"/>
          <w:lang w:val="hu-HU" w:eastAsia="en-GB"/>
        </w:rPr>
        <w:t>kollaboratív</w:t>
      </w:r>
      <w:proofErr w:type="spellEnd"/>
      <w:r w:rsidRPr="00EB514F">
        <w:rPr>
          <w:rFonts w:eastAsia="Times New Roman"/>
          <w:szCs w:val="20"/>
          <w:lang w:val="hu-HU" w:eastAsia="en-GB"/>
        </w:rPr>
        <w:t xml:space="preserve"> munkaterületként szervezték meg, nagyon kevés egyéni irodával és rugalmas, </w:t>
      </w:r>
      <w:proofErr w:type="spellStart"/>
      <w:r w:rsidRPr="00EB514F">
        <w:rPr>
          <w:rFonts w:eastAsia="Times New Roman"/>
          <w:szCs w:val="20"/>
          <w:lang w:val="hu-HU" w:eastAsia="en-GB"/>
        </w:rPr>
        <w:t>kollaboratív</w:t>
      </w:r>
      <w:proofErr w:type="spellEnd"/>
      <w:r w:rsidRPr="00EB514F">
        <w:rPr>
          <w:rFonts w:eastAsia="Times New Roman"/>
          <w:szCs w:val="20"/>
          <w:lang w:val="hu-HU" w:eastAsia="en-GB"/>
        </w:rPr>
        <w:t xml:space="preserve"> tárgyalóhelyiségekkel; pozitívan értékeli, hogy az ombudsman nem alkalmazza a hot-</w:t>
      </w:r>
      <w:proofErr w:type="spellStart"/>
      <w:r w:rsidRPr="00EB514F">
        <w:rPr>
          <w:rFonts w:eastAsia="Times New Roman"/>
          <w:szCs w:val="20"/>
          <w:lang w:val="hu-HU" w:eastAsia="en-GB"/>
        </w:rPr>
        <w:t>desking</w:t>
      </w:r>
      <w:proofErr w:type="spellEnd"/>
      <w:r w:rsidRPr="00EB514F">
        <w:rPr>
          <w:rFonts w:eastAsia="Times New Roman"/>
          <w:szCs w:val="20"/>
          <w:lang w:val="hu-HU" w:eastAsia="en-GB"/>
        </w:rPr>
        <w:t xml:space="preserve"> módszerét, és hogy minden munkatárs saját asztallal rendelkezik, amelyhez elegendő tárolóhely tartozik; megjegyzi, hogy 2023-ban nem történt változás az irodákban, és a 2023-ban végzett általános személyzeti felmérés azt mutatta, hogy a személyzet többsége (56 %) pozitívan értékelte a brüsszeli irodák elrendezését;</w:t>
      </w:r>
    </w:p>
    <w:p w14:paraId="516E336F"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37.</w:t>
      </w:r>
      <w:r w:rsidRPr="00EB514F">
        <w:rPr>
          <w:rFonts w:eastAsia="Times New Roman"/>
          <w:szCs w:val="20"/>
          <w:lang w:val="hu-HU" w:eastAsia="en-GB"/>
        </w:rPr>
        <w:tab/>
        <w:t>emlékeztet arra, hogy az ombudsman nem rendelkezik saját épületekkel, hanem Brüsszelben egy épületet, Strasbourgban pedig irodahelyiségeket bérel; megelégedéssel jegyzi meg, hogy a strasbourgi Havel-épület teljes mértékben akadálymentes a mozgáskorlátozott vagy más fogyatékossággal élő személyek számára, és rendkívül sajnálatosnak tartja, hogy a Brüsszelben bérelt épület akadálymentessége javításra szorul; kéri a Parlamentet, hogy javítsa az ombudsman számára bérbeadott brüsszeli épület akadálymentességét;</w:t>
      </w:r>
    </w:p>
    <w:p w14:paraId="0BB81AD8" w14:textId="77777777" w:rsidR="001A0353" w:rsidRPr="00EB514F" w:rsidRDefault="001A0353" w:rsidP="00B02C4E">
      <w:pPr>
        <w:spacing w:after="240"/>
        <w:ind w:left="567" w:hanging="567"/>
        <w:jc w:val="left"/>
        <w:rPr>
          <w:rFonts w:eastAsia="Times New Roman"/>
          <w:b/>
          <w:i/>
          <w:szCs w:val="20"/>
          <w:lang w:val="hu-HU" w:eastAsia="en-GB"/>
        </w:rPr>
      </w:pPr>
      <w:r w:rsidRPr="00EB514F">
        <w:rPr>
          <w:rFonts w:eastAsia="Times New Roman"/>
          <w:b/>
          <w:i/>
          <w:szCs w:val="20"/>
          <w:lang w:val="hu-HU" w:eastAsia="en-GB"/>
        </w:rPr>
        <w:t xml:space="preserve">Digitalizáció, </w:t>
      </w:r>
      <w:proofErr w:type="spellStart"/>
      <w:r w:rsidRPr="00EB514F">
        <w:rPr>
          <w:rFonts w:eastAsia="Times New Roman"/>
          <w:b/>
          <w:i/>
          <w:szCs w:val="20"/>
          <w:lang w:val="hu-HU" w:eastAsia="en-GB"/>
        </w:rPr>
        <w:t>kiberbiztonság</w:t>
      </w:r>
      <w:proofErr w:type="spellEnd"/>
      <w:r w:rsidRPr="00EB514F">
        <w:rPr>
          <w:rFonts w:eastAsia="Times New Roman"/>
          <w:b/>
          <w:i/>
          <w:szCs w:val="20"/>
          <w:lang w:val="hu-HU" w:eastAsia="en-GB"/>
        </w:rPr>
        <w:t xml:space="preserve"> és adatvédelem</w:t>
      </w:r>
    </w:p>
    <w:p w14:paraId="30EA8B10"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38.</w:t>
      </w:r>
      <w:r w:rsidRPr="00EB514F">
        <w:rPr>
          <w:rFonts w:eastAsia="Times New Roman"/>
          <w:szCs w:val="20"/>
          <w:lang w:val="hu-HU" w:eastAsia="en-GB"/>
        </w:rPr>
        <w:tab/>
        <w:t xml:space="preserve">elismeri az ombudsman által régóta alkalmazott azon megközelítés sikerét, amely a költségvetés felhasználásának – például a digitalizáció területén történő – optimalizálása és a koordináció fokozása érdekében más uniós intézményektől, különösen a Parlamenttől és a Bizottságtól származó integrált rendszerek és erőforrások bevonására irányul; ezzel összefüggésben tudomásul veszi a Bizottság azon gépi fordítási eszközeinek sikeres beüzemelését, amelyeket 2023-ban integráltak az ombudsman rendszereibe (pl. a weboldalra); elégedetten veszi tudomásul a kérdőív </w:t>
      </w:r>
      <w:r w:rsidRPr="00EB514F">
        <w:rPr>
          <w:rFonts w:eastAsia="Times New Roman"/>
          <w:szCs w:val="20"/>
          <w:lang w:val="hu-HU" w:eastAsia="en-GB"/>
        </w:rPr>
        <w:lastRenderedPageBreak/>
        <w:t xml:space="preserve">alapján, hogy ez a projekt a fordítási költségek évi több mint 30 %-os csökkenését, valamint az adminisztratív </w:t>
      </w:r>
      <w:proofErr w:type="spellStart"/>
      <w:r w:rsidRPr="00EB514F">
        <w:rPr>
          <w:rFonts w:eastAsia="Times New Roman"/>
          <w:szCs w:val="20"/>
          <w:lang w:val="hu-HU" w:eastAsia="en-GB"/>
        </w:rPr>
        <w:t>terhek</w:t>
      </w:r>
      <w:proofErr w:type="spellEnd"/>
      <w:r w:rsidRPr="00EB514F">
        <w:rPr>
          <w:rFonts w:eastAsia="Times New Roman"/>
          <w:szCs w:val="20"/>
          <w:lang w:val="hu-HU" w:eastAsia="en-GB"/>
        </w:rPr>
        <w:t xml:space="preserve"> csökkenését eredményezte;</w:t>
      </w:r>
    </w:p>
    <w:p w14:paraId="30E5C04D"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39.</w:t>
      </w:r>
      <w:r w:rsidRPr="00EB514F">
        <w:rPr>
          <w:rFonts w:eastAsia="Times New Roman"/>
          <w:szCs w:val="20"/>
          <w:lang w:val="hu-HU" w:eastAsia="en-GB"/>
        </w:rPr>
        <w:tab/>
        <w:t xml:space="preserve">üdvözli a minősített elektronikus aláírás teljeskörű bevezetését, amely lehetővé teszi a személyzet számára a dokumentumok biztonságos aláírását, valamint a Bizottság </w:t>
      </w:r>
      <w:proofErr w:type="spellStart"/>
      <w:r w:rsidRPr="00EB514F">
        <w:rPr>
          <w:rFonts w:eastAsia="Times New Roman"/>
          <w:szCs w:val="20"/>
          <w:lang w:val="hu-HU" w:eastAsia="en-GB"/>
        </w:rPr>
        <w:t>QSign</w:t>
      </w:r>
      <w:proofErr w:type="spellEnd"/>
      <w:r w:rsidRPr="00EB514F">
        <w:rPr>
          <w:rFonts w:eastAsia="Times New Roman"/>
          <w:szCs w:val="20"/>
          <w:lang w:val="hu-HU" w:eastAsia="en-GB"/>
        </w:rPr>
        <w:t>-alkalmazásának használatát, amely lehetővé teszi a személyzet számára a dokumentumok – többek között a közbeszerzési és szerződéses dokumentumok – aláírását és kezelését;</w:t>
      </w:r>
    </w:p>
    <w:p w14:paraId="790F1B7E"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40.</w:t>
      </w:r>
      <w:r w:rsidRPr="00EB514F">
        <w:rPr>
          <w:rFonts w:eastAsia="Times New Roman"/>
          <w:szCs w:val="20"/>
          <w:lang w:val="hu-HU" w:eastAsia="en-GB"/>
        </w:rPr>
        <w:tab/>
        <w:t xml:space="preserve">megjegyzi, hogy 2023. óta az ombudsman aktívan vizsgálja a mesterséges intelligencia (MI) használata által kínált lehetőségeket; ezzel összefüggésben üdvözli az ombudsman és az Európai Bizottság Közös Kutatóközpontja közötti partnerséget a nagy nyelvi modellekkel való kísérletezés, valamint a mesterséges intelligencia felhasználási lehetőségeinek tesztelése és értékelése tekintetében; megjegyzi továbbá, hogy az ombudsman számos MI-eszközt vásárolt, amelyek sikeresen hozzájárultak a </w:t>
      </w:r>
      <w:proofErr w:type="spellStart"/>
      <w:r w:rsidRPr="00EB514F">
        <w:rPr>
          <w:rFonts w:eastAsia="Times New Roman"/>
          <w:szCs w:val="20"/>
          <w:lang w:val="hu-HU" w:eastAsia="en-GB"/>
        </w:rPr>
        <w:t>videotartalmak</w:t>
      </w:r>
      <w:proofErr w:type="spellEnd"/>
      <w:r w:rsidRPr="00EB514F">
        <w:rPr>
          <w:rFonts w:eastAsia="Times New Roman"/>
          <w:szCs w:val="20"/>
          <w:lang w:val="hu-HU" w:eastAsia="en-GB"/>
        </w:rPr>
        <w:t xml:space="preserve"> létrehozásához; üdvözli, hogy az ombudsman belső iránymutatásokat fogadott el annak biztosítása érdekében, hogy a külső MI-eszközöket felelős és átlátható módon használják; ösztönzi az ombudsmant, hogy a személyzet részére biztosítson kötelező képzést az MI-eszközök biztonságos és etikus használatával kapcsolatban annak érdekében, hogy javítsa az ezzel kapcsolatos ismereteiket és csökkentse a lehetséges kockázatokat; kéri az ombudsmant, hogy folyamatosan tájékoztassa a mentesítésért felelős hatóságot az MI-eszközök tesztelése és használata terén elért eredményekről;</w:t>
      </w:r>
    </w:p>
    <w:p w14:paraId="539EA297"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41.</w:t>
      </w:r>
      <w:r w:rsidRPr="00EB514F">
        <w:rPr>
          <w:rFonts w:eastAsia="Times New Roman"/>
          <w:szCs w:val="20"/>
          <w:lang w:val="hu-HU" w:eastAsia="en-GB"/>
        </w:rPr>
        <w:tab/>
        <w:t xml:space="preserve">megjegyzi, hogy az informatika terén az ombudsman a Parlament infrastruktúrájára és </w:t>
      </w:r>
      <w:proofErr w:type="spellStart"/>
      <w:r w:rsidRPr="00EB514F">
        <w:rPr>
          <w:rFonts w:eastAsia="Times New Roman"/>
          <w:szCs w:val="20"/>
          <w:lang w:val="hu-HU" w:eastAsia="en-GB"/>
        </w:rPr>
        <w:t>kiberbiztonsági</w:t>
      </w:r>
      <w:proofErr w:type="spellEnd"/>
      <w:r w:rsidRPr="00EB514F">
        <w:rPr>
          <w:rFonts w:eastAsia="Times New Roman"/>
          <w:szCs w:val="20"/>
          <w:lang w:val="hu-HU" w:eastAsia="en-GB"/>
        </w:rPr>
        <w:t xml:space="preserve"> keretrendszerére támaszkodik, és szorosan együttműködik a Bizottsággal az uniós szervezeti eszközök (SYSPER, ABAC, </w:t>
      </w:r>
      <w:proofErr w:type="spellStart"/>
      <w:r w:rsidRPr="00EB514F">
        <w:rPr>
          <w:rFonts w:eastAsia="Times New Roman"/>
          <w:szCs w:val="20"/>
          <w:lang w:val="hu-HU" w:eastAsia="en-GB"/>
        </w:rPr>
        <w:t>MiPS</w:t>
      </w:r>
      <w:proofErr w:type="spellEnd"/>
      <w:r w:rsidRPr="00EB514F">
        <w:rPr>
          <w:rFonts w:eastAsia="Times New Roman"/>
          <w:szCs w:val="20"/>
          <w:lang w:val="hu-HU" w:eastAsia="en-GB"/>
        </w:rPr>
        <w:t xml:space="preserve"> és ARES) integrálása és karbantartása, valamint az informatikai keretszerződések alkalmazása tekintetében; megjegyzi, hogy mivel az ombudsman korlátozott mértékű ellenőrzéssel rendelkezik az adatok felett, szolgáltatási szintre vonatkozó megállapodásokat kötött az érintett intézményekkel annak biztosítása érdekében, hogy a személyes adatok kezelése megfeleljen az alkalmazandó jogi keretnek; megelégedéssel veszi tudomásul, hogy az ombudsman 2023-ban nem tapasztalt </w:t>
      </w:r>
      <w:proofErr w:type="spellStart"/>
      <w:r w:rsidRPr="00EB514F">
        <w:rPr>
          <w:rFonts w:eastAsia="Times New Roman"/>
          <w:szCs w:val="20"/>
          <w:lang w:val="hu-HU" w:eastAsia="en-GB"/>
        </w:rPr>
        <w:t>kibertámadást</w:t>
      </w:r>
      <w:proofErr w:type="spellEnd"/>
      <w:r w:rsidRPr="00EB514F">
        <w:rPr>
          <w:rFonts w:eastAsia="Times New Roman"/>
          <w:szCs w:val="20"/>
          <w:lang w:val="hu-HU" w:eastAsia="en-GB"/>
        </w:rPr>
        <w:t>;</w:t>
      </w:r>
    </w:p>
    <w:p w14:paraId="07D05167"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42.</w:t>
      </w:r>
      <w:r w:rsidRPr="00EB514F">
        <w:rPr>
          <w:rFonts w:eastAsia="Times New Roman"/>
          <w:szCs w:val="20"/>
          <w:lang w:val="hu-HU" w:eastAsia="en-GB"/>
        </w:rPr>
        <w:tab/>
        <w:t xml:space="preserve">arra ösztönzi az ombudsmant, hogy szorosan </w:t>
      </w:r>
      <w:proofErr w:type="spellStart"/>
      <w:r w:rsidRPr="00EB514F">
        <w:rPr>
          <w:rFonts w:eastAsia="Times New Roman"/>
          <w:szCs w:val="20"/>
          <w:lang w:val="hu-HU" w:eastAsia="en-GB"/>
        </w:rPr>
        <w:t>működjön</w:t>
      </w:r>
      <w:proofErr w:type="spellEnd"/>
      <w:r w:rsidRPr="00EB514F">
        <w:rPr>
          <w:rFonts w:eastAsia="Times New Roman"/>
          <w:szCs w:val="20"/>
          <w:lang w:val="hu-HU" w:eastAsia="en-GB"/>
        </w:rPr>
        <w:t xml:space="preserve"> együtt az ENISA-</w:t>
      </w:r>
      <w:proofErr w:type="spellStart"/>
      <w:r w:rsidRPr="00EB514F">
        <w:rPr>
          <w:rFonts w:eastAsia="Times New Roman"/>
          <w:szCs w:val="20"/>
          <w:lang w:val="hu-HU" w:eastAsia="en-GB"/>
        </w:rPr>
        <w:t>val</w:t>
      </w:r>
      <w:proofErr w:type="spellEnd"/>
      <w:r w:rsidRPr="00EB514F">
        <w:rPr>
          <w:rFonts w:eastAsia="Times New Roman"/>
          <w:szCs w:val="20"/>
          <w:lang w:val="hu-HU" w:eastAsia="en-GB"/>
        </w:rPr>
        <w:t xml:space="preserve"> (az Európai Uniós </w:t>
      </w:r>
      <w:proofErr w:type="spellStart"/>
      <w:r w:rsidRPr="00EB514F">
        <w:rPr>
          <w:rFonts w:eastAsia="Times New Roman"/>
          <w:szCs w:val="20"/>
          <w:lang w:val="hu-HU" w:eastAsia="en-GB"/>
        </w:rPr>
        <w:t>Kiberbiztonsági</w:t>
      </w:r>
      <w:proofErr w:type="spellEnd"/>
      <w:r w:rsidRPr="00EB514F">
        <w:rPr>
          <w:rFonts w:eastAsia="Times New Roman"/>
          <w:szCs w:val="20"/>
          <w:lang w:val="hu-HU" w:eastAsia="en-GB"/>
        </w:rPr>
        <w:t xml:space="preserve"> Ügynökséggel); javasolja, hogy az ombudsman teljes személyzete számára kínáljanak </w:t>
      </w:r>
      <w:proofErr w:type="spellStart"/>
      <w:r w:rsidRPr="00EB514F">
        <w:rPr>
          <w:rFonts w:eastAsia="Times New Roman"/>
          <w:szCs w:val="20"/>
          <w:lang w:val="hu-HU" w:eastAsia="en-GB"/>
        </w:rPr>
        <w:t>kiberbiztonsággal</w:t>
      </w:r>
      <w:proofErr w:type="spellEnd"/>
      <w:r w:rsidRPr="00EB514F">
        <w:rPr>
          <w:rFonts w:eastAsia="Times New Roman"/>
          <w:szCs w:val="20"/>
          <w:lang w:val="hu-HU" w:eastAsia="en-GB"/>
        </w:rPr>
        <w:t xml:space="preserve"> kapcsolatos, rendszeresen naprakésszé tett képzési programokat;</w:t>
      </w:r>
    </w:p>
    <w:p w14:paraId="5DCF8806"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43.</w:t>
      </w:r>
      <w:r w:rsidRPr="00EB514F">
        <w:rPr>
          <w:rFonts w:eastAsia="Times New Roman"/>
          <w:szCs w:val="20"/>
          <w:lang w:val="hu-HU" w:eastAsia="en-GB"/>
        </w:rPr>
        <w:tab/>
        <w:t>az ombudsman adatvédelmi keretének felülvizsgálatáról szóló 21/03. sz. belső ellenőrzési jelentés tekintetében megjegyzi, hogy 2023 negyedik negyedévében egy fellépés lezáratlan maradt, és az ombudsman IKT-biztonságáról szóló 20/04. sz. belső ellenőrzési jelentés tekintetében 2023-ban hét fellépés volt folyamatban; kéri az ombudsmant, hogy folyamatosan tájékoztassa a mentesítésért felelős hatóságot az e kérdésekben elért eredményekről;</w:t>
      </w:r>
    </w:p>
    <w:p w14:paraId="7DA24370" w14:textId="77777777" w:rsidR="001A0353" w:rsidRPr="00EB514F" w:rsidRDefault="001A0353" w:rsidP="00B02C4E">
      <w:pPr>
        <w:spacing w:after="240"/>
        <w:ind w:left="567" w:hanging="567"/>
        <w:jc w:val="left"/>
        <w:rPr>
          <w:rFonts w:eastAsia="Times New Roman"/>
          <w:b/>
          <w:i/>
          <w:szCs w:val="20"/>
          <w:lang w:val="hu-HU" w:eastAsia="en-GB"/>
        </w:rPr>
      </w:pPr>
      <w:r w:rsidRPr="00EB514F">
        <w:rPr>
          <w:rFonts w:eastAsia="Times New Roman"/>
          <w:b/>
          <w:i/>
          <w:szCs w:val="20"/>
          <w:lang w:val="hu-HU" w:eastAsia="en-GB"/>
        </w:rPr>
        <w:t>Környezetvédelem és fenntarthatóság</w:t>
      </w:r>
    </w:p>
    <w:p w14:paraId="55022A27"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44.</w:t>
      </w:r>
      <w:r w:rsidRPr="00EB514F">
        <w:rPr>
          <w:rFonts w:eastAsia="Times New Roman"/>
          <w:szCs w:val="20"/>
          <w:lang w:val="hu-HU" w:eastAsia="en-GB"/>
        </w:rPr>
        <w:tab/>
        <w:t xml:space="preserve">üdvözli, hogy az évek során az ombudsman csökkentette környezeti lábnyomát, különösen azáltal, hogy folyamatait digitalizálta, az egyéni nyomtatókat kivonta a forgalomból, a központi feldolgozóegységeket életciklusuk végén nem pótolta, a </w:t>
      </w:r>
      <w:r w:rsidRPr="00EB514F">
        <w:rPr>
          <w:rFonts w:eastAsia="Times New Roman"/>
          <w:szCs w:val="20"/>
          <w:lang w:val="hu-HU" w:eastAsia="en-GB"/>
        </w:rPr>
        <w:lastRenderedPageBreak/>
        <w:t>rendezvényeket fenntarthatóbbá tette, valamint a kiküldetések elkerülése érdekében bevezette a videokonferencia-rendszerek széles körű használatát; megjegyzi, hogy épületeinek környezeti lábnyomát illetően az ombudsman a Parlament mint az épületek tulajdonosa által hozott intézkedésekre támaszkodik; megelégedéssel veszi tudomásul, hogy mindkét olyan épület, ahol az ombudsman irodái vannak, 100 %-ban tiszta energiával működik; üdvözli, hogy a Parlament 2024-ben napelemeket telepített többek között a strasbourgi Havel épületben;</w:t>
      </w:r>
    </w:p>
    <w:p w14:paraId="4F180DC8"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45.</w:t>
      </w:r>
      <w:r w:rsidRPr="00EB514F">
        <w:rPr>
          <w:rFonts w:eastAsia="Times New Roman"/>
          <w:szCs w:val="20"/>
          <w:lang w:val="hu-HU" w:eastAsia="en-GB"/>
        </w:rPr>
        <w:tab/>
        <w:t>megjegyzi, hogy az ombudsman 2023-ban is ösztönözte a fenntartható mobilitást; ebben az értelemben üdvözli, hogy az ombudsman új mobilitási politikát fogadott el, amely átalányösszegű hozzájárulást ír elő a személyzet számára AST8/AD8 besorolási fokozatig, ha fenntartható közlekedési módokat vesznek igénybe a munkába járáshoz; a kérdőív alapján megjegyzi továbbá, hogy sikertelen volt az a kezdeményezés, amelynek során az ombudsman kerékpárokat biztosított a személyzet számára munkaidőben történő használatra, mivel a próbaidőszak alatt alig használták a kerékpárokat;</w:t>
      </w:r>
    </w:p>
    <w:p w14:paraId="68D595E8" w14:textId="77777777" w:rsidR="001A0353" w:rsidRPr="00EB514F" w:rsidRDefault="001A0353" w:rsidP="00B02C4E">
      <w:pPr>
        <w:spacing w:after="240"/>
        <w:ind w:left="567" w:hanging="567"/>
        <w:jc w:val="left"/>
        <w:rPr>
          <w:rFonts w:eastAsia="Times New Roman"/>
          <w:b/>
          <w:i/>
          <w:szCs w:val="20"/>
          <w:lang w:val="hu-HU" w:eastAsia="en-GB"/>
        </w:rPr>
      </w:pPr>
      <w:r w:rsidRPr="00EB514F">
        <w:rPr>
          <w:rFonts w:eastAsia="Times New Roman"/>
          <w:b/>
          <w:i/>
          <w:szCs w:val="20"/>
          <w:lang w:val="hu-HU" w:eastAsia="en-GB"/>
        </w:rPr>
        <w:t>Intézményközi együttműködés</w:t>
      </w:r>
    </w:p>
    <w:p w14:paraId="64E4E6D5"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46.</w:t>
      </w:r>
      <w:r w:rsidRPr="00EB514F">
        <w:rPr>
          <w:rFonts w:eastAsia="Times New Roman"/>
          <w:szCs w:val="20"/>
          <w:lang w:val="hu-HU" w:eastAsia="en-GB"/>
        </w:rPr>
        <w:tab/>
        <w:t xml:space="preserve">üdvözli az intézményközi együttműködés révén elért pénzügyi és adminisztratív megtakarításokat, különösen a Parlamenttel és a Bizottsággal kötött, szolgáltatási szintre vonatkozó megállapodások széles körét, valamint az intézményközi közbeszerzési eljárásokban való részvételt; üdvözli, hogy egy felülvizsgált intézményközi megállapodás révén hivatalossá tették a Parlament és az ombudsman közötti együttműködést a </w:t>
      </w:r>
      <w:proofErr w:type="spellStart"/>
      <w:r w:rsidRPr="00EB514F">
        <w:rPr>
          <w:rFonts w:eastAsia="Times New Roman"/>
          <w:szCs w:val="20"/>
          <w:lang w:val="hu-HU" w:eastAsia="en-GB"/>
        </w:rPr>
        <w:t>kiberbiztonság</w:t>
      </w:r>
      <w:proofErr w:type="spellEnd"/>
      <w:r w:rsidRPr="00EB514F">
        <w:rPr>
          <w:rFonts w:eastAsia="Times New Roman"/>
          <w:szCs w:val="20"/>
          <w:lang w:val="hu-HU" w:eastAsia="en-GB"/>
        </w:rPr>
        <w:t xml:space="preserve"> területén, mivel a megállapodás keretet biztosít a Parlament számára ahhoz, hogy folyamatosan szilárd </w:t>
      </w:r>
      <w:proofErr w:type="spellStart"/>
      <w:r w:rsidRPr="00EB514F">
        <w:rPr>
          <w:rFonts w:eastAsia="Times New Roman"/>
          <w:szCs w:val="20"/>
          <w:lang w:val="hu-HU" w:eastAsia="en-GB"/>
        </w:rPr>
        <w:t>kiberbiztonsági</w:t>
      </w:r>
      <w:proofErr w:type="spellEnd"/>
      <w:r w:rsidRPr="00EB514F">
        <w:rPr>
          <w:rFonts w:eastAsia="Times New Roman"/>
          <w:szCs w:val="20"/>
          <w:lang w:val="hu-HU" w:eastAsia="en-GB"/>
        </w:rPr>
        <w:t xml:space="preserve"> támogatást nyújtson az ombudsmannak; megjegyzi továbbá, hogy 2023-ban az ombudsman szolgáltatási szintre vonatkozó megállapodást írt alá az EPSO-</w:t>
      </w:r>
      <w:proofErr w:type="spellStart"/>
      <w:r w:rsidRPr="00EB514F">
        <w:rPr>
          <w:rFonts w:eastAsia="Times New Roman"/>
          <w:szCs w:val="20"/>
          <w:lang w:val="hu-HU" w:eastAsia="en-GB"/>
        </w:rPr>
        <w:t>val</w:t>
      </w:r>
      <w:proofErr w:type="spellEnd"/>
      <w:r w:rsidRPr="00EB514F">
        <w:rPr>
          <w:rFonts w:eastAsia="Times New Roman"/>
          <w:szCs w:val="20"/>
          <w:lang w:val="hu-HU" w:eastAsia="en-GB"/>
        </w:rPr>
        <w:t xml:space="preserve"> belső versenyvizsgák szervezésére vonatkozóan;</w:t>
      </w:r>
    </w:p>
    <w:p w14:paraId="3C785564"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47.</w:t>
      </w:r>
      <w:r w:rsidRPr="00EB514F">
        <w:rPr>
          <w:rFonts w:eastAsia="Times New Roman"/>
          <w:szCs w:val="20"/>
          <w:lang w:val="hu-HU" w:eastAsia="en-GB"/>
        </w:rPr>
        <w:tab/>
        <w:t xml:space="preserve">elismerését fejezi ki az ombudsmannak az Európai Csalás Elleni Hivatallal (OLAF), a Számvevőszékkel és az Európai Ügyészséggel folytatott jó együttműködéséért, amely 2023-ban például az uniós intézmények átláthatósága és integritása javításának módjairól vagy az uniós felügyeleti keretről szóló találkozók és eszmecserék formájában valósult meg; emlékeztet arra, hogy az ombudsman és az OLAF létrehozott egy rendszert a vizsgálatok megkettőzésének elkerülésére; a kérdőív alapján megállapítja, hogy az ombudsman és az európai adatvédelmi biztos főként eseti és informális alapon működik együtt az </w:t>
      </w:r>
      <w:proofErr w:type="spellStart"/>
      <w:r w:rsidRPr="00EB514F">
        <w:rPr>
          <w:rFonts w:eastAsia="Times New Roman"/>
          <w:szCs w:val="20"/>
          <w:lang w:val="hu-HU" w:eastAsia="en-GB"/>
        </w:rPr>
        <w:t>esetenként</w:t>
      </w:r>
      <w:proofErr w:type="spellEnd"/>
      <w:r w:rsidRPr="00EB514F">
        <w:rPr>
          <w:rFonts w:eastAsia="Times New Roman"/>
          <w:szCs w:val="20"/>
          <w:lang w:val="hu-HU" w:eastAsia="en-GB"/>
        </w:rPr>
        <w:t xml:space="preserve"> szükség gyors és hatékony kooperáció céljából; ösztönzi az ombudsmant, hogy szorosan </w:t>
      </w:r>
      <w:proofErr w:type="spellStart"/>
      <w:r w:rsidRPr="00EB514F">
        <w:rPr>
          <w:rFonts w:eastAsia="Times New Roman"/>
          <w:szCs w:val="20"/>
          <w:lang w:val="hu-HU" w:eastAsia="en-GB"/>
        </w:rPr>
        <w:t>működjön</w:t>
      </w:r>
      <w:proofErr w:type="spellEnd"/>
      <w:r w:rsidRPr="00EB514F">
        <w:rPr>
          <w:rFonts w:eastAsia="Times New Roman"/>
          <w:szCs w:val="20"/>
          <w:lang w:val="hu-HU" w:eastAsia="en-GB"/>
        </w:rPr>
        <w:t xml:space="preserve"> együtt a többi intézménnyel és európai ügynökséggel;</w:t>
      </w:r>
    </w:p>
    <w:p w14:paraId="6F70B943"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48.</w:t>
      </w:r>
      <w:r w:rsidRPr="00EB514F">
        <w:rPr>
          <w:rFonts w:eastAsia="Times New Roman"/>
          <w:szCs w:val="20"/>
          <w:lang w:val="hu-HU" w:eastAsia="en-GB"/>
        </w:rPr>
        <w:tab/>
        <w:t>kéri az ombudsmant, hogy vezessen be hivatalos éves párbeszédet az Európai Parlament Költségvetési Ellenőrző Bizottságával és Állampolgári Jogi, Bel- és Igazságügyi Bizottságával, biztosítva ezáltal az intézményi átláthatóságnak, a kormányzási reformoknak és az alapvető jogok védelmének rendszeres nyomon követését;</w:t>
      </w:r>
    </w:p>
    <w:p w14:paraId="52803AAC"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49.</w:t>
      </w:r>
      <w:r w:rsidRPr="00EB514F">
        <w:rPr>
          <w:rFonts w:eastAsia="Times New Roman"/>
          <w:szCs w:val="20"/>
          <w:lang w:val="hu-HU" w:eastAsia="en-GB"/>
        </w:rPr>
        <w:tab/>
        <w:t xml:space="preserve">elismeri az ombudsmanok európai hálózatával (ENO) folytatott magas szintű eszmecsere és koordináció fenntartásának fontosságát; üdvözli az ENO éves konferenciájának megszervezését, amely 2023-ban olyan témákról tartott üléseket is magában foglalt, mint a migráció, a mesterséges intelligencia és a közigazgatás etikája; megelégedéssel veszi tudomásul, hogy a lekérdezési eljárás révén az ombudsman segíti </w:t>
      </w:r>
      <w:r w:rsidRPr="00EB514F">
        <w:rPr>
          <w:rFonts w:eastAsia="Times New Roman"/>
          <w:szCs w:val="20"/>
          <w:lang w:val="hu-HU" w:eastAsia="en-GB"/>
        </w:rPr>
        <w:lastRenderedPageBreak/>
        <w:t>az ENO tagjait a nemzeti és regionális szintű vizsgálatok lefolytatásában, míg 2023-ban az ombudsman öt uniós tagállamból származó öt lekérdezést zárt le; elismerését fejezi ki az ENO 2023. évi éves konferenciájának megszervezéséért, amely értékes platformként szolgál az európai ombudsmanok tevékenységeit befolyásoló kulcsfontosságú kérdésekről folytatott párbeszédhez;</w:t>
      </w:r>
    </w:p>
    <w:p w14:paraId="1C57B1BA"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50.</w:t>
      </w:r>
      <w:r w:rsidRPr="00EB514F">
        <w:rPr>
          <w:rFonts w:eastAsia="Times New Roman"/>
          <w:szCs w:val="20"/>
          <w:lang w:val="hu-HU" w:eastAsia="en-GB"/>
        </w:rPr>
        <w:tab/>
        <w:t>üdvözli, hogy az ombudsman 2023-ban a fontos vizsgálatok tekintetében továbbra is szoros együttműködést folytatott az Európai Parlament illetékes bizottságaival azáltal, hogy a munkáját közvetlenül ismertette a bizottsági üléseken, vagy pedig a bizottsági elnököknek küldött információk révén; kiemeli, hogy az ombudsman stratégiai kezdeményezései és vizsgálatai kulcsfontosságúak az uniós közigazgatás átláthatóságának és elszámoltathatóságának javítása szempontjából;</w:t>
      </w:r>
    </w:p>
    <w:p w14:paraId="6B49ECDB" w14:textId="77777777" w:rsidR="001A0353" w:rsidRPr="00EB514F" w:rsidRDefault="001A0353" w:rsidP="00B02C4E">
      <w:pPr>
        <w:spacing w:after="240"/>
        <w:ind w:left="567" w:hanging="567"/>
        <w:jc w:val="left"/>
        <w:rPr>
          <w:rFonts w:eastAsia="Times New Roman"/>
          <w:b/>
          <w:i/>
          <w:szCs w:val="20"/>
          <w:lang w:val="hu-HU" w:eastAsia="en-GB"/>
        </w:rPr>
      </w:pPr>
      <w:r w:rsidRPr="00EB514F">
        <w:rPr>
          <w:rFonts w:eastAsia="Times New Roman"/>
          <w:b/>
          <w:i/>
          <w:szCs w:val="20"/>
          <w:lang w:val="hu-HU" w:eastAsia="en-GB"/>
        </w:rPr>
        <w:t>Kommunikáció</w:t>
      </w:r>
    </w:p>
    <w:p w14:paraId="0E1087EB"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51.</w:t>
      </w:r>
      <w:r w:rsidRPr="00EB514F">
        <w:rPr>
          <w:rFonts w:eastAsia="Times New Roman"/>
          <w:szCs w:val="20"/>
          <w:lang w:val="hu-HU" w:eastAsia="en-GB"/>
        </w:rPr>
        <w:tab/>
        <w:t>megjegyzi, hogy a kommunikációs és promóciós tevékenységek (kiadványok, rendezvényszervezés, digitális kommunikáció stb.) teljes költségvetése a 2022. évi 132 400 EUR-ról 2023-ban 17,20 %-kal, 155 200 EUR-ra nőtt;</w:t>
      </w:r>
    </w:p>
    <w:p w14:paraId="2B3B0DAD"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52.</w:t>
      </w:r>
      <w:r w:rsidRPr="00EB514F">
        <w:rPr>
          <w:rFonts w:eastAsia="Times New Roman"/>
          <w:szCs w:val="20"/>
          <w:lang w:val="hu-HU" w:eastAsia="en-GB"/>
        </w:rPr>
        <w:tab/>
        <w:t>üdvözli az ombudsman arra irányuló 2023. évi erőfeszítéseit és fellépéseit, hogy felhívja a polgárok figyelmét az ombudsman szerepére és arra, hogy az uniós intézmények által elkövetett hivatali visszásságok esetén az ombudsmanhoz fordulhatnak; e tekintetben tudomásul veszi az ombudsman munkáját bemutató és közbenjárásának három kulcsfontosságú területét elmagyarázó videósorozattal kapcsolatban 2023-ban szervezett kommunikációs kampányt, amelynek része volt még egy az ombudsman munkájának távlati hatását szemléltető tallózható leírás és a dokumentumokhoz való hozzáférésre vonatkozó útmutató; üdvözli továbbá a jó közigazgatásért járó díj átadó ünnepségének megszervezését, valamint azt, hogy az ombudsman részt vett a brüsszeli és strasbourgi uniós nyílt napon, ahol az érdekelt felek számára rendezett célzott rendezvényeken látta vendégül a tudományos szakértőket és agytrösztöket, valamint hogy részt vett a 2023-as strasbourgi európai ifjúsági rendezvényen;</w:t>
      </w:r>
    </w:p>
    <w:p w14:paraId="13886E62" w14:textId="77777777" w:rsidR="001A0353" w:rsidRPr="00EB514F"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53.</w:t>
      </w:r>
      <w:r w:rsidRPr="00EB514F">
        <w:rPr>
          <w:rFonts w:eastAsia="Times New Roman"/>
          <w:szCs w:val="20"/>
          <w:lang w:val="hu-HU" w:eastAsia="en-GB"/>
        </w:rPr>
        <w:tab/>
        <w:t>elismeri az ombudsman által annak érdekében tett erőfeszítéseket, hogy az ombudsman honlapján átlátható tájékoztatást nyújtsanak, és informatív, felhasználóbarát formában tegyenek közzé adatokat (többek között a munkaterhelésre vonatkozó statisztikákat), jóllehet ezek az adatok nyílt formátumban nem állnak rendelkezésre; üdvözli, hogy a honlapon közzétették a panaszokkal kapcsolatos valamennyi vizsgálat ütemtervét, amely tájékoztatást nyújt az egyes vizsgálatok múltbeli és jövőbeli mérföldköveiről;</w:t>
      </w:r>
    </w:p>
    <w:p w14:paraId="73FF527B" w14:textId="77777777" w:rsidR="001A0353" w:rsidRPr="003654FB" w:rsidRDefault="001A0353" w:rsidP="00B02C4E">
      <w:pPr>
        <w:spacing w:after="240"/>
        <w:ind w:left="567" w:hanging="567"/>
        <w:jc w:val="left"/>
        <w:rPr>
          <w:rFonts w:eastAsia="Times New Roman"/>
          <w:szCs w:val="20"/>
          <w:lang w:val="hu-HU" w:eastAsia="en-GB"/>
        </w:rPr>
      </w:pPr>
      <w:r w:rsidRPr="00EB514F">
        <w:rPr>
          <w:rFonts w:eastAsia="Times New Roman"/>
          <w:szCs w:val="20"/>
          <w:lang w:val="hu-HU" w:eastAsia="en-GB"/>
        </w:rPr>
        <w:t>54.</w:t>
      </w:r>
      <w:r w:rsidRPr="00EB514F">
        <w:rPr>
          <w:rFonts w:eastAsia="Times New Roman"/>
          <w:szCs w:val="20"/>
          <w:lang w:val="hu-HU" w:eastAsia="en-GB"/>
        </w:rPr>
        <w:tab/>
        <w:t xml:space="preserve">megjegyzi, hogy az ombudsman rendelkezik közösségimédia-fiókokkal az Instagramon, a </w:t>
      </w:r>
      <w:proofErr w:type="spellStart"/>
      <w:r w:rsidRPr="00EB514F">
        <w:rPr>
          <w:rFonts w:eastAsia="Times New Roman"/>
          <w:szCs w:val="20"/>
          <w:lang w:val="hu-HU" w:eastAsia="en-GB"/>
        </w:rPr>
        <w:t>LinkedInen</w:t>
      </w:r>
      <w:proofErr w:type="spellEnd"/>
      <w:r w:rsidRPr="00EB514F">
        <w:rPr>
          <w:rFonts w:eastAsia="Times New Roman"/>
          <w:szCs w:val="20"/>
          <w:lang w:val="hu-HU" w:eastAsia="en-GB"/>
        </w:rPr>
        <w:t xml:space="preserve"> és az X-en (korábbi </w:t>
      </w:r>
      <w:proofErr w:type="spellStart"/>
      <w:r w:rsidRPr="00EB514F">
        <w:rPr>
          <w:rFonts w:eastAsia="Times New Roman"/>
          <w:szCs w:val="20"/>
          <w:lang w:val="hu-HU" w:eastAsia="en-GB"/>
        </w:rPr>
        <w:t>Twitter</w:t>
      </w:r>
      <w:proofErr w:type="spellEnd"/>
      <w:r w:rsidRPr="00EB514F">
        <w:rPr>
          <w:rFonts w:eastAsia="Times New Roman"/>
          <w:szCs w:val="20"/>
          <w:lang w:val="hu-HU" w:eastAsia="en-GB"/>
        </w:rPr>
        <w:t>), ahol a követők számának növekedése és az aktivitási arány 2023-ban tovább növekedett; üdvözli az ombudsmannak az európai adatvédelmi biztos által vezetett kísérleti projektben való részvételét, amelynek célja, hogy az uniós intézmények bekapcsolódjanak az EU-</w:t>
      </w:r>
      <w:proofErr w:type="spellStart"/>
      <w:r w:rsidRPr="00EB514F">
        <w:rPr>
          <w:rFonts w:eastAsia="Times New Roman"/>
          <w:szCs w:val="20"/>
          <w:lang w:val="hu-HU" w:eastAsia="en-GB"/>
        </w:rPr>
        <w:t>Voice</w:t>
      </w:r>
      <w:proofErr w:type="spellEnd"/>
      <w:r w:rsidRPr="00EB514F">
        <w:rPr>
          <w:rFonts w:eastAsia="Times New Roman"/>
          <w:szCs w:val="20"/>
          <w:lang w:val="hu-HU" w:eastAsia="en-GB"/>
        </w:rPr>
        <w:t xml:space="preserve"> és az EU-Video hálózatba, amely két ingyenes, nyílt forráskódú, </w:t>
      </w:r>
      <w:proofErr w:type="spellStart"/>
      <w:r w:rsidRPr="00EB514F">
        <w:rPr>
          <w:rFonts w:eastAsia="Times New Roman"/>
          <w:szCs w:val="20"/>
          <w:lang w:val="hu-HU" w:eastAsia="en-GB"/>
        </w:rPr>
        <w:t>Mastodon</w:t>
      </w:r>
      <w:proofErr w:type="spellEnd"/>
      <w:r w:rsidRPr="00EB514F">
        <w:rPr>
          <w:rFonts w:eastAsia="Times New Roman"/>
          <w:szCs w:val="20"/>
          <w:lang w:val="hu-HU" w:eastAsia="en-GB"/>
        </w:rPr>
        <w:t xml:space="preserve"> szoftveren alapuló közösségimédia-hálózat, és amely lehetővé teszi az uniós intézmények számára, hogy szövegek, képek, videók és </w:t>
      </w:r>
      <w:proofErr w:type="spellStart"/>
      <w:r w:rsidRPr="00EB514F">
        <w:rPr>
          <w:rFonts w:eastAsia="Times New Roman"/>
          <w:szCs w:val="20"/>
          <w:lang w:val="hu-HU" w:eastAsia="en-GB"/>
        </w:rPr>
        <w:t>podcastok</w:t>
      </w:r>
      <w:proofErr w:type="spellEnd"/>
      <w:r w:rsidRPr="00EB514F">
        <w:rPr>
          <w:rFonts w:eastAsia="Times New Roman"/>
          <w:szCs w:val="20"/>
          <w:lang w:val="hu-HU" w:eastAsia="en-GB"/>
        </w:rPr>
        <w:t xml:space="preserve"> megosztásával lépjenek kapcsolatba a nyilvánossággal.</w:t>
      </w:r>
    </w:p>
    <w:p w14:paraId="5107C6E3" w14:textId="77777777" w:rsidR="008765BE" w:rsidRPr="00095FD6" w:rsidRDefault="008765BE">
      <w:pPr>
        <w:rPr>
          <w:lang w:val="hu-HU"/>
        </w:rPr>
      </w:pPr>
    </w:p>
    <w:sectPr w:rsidR="008765BE" w:rsidRPr="00095FD6">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C34AE" w14:textId="77777777" w:rsidR="001A0353" w:rsidRDefault="001A0353" w:rsidP="001A0353">
      <w:r>
        <w:separator/>
      </w:r>
    </w:p>
  </w:endnote>
  <w:endnote w:type="continuationSeparator" w:id="0">
    <w:p w14:paraId="3FDCCD54" w14:textId="77777777" w:rsidR="001A0353" w:rsidRDefault="001A0353" w:rsidP="001A0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8BCA1" w14:textId="77777777" w:rsidR="001A0353" w:rsidRDefault="001A0353" w:rsidP="001A0353">
      <w:r>
        <w:separator/>
      </w:r>
    </w:p>
  </w:footnote>
  <w:footnote w:type="continuationSeparator" w:id="0">
    <w:p w14:paraId="48238331" w14:textId="77777777" w:rsidR="001A0353" w:rsidRDefault="001A0353" w:rsidP="001A0353">
      <w:r>
        <w:continuationSeparator/>
      </w:r>
    </w:p>
  </w:footnote>
  <w:footnote w:id="1">
    <w:p w14:paraId="6D127D9B" w14:textId="77777777" w:rsidR="001A0353" w:rsidRPr="00EB514F" w:rsidRDefault="001A0353" w:rsidP="001C7C4B">
      <w:pPr>
        <w:ind w:left="567" w:hanging="567"/>
        <w:jc w:val="left"/>
        <w:rPr>
          <w:lang w:val="fi-FI"/>
        </w:rPr>
      </w:pPr>
      <w:r w:rsidRPr="00EB514F">
        <w:rPr>
          <w:rStyle w:val="FootnoteReference"/>
        </w:rPr>
        <w:footnoteRef/>
      </w:r>
      <w:r w:rsidRPr="00EB514F">
        <w:rPr>
          <w:lang w:val="fi-FI"/>
        </w:rPr>
        <w:t xml:space="preserve"> </w:t>
      </w:r>
      <w:r w:rsidRPr="00EB514F">
        <w:rPr>
          <w:lang w:val="fi-FI"/>
        </w:rPr>
        <w:tab/>
        <w:t xml:space="preserve">HL L 58., 2023.2.23., 1. o., ELI: </w:t>
      </w:r>
      <w:hyperlink r:id="rId1" w:tooltip="Az ELI (európai jogszabály-azonosító) URI-hivatkozása révén biztosít hozzáférést a dokumentumhoz." w:history="1">
        <w:r w:rsidRPr="00EB514F">
          <w:rPr>
            <w:color w:val="337AB7"/>
            <w:u w:val="single"/>
            <w:shd w:val="clear" w:color="auto" w:fill="FFFFFF"/>
            <w:lang w:val="fi-FI"/>
          </w:rPr>
          <w:t>http://data.europa.eu/eli/budget/2023/1/oj</w:t>
        </w:r>
      </w:hyperlink>
      <w:r w:rsidRPr="00EB514F">
        <w:rPr>
          <w:shd w:val="clear" w:color="auto" w:fill="FFFFFF"/>
          <w:lang w:val="fi-FI"/>
        </w:rPr>
        <w:t>.</w:t>
      </w:r>
    </w:p>
  </w:footnote>
  <w:footnote w:id="2">
    <w:p w14:paraId="7969963F" w14:textId="77777777" w:rsidR="001A0353" w:rsidRPr="00EB514F" w:rsidRDefault="001A0353" w:rsidP="001C7C4B">
      <w:pPr>
        <w:pStyle w:val="FootnoteText"/>
        <w:ind w:left="567" w:hanging="567"/>
        <w:jc w:val="left"/>
        <w:rPr>
          <w:sz w:val="24"/>
          <w:szCs w:val="24"/>
          <w:lang w:val="hu-HU"/>
        </w:rPr>
      </w:pPr>
      <w:r w:rsidRPr="00EB514F">
        <w:rPr>
          <w:rStyle w:val="FootnoteReference"/>
          <w:sz w:val="24"/>
          <w:szCs w:val="24"/>
          <w:lang w:val="hu-HU"/>
        </w:rPr>
        <w:footnoteRef/>
      </w:r>
      <w:r w:rsidRPr="00EB514F">
        <w:rPr>
          <w:sz w:val="24"/>
          <w:szCs w:val="24"/>
          <w:lang w:val="hu-HU"/>
        </w:rPr>
        <w:t xml:space="preserve"> </w:t>
      </w:r>
      <w:r w:rsidRPr="00EB514F">
        <w:rPr>
          <w:sz w:val="24"/>
          <w:szCs w:val="24"/>
          <w:lang w:val="hu-HU"/>
        </w:rPr>
        <w:tab/>
        <w:t xml:space="preserve">HL C, C/2024/5462, 2024.10.10., ELI: </w:t>
      </w:r>
      <w:hyperlink r:id="rId2" w:history="1">
        <w:r w:rsidRPr="00EB514F">
          <w:rPr>
            <w:rStyle w:val="Hyperlink1"/>
            <w:sz w:val="24"/>
            <w:szCs w:val="24"/>
            <w:lang w:val="hu-HU"/>
          </w:rPr>
          <w:t>http://data.europa.eu/eli/C/2024/5462/oj</w:t>
        </w:r>
      </w:hyperlink>
      <w:r w:rsidRPr="00EB514F">
        <w:rPr>
          <w:rStyle w:val="Hyperlink1"/>
          <w:sz w:val="24"/>
          <w:szCs w:val="24"/>
          <w:lang w:val="hu-HU"/>
        </w:rPr>
        <w:t>.</w:t>
      </w:r>
    </w:p>
  </w:footnote>
  <w:footnote w:id="3">
    <w:p w14:paraId="62B5E14D" w14:textId="77777777" w:rsidR="001A0353" w:rsidRPr="00EB514F" w:rsidRDefault="001A0353" w:rsidP="001C7C4B">
      <w:pPr>
        <w:pStyle w:val="FootnoteText"/>
        <w:ind w:left="567" w:hanging="567"/>
        <w:jc w:val="left"/>
        <w:rPr>
          <w:sz w:val="24"/>
          <w:szCs w:val="24"/>
          <w:lang w:val="hu-HU"/>
        </w:rPr>
      </w:pPr>
      <w:r w:rsidRPr="00EB514F">
        <w:rPr>
          <w:rStyle w:val="FootnoteReference"/>
          <w:sz w:val="24"/>
          <w:szCs w:val="24"/>
          <w:lang w:val="hu-HU"/>
        </w:rPr>
        <w:footnoteRef/>
      </w:r>
      <w:r w:rsidRPr="00EB514F">
        <w:rPr>
          <w:sz w:val="24"/>
          <w:szCs w:val="24"/>
          <w:lang w:val="hu-HU"/>
        </w:rPr>
        <w:t xml:space="preserve"> </w:t>
      </w:r>
      <w:r w:rsidRPr="00EB514F">
        <w:rPr>
          <w:sz w:val="24"/>
          <w:szCs w:val="24"/>
          <w:lang w:val="hu-HU"/>
        </w:rPr>
        <w:tab/>
        <w:t xml:space="preserve">HL C, C/2024/5882, 2024.10.9., ELI: </w:t>
      </w:r>
      <w:hyperlink r:id="rId3" w:history="1">
        <w:r w:rsidRPr="00EB514F">
          <w:rPr>
            <w:rStyle w:val="Hyperlink1"/>
            <w:sz w:val="24"/>
            <w:szCs w:val="24"/>
            <w:lang w:val="hu-HU"/>
          </w:rPr>
          <w:t>http://data.europa.eu/eli/C/2024/5882/oj</w:t>
        </w:r>
      </w:hyperlink>
      <w:r w:rsidRPr="00EB514F">
        <w:rPr>
          <w:rStyle w:val="Hyperlink1"/>
          <w:sz w:val="24"/>
          <w:szCs w:val="24"/>
          <w:lang w:val="hu-HU"/>
        </w:rPr>
        <w:t>.</w:t>
      </w:r>
    </w:p>
  </w:footnote>
  <w:footnote w:id="4">
    <w:p w14:paraId="76912EE5" w14:textId="77777777" w:rsidR="001A0353" w:rsidRPr="00EB514F" w:rsidRDefault="001A0353" w:rsidP="001C7C4B">
      <w:pPr>
        <w:pStyle w:val="FootnoteText"/>
        <w:ind w:left="567" w:hanging="567"/>
        <w:jc w:val="left"/>
        <w:rPr>
          <w:sz w:val="24"/>
          <w:szCs w:val="24"/>
          <w:lang w:val="hu-HU"/>
        </w:rPr>
      </w:pPr>
      <w:r w:rsidRPr="00EB514F">
        <w:rPr>
          <w:rStyle w:val="FootnoteReference"/>
          <w:sz w:val="24"/>
          <w:szCs w:val="24"/>
          <w:lang w:val="hu-HU"/>
        </w:rPr>
        <w:footnoteRef/>
      </w:r>
      <w:r w:rsidRPr="00EB514F">
        <w:rPr>
          <w:sz w:val="24"/>
          <w:szCs w:val="24"/>
          <w:lang w:val="hu-HU"/>
        </w:rPr>
        <w:t xml:space="preserve"> </w:t>
      </w:r>
      <w:r w:rsidRPr="00EB514F">
        <w:rPr>
          <w:sz w:val="24"/>
          <w:szCs w:val="24"/>
          <w:lang w:val="hu-HU"/>
        </w:rPr>
        <w:tab/>
        <w:t xml:space="preserve">HL C, C/2024/6041, 2024.10.10., ELI: </w:t>
      </w:r>
      <w:hyperlink r:id="rId4" w:history="1">
        <w:r w:rsidRPr="00EB514F">
          <w:rPr>
            <w:rStyle w:val="Hyperlink1"/>
            <w:sz w:val="24"/>
            <w:szCs w:val="24"/>
            <w:lang w:val="hu-HU"/>
          </w:rPr>
          <w:t>http://data.europa.eu/eli/C/2024/6041/oj</w:t>
        </w:r>
      </w:hyperlink>
      <w:r w:rsidRPr="00EB514F">
        <w:rPr>
          <w:rStyle w:val="Hyperlink1"/>
          <w:sz w:val="24"/>
          <w:szCs w:val="24"/>
          <w:lang w:val="hu-HU"/>
        </w:rPr>
        <w:t>.</w:t>
      </w:r>
    </w:p>
  </w:footnote>
  <w:footnote w:id="5">
    <w:p w14:paraId="3AC104EC" w14:textId="77777777" w:rsidR="001A0353" w:rsidRPr="00EB514F" w:rsidRDefault="001A0353" w:rsidP="001C7C4B">
      <w:pPr>
        <w:pStyle w:val="FootnoteText"/>
        <w:ind w:left="567" w:hanging="567"/>
        <w:jc w:val="left"/>
        <w:rPr>
          <w:sz w:val="24"/>
          <w:szCs w:val="24"/>
          <w:lang w:val="hu-HU"/>
        </w:rPr>
      </w:pPr>
      <w:r w:rsidRPr="00EB514F">
        <w:rPr>
          <w:rStyle w:val="FootnoteReference"/>
          <w:sz w:val="24"/>
          <w:szCs w:val="24"/>
          <w:lang w:val="hu-HU"/>
        </w:rPr>
        <w:footnoteRef/>
      </w:r>
      <w:r w:rsidRPr="00EB514F">
        <w:rPr>
          <w:sz w:val="24"/>
          <w:szCs w:val="24"/>
          <w:lang w:val="hu-HU"/>
        </w:rPr>
        <w:t xml:space="preserve"> </w:t>
      </w:r>
      <w:r w:rsidRPr="00EB514F">
        <w:rPr>
          <w:sz w:val="24"/>
          <w:szCs w:val="24"/>
          <w:lang w:val="hu-HU"/>
        </w:rPr>
        <w:tab/>
        <w:t xml:space="preserve">HL L 193., 2018.7.30., 1. o., ELI: </w:t>
      </w:r>
      <w:hyperlink r:id="rId5" w:history="1">
        <w:r w:rsidRPr="00EB514F">
          <w:rPr>
            <w:rStyle w:val="Hyperlink1"/>
            <w:sz w:val="24"/>
            <w:szCs w:val="24"/>
            <w:lang w:val="hu-HU"/>
          </w:rPr>
          <w:t>http://data.europa.eu/eli/reg/2018/1046/oj</w:t>
        </w:r>
      </w:hyperlink>
      <w:r w:rsidRPr="00EB514F">
        <w:rPr>
          <w:sz w:val="24"/>
          <w:szCs w:val="24"/>
          <w:lang w:val="hu-HU"/>
        </w:rPr>
        <w:t>.</w:t>
      </w:r>
    </w:p>
  </w:footnote>
  <w:footnote w:id="6">
    <w:p w14:paraId="19E6A3C9" w14:textId="77777777" w:rsidR="001A0353" w:rsidRPr="00EB514F" w:rsidRDefault="001A0353" w:rsidP="001C7C4B">
      <w:pPr>
        <w:pStyle w:val="FootnoteText"/>
        <w:ind w:left="567" w:hanging="567"/>
        <w:jc w:val="left"/>
        <w:rPr>
          <w:sz w:val="24"/>
          <w:szCs w:val="24"/>
          <w:lang w:val="hu-HU"/>
        </w:rPr>
      </w:pPr>
      <w:r w:rsidRPr="00EB514F">
        <w:rPr>
          <w:rStyle w:val="FootnoteReference"/>
          <w:sz w:val="24"/>
          <w:szCs w:val="24"/>
          <w:lang w:val="hu-HU"/>
        </w:rPr>
        <w:footnoteRef/>
      </w:r>
      <w:r w:rsidRPr="00EB514F">
        <w:rPr>
          <w:sz w:val="24"/>
          <w:szCs w:val="24"/>
          <w:lang w:val="hu-HU"/>
        </w:rPr>
        <w:t xml:space="preserve"> </w:t>
      </w:r>
      <w:r w:rsidRPr="00EB514F">
        <w:rPr>
          <w:sz w:val="24"/>
          <w:szCs w:val="24"/>
          <w:lang w:val="hu-HU"/>
        </w:rPr>
        <w:tab/>
        <w:t xml:space="preserve">HL L, 2024/2509, 2024.9.26., ELI: </w:t>
      </w:r>
      <w:hyperlink r:id="rId6" w:history="1">
        <w:r w:rsidRPr="00EB514F">
          <w:rPr>
            <w:rStyle w:val="Hyperlink1"/>
            <w:sz w:val="24"/>
            <w:szCs w:val="24"/>
            <w:lang w:val="hu-HU"/>
          </w:rPr>
          <w:t>https://data.europa.eu/eli/reg/2024/2509/oj</w:t>
        </w:r>
      </w:hyperlink>
      <w:r w:rsidRPr="00EB514F">
        <w:rPr>
          <w:rStyle w:val="Hyperlink1"/>
          <w:sz w:val="24"/>
          <w:szCs w:val="24"/>
          <w:lang w:val="hu-HU"/>
        </w:rPr>
        <w:t>.</w:t>
      </w:r>
    </w:p>
  </w:footnote>
  <w:footnote w:id="7">
    <w:p w14:paraId="40260586" w14:textId="77777777" w:rsidR="001A0353" w:rsidRPr="00EB514F" w:rsidRDefault="001A0353" w:rsidP="00B02C4E">
      <w:pPr>
        <w:pStyle w:val="FootnoteText"/>
        <w:ind w:left="567" w:hanging="567"/>
        <w:jc w:val="left"/>
        <w:rPr>
          <w:sz w:val="24"/>
          <w:szCs w:val="24"/>
          <w:lang w:val="hu-HU"/>
        </w:rPr>
      </w:pPr>
      <w:r w:rsidRPr="00EB514F">
        <w:rPr>
          <w:rStyle w:val="FootnoteReference"/>
          <w:sz w:val="24"/>
          <w:szCs w:val="24"/>
          <w:lang w:val="hu-HU"/>
        </w:rPr>
        <w:footnoteRef/>
      </w:r>
      <w:r w:rsidRPr="00EB514F">
        <w:rPr>
          <w:sz w:val="24"/>
          <w:szCs w:val="24"/>
          <w:lang w:val="hu-HU"/>
        </w:rPr>
        <w:tab/>
        <w:t xml:space="preserve">Az Európai Parlament (EU, Euratom) 2021/1163 rendelete (2021. június 24.) az ombudsman feladatainak ellátására vonatkozó szabályokról és általános feltételekről (az európai ombudsman alapokmánya) és a 94/262/ESZAK, EK, Euratom határozat hatályon kívül helyezéséről (HL 253., 2021.7.16., 1. o., ELI: </w:t>
      </w:r>
      <w:hyperlink r:id="rId7" w:history="1">
        <w:r w:rsidRPr="00EB514F">
          <w:rPr>
            <w:rStyle w:val="Hyperlink1"/>
            <w:sz w:val="24"/>
            <w:szCs w:val="24"/>
            <w:lang w:val="hu-HU"/>
          </w:rPr>
          <w:t>http://data.europa.eu/eli/reg/2021/1163/oj</w:t>
        </w:r>
      </w:hyperlink>
      <w:r w:rsidRPr="00EB514F">
        <w:rPr>
          <w:sz w:val="24"/>
          <w:szCs w:val="24"/>
          <w:lang w:val="hu-HU"/>
        </w:rPr>
        <w:t>).</w:t>
      </w:r>
    </w:p>
  </w:footnote>
  <w:footnote w:id="8">
    <w:p w14:paraId="0DAEC5AB" w14:textId="77777777" w:rsidR="001A0353" w:rsidRPr="00EB514F" w:rsidRDefault="001A0353" w:rsidP="00B02C4E">
      <w:pPr>
        <w:pStyle w:val="FootnoteText"/>
        <w:ind w:left="567" w:hanging="567"/>
        <w:jc w:val="left"/>
        <w:rPr>
          <w:sz w:val="24"/>
          <w:szCs w:val="24"/>
          <w:lang w:val="hu-HU"/>
        </w:rPr>
      </w:pPr>
      <w:r w:rsidRPr="00EB514F">
        <w:rPr>
          <w:rStyle w:val="FootnoteReference"/>
          <w:sz w:val="24"/>
          <w:szCs w:val="24"/>
          <w:lang w:val="hu-HU"/>
        </w:rPr>
        <w:footnoteRef/>
      </w:r>
      <w:r w:rsidRPr="00EB514F">
        <w:rPr>
          <w:color w:val="333333"/>
          <w:sz w:val="24"/>
          <w:szCs w:val="24"/>
          <w:shd w:val="clear" w:color="auto" w:fill="FFFFFF"/>
          <w:lang w:val="hu-HU"/>
        </w:rPr>
        <w:tab/>
        <w:t xml:space="preserve">HL C, C/2023/161, 2023.10.10., ELI: </w:t>
      </w:r>
      <w:hyperlink r:id="rId8" w:tgtFrame="_blank" w:tooltip="Az ELI (európai jogszabály-azonosító) URI-hivatkozása révén biztosít hozzáférést a dokumentumhoz." w:history="1">
        <w:r w:rsidRPr="00EB514F">
          <w:rPr>
            <w:color w:val="23527C"/>
            <w:sz w:val="24"/>
            <w:szCs w:val="24"/>
            <w:u w:val="single"/>
            <w:lang w:val="hu-HU"/>
          </w:rPr>
          <w:t>http://data.europa.eu/eli/C/2023/161/oj</w:t>
        </w:r>
      </w:hyperlink>
      <w:r w:rsidRPr="00EB514F">
        <w:rPr>
          <w:color w:val="23527C"/>
          <w:sz w:val="24"/>
          <w:szCs w:val="24"/>
          <w:lang w:val="hu-HU"/>
        </w:rPr>
        <w:t>.</w:t>
      </w:r>
    </w:p>
  </w:footnote>
  <w:footnote w:id="9">
    <w:p w14:paraId="04E1D863" w14:textId="24A4D81E" w:rsidR="001A0353" w:rsidRPr="00EB514F" w:rsidRDefault="001A0353" w:rsidP="00B02C4E">
      <w:pPr>
        <w:pStyle w:val="FootnoteText"/>
        <w:ind w:left="567" w:hanging="567"/>
        <w:jc w:val="left"/>
        <w:rPr>
          <w:sz w:val="24"/>
          <w:szCs w:val="24"/>
          <w:lang w:val="hu-HU"/>
        </w:rPr>
      </w:pPr>
      <w:r w:rsidRPr="00EB514F">
        <w:rPr>
          <w:rStyle w:val="FootnoteReference"/>
          <w:sz w:val="24"/>
          <w:szCs w:val="24"/>
        </w:rPr>
        <w:footnoteRef/>
      </w:r>
      <w:r w:rsidRPr="00EB514F">
        <w:rPr>
          <w:sz w:val="24"/>
          <w:szCs w:val="24"/>
          <w:lang w:val="hu-HU"/>
        </w:rPr>
        <w:t xml:space="preserve"> </w:t>
      </w:r>
      <w:r w:rsidR="00EB514F" w:rsidRPr="00EB514F">
        <w:rPr>
          <w:sz w:val="24"/>
          <w:szCs w:val="24"/>
          <w:lang w:val="hu-HU"/>
        </w:rPr>
        <w:tab/>
      </w:r>
      <w:r w:rsidRPr="00EB514F">
        <w:rPr>
          <w:sz w:val="24"/>
          <w:szCs w:val="24"/>
          <w:lang w:val="hu-HU"/>
        </w:rPr>
        <w:t xml:space="preserve">Az Európai Parlament és a Tanács 1049/2001/EK rendelete (2001. május 30.) az Európai Parlament, a Tanács és a Bizottság dokumentumaihoz való nyilvános hozzáférésről (HL L 145., 2001.5.31., 43. o., ELI: </w:t>
      </w:r>
      <w:hyperlink r:id="rId9" w:history="1">
        <w:r w:rsidRPr="00EB514F">
          <w:rPr>
            <w:rStyle w:val="Hyperlink"/>
            <w:sz w:val="24"/>
            <w:szCs w:val="24"/>
            <w:lang w:val="hu-HU"/>
          </w:rPr>
          <w:t>http://data.europa.eu/eli/reg/2001/1049/oj</w:t>
        </w:r>
      </w:hyperlink>
      <w:r w:rsidRPr="00EB514F">
        <w:rPr>
          <w:sz w:val="24"/>
          <w:szCs w:val="24"/>
          <w:lang w:val="hu-HU"/>
        </w:rPr>
        <w:t>).</w:t>
      </w:r>
    </w:p>
  </w:footnote>
  <w:footnote w:id="10">
    <w:p w14:paraId="67370855" w14:textId="77777777" w:rsidR="001A0353" w:rsidRPr="00EB514F" w:rsidRDefault="001A0353" w:rsidP="00B02C4E">
      <w:pPr>
        <w:pStyle w:val="FootnoteText"/>
        <w:ind w:left="567" w:hanging="567"/>
        <w:jc w:val="left"/>
        <w:rPr>
          <w:sz w:val="24"/>
          <w:szCs w:val="24"/>
          <w:lang w:val="hu-HU"/>
        </w:rPr>
      </w:pPr>
      <w:r w:rsidRPr="00EB514F">
        <w:rPr>
          <w:rStyle w:val="FootnoteReference"/>
          <w:sz w:val="24"/>
          <w:szCs w:val="24"/>
          <w:lang w:val="hu-HU"/>
        </w:rPr>
        <w:footnoteRef/>
      </w:r>
      <w:r w:rsidRPr="00EB514F">
        <w:rPr>
          <w:sz w:val="24"/>
          <w:szCs w:val="24"/>
          <w:lang w:val="hu-HU"/>
        </w:rPr>
        <w:tab/>
      </w:r>
      <w:hyperlink r:id="rId10" w:history="1">
        <w:r w:rsidRPr="00EB514F">
          <w:rPr>
            <w:rStyle w:val="Hyperlink1"/>
            <w:sz w:val="24"/>
            <w:szCs w:val="24"/>
            <w:lang w:val="hu-HU"/>
          </w:rPr>
          <w:t>https://www.ombudsman.europa.eu/hu/doc/annual-report/hu/183636</w:t>
        </w:r>
      </w:hyperlink>
      <w:r w:rsidRPr="00EB514F">
        <w:rPr>
          <w:sz w:val="24"/>
          <w:szCs w:val="24"/>
          <w:lang w:val="hu-HU"/>
        </w:rPr>
        <w:t>.</w:t>
      </w:r>
    </w:p>
  </w:footnote>
  <w:footnote w:id="11">
    <w:p w14:paraId="454791D3" w14:textId="77777777" w:rsidR="001A0353" w:rsidRPr="00EB514F" w:rsidRDefault="001A0353" w:rsidP="00B02C4E">
      <w:pPr>
        <w:pStyle w:val="FootnoteText"/>
        <w:ind w:left="567" w:hanging="567"/>
        <w:jc w:val="left"/>
        <w:rPr>
          <w:sz w:val="24"/>
          <w:szCs w:val="24"/>
          <w:lang w:val="hu-HU"/>
        </w:rPr>
      </w:pPr>
      <w:r w:rsidRPr="00EB514F">
        <w:rPr>
          <w:rStyle w:val="FootnoteReference"/>
          <w:sz w:val="24"/>
          <w:szCs w:val="24"/>
          <w:lang w:val="hu-HU"/>
        </w:rPr>
        <w:footnoteRef/>
      </w:r>
      <w:r w:rsidRPr="00EB514F">
        <w:rPr>
          <w:sz w:val="24"/>
          <w:szCs w:val="24"/>
          <w:lang w:val="hu-HU"/>
        </w:rPr>
        <w:tab/>
      </w:r>
      <w:hyperlink r:id="rId11" w:history="1">
        <w:r w:rsidRPr="00EB514F">
          <w:rPr>
            <w:rStyle w:val="Hyperlink1"/>
            <w:sz w:val="24"/>
            <w:szCs w:val="24"/>
            <w:lang w:val="hu-HU"/>
          </w:rPr>
          <w:t>https://www.ombudsman.europa.eu/hu/multimedia/infographics/hu/142</w:t>
        </w:r>
      </w:hyperlink>
      <w:r w:rsidRPr="00EB514F">
        <w:rPr>
          <w:sz w:val="24"/>
          <w:szCs w:val="24"/>
          <w:lang w:val="hu-HU"/>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353"/>
    <w:rsid w:val="00095FD6"/>
    <w:rsid w:val="001A0353"/>
    <w:rsid w:val="003654FB"/>
    <w:rsid w:val="005762E3"/>
    <w:rsid w:val="00793EC5"/>
    <w:rsid w:val="008765BE"/>
    <w:rsid w:val="009D32FA"/>
    <w:rsid w:val="00A234A6"/>
    <w:rsid w:val="00E93811"/>
    <w:rsid w:val="00EB51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55217"/>
  <w15:chartTrackingRefBased/>
  <w15:docId w15:val="{0CF0B478-1FF9-4777-981C-A68CAB9E8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styleId="FootnoteText">
    <w:name w:val="footnote text"/>
    <w:basedOn w:val="Normal"/>
    <w:link w:val="FootnoteTextChar"/>
    <w:uiPriority w:val="99"/>
    <w:semiHidden/>
    <w:unhideWhenUsed/>
    <w:rsid w:val="001A0353"/>
    <w:rPr>
      <w:kern w:val="0"/>
      <w:sz w:val="20"/>
      <w:szCs w:val="20"/>
      <w14:ligatures w14:val="none"/>
    </w:rPr>
  </w:style>
  <w:style w:type="character" w:customStyle="1" w:styleId="FootnoteTextChar">
    <w:name w:val="Footnote Text Char"/>
    <w:basedOn w:val="DefaultParagraphFont"/>
    <w:link w:val="FootnoteText"/>
    <w:uiPriority w:val="99"/>
    <w:semiHidden/>
    <w:rsid w:val="001A0353"/>
    <w:rPr>
      <w:rFonts w:ascii="Times New Roman" w:hAnsi="Times New Roman"/>
      <w:kern w:val="0"/>
      <w:sz w:val="20"/>
      <w:szCs w:val="20"/>
      <w14:ligatures w14:val="none"/>
    </w:rPr>
  </w:style>
  <w:style w:type="character" w:styleId="FootnoteReference">
    <w:name w:val="footnote reference"/>
    <w:rsid w:val="001A0353"/>
    <w:rPr>
      <w:b w:val="0"/>
      <w:vertAlign w:val="superscript"/>
    </w:rPr>
  </w:style>
  <w:style w:type="character" w:customStyle="1" w:styleId="Hyperlink1">
    <w:name w:val="Hyperlink1"/>
    <w:basedOn w:val="DefaultParagraphFont"/>
    <w:rsid w:val="001A0353"/>
    <w:rPr>
      <w:color w:val="0563C1"/>
      <w:u w:val="single"/>
    </w:rPr>
  </w:style>
  <w:style w:type="character" w:styleId="Hyperlink">
    <w:name w:val="Hyperlink"/>
    <w:basedOn w:val="DefaultParagraphFont"/>
    <w:uiPriority w:val="99"/>
    <w:unhideWhenUsed/>
    <w:rsid w:val="001A0353"/>
    <w:rPr>
      <w:color w:val="0563C1" w:themeColor="hyperlink"/>
      <w:u w:val="single"/>
    </w:rPr>
  </w:style>
  <w:style w:type="character" w:styleId="CommentReference">
    <w:name w:val="annotation reference"/>
    <w:basedOn w:val="DefaultParagraphFont"/>
    <w:uiPriority w:val="99"/>
    <w:semiHidden/>
    <w:unhideWhenUsed/>
    <w:rsid w:val="003654FB"/>
    <w:rPr>
      <w:sz w:val="16"/>
      <w:szCs w:val="16"/>
    </w:rPr>
  </w:style>
  <w:style w:type="paragraph" w:styleId="CommentText">
    <w:name w:val="annotation text"/>
    <w:basedOn w:val="Normal"/>
    <w:link w:val="CommentTextChar"/>
    <w:uiPriority w:val="99"/>
    <w:semiHidden/>
    <w:unhideWhenUsed/>
    <w:rsid w:val="003654FB"/>
    <w:rPr>
      <w:sz w:val="20"/>
      <w:szCs w:val="20"/>
    </w:rPr>
  </w:style>
  <w:style w:type="character" w:customStyle="1" w:styleId="CommentTextChar">
    <w:name w:val="Comment Text Char"/>
    <w:basedOn w:val="DefaultParagraphFont"/>
    <w:link w:val="CommentText"/>
    <w:uiPriority w:val="99"/>
    <w:semiHidden/>
    <w:rsid w:val="003654F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654FB"/>
    <w:rPr>
      <w:b/>
      <w:bCs/>
    </w:rPr>
  </w:style>
  <w:style w:type="character" w:customStyle="1" w:styleId="CommentSubjectChar">
    <w:name w:val="Comment Subject Char"/>
    <w:basedOn w:val="CommentTextChar"/>
    <w:link w:val="CommentSubject"/>
    <w:uiPriority w:val="99"/>
    <w:semiHidden/>
    <w:rsid w:val="003654FB"/>
    <w:rPr>
      <w:rFonts w:ascii="Times New Roman" w:hAnsi="Times New Roman"/>
      <w:b/>
      <w:bCs/>
      <w:sz w:val="20"/>
      <w:szCs w:val="20"/>
    </w:rPr>
  </w:style>
  <w:style w:type="character" w:customStyle="1" w:styleId="HideTWBExt">
    <w:name w:val="HideTWBExt"/>
    <w:rsid w:val="00EB514F"/>
    <w:rPr>
      <w:rFonts w:ascii="Arial" w:hAnsi="Arial"/>
      <w:noProof/>
      <w:vanish/>
      <w:color w:val="000080"/>
      <w:sz w:val="20"/>
    </w:rPr>
  </w:style>
  <w:style w:type="paragraph" w:customStyle="1" w:styleId="EPBodyTA1">
    <w:name w:val="EPBodyTA1"/>
    <w:basedOn w:val="Normal"/>
    <w:rsid w:val="00EB514F"/>
    <w:pPr>
      <w:widowControl w:val="0"/>
      <w:jc w:val="center"/>
    </w:pPr>
    <w:rPr>
      <w:rFonts w:ascii="Arial" w:eastAsia="Times New Roman" w:hAnsi="Arial" w:cs="Arial"/>
      <w:b/>
      <w:kern w:val="0"/>
      <w:sz w:val="22"/>
      <w:szCs w:val="22"/>
      <w:lang w:val="hu-HU" w:eastAsia="en-GB"/>
      <w14:ligatures w14:val="none"/>
    </w:rPr>
  </w:style>
  <w:style w:type="paragraph" w:customStyle="1" w:styleId="LineTop">
    <w:name w:val="LineTop"/>
    <w:basedOn w:val="Normal"/>
    <w:next w:val="Normal"/>
    <w:rsid w:val="00EB514F"/>
    <w:pPr>
      <w:widowControl w:val="0"/>
      <w:pBdr>
        <w:top w:val="single" w:sz="4" w:space="1" w:color="auto"/>
      </w:pBdr>
      <w:jc w:val="center"/>
    </w:pPr>
    <w:rPr>
      <w:rFonts w:ascii="Arial" w:eastAsia="Times New Roman" w:hAnsi="Arial" w:cs="Arial"/>
      <w:kern w:val="0"/>
      <w:sz w:val="16"/>
      <w:szCs w:val="16"/>
      <w:lang w:val="hu-HU" w:eastAsia="en-GB"/>
      <w14:ligatures w14:val="none"/>
    </w:rPr>
  </w:style>
  <w:style w:type="paragraph" w:customStyle="1" w:styleId="LineBottom">
    <w:name w:val="LineBottom"/>
    <w:basedOn w:val="Normal"/>
    <w:next w:val="Normal"/>
    <w:rsid w:val="00EB514F"/>
    <w:pPr>
      <w:widowControl w:val="0"/>
      <w:pBdr>
        <w:bottom w:val="single" w:sz="4" w:space="1" w:color="auto"/>
      </w:pBdr>
      <w:spacing w:after="240"/>
      <w:jc w:val="center"/>
    </w:pPr>
    <w:rPr>
      <w:rFonts w:ascii="Arial" w:eastAsia="Times New Roman" w:hAnsi="Arial" w:cs="Arial"/>
      <w:kern w:val="0"/>
      <w:sz w:val="16"/>
      <w:szCs w:val="16"/>
      <w:lang w:val="hu-HU" w:eastAsia="en-GB"/>
      <w14:ligatures w14:val="none"/>
    </w:rPr>
  </w:style>
  <w:style w:type="paragraph" w:customStyle="1" w:styleId="ATHeading1">
    <w:name w:val="AT Heading 1"/>
    <w:basedOn w:val="Normal"/>
    <w:next w:val="Normal"/>
    <w:rsid w:val="00EB514F"/>
    <w:pPr>
      <w:keepNext/>
      <w:keepLines/>
      <w:spacing w:before="480" w:after="120"/>
      <w:jc w:val="left"/>
      <w:outlineLvl w:val="0"/>
    </w:pPr>
    <w:rPr>
      <w:rFonts w:eastAsia="Times New Roman"/>
      <w:b/>
      <w:kern w:val="0"/>
      <w:sz w:val="28"/>
      <w:szCs w:val="20"/>
      <w:lang w:val="hu-HU" w:eastAsia="fr-FR"/>
      <w14:ligatures w14:val="none"/>
    </w:rPr>
  </w:style>
  <w:style w:type="paragraph" w:customStyle="1" w:styleId="ATHeading2">
    <w:name w:val="AT Heading 2"/>
    <w:basedOn w:val="Normal"/>
    <w:next w:val="Normal"/>
    <w:rsid w:val="00EB514F"/>
    <w:pPr>
      <w:spacing w:before="120" w:after="120"/>
      <w:jc w:val="left"/>
      <w:outlineLvl w:val="1"/>
    </w:pPr>
    <w:rPr>
      <w:rFonts w:eastAsia="Times New Roman"/>
      <w:b/>
      <w:kern w:val="0"/>
      <w:sz w:val="28"/>
      <w:szCs w:val="20"/>
      <w:lang w:val="hu-HU" w:eastAsia="fr-FR"/>
      <w14:ligatures w14:val="none"/>
    </w:rPr>
  </w:style>
  <w:style w:type="paragraph" w:customStyle="1" w:styleId="ATHeading3">
    <w:name w:val="AT Heading 3"/>
    <w:basedOn w:val="Normal"/>
    <w:next w:val="Normal"/>
    <w:rsid w:val="00EB514F"/>
    <w:pPr>
      <w:keepNext/>
      <w:keepLines/>
      <w:spacing w:before="120" w:after="120"/>
      <w:jc w:val="left"/>
      <w:outlineLvl w:val="2"/>
    </w:pPr>
    <w:rPr>
      <w:rFonts w:eastAsia="Times New Roman"/>
      <w:b/>
      <w:kern w:val="0"/>
      <w:szCs w:val="20"/>
      <w:lang w:val="hu-HU" w:eastAsia="fr-FR"/>
      <w14:ligatures w14:val="none"/>
    </w:rPr>
  </w:style>
  <w:style w:type="paragraph" w:customStyle="1" w:styleId="EPName">
    <w:name w:val="EPName"/>
    <w:basedOn w:val="Normal"/>
    <w:rsid w:val="00EB514F"/>
    <w:pPr>
      <w:widowControl w:val="0"/>
      <w:spacing w:before="80" w:after="80"/>
      <w:jc w:val="left"/>
    </w:pPr>
    <w:rPr>
      <w:rFonts w:ascii="Arial Narrow" w:eastAsia="Times New Roman" w:hAnsi="Arial Narrow" w:cs="Arial"/>
      <w:b/>
      <w:kern w:val="0"/>
      <w:sz w:val="32"/>
      <w:szCs w:val="22"/>
      <w:lang w:val="hu-HU" w:eastAsia="en-GB"/>
      <w14:ligatures w14:val="none"/>
    </w:rPr>
  </w:style>
  <w:style w:type="paragraph" w:customStyle="1" w:styleId="EPTerm">
    <w:name w:val="EPTerm"/>
    <w:basedOn w:val="Normal"/>
    <w:next w:val="Normal"/>
    <w:rsid w:val="00EB514F"/>
    <w:pPr>
      <w:widowControl w:val="0"/>
      <w:spacing w:after="80"/>
      <w:jc w:val="left"/>
    </w:pPr>
    <w:rPr>
      <w:rFonts w:ascii="Arial" w:eastAsia="Times New Roman" w:hAnsi="Arial" w:cs="Arial"/>
      <w:kern w:val="0"/>
      <w:sz w:val="20"/>
      <w:szCs w:val="22"/>
      <w:lang w:val="hu-HU" w:eastAsia="en-GB"/>
      <w14:ligatures w14:val="none"/>
    </w:rPr>
  </w:style>
  <w:style w:type="paragraph" w:customStyle="1" w:styleId="EPLogo">
    <w:name w:val="EPLogo"/>
    <w:basedOn w:val="Normal"/>
    <w:qFormat/>
    <w:rsid w:val="00EB514F"/>
    <w:pPr>
      <w:widowControl w:val="0"/>
      <w:jc w:val="right"/>
    </w:pPr>
    <w:rPr>
      <w:rFonts w:eastAsia="Times New Roman"/>
      <w:kern w:val="0"/>
      <w:szCs w:val="20"/>
      <w:lang w:val="hu-HU" w:eastAsia="en-GB"/>
      <w14:ligatures w14:val="none"/>
    </w:rPr>
  </w:style>
  <w:style w:type="paragraph" w:customStyle="1" w:styleId="EPComma">
    <w:name w:val="EPComma"/>
    <w:basedOn w:val="Normal"/>
    <w:rsid w:val="00EB514F"/>
    <w:pPr>
      <w:widowControl w:val="0"/>
      <w:spacing w:before="480" w:after="240"/>
      <w:jc w:val="left"/>
    </w:pPr>
    <w:rPr>
      <w:rFonts w:eastAsia="Times New Roman"/>
      <w:kern w:val="0"/>
      <w:szCs w:val="20"/>
      <w:lang w:val="hu-HU"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163/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11" Type="http://schemas.openxmlformats.org/officeDocument/2006/relationships/hyperlink" Target="https://www.ombudsman.europa.eu/hu/multimedia/infographics/hu/142"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hu/doc/annual-report/hu/183636"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01/104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035db9-81f1-44b9-9204-15328c5aa6d6" xsi:nil="true"/>
    <lcf76f155ced4ddcb4097134ff3c332f xmlns="8e4974d0-974e-4e93-84c5-0723ea5633d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DEF4F1CC04494484F2AA3A5DDBB11E" ma:contentTypeVersion="14" ma:contentTypeDescription="Create a new document." ma:contentTypeScope="" ma:versionID="3cf59154db7538e7049ef7b0e11e2453">
  <xsd:schema xmlns:xsd="http://www.w3.org/2001/XMLSchema" xmlns:xs="http://www.w3.org/2001/XMLSchema" xmlns:p="http://schemas.microsoft.com/office/2006/metadata/properties" xmlns:ns2="8e4974d0-974e-4e93-84c5-0723ea5633db" xmlns:ns3="e5035db9-81f1-44b9-9204-15328c5aa6d6" targetNamespace="http://schemas.microsoft.com/office/2006/metadata/properties" ma:root="true" ma:fieldsID="567773ffca39f1598c17ee103a75b754" ns2:_="" ns3:_="">
    <xsd:import namespace="8e4974d0-974e-4e93-84c5-0723ea5633db"/>
    <xsd:import namespace="e5035db9-81f1-44b9-9204-15328c5aa6d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974d0-974e-4e93-84c5-0723ea563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8f03ee4-0c36-4230-a835-ae45e77fcb2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035db9-81f1-44b9-9204-15328c5aa6d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cdd310e-b345-4987-85f5-ff7b5a58912a}" ma:internalName="TaxCatchAll" ma:showField="CatchAllData" ma:web="e5035db9-81f1-44b9-9204-15328c5aa6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1C06A-047B-42E1-954E-45CE306E6721}">
  <ds:schemaRefs>
    <ds:schemaRef ds:uri="e5035db9-81f1-44b9-9204-15328c5aa6d6"/>
    <ds:schemaRef ds:uri="http://purl.org/dc/elements/1.1/"/>
    <ds:schemaRef ds:uri="http://schemas.openxmlformats.org/package/2006/metadata/core-properties"/>
    <ds:schemaRef ds:uri="http://www.w3.org/XML/1998/namespace"/>
    <ds:schemaRef ds:uri="http://purl.org/dc/terms/"/>
    <ds:schemaRef ds:uri="8e4974d0-974e-4e93-84c5-0723ea5633db"/>
    <ds:schemaRef ds:uri="http://schemas.microsoft.com/office/2006/documentManagement/types"/>
    <ds:schemaRef ds:uri="http://purl.org/dc/dcmitype/"/>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B74B6B29-3AA7-4046-9C72-FE11C8D98404}">
  <ds:schemaRefs>
    <ds:schemaRef ds:uri="http://schemas.microsoft.com/sharepoint/v3/contenttype/forms"/>
  </ds:schemaRefs>
</ds:datastoreItem>
</file>

<file path=customXml/itemProps3.xml><?xml version="1.0" encoding="utf-8"?>
<ds:datastoreItem xmlns:ds="http://schemas.openxmlformats.org/officeDocument/2006/customXml" ds:itemID="{416A1BC3-A46D-4F63-A03E-9411AE7999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974d0-974e-4e93-84c5-0723ea5633db"/>
    <ds:schemaRef ds:uri="e5035db9-81f1-44b9-9204-15328c5aa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8DE526-B2D8-4431-AF82-2989CD079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5755</Words>
  <Characters>32804</Characters>
  <Application>Microsoft Office Word</Application>
  <DocSecurity>0</DocSecurity>
  <Lines>273</Lines>
  <Paragraphs>76</Paragraphs>
  <ScaleCrop>false</ScaleCrop>
  <Company>European Parliament</Company>
  <LinksUpToDate>false</LinksUpToDate>
  <CharactersWithSpaces>38483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LEMCKE Lukas</dc:creator>
  <cp:keywords/>
  <dc:description/>
  <cp:lastModifiedBy>ILLY_D</cp:lastModifiedBy>
  <cp:revision>2</cp:revision>
  <dcterms:created xsi:type="dcterms:W3CDTF">2025-11-24T16:52:00Z</dcterms:created>
  <dcterms:modified xsi:type="dcterms:W3CDTF">2025-11-24T16:52:00Z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0x01010076DEF4F1CC04494484F2AA3A5DDBB11E</vt:lpwstr>
  </property>
</Properties>
</file>