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758" w14:paraId="2664CDC5" w14:textId="77777777" w:rsidTr="0010095E">
        <w:trPr>
          <w:trHeight w:hRule="exact" w:val="1418"/>
        </w:trPr>
        <w:tc>
          <w:tcPr>
            <w:tcW w:w="6804" w:type="dxa"/>
            <w:shd w:val="clear" w:color="auto" w:fill="auto"/>
            <w:vAlign w:val="center"/>
          </w:tcPr>
          <w:p w14:paraId="2F2CCFAE" w14:textId="77777777" w:rsidR="00751A4A" w:rsidRPr="00F30758" w:rsidRDefault="00A07EBB" w:rsidP="0010095E">
            <w:pPr>
              <w:pStyle w:val="EPName"/>
            </w:pPr>
            <w:r w:rsidRPr="00F30758">
              <w:t>Europos Parlamentas</w:t>
            </w:r>
          </w:p>
          <w:p w14:paraId="65281C27" w14:textId="77777777" w:rsidR="00751A4A" w:rsidRPr="00F30758" w:rsidRDefault="005F1B17" w:rsidP="005F1B17">
            <w:pPr>
              <w:pStyle w:val="EPTerm"/>
              <w:rPr>
                <w:rStyle w:val="HideTWBExt"/>
                <w:noProof w:val="0"/>
                <w:vanish w:val="0"/>
                <w:color w:val="auto"/>
              </w:rPr>
            </w:pPr>
            <w:r w:rsidRPr="00F30758">
              <w:t>2024</w:t>
            </w:r>
            <w:r w:rsidR="00817416" w:rsidRPr="00F30758">
              <w:t>-202</w:t>
            </w:r>
            <w:r w:rsidRPr="00F30758">
              <w:t>9</w:t>
            </w:r>
          </w:p>
        </w:tc>
        <w:tc>
          <w:tcPr>
            <w:tcW w:w="2268" w:type="dxa"/>
            <w:shd w:val="clear" w:color="auto" w:fill="auto"/>
          </w:tcPr>
          <w:p w14:paraId="4ECCEB1E" w14:textId="77777777" w:rsidR="00751A4A" w:rsidRPr="00F30758" w:rsidRDefault="00187494" w:rsidP="0010095E">
            <w:pPr>
              <w:pStyle w:val="EPLogo"/>
            </w:pPr>
            <w:r w:rsidRPr="00F30758">
              <w:rPr>
                <w:noProof/>
                <w:lang w:val="en-GB"/>
              </w:rPr>
              <w:drawing>
                <wp:inline distT="0" distB="0" distL="0" distR="0" wp14:anchorId="37C1F776" wp14:editId="273F45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36B950" w14:textId="77777777" w:rsidR="00D058B8" w:rsidRPr="00F30758" w:rsidRDefault="00D058B8" w:rsidP="004C5D52">
      <w:pPr>
        <w:pStyle w:val="LineTop"/>
      </w:pPr>
    </w:p>
    <w:p w14:paraId="426FF520" w14:textId="77777777" w:rsidR="00680577" w:rsidRPr="00F30758" w:rsidRDefault="00A07EBB" w:rsidP="00680577">
      <w:pPr>
        <w:pStyle w:val="EPBodyTA1"/>
      </w:pPr>
      <w:r w:rsidRPr="00F30758">
        <w:t>PRIIMTI TEKSTAI</w:t>
      </w:r>
    </w:p>
    <w:p w14:paraId="5C1B95E7" w14:textId="77777777" w:rsidR="00D058B8" w:rsidRPr="00F30758" w:rsidRDefault="00D058B8" w:rsidP="00D058B8">
      <w:pPr>
        <w:pStyle w:val="LineBottom"/>
      </w:pPr>
    </w:p>
    <w:p w14:paraId="2952B17C" w14:textId="77777777" w:rsidR="00A07EBB" w:rsidRPr="00F30758" w:rsidRDefault="00A07EBB" w:rsidP="00A07EBB">
      <w:pPr>
        <w:pStyle w:val="ATHeading1"/>
      </w:pPr>
      <w:bookmarkStart w:id="0" w:name="TANumber"/>
      <w:r w:rsidRPr="00F30758">
        <w:t>P10_TA(2025)00</w:t>
      </w:r>
      <w:r w:rsidR="00286547">
        <w:t>84</w:t>
      </w:r>
      <w:bookmarkEnd w:id="0"/>
    </w:p>
    <w:p w14:paraId="646FB178" w14:textId="77777777" w:rsidR="00A07EBB" w:rsidRPr="00F30758" w:rsidRDefault="00A07EBB" w:rsidP="00A07EBB">
      <w:pPr>
        <w:pStyle w:val="ATHeading2"/>
      </w:pPr>
      <w:bookmarkStart w:id="1" w:name="title"/>
      <w:r w:rsidRPr="00F30758">
        <w:t xml:space="preserve">2023 m. </w:t>
      </w:r>
      <w:r w:rsidR="00286547" w:rsidRPr="00286547">
        <w:t>biud</w:t>
      </w:r>
      <w:r w:rsidR="00286547" w:rsidRPr="00286547">
        <w:rPr>
          <w:rFonts w:hint="eastAsia"/>
        </w:rPr>
        <w:t>ž</w:t>
      </w:r>
      <w:r w:rsidR="00286547" w:rsidRPr="00286547">
        <w:t xml:space="preserve">eto </w:t>
      </w:r>
      <w:r w:rsidR="00286547" w:rsidRPr="00286547">
        <w:rPr>
          <w:rFonts w:hint="eastAsia"/>
        </w:rPr>
        <w:t>į</w:t>
      </w:r>
      <w:r w:rsidR="00286547" w:rsidRPr="00286547">
        <w:t>vykdymo patvirtinimas: ES bendrasis biud</w:t>
      </w:r>
      <w:r w:rsidR="00286547" w:rsidRPr="00286547">
        <w:rPr>
          <w:rFonts w:hint="eastAsia"/>
        </w:rPr>
        <w:t>ž</w:t>
      </w:r>
      <w:r w:rsidR="00286547" w:rsidRPr="00286547">
        <w:t xml:space="preserve">etas </w:t>
      </w:r>
      <w:r w:rsidR="00286547" w:rsidRPr="00286547">
        <w:rPr>
          <w:rFonts w:hint="eastAsia"/>
        </w:rPr>
        <w:t>–</w:t>
      </w:r>
      <w:r w:rsidR="00286547" w:rsidRPr="00286547">
        <w:t xml:space="preserve"> Europos ombudsmena</w:t>
      </w:r>
      <w:r w:rsidRPr="00F30758">
        <w:t>s</w:t>
      </w:r>
      <w:bookmarkEnd w:id="1"/>
    </w:p>
    <w:p w14:paraId="2BF8371D" w14:textId="77777777" w:rsidR="00A07EBB" w:rsidRPr="00F30758" w:rsidRDefault="00A07EBB" w:rsidP="00A07EBB">
      <w:pPr>
        <w:rPr>
          <w:i/>
          <w:vanish/>
        </w:rPr>
      </w:pPr>
      <w:r w:rsidRPr="00F30758">
        <w:rPr>
          <w:i/>
        </w:rPr>
        <w:fldChar w:fldCharType="begin"/>
      </w:r>
      <w:r w:rsidRPr="00F30758">
        <w:rPr>
          <w:i/>
        </w:rPr>
        <w:instrText xml:space="preserve"> TC"(</w:instrText>
      </w:r>
      <w:bookmarkStart w:id="2" w:name="DocNumber"/>
      <w:r w:rsidRPr="00F30758">
        <w:rPr>
          <w:i/>
        </w:rPr>
        <w:instrText>A10-0055/2025</w:instrText>
      </w:r>
      <w:bookmarkEnd w:id="2"/>
      <w:r w:rsidRPr="00F30758">
        <w:rPr>
          <w:i/>
        </w:rPr>
        <w:instrText xml:space="preserve"> - Pranešėjas: Joachim Stanisław Brudziński)"\l3 \n&gt; \* MERGEFORMAT </w:instrText>
      </w:r>
      <w:r w:rsidRPr="00F30758">
        <w:rPr>
          <w:i/>
        </w:rPr>
        <w:fldChar w:fldCharType="end"/>
      </w:r>
    </w:p>
    <w:p w14:paraId="6C672A4D" w14:textId="77777777" w:rsidR="00A07EBB" w:rsidRPr="00F30758" w:rsidRDefault="00A07EBB" w:rsidP="00A07EBB">
      <w:pPr>
        <w:rPr>
          <w:vanish/>
        </w:rPr>
      </w:pPr>
      <w:bookmarkStart w:id="3" w:name="Commission"/>
      <w:r w:rsidRPr="00F30758">
        <w:rPr>
          <w:vanish/>
        </w:rPr>
        <w:t>Biudžeto kontrolės komitetas</w:t>
      </w:r>
      <w:bookmarkEnd w:id="3"/>
    </w:p>
    <w:p w14:paraId="4CCEB2D9" w14:textId="77777777" w:rsidR="00A07EBB" w:rsidRPr="00F30758" w:rsidRDefault="00A07EBB" w:rsidP="00A07EBB">
      <w:pPr>
        <w:rPr>
          <w:vanish/>
        </w:rPr>
      </w:pPr>
      <w:bookmarkStart w:id="4" w:name="PE"/>
      <w:r w:rsidRPr="00F30758">
        <w:rPr>
          <w:vanish/>
        </w:rPr>
        <w:t>PE764.991</w:t>
      </w:r>
      <w:bookmarkEnd w:id="4"/>
    </w:p>
    <w:p w14:paraId="582BC364" w14:textId="361E9853" w:rsidR="00823EAD" w:rsidRPr="00823EAD" w:rsidRDefault="00823EAD" w:rsidP="00823EAD">
      <w:pPr>
        <w:pStyle w:val="ATHeading3"/>
      </w:pPr>
      <w:r w:rsidRPr="00823EAD">
        <w:t>1. 2025 m. gegužės 7 d. Europos Parlamento sprendimas dėl 2023 finansinių metų Europos Sąjungos bendrojo biudžeto įvykdymo patvirtinimo, VIII skirsnis – Europos ombudsmenas (2024/2027(DEC))</w:t>
      </w:r>
    </w:p>
    <w:p w14:paraId="21F3CA64" w14:textId="77777777" w:rsidR="00823EAD" w:rsidRPr="00823EAD" w:rsidRDefault="00823EAD" w:rsidP="00823EAD">
      <w:pPr>
        <w:spacing w:before="480" w:after="240"/>
        <w:rPr>
          <w:kern w:val="2"/>
          <w14:ligatures w14:val="standardContextual"/>
        </w:rPr>
      </w:pPr>
      <w:r w:rsidRPr="00823EAD">
        <w:rPr>
          <w:i/>
          <w:kern w:val="2"/>
          <w14:ligatures w14:val="standardContextual"/>
        </w:rPr>
        <w:t>Europos Parlamentas</w:t>
      </w:r>
      <w:r w:rsidRPr="00823EAD">
        <w:rPr>
          <w:kern w:val="2"/>
          <w14:ligatures w14:val="standardContextual"/>
        </w:rPr>
        <w:t>,</w:t>
      </w:r>
    </w:p>
    <w:p w14:paraId="20A829DC"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2023 finansinių metų Europos Sąjungos bendrąjį biudžetą</w:t>
      </w:r>
      <w:r w:rsidRPr="00823EAD">
        <w:rPr>
          <w:kern w:val="2"/>
          <w:vertAlign w:val="superscript"/>
          <w14:ligatures w14:val="standardContextual"/>
        </w:rPr>
        <w:footnoteReference w:id="1"/>
      </w:r>
      <w:r w:rsidRPr="00823EAD">
        <w:rPr>
          <w:kern w:val="2"/>
          <w14:ligatures w14:val="standardContextual"/>
        </w:rPr>
        <w:t>,</w:t>
      </w:r>
    </w:p>
    <w:p w14:paraId="6E5A93FE"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2023 finansinių metų Europos Sąjungos konsoliduotąsias metines ataskaitas (COM(2024)0272 – C10</w:t>
      </w:r>
      <w:r w:rsidRPr="00823EAD">
        <w:rPr>
          <w:kern w:val="2"/>
          <w14:ligatures w14:val="standardContextual"/>
        </w:rPr>
        <w:noBreakHyphen/>
        <w:t>0075/2024)</w:t>
      </w:r>
      <w:r w:rsidRPr="00823EAD">
        <w:rPr>
          <w:kern w:val="2"/>
          <w:vertAlign w:val="superscript"/>
          <w14:ligatures w14:val="standardContextual"/>
        </w:rPr>
        <w:footnoteReference w:id="2"/>
      </w:r>
      <w:r w:rsidRPr="00823EAD">
        <w:rPr>
          <w:kern w:val="2"/>
          <w14:ligatures w14:val="standardContextual"/>
        </w:rPr>
        <w:t>,</w:t>
      </w:r>
    </w:p>
    <w:p w14:paraId="23EC6485"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Europos ombudsmeno metinę 2023 m. atlikto vidaus audito ataskaitą biudžeto įvykdymą tvirtinančiai institucijai,</w:t>
      </w:r>
    </w:p>
    <w:p w14:paraId="3ED915DD"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Audito Rūmų 2023 finansinių metų metinę biudžeto vykdymo ataskaitą kartu su institucijų atsakymais</w:t>
      </w:r>
      <w:r w:rsidRPr="00823EAD">
        <w:rPr>
          <w:kern w:val="2"/>
          <w:vertAlign w:val="superscript"/>
          <w14:ligatures w14:val="standardContextual"/>
        </w:rPr>
        <w:footnoteReference w:id="3"/>
      </w:r>
      <w:r w:rsidRPr="00823EAD">
        <w:rPr>
          <w:kern w:val="2"/>
          <w14:ligatures w14:val="standardContextual"/>
        </w:rPr>
        <w:t>,</w:t>
      </w:r>
    </w:p>
    <w:p w14:paraId="2928871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823EAD">
        <w:rPr>
          <w:kern w:val="2"/>
          <w:vertAlign w:val="superscript"/>
          <w14:ligatures w14:val="standardContextual"/>
        </w:rPr>
        <w:footnoteReference w:id="4"/>
      </w:r>
      <w:r w:rsidRPr="00823EAD">
        <w:rPr>
          <w:kern w:val="2"/>
          <w14:ligatures w14:val="standardContextual"/>
        </w:rPr>
        <w:t>,</w:t>
      </w:r>
    </w:p>
    <w:p w14:paraId="12D27178"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Sutarties dėl Europos Sąjungos veikimo 314 straipsnio 10 dalį ir 317, 318 ir 319 straipsnius,</w:t>
      </w:r>
    </w:p>
    <w:p w14:paraId="2E57B75A"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 xml:space="preserve">atsižvelgdamas į 2018 m. liepos 18 d. Europos Parlamento ir Tarybos reglamentą (ES, Euratomas) 2018/1046 dėl Sąjungos bendrajam biudžetui taikomų finansinių taisyklių, kuriuo iš dalies keičiami reglamentai (ES) Nr. 1296/2013, (ES) Nr. 1301/2013, (ES) Nr. </w:t>
      </w:r>
      <w:r w:rsidRPr="00823EAD">
        <w:rPr>
          <w:kern w:val="2"/>
          <w14:ligatures w14:val="standardContextual"/>
        </w:rPr>
        <w:lastRenderedPageBreak/>
        <w:t>1303/2013, (ES) Nr. 1304/2013, (ES) Nr. 1309/2013, (ES) Nr. 1316/2013, (ES) Nr. 223/2014, (ES) Nr. 283/2014 ir Sprendimas Nr. 541/2014/ES, bei panaikinamas Reglamentas (ES, Euratomas) Nr. 966/2012</w:t>
      </w:r>
      <w:r w:rsidRPr="00823EAD">
        <w:rPr>
          <w:kern w:val="2"/>
          <w:vertAlign w:val="superscript"/>
          <w14:ligatures w14:val="standardContextual"/>
        </w:rPr>
        <w:footnoteReference w:id="5"/>
      </w:r>
      <w:r w:rsidRPr="00823EAD">
        <w:rPr>
          <w:kern w:val="2"/>
          <w14:ligatures w14:val="standardContextual"/>
        </w:rPr>
        <w:t>, ypač į jo 59, 118, 260, 261 ir 262 straipsnius,</w:t>
      </w:r>
    </w:p>
    <w:p w14:paraId="7621B85B"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2024 m. rugsėjo 23 d. Europos Parlamento ir Tarybos reglamentą (ES, Euratomas) 2024/2509 dėl Sąjungos bendrajam biudžetui taikomų finansinių taisyklių</w:t>
      </w:r>
      <w:r w:rsidRPr="00823EAD">
        <w:rPr>
          <w:bCs/>
          <w:kern w:val="2"/>
          <w:szCs w:val="24"/>
          <w:shd w:val="clear" w:color="auto" w:fill="FFFFFF"/>
          <w:vertAlign w:val="superscript"/>
          <w14:ligatures w14:val="standardContextual"/>
        </w:rPr>
        <w:footnoteReference w:id="6"/>
      </w:r>
      <w:r w:rsidRPr="00823EAD">
        <w:rPr>
          <w:kern w:val="2"/>
          <w14:ligatures w14:val="standardContextual"/>
        </w:rPr>
        <w:t>, ypač į jo 59, 118, 266, 267 ir 268 straipsnius,</w:t>
      </w:r>
    </w:p>
    <w:p w14:paraId="06AA71E6"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Darbo tvarkos taisyklių 102 straipsnį ir V priedą,</w:t>
      </w:r>
    </w:p>
    <w:p w14:paraId="53E03B54"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Biudžeto kontrolės komiteto pranešimą (A10</w:t>
      </w:r>
      <w:r w:rsidRPr="00823EAD">
        <w:rPr>
          <w:kern w:val="2"/>
          <w14:ligatures w14:val="standardContextual"/>
        </w:rPr>
        <w:noBreakHyphen/>
        <w:t>0055/2025),</w:t>
      </w:r>
    </w:p>
    <w:p w14:paraId="5C50D6E3"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w:t>
      </w:r>
      <w:r w:rsidRPr="00823EAD">
        <w:rPr>
          <w:kern w:val="2"/>
          <w14:ligatures w14:val="standardContextual"/>
        </w:rPr>
        <w:tab/>
        <w:t xml:space="preserve">patvirtina Europos </w:t>
      </w:r>
      <w:proofErr w:type="spellStart"/>
      <w:r w:rsidRPr="00823EAD">
        <w:rPr>
          <w:kern w:val="2"/>
          <w14:ligatures w14:val="standardContextual"/>
        </w:rPr>
        <w:t>ombudsmenei</w:t>
      </w:r>
      <w:proofErr w:type="spellEnd"/>
      <w:r w:rsidRPr="00823EAD">
        <w:rPr>
          <w:kern w:val="2"/>
          <w14:ligatures w14:val="standardContextual"/>
        </w:rPr>
        <w:t>, kad Europos ombudsmeno 2023 finansinių metų biudžetas įvykdytas;</w:t>
      </w:r>
    </w:p>
    <w:p w14:paraId="2450A659"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w:t>
      </w:r>
      <w:r w:rsidRPr="00823EAD">
        <w:rPr>
          <w:kern w:val="2"/>
          <w14:ligatures w14:val="standardContextual"/>
        </w:rPr>
        <w:tab/>
        <w:t>išdėsto savo pastabas toliau pateikiamoje rezoliucijoje;</w:t>
      </w:r>
    </w:p>
    <w:p w14:paraId="450A5CAE"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w:t>
      </w:r>
      <w:r w:rsidRPr="00823EAD">
        <w:rPr>
          <w:kern w:val="2"/>
          <w14:ligatures w14:val="standardContextual"/>
        </w:rPr>
        <w:tab/>
        <w:t xml:space="preserve">paveda Pirmininkei perduoti šį sprendimą ir rezoliuciją, kuri yra neatskiriama jo dalis, Europos </w:t>
      </w:r>
      <w:proofErr w:type="spellStart"/>
      <w:r w:rsidRPr="00823EAD">
        <w:rPr>
          <w:kern w:val="2"/>
          <w14:ligatures w14:val="standardContextual"/>
        </w:rPr>
        <w:t>ombudsmenei</w:t>
      </w:r>
      <w:proofErr w:type="spellEnd"/>
      <w:r w:rsidRPr="00823EAD">
        <w:rPr>
          <w:kern w:val="2"/>
          <w14:ligatures w14:val="standardContextual"/>
        </w:rPr>
        <w:t>, Europos Vadovų Tarybai, Tarybai, Komisijai, Europos Sąjungos Teisingumo Teismui, Audito Rūmams, Europos duomenų apsaugos priežiūros pareigūnui ir Europos išorės veiksmų tarnybai bei pasirūpinti, kad jie būtų paskelbti</w:t>
      </w:r>
      <w:r w:rsidRPr="00823EAD">
        <w:rPr>
          <w:i/>
          <w:kern w:val="2"/>
          <w14:ligatures w14:val="standardContextual"/>
        </w:rPr>
        <w:t xml:space="preserve"> Europos Sąjungos oficialiajame leidinyje</w:t>
      </w:r>
      <w:r w:rsidRPr="00823EAD">
        <w:rPr>
          <w:kern w:val="2"/>
          <w14:ligatures w14:val="standardContextual"/>
        </w:rPr>
        <w:t xml:space="preserve"> (L serijoje).</w:t>
      </w:r>
    </w:p>
    <w:p w14:paraId="39924977" w14:textId="77777777" w:rsidR="00823EAD" w:rsidRPr="00823EAD" w:rsidRDefault="00823EAD" w:rsidP="00823EAD">
      <w:pPr>
        <w:widowControl/>
        <w:rPr>
          <w:rFonts w:eastAsia="Aptos"/>
          <w:kern w:val="2"/>
          <w:szCs w:val="24"/>
          <w:lang w:eastAsia="en-US"/>
          <w14:ligatures w14:val="standardContextual"/>
        </w:rPr>
        <w:sectPr w:rsidR="00823EAD" w:rsidRPr="00823EAD" w:rsidSect="00823EAD">
          <w:footnotePr>
            <w:numRestart w:val="eachSect"/>
          </w:footnotePr>
          <w:pgSz w:w="11906" w:h="16838"/>
          <w:pgMar w:top="1440" w:right="1440" w:bottom="1440" w:left="1440" w:header="708" w:footer="708" w:gutter="0"/>
          <w:cols w:space="708"/>
          <w:docGrid w:linePitch="360"/>
        </w:sectPr>
      </w:pPr>
    </w:p>
    <w:p w14:paraId="3C19344B" w14:textId="77777777" w:rsidR="00823EAD" w:rsidRPr="00823EAD" w:rsidRDefault="00823EAD" w:rsidP="00823EAD">
      <w:pPr>
        <w:pStyle w:val="ATHeading3"/>
      </w:pPr>
      <w:r w:rsidRPr="00823EAD">
        <w:lastRenderedPageBreak/>
        <w:t>2. 2025 m. gegužės 7 d. Europos Parlamento rezoliucija su pastabomis, sudarančiomis neatskiriamą sprendimo dėl 2023 finansinių metų Europos Sąjungos bendrojo biudžeto įvykdymo patvirtinimo, VIII skirsnis – Europos ombudsmenas, dalį (2024/2027(DEC))</w:t>
      </w:r>
    </w:p>
    <w:p w14:paraId="2DF807D3" w14:textId="77777777" w:rsidR="00823EAD" w:rsidRPr="00823EAD" w:rsidRDefault="00823EAD" w:rsidP="00823EAD">
      <w:pPr>
        <w:spacing w:before="480" w:after="240"/>
        <w:rPr>
          <w:kern w:val="2"/>
          <w14:ligatures w14:val="standardContextual"/>
        </w:rPr>
      </w:pPr>
      <w:r w:rsidRPr="00823EAD">
        <w:rPr>
          <w:i/>
          <w:kern w:val="2"/>
          <w14:ligatures w14:val="standardContextual"/>
        </w:rPr>
        <w:t>Europos Parlamentas</w:t>
      </w:r>
      <w:r w:rsidRPr="00823EAD">
        <w:rPr>
          <w:kern w:val="2"/>
          <w14:ligatures w14:val="standardContextual"/>
        </w:rPr>
        <w:t>,</w:t>
      </w:r>
    </w:p>
    <w:p w14:paraId="1F50F6AE" w14:textId="382B2876" w:rsidR="00823EAD" w:rsidRPr="00823EAD" w:rsidRDefault="00823EAD" w:rsidP="00823EAD">
      <w:pPr>
        <w:spacing w:before="240"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savo sprendimą dėl 2023 finansinių metų Europos Sąjungos bendrojo biudžeto įvykdymo patvirtinimo, VIII skirsnis – Europos ombudsmenas,</w:t>
      </w:r>
    </w:p>
    <w:p w14:paraId="00144090" w14:textId="48EB832E"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Darbo tvarkos taisyklių 102 straipsnį ir V priedą,</w:t>
      </w:r>
    </w:p>
    <w:p w14:paraId="23FD9581" w14:textId="3D483237" w:rsidR="00823EAD" w:rsidRPr="00823EAD" w:rsidRDefault="00823EAD" w:rsidP="00823EAD">
      <w:pPr>
        <w:spacing w:after="240"/>
        <w:ind w:left="567" w:hanging="567"/>
        <w:rPr>
          <w:kern w:val="2"/>
          <w14:ligatures w14:val="standardContextual"/>
        </w:rPr>
      </w:pPr>
      <w:r w:rsidRPr="00823EAD">
        <w:rPr>
          <w:kern w:val="2"/>
          <w14:ligatures w14:val="standardContextual"/>
        </w:rPr>
        <w:t>–</w:t>
      </w:r>
      <w:r w:rsidRPr="00823EAD">
        <w:rPr>
          <w:kern w:val="2"/>
          <w14:ligatures w14:val="standardContextual"/>
        </w:rPr>
        <w:tab/>
        <w:t>atsižvelgdamas į Biudžeto kontrolės komiteto pranešimą (A10–0055/2025),</w:t>
      </w:r>
    </w:p>
    <w:p w14:paraId="525D2A63"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A.</w:t>
      </w:r>
      <w:r w:rsidRPr="00823EAD">
        <w:rPr>
          <w:kern w:val="2"/>
          <w14:ligatures w14:val="standardContextual"/>
        </w:rPr>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14:paraId="5B300C1A"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B.</w:t>
      </w:r>
      <w:r w:rsidRPr="00823EAD">
        <w:rPr>
          <w:kern w:val="2"/>
          <w14:ligatures w14:val="standardContextual"/>
        </w:rPr>
        <w:tab/>
        <w:t>kadangi Sutarties dėl Europos Sąjungos veikimo 228 straipsnyje numatyta, kad Europos ombudsmenas (toliau – Ombudsmenas), kurį renka Europos Parlamentas, turi įgaliojimus priimti bet kurio Sąjungos piliečio arba bet kurio fizinio ar juridinio asmens, gyvenančio ar turinčio registruotą buveinę valstybėje narėje, skundus dėl netinkamo administravimo atvejų Sąjungos institucijų, įstaigų ar organų veikloje, išskyrus Europos Sąjungos Teisingumo Teismą, kai jis vykdo teismines funkcijas, šiuos skundus nagrinėti ir apie juos pranešti;</w:t>
      </w:r>
    </w:p>
    <w:p w14:paraId="5D4D301D"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C.</w:t>
      </w:r>
      <w:r w:rsidRPr="00823EAD">
        <w:rPr>
          <w:kern w:val="2"/>
          <w14:ligatures w14:val="standardContextual"/>
        </w:rPr>
        <w:tab/>
        <w:t>kadangi Europos Parlamento reglamentu (ES, Euratomas) 2021/1163 </w:t>
      </w:r>
      <w:r w:rsidRPr="00823EAD">
        <w:rPr>
          <w:kern w:val="2"/>
          <w:vertAlign w:val="superscript"/>
          <w14:ligatures w14:val="standardContextual"/>
        </w:rPr>
        <w:footnoteReference w:id="7"/>
      </w:r>
      <w:r w:rsidRPr="00823EAD">
        <w:rPr>
          <w:kern w:val="2"/>
          <w14:ligatures w14:val="standardContextual"/>
        </w:rPr>
        <w:t xml:space="preserve"> nustatomos ombudsmeno pareigų atlikimą reglamentuojančios nuostatos ir bendrosios sąlygos (Europos ombudsmeno statutas),</w:t>
      </w:r>
    </w:p>
    <w:p w14:paraId="753BAD3C"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D.</w:t>
      </w:r>
      <w:r w:rsidRPr="00823EAD">
        <w:rPr>
          <w:kern w:val="2"/>
          <w14:ligatures w14:val="standardContextual"/>
        </w:rPr>
        <w:tab/>
        <w:t xml:space="preserve">kadangi, </w:t>
      </w:r>
      <w:r w:rsidRPr="00823EAD">
        <w:rPr>
          <w:kern w:val="2"/>
          <w:shd w:val="clear" w:color="auto" w:fill="FFFFFF"/>
          <w14:ligatures w14:val="standardContextual"/>
        </w:rPr>
        <w:t>priėmus Reglamentą (ES, Euratomas) 2021/1163,</w:t>
      </w:r>
      <w:r w:rsidRPr="00823EAD">
        <w:rPr>
          <w:kern w:val="2"/>
          <w14:ligatures w14:val="standardContextual"/>
        </w:rPr>
        <w:t xml:space="preserve"> 2023 m. birželio 21 d. Ombudsmenas priėmė peržiūrėtas jo įgyvendinimo nuostatas </w:t>
      </w:r>
      <w:r w:rsidRPr="00823EAD">
        <w:rPr>
          <w:kern w:val="2"/>
          <w:vertAlign w:val="superscript"/>
          <w14:ligatures w14:val="standardContextual"/>
        </w:rPr>
        <w:footnoteReference w:id="8"/>
      </w:r>
      <w:r w:rsidRPr="00823EAD">
        <w:rPr>
          <w:kern w:val="2"/>
          <w14:ligatures w14:val="standardContextual"/>
        </w:rPr>
        <w:t>;</w:t>
      </w:r>
    </w:p>
    <w:p w14:paraId="0D71DBCC"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w:t>
      </w:r>
      <w:r w:rsidRPr="00823EAD">
        <w:rPr>
          <w:kern w:val="2"/>
          <w14:ligatures w14:val="standardContextual"/>
        </w:rPr>
        <w:tab/>
        <w:t>pažymi, kad Ombudsmeno biudžetas patenka į DFP 7 išlaidų kategoriją „Europos viešasis administravimas“, kurią 2023 m. iš viso sudarė 12,3 mlrd. EUR, t. y. 6,4 % Sąjungos biudžeto išlaidų; pažymi, kad Ombudsmeno biudžetas sudarė 0,11 % DFP 7 išlaidų kategorijos asignavimų;</w:t>
      </w:r>
    </w:p>
    <w:p w14:paraId="6409E478"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w:t>
      </w:r>
      <w:r w:rsidRPr="00823EAD">
        <w:rPr>
          <w:kern w:val="2"/>
          <w14:ligatures w14:val="standardContextual"/>
        </w:rPr>
        <w:tab/>
        <w:t xml:space="preserve">pažymi, kad Audito Rūmai savo 2023 finansinių metų metinėje ataskaitoje (toliau – Audito Rūmų ataskaita) išanalizavo 70 operacijų pagal išlaidų kategoriją „Europos viešasis administravimas“ imtį ir nustatė, kad vykdant 21 operaciją (30 %) buvo padaryta klaidų; taip pat pažymi, kad Audito Rūmai, kiekybiškai įvertinę šias klaidas, penkių klaidų atveju konstatavo, kad klaidų lygis nesiekia reikšmingumo ribos; </w:t>
      </w:r>
      <w:r w:rsidRPr="00823EAD">
        <w:rPr>
          <w:kern w:val="2"/>
          <w14:ligatures w14:val="standardContextual"/>
        </w:rPr>
        <w:lastRenderedPageBreak/>
        <w:t>remdamasis Audito Rūmų ataskaita su džiaugsmu pažymi, kad 2023 finansiniais metais Audito Rūmai nenustatė jokių svarbių problemų, susijusių su Ombudsmenu;</w:t>
      </w:r>
    </w:p>
    <w:p w14:paraId="6A8EB4BF"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w:t>
      </w:r>
      <w:r w:rsidRPr="00823EAD">
        <w:rPr>
          <w:kern w:val="2"/>
          <w14:ligatures w14:val="standardContextual"/>
        </w:rPr>
        <w:tab/>
        <w:t>remdamasis Audito Rūmų ataskaitoje pateikta pastaba pažymi, kad administracinės išlaidos – tai išlaidos žmogiškiesiems ištekliams, įskaitant pensijas, kurios 2023 m. sudarė apie 70 % bendros administracinių išlaidų sumos, ir išlaidos pastatams, įrangai, energijai, komunikacijoms ir informacinėms technologijoms; palankiai vertina tai, kad Audito Rūmai, kaip ir ankstesniais metais, padarė išvadą, kad apskritai administracinės išlaidos yra mažos rizikos;</w:t>
      </w:r>
    </w:p>
    <w:p w14:paraId="7FB8E577" w14:textId="77777777" w:rsidR="00823EAD" w:rsidRPr="00823EAD" w:rsidRDefault="00823EAD" w:rsidP="00823EAD">
      <w:pPr>
        <w:spacing w:after="240"/>
        <w:rPr>
          <w:b/>
          <w:i/>
          <w:kern w:val="2"/>
          <w14:ligatures w14:val="standardContextual"/>
        </w:rPr>
      </w:pPr>
      <w:r w:rsidRPr="00823EAD">
        <w:rPr>
          <w:b/>
          <w:i/>
          <w:kern w:val="2"/>
          <w14:ligatures w14:val="standardContextual"/>
        </w:rPr>
        <w:t>Biudžeto ir finansų valdymas</w:t>
      </w:r>
    </w:p>
    <w:p w14:paraId="7347FD83"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w:t>
      </w:r>
      <w:r w:rsidRPr="00823EAD">
        <w:rPr>
          <w:kern w:val="2"/>
          <w14:ligatures w14:val="standardContextual"/>
        </w:rPr>
        <w:tab/>
        <w:t>pažymi, kad 2023 m. Ombudsmeno biudžetas siekė 13 212 447 EUR, t. y. buvo 990 339 EUR (t. y. 8,1 % didesnis), palyginti su 2022 m.; remdamasis Ombudsmeno atsakymais į Biudžeto kontrolės komiteto pateiktą klausimyną dėl 2023 m. biudžeto įvykdymo patvirtinimo (toliau – klausimynas), pažymi, kad šis padidėjimas daugiausia susijęs su atlyginimų koregavimu ir dviem papildomais etatais, kurių reikėjo siekiant sustiprinti pagrindinę Ombudsmeno veiklą;</w:t>
      </w:r>
    </w:p>
    <w:p w14:paraId="2BD59163"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5.</w:t>
      </w:r>
      <w:r w:rsidRPr="00823EAD">
        <w:rPr>
          <w:kern w:val="2"/>
          <w14:ligatures w14:val="standardContextual"/>
        </w:rPr>
        <w:tab/>
        <w:t>pažymi, kad dėl 2023 finansiniais metais vykdytos biudžeto stebėsenos veiklos biudžeto įvykdymo lygis siekė 95,39 %, t. y. buvo 1,58 % mažesnis nei 2022 m.; pažymi, kad einamųjų metų mokėjimų asignavimų panaudojimo lygis buvo 97,58 %, t. y. 1,31 % didesnis, palyginti su 2022 m., todėl automatiniai perkėlimai sumažėjo nuo 3,73 % (arba 442 209 EUR) 2022 m. iki 2,42 % (arba 304 550 EUR) 2023 m.; vis dėlto apgailestauja dėl žemesnio iš ankstesnių metų automatiškai perkeltų asignavimų įvykdymo lygio, kuris 2023 m. buvo 73,27 %, palyginti su 92,59 % 2022 m.; ragina gerinti padėtį šioje srityje;</w:t>
      </w:r>
    </w:p>
    <w:p w14:paraId="3B37541D"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6.</w:t>
      </w:r>
      <w:r w:rsidRPr="00823EAD">
        <w:rPr>
          <w:kern w:val="2"/>
          <w14:ligatures w14:val="standardContextual"/>
        </w:rPr>
        <w:tab/>
        <w:t>pažymi, kad 2023 m. Ombudsmenas atliko 9 biudžeto perkėlimus pagal Finansinio reglamento 29 straipsnį, o tai iš viso sudaro 241 150 EUR arba 1,8 % tų finansinių metų asignavimų, palyginti su 2,8 % 2022 m.; pažymi, kad šie perkėlimai buvo reikalingi siekiant padidinti įvairių biudžeto eilučių, pvz., susijusių su baldais, saugumo ir stebėjimo pastatais, archyvų ar informatikos skaitmeninimu, sumas; atsižvelgdamas į tai pažymi, kad IT išlaidos padidėjo 41 % nuo 159 714 EUR 2022 m. iki 224 698 EUR 2023 m.;</w:t>
      </w:r>
    </w:p>
    <w:p w14:paraId="54A2AB82"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7.</w:t>
      </w:r>
      <w:r w:rsidRPr="00823EAD">
        <w:rPr>
          <w:kern w:val="2"/>
          <w14:ligatures w14:val="standardContextual"/>
        </w:rPr>
        <w:tab/>
        <w:t>pažymi, kad trečius metus iš eilės toliau ilgėja vidutinis mokėjimų vykdymo laikas; pripažįsta, kad, nepaisant to, jog mokėjimų laikas pailgėjo nuo 11,35 dienų 2021 m. iki 13,50 dienų 2023 m., vidutinis mokėjimų laikas tebėra palyginti trumpas ir trumpesnis už teisės aktais nustatytą ilgiausią mokėjimo laiką (30 dienų); atsižvelgdamas į tai, palankiai vertina tai, kad tuo tarpu Ombudsmenas visiškai įgyvendino elektroninių sąskaitų faktūrų sistemą, kuri nuo 2024 m. turėtų dar labiau padidinti mokėjimo proceso veiksmingumą;</w:t>
      </w:r>
    </w:p>
    <w:p w14:paraId="7F9A854C"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8.</w:t>
      </w:r>
      <w:r w:rsidRPr="00823EAD">
        <w:rPr>
          <w:kern w:val="2"/>
          <w14:ligatures w14:val="standardContextual"/>
        </w:rPr>
        <w:tab/>
        <w:t>pažymi, kad 2023 m. Europos Parlamentas Ombudsmenui reikšmingai nepadidino jokių nuomos ir vienkartinės sumos pastatų mokesčių, todėl Ombudsmenas galėjo sumažinti savo nuomai skirtą biudžeto eilutę 8,06 %, kad 2023 m. būtų galima padidinti kitas biudžeto eilutes; vis dėlto atkreipia dėmesį į tai, kad Ombudsmenas mano, jog su pastatais susijusios išlaidos 2024 m. padidės 170 % (arba 122 260 EUR);</w:t>
      </w:r>
    </w:p>
    <w:p w14:paraId="65F8A41A"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9.</w:t>
      </w:r>
      <w:r w:rsidRPr="00823EAD">
        <w:rPr>
          <w:kern w:val="2"/>
          <w14:ligatures w14:val="standardContextual"/>
        </w:rPr>
        <w:tab/>
        <w:t xml:space="preserve">palankiai vertina tai, kad darbuotojų komandiruočių biudžetas sumažėjo nuo 120 000 </w:t>
      </w:r>
      <w:r w:rsidRPr="00823EAD">
        <w:rPr>
          <w:kern w:val="2"/>
          <w14:ligatures w14:val="standardContextual"/>
        </w:rPr>
        <w:lastRenderedPageBreak/>
        <w:t>EUR 2022 m. iki 100 000 EUR 2023 m., nes abiejose darbo vietose plačiai naudojamasi vaizdo konferencijų įranga; atsižvelgdamas į tai, palankiai vertina tai, kad Ombudsmenas ketvirtus metus iš eilės sumažino savo darbuotojų komandiruočių biudžetą; pažymi, kad Ombudsmeno komandiruočių ir kelionių biudžetas 2023 m. išliko toks pats kaip ir ankstesniais metais (2021 ir 2022 m.), t. y. 35 000 EUR;</w:t>
      </w:r>
    </w:p>
    <w:p w14:paraId="0EBC5E14" w14:textId="77777777" w:rsidR="00823EAD" w:rsidRPr="00823EAD" w:rsidRDefault="00823EAD" w:rsidP="00823EAD">
      <w:pPr>
        <w:spacing w:after="240"/>
        <w:rPr>
          <w:b/>
          <w:i/>
          <w:kern w:val="2"/>
          <w14:ligatures w14:val="standardContextual"/>
        </w:rPr>
      </w:pPr>
      <w:r w:rsidRPr="00823EAD">
        <w:rPr>
          <w:b/>
          <w:i/>
          <w:kern w:val="2"/>
          <w14:ligatures w14:val="standardContextual"/>
        </w:rPr>
        <w:t>Vidaus valdymas, veiklos rezultatai ir vidaus kontrolė</w:t>
      </w:r>
    </w:p>
    <w:p w14:paraId="6B71D69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10.</w:t>
      </w:r>
      <w:r w:rsidRPr="00823EAD">
        <w:rPr>
          <w:kern w:val="2"/>
          <w14:ligatures w14:val="standardContextual"/>
        </w:rPr>
        <w:tab/>
        <w:t>pažymi, kad Ombudsmenas aukšto lygio strategijos „2024 m. link“ tikslus susiejo su devyniais pagrindiniais veiklos rezultatų rodikliais (PVRR), kuriuos sudaro 19 komponentų, kaip nustatyta Ombudsmeno 2023 m. metiniame valdymo plane; pažymi, kad 2023 m. 14 iš šių PVRR komponentų buvo pasiekti arba viršyti;</w:t>
      </w:r>
    </w:p>
    <w:p w14:paraId="09416673"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11.</w:t>
      </w:r>
      <w:r w:rsidRPr="00823EAD">
        <w:rPr>
          <w:kern w:val="2"/>
          <w14:ligatures w14:val="standardContextual"/>
        </w:rPr>
        <w:tab/>
        <w:t xml:space="preserve">atkreipia dėmesį į bendrą Ombudsmeno darbo krūvio padidėjimą, palyginti su ankstesniais metais, kadangi 2023 m. Ombudsmenas išnagrinėjo 2392 naujus skundus (2022 m. – 2223), pradėjo 398 tyrimus (2022 m. – 348), įskaitant 56 viešosios svarbos tyrimus (2022 m. – 60), baigė 372 tyrimus (2022 m. – 330) ir nagrinėjo rekordinį skundų dėl galimybės visuomenei susipažinti su dokumentais skaičių, kuris padidėjo nuo 117 skundų 2022 m. iki rekordiškai didelio skaičiaus – 167 skundų 2023 m., 118 iš jų buvo išnagrinėti atlikus tyrimus; atsižvelgdamas į tai, giria Ombudsmeną už tai, kad 2023 m. buvo padidintas veiksmingumas siekiant sumažinti skundų skaičių, nes buvo supaprastintas </w:t>
      </w:r>
      <w:proofErr w:type="spellStart"/>
      <w:r w:rsidRPr="00823EAD">
        <w:rPr>
          <w:kern w:val="2"/>
          <w14:ligatures w14:val="standardContextual"/>
        </w:rPr>
        <w:t>neatsakymo</w:t>
      </w:r>
      <w:proofErr w:type="spellEnd"/>
      <w:r w:rsidRPr="00823EAD">
        <w:rPr>
          <w:kern w:val="2"/>
          <w14:ligatures w14:val="standardContextual"/>
        </w:rPr>
        <w:t xml:space="preserve"> atvejų nagrinėjimas ir supaprastintas kompetencijai nepriklausančių skundų ir prašymų pateikti informaciją nagrinėjimas; ragina Ombudsmeną dirbti siekiant užtikrinti tikslingesnę komunikaciją, kad šis klausimas būtų sprendžiamas ateityje; palankiai vertina jo pastangas ateinančiais metais tęsti racionalizavimą ir procesų supaprastinimą;</w:t>
      </w:r>
    </w:p>
    <w:p w14:paraId="2D04014D"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12.</w:t>
      </w:r>
      <w:r w:rsidRPr="00823EAD">
        <w:rPr>
          <w:kern w:val="2"/>
          <w14:ligatures w14:val="standardContextual"/>
        </w:rPr>
        <w:tab/>
        <w:t>giria Ombudsmeną už tai, kad jis sutrumpino laiką, kurio reikia dokumentams tvarkyti įvairiais procedūros lygmenimis, pvz., laiką priimtinumui nustatyti (nuo 16 dienų 2022 m. iki 11 dienų 2023 m.) arba vidutinį laiką, kurio reikia byloms, susijusioms su galimybe visuomenei susipažinti su dokumentais, užbaigti (nuo 46 dienų 2022 m. iki 42 dienų 2023 m.); vis dėlto apgailestauja, kad vidutinis tyrimo atlikimo laikas (165 dienos) 2023 m. išliko ilgas; tačiau supranta Ombudsmeno paaiškinimą, kad šiam vidurkiui poveikį padarė tai, kad dėl pakartotinio keitimosi informacija su atitinkamomis institucijomis buvo vėluojama užbaigti tyrimus;</w:t>
      </w:r>
    </w:p>
    <w:p w14:paraId="0DB2B14E"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13.</w:t>
      </w:r>
      <w:r w:rsidRPr="00823EAD">
        <w:rPr>
          <w:kern w:val="2"/>
          <w14:ligatures w14:val="standardContextual"/>
        </w:rPr>
        <w:tab/>
        <w:t>taip pat atkreipia dėmesį į pažangą, susijusią su teigiamais Sąjungos institucijų atsakymais į Ombudsmeno pasiūlymus pagerinti jų administravimą: bendras pritarimo lygis 2023 m. siekė 81 % (palyginti su 79 % 2022 m.); prašo Ombudsmeno toliau dirbti siekiant užtikrinti, kad būtų geriau laikomasi jo išvadų, rekomendacijų ir pasiūlymų;</w:t>
      </w:r>
    </w:p>
    <w:p w14:paraId="1B48B802"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14.</w:t>
      </w:r>
      <w:r w:rsidRPr="00823EAD">
        <w:rPr>
          <w:kern w:val="2"/>
          <w14:ligatures w14:val="standardContextual"/>
        </w:rPr>
        <w:tab/>
        <w:t>pripažįsta Ombudsmeno pastangas 2023 m. didinti informuotumą ir supratimą apie Ombudsmeno įgaliojimus; šiuo klausimu su pasitenkinimu atkreipia dėmesį į tai, kad skundų, patenkančių į įgaliojimų aprėptį, skaičius padidėjo 20 %: nuo 740 skundų 2022 m. iki 885 skundų 2023 m., taip pat į tai, kad šios rūšies skundų dalis padidėjo nuo 33 % 2022 m. iki 37 % 2023 m.;</w:t>
      </w:r>
    </w:p>
    <w:p w14:paraId="4FC7E0D2"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15.</w:t>
      </w:r>
      <w:r w:rsidRPr="00823EAD">
        <w:rPr>
          <w:kern w:val="2"/>
          <w14:ligatures w14:val="standardContextual"/>
        </w:rPr>
        <w:tab/>
        <w:t xml:space="preserve">pripažįsta Ombudsmeno pastangas ir teigiamą poveikį etikos, skaidrumo ir atskaitomybės srityse 2023 m., ypač dėl tyrimų dėl galimybės visuomenei susipažinti su dokumentais ir interesų konfliktų, susijusių su įvairiomis Sąjungos institucijomis, agentūromis ar Europos investicijų banku; teigiamai vertina 2023 m. rugsėjo mėn. </w:t>
      </w:r>
      <w:r w:rsidRPr="00823EAD">
        <w:rPr>
          <w:kern w:val="2"/>
          <w14:ligatures w14:val="standardContextual"/>
        </w:rPr>
        <w:lastRenderedPageBreak/>
        <w:t>Ombudsmeno paskelbtą specialųjį pranešimą dėl Komisijos vėlavimo nagrinėjant prašymus leisti susipažinti su dokumentais;</w:t>
      </w:r>
    </w:p>
    <w:p w14:paraId="4208A5B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16.</w:t>
      </w:r>
      <w:r w:rsidRPr="00823EAD">
        <w:rPr>
          <w:kern w:val="2"/>
          <w14:ligatures w14:val="standardContextual"/>
        </w:rPr>
        <w:tab/>
        <w:t>remdamasis Ombudsmeno pranešimu biudžeto įvykdymą tvirtinančiai institucijai „Pranešimas dėl tolesnių veiksmų, susijusių su 2022 finansinių metų biudžeto įvykdymo patvirtinimu“, atkreipia dėmesį į problemas, pastebėtas Ekonomikos gaivinimo ir atsparumo didinimo priemonės (EGADP) srityje, t. y. į didelius vėlavimus, su kuriais susidūrė Europos Komisija atsakydama į prašymus leisti susipažinti su informacija, visų pirma į tai, kad valstybės narės pavėluotai paskelbė didžiausius EGADP paramos gavėjus, o tai mažina skaidrumą, taip pat į argumentus, kuriais remdamasi Komisija kai kuriais atvejais nustatė visuomenės galimybės susipažinti su dokumentais suteikimo lygį; reiškia susirūpinimą dėl Komisijos sprendimo pritarti ne visiems Ombudsmeno šiuo klausimu pateiktiems pasiūlymams ir sprendimams ir primena gerosios praktikos principų, parengtų bendradarbiaujant su EBPO, svarbą Vyriausybės veiklos skaidrumui naudojant ekonomikos gaivinimo lėšas; apgailestauja, kad nacionaliniu lygmeniu tebėra didelių skirtumų, susijusių su informacijos apie galutinius gavėjus savalaikiškumu ir išsamumu; ragina Komisiją, vykdant nuolatines stebėsenos ir kontrolės funkcijas, dėti daugiau pastangų, kad šie trūkumai būtų pašalinti; pabrėžia nuoseklių ir išsamių ataskaitų teikimo visose valstybėse narėse svarbą siekiant užtikrinti skaidrumą ir atskaitomybę; ragina Ombudsmeną toliau stebėti Komisijos pastangas užtikrinti EGADP skaidrumą ir veiksmingą priežiūrą; be to, ragina Ombudsmeną toliau informuoti biudžeto valdymo instituciją apie sunkumus, su kuriais susidurta darbe taikant skaidrumo ir atskaitomybės principus EGADP;</w:t>
      </w:r>
    </w:p>
    <w:p w14:paraId="60C94320"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17.</w:t>
      </w:r>
      <w:r w:rsidRPr="00823EAD">
        <w:rPr>
          <w:kern w:val="2"/>
          <w14:ligatures w14:val="standardContextual"/>
        </w:rPr>
        <w:tab/>
        <w:t>atkreipia dėmesį į tai, kad 2023 m., atlikęs tyrimą savo iniciatyva, iš kurio paaiškėjo, kad kai asmenys prašo peržiūrėti sprendimą susipažinti su dokumentais (vadinamą kartotine paraiška), Komisija 85 % atveju nesilaiko teisės aktuose nustatytų terminų, Ombudsmenas primygtinai paragino Europos Komisiją nedelsiant spręsti sisteminio vėlavimo tvarkant prašymus susipažinti su dokumentais klausimą; ragina greitai įgyvendinti Ombudsmeno skubią rekomendaciją dėl išsamaus pakartotinio vertinimo, siekiant užtikrinti, kad būtų laikomasi Sąjungos teisėje, pvz., Europos Parlamento ir Tarybos reglamente (EB) Nr. 1049/2001 </w:t>
      </w:r>
      <w:r w:rsidRPr="00823EAD">
        <w:rPr>
          <w:kern w:val="2"/>
          <w:vertAlign w:val="superscript"/>
          <w14:ligatures w14:val="standardContextual"/>
        </w:rPr>
        <w:footnoteReference w:id="9"/>
      </w:r>
      <w:r w:rsidRPr="00823EAD">
        <w:rPr>
          <w:kern w:val="2"/>
          <w14:ligatures w14:val="standardContextual"/>
        </w:rPr>
        <w:t xml:space="preserve">, nustatytų terminų; giria Ombudsmeną už jo specialųjį pranešimą Europos Parlamentui, kuriame prašoma institucijos oficialios paramos siekiant, kad Komisija imtųsi veiksmų pagal jos rekomendaciją; primena, kad 2023 m. lapkričio mėn. </w:t>
      </w:r>
      <w:proofErr w:type="spellStart"/>
      <w:r w:rsidRPr="00823EAD">
        <w:rPr>
          <w:kern w:val="2"/>
          <w14:ligatures w14:val="standardContextual"/>
        </w:rPr>
        <w:t>ombudsmenė</w:t>
      </w:r>
      <w:proofErr w:type="spellEnd"/>
      <w:r w:rsidRPr="00823EAD">
        <w:rPr>
          <w:kern w:val="2"/>
          <w14:ligatures w14:val="standardContextual"/>
        </w:rPr>
        <w:t xml:space="preserve"> Piliečių laisvių, teisingumo ir vidaus reikalų komitete aptarė pranešimą su Europos Parlamento nariais </w:t>
      </w:r>
      <w:r w:rsidRPr="00823EAD">
        <w:rPr>
          <w:kern w:val="2"/>
          <w:vertAlign w:val="superscript"/>
          <w14:ligatures w14:val="standardContextual"/>
        </w:rPr>
        <w:footnoteReference w:id="10"/>
      </w:r>
      <w:r w:rsidRPr="00823EAD">
        <w:rPr>
          <w:kern w:val="2"/>
          <w14:ligatures w14:val="standardContextual"/>
        </w:rPr>
        <w:t>;</w:t>
      </w:r>
    </w:p>
    <w:p w14:paraId="24211BF0"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18.</w:t>
      </w:r>
      <w:r w:rsidRPr="00823EAD">
        <w:rPr>
          <w:kern w:val="2"/>
          <w14:ligatures w14:val="standardContextual"/>
        </w:rPr>
        <w:tab/>
        <w:t>itin susirūpinęs pažymi, kad Ombudsmenas gauna daug piliečių skundų dėl to, kad stipriai vėluojama leisti susipažinti su prašomais dokumentais; pritaria Ombudsmeno nuomonei, kad delsimas leisti susipažinti su dokumentais faktiškai reiškia atsisakymą leisti su jais susipažinti ir kad administracinės procedūros turėtų būti supaprastintos siekiant užtikrinti, kad piliečiai galėtų laiku susipažinti su dokumentais </w:t>
      </w:r>
      <w:r w:rsidRPr="00823EAD">
        <w:rPr>
          <w:kern w:val="2"/>
          <w:vertAlign w:val="superscript"/>
          <w14:ligatures w14:val="standardContextual"/>
        </w:rPr>
        <w:footnoteReference w:id="11"/>
      </w:r>
      <w:r w:rsidRPr="00823EAD">
        <w:rPr>
          <w:kern w:val="2"/>
          <w14:ligatures w14:val="standardContextual"/>
        </w:rPr>
        <w:t>;</w:t>
      </w:r>
    </w:p>
    <w:p w14:paraId="25397C96"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19.</w:t>
      </w:r>
      <w:r w:rsidRPr="00823EAD">
        <w:rPr>
          <w:kern w:val="2"/>
          <w14:ligatures w14:val="standardContextual"/>
        </w:rPr>
        <w:tab/>
        <w:t xml:space="preserve">pažymi, kad vidaus auditorius atliko Ombudsmeno rizikos valdymo sistemos peržiūrą; pažymi, kad šalys susitarė dėl devynių punktų veiksmų plano, kuris turi būti </w:t>
      </w:r>
      <w:r w:rsidRPr="00823EAD">
        <w:rPr>
          <w:kern w:val="2"/>
          <w14:ligatures w14:val="standardContextual"/>
        </w:rPr>
        <w:lastRenderedPageBreak/>
        <w:t>įgyvendintas iki 2024 m. pabaigos; ragina Ombudsmeną informuoti biudžeto įvykdymą tvirtinančią instituciją apie pažangą, padarytą įgyvendinant šį planą;</w:t>
      </w:r>
    </w:p>
    <w:p w14:paraId="296D5B63" w14:textId="77777777" w:rsidR="00823EAD" w:rsidRPr="00823EAD" w:rsidRDefault="00823EAD" w:rsidP="00823EAD">
      <w:pPr>
        <w:spacing w:after="240"/>
        <w:ind w:left="567" w:hanging="567"/>
        <w:rPr>
          <w:b/>
          <w:i/>
          <w:kern w:val="2"/>
          <w14:ligatures w14:val="standardContextual"/>
        </w:rPr>
      </w:pPr>
      <w:r w:rsidRPr="00823EAD">
        <w:rPr>
          <w:b/>
          <w:i/>
          <w:kern w:val="2"/>
          <w14:ligatures w14:val="standardContextual"/>
        </w:rPr>
        <w:t>Žmogiškieji ištekliai, lygybė ir darbuotojų gerovė</w:t>
      </w:r>
    </w:p>
    <w:p w14:paraId="6357B716"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20.</w:t>
      </w:r>
      <w:r w:rsidRPr="00823EAD">
        <w:rPr>
          <w:kern w:val="2"/>
          <w14:ligatures w14:val="standardContextual"/>
        </w:rPr>
        <w:tab/>
        <w:t>pažymi, kad bendras Ombudsmeno darbuotojų skaičius padidėjo 11 %: nuo 74 darbuotojų 2022 m. iki 82 darbuotojų 2023 m., daugiausia dėl padidėjusio sutartininkų ir laikinųjų darbuotojų skaičiaus; taip pat pažymi, kad 2023 m. Ombudsmeno tarnyboje dirbo 40 pareigūnai, palyginti su 39 ir 38 pareigūnais atitinkamai 2022 ir 2021 m., 33 laikinieji darbuotojai, palyginti su 28 ir 30 laikinųjų darbuotojų atitinkamai 2022 ir 2021 m., ir 9 sutartininkai, palyginti su 7 ir 6 sutartininkais atitinkamai 2022 ir 2021 m.; su pasitenkinimu pažymi, kad padidėjo darbuotojų, dirbančių su pagrindine Ombudsmeno veikla (skundai ir tyrimai), dalis: nuo 40,54 % 2022 m. iki 42,68 % 2023 m.; su pasitenkinimu pažymi, kad darbuotojų užimtumo lygis padidėjo nuo 91,8 % 2022 m. iki 95 % 2023 m., o darbuotojų kaitos lygis sumažėjo nuo 9,9 % 2022 m. iki 5,2 % 2023 m.;</w:t>
      </w:r>
    </w:p>
    <w:p w14:paraId="3717A3D4"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21.</w:t>
      </w:r>
      <w:r w:rsidRPr="00823EAD">
        <w:rPr>
          <w:kern w:val="2"/>
          <w14:ligatures w14:val="standardContextual"/>
        </w:rPr>
        <w:tab/>
        <w:t>apgailestauja, kad Ombudsmeno Generalinio sekretoriaus pareigos yra laisvos daugiau nei dvejus metus, t. y. nuo 2022 m. rugsėjo 1 d.; remdamasis klausimynu pažymi, kad „iš pagarbos naujajam (-</w:t>
      </w:r>
      <w:proofErr w:type="spellStart"/>
      <w:r w:rsidRPr="00823EAD">
        <w:rPr>
          <w:kern w:val="2"/>
          <w14:ligatures w14:val="standardContextual"/>
        </w:rPr>
        <w:t>ajai</w:t>
      </w:r>
      <w:proofErr w:type="spellEnd"/>
      <w:r w:rsidRPr="00823EAD">
        <w:rPr>
          <w:kern w:val="2"/>
          <w14:ligatures w14:val="standardContextual"/>
        </w:rPr>
        <w:t xml:space="preserve">) ombudsmenui (-ei), kuris (-i) bus išrinktas (-a) iki 2024 m. pabaigos, dabartinė </w:t>
      </w:r>
      <w:proofErr w:type="spellStart"/>
      <w:r w:rsidRPr="00823EAD">
        <w:rPr>
          <w:kern w:val="2"/>
          <w14:ligatures w14:val="standardContextual"/>
        </w:rPr>
        <w:t>ombudsmenė</w:t>
      </w:r>
      <w:proofErr w:type="spellEnd"/>
      <w:r w:rsidRPr="00823EAD">
        <w:rPr>
          <w:kern w:val="2"/>
          <w14:ligatures w14:val="standardContextual"/>
        </w:rPr>
        <w:t xml:space="preserve"> nusprendė palikti laisvą darbo vietą, kad sprendimą dėl paskyrimo galėtų priimti naujasis (-</w:t>
      </w:r>
      <w:proofErr w:type="spellStart"/>
      <w:r w:rsidRPr="00823EAD">
        <w:rPr>
          <w:kern w:val="2"/>
          <w14:ligatures w14:val="standardContextual"/>
        </w:rPr>
        <w:t>oji</w:t>
      </w:r>
      <w:proofErr w:type="spellEnd"/>
      <w:r w:rsidRPr="00823EAD">
        <w:rPr>
          <w:kern w:val="2"/>
          <w14:ligatures w14:val="standardContextual"/>
        </w:rPr>
        <w:t>) ombudsmenas (-ė)“; ragina kitą ombudsmeną (-ę) užtikrinti, kad laisvų vadovaujamų pareigų laikotarpiai būtų kuo trumpesni ir nebūtų ilgesni nei reikia naujiems darbuotojams į šias pareigas įdarbinti;</w:t>
      </w:r>
    </w:p>
    <w:p w14:paraId="20F4D7E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22.</w:t>
      </w:r>
      <w:r w:rsidRPr="00823EAD">
        <w:rPr>
          <w:kern w:val="2"/>
          <w14:ligatures w14:val="standardContextual"/>
        </w:rPr>
        <w:tab/>
        <w:t>giria Ombudsmeną už jo kvietimą pareikšti susidomėjimą dėl darbo (tyrimo pareigūnai), kuris buvo sėkmingai užbaigtas 2023 m. sudarius 19 kandidatų rezervo sąrašą, iš kurių 6 buvo įdarbinti tais pačiais metais; pažymi, kad dėl to Ombudsmenas galėjo sutrumpinti įdarbinimo laiką, kuris anksčiau buvo problema; taip pat pažymi, kad 2023 m. Ombudsmenas, padedamas Europos personalo atrankos tarnybos (EPSO), surengė tris vidaus konkursus, kad išlaikytų vidaus talentus; pripažįsta, kad tokie veiksmai padeda didinti institucijos veiksmingumą;</w:t>
      </w:r>
    </w:p>
    <w:p w14:paraId="6C0AA0BC"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23.</w:t>
      </w:r>
      <w:r w:rsidRPr="00823EAD">
        <w:rPr>
          <w:kern w:val="2"/>
          <w14:ligatures w14:val="standardContextual"/>
        </w:rPr>
        <w:tab/>
        <w:t>pažymi, kad, nors Ombudsmenas yra maža institucija, 2023 m. joje dirbo 19 tautybių atstovai, nes buvo vykdoma iniciatyvi komunikacija ir informavimo veikla, visų pirma socialinės žiniasklaidos kanalais ir interneto platformose, siekiant paskelbti apie laisvas vietas; su nepasitenkinimu pažymi, kad kai kurių šalių piliečių (pvz., Prancūzijos ir Airijos) yra per daug, o kitų šalių piliečių (pvz., Rumunijos ir Ispanijos) yra nepakankamai; primygtinai ragina Ombudsmeną toliau dėti pastangas, kad būtų užtikrintas subalansuotas geografinis visų valstybių narių piliečių pasiskirstymas tarp darbuotojų, visų pirma vadovybės lygmeniu, gerinant komunikaciją, skatinant matomumą ir gerinant darbo sąlygas, kad būtų pritraukti nepakankamai atstovaujamų valstybių piliečiai;</w:t>
      </w:r>
    </w:p>
    <w:p w14:paraId="6EC54FDE"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24.</w:t>
      </w:r>
      <w:r w:rsidRPr="00823EAD">
        <w:rPr>
          <w:kern w:val="2"/>
          <w14:ligatures w14:val="standardContextual"/>
        </w:rPr>
        <w:tab/>
        <w:t>pažymi, kad, kalbant apie lyčių pusiausvyrą, Ombudsmeno tarnyboje dirba daugiau moterų nei vyrų visose darbuotojų kategorijose, ypač vadovybės lygmeniu, o bendras moterų ir vyrų santykis 2023 m. išliko toks pat kaip ir 2022 m., t. y. 67 % moterų ir 33 % vyrų; ragina Ombudsmeną ir toliau stengtis užtikrinti subalansuotą darbuotojų pasiskirstymą lyčių atžvilgiu;</w:t>
      </w:r>
    </w:p>
    <w:p w14:paraId="2295F65B"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25.</w:t>
      </w:r>
      <w:r w:rsidRPr="00823EAD">
        <w:rPr>
          <w:kern w:val="2"/>
          <w14:ligatures w14:val="standardContextual"/>
        </w:rPr>
        <w:tab/>
        <w:t xml:space="preserve">pažymi, kad Ombudsmenas deda pastangas, kad užtikrintų savo darbuotojų fizinę ir </w:t>
      </w:r>
      <w:r w:rsidRPr="00823EAD">
        <w:rPr>
          <w:kern w:val="2"/>
          <w14:ligatures w14:val="standardContextual"/>
        </w:rPr>
        <w:lastRenderedPageBreak/>
        <w:t>psichinę gerovę darbe, ir daugiausia dėmesio skiria komandinės dvasios stiprinimui; atsižvelgdamas į tai, palankiai vertina 2023 m. atliktos bendros darbuotojų apklausos rezultatus, iš kurių matyti, kad bendras darbuotojų pasitenkinimo lygis yra 87 %, visų pirma 95 % apklausos dalyvių teigiamai atsakė į klausimą dėl Ombudsmeno darbuotojų gerovės, 97 % buvo patenkinti Ombudsmeno mišriomis ir lanksčiomis darbo sąlygomis, o 90 % buvo patenkinti įranga ir medžiagomis, kurias jiems tiekia jų darbdavys, kad galėtų dirbti nuotoliniu būdu; su pasitenkinimu pažymi, kad 2023 m. Ombudsmenas nusprendė visiems darbuotojams, kurie jų prašo, suteikti ergonominių kėdžių;</w:t>
      </w:r>
    </w:p>
    <w:p w14:paraId="6E18BA87"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26.</w:t>
      </w:r>
      <w:r w:rsidRPr="00823EAD">
        <w:rPr>
          <w:kern w:val="2"/>
          <w14:ligatures w14:val="standardContextual"/>
        </w:rPr>
        <w:tab/>
        <w:t>atkreipia dėmesį į tai, kad dėl to, jog Ombudsmeno tarnyba yra nedidelė, vadovai gali atidžiai stebėti darbuotojų darbo krūvį ir atlikti būtinus koregavimus, kad būtų galima anksti nustatyti galimą perdegimą; pažymi, kad 2023 m. atlikus darbuotojų apklausą nenustatyta jokių problemų, susijusių su darbo krūvio paskirstymu ar sveikatos problemomis dėl darbo, ir kad Europos Parlamento medicinos tarnyba nepranešė apie jokias lėtines ligas, susijusias su perdegimu;</w:t>
      </w:r>
    </w:p>
    <w:p w14:paraId="45B8B318"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27.</w:t>
      </w:r>
      <w:r w:rsidRPr="00823EAD">
        <w:rPr>
          <w:kern w:val="2"/>
          <w14:ligatures w14:val="standardContextual"/>
        </w:rPr>
        <w:tab/>
        <w:t>su pasitenkinimu pažymi, kad 2023 m. nepranešta apie nei vieną priekabiavimo atvejį; pripažįsta Ombudsmeno pastangas siekiant užtikrinti darbo aplinką be seksualinio ir psichologinio priekabiavimo, visų pirma didinant informuotumą ir rengiant mokymus; su pasitenkinimu pažymi, kad vykdant etikos sistemos vidaus auditą 2023 m. atliktas tyrimas parodė, jog 90 % darbuotojų žinojo apie politiką ir gaires, susijusias su visų rūšių priekabiavimu;</w:t>
      </w:r>
    </w:p>
    <w:p w14:paraId="59BB88D8"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28.</w:t>
      </w:r>
      <w:r w:rsidRPr="00823EAD">
        <w:rPr>
          <w:kern w:val="2"/>
          <w14:ligatures w14:val="standardContextual"/>
        </w:rPr>
        <w:tab/>
        <w:t xml:space="preserve">su pasitenkinimu pažymi, kad 2023 m. Ombudsmenas priėmė 18 apmokamų stažuotojų (tiek pat, kiek ir 2022 m.), iš kurių vienas buvo atrinktas po pirmojo Ombudsmeno kvietimo, skirto neįgaliems kandidatams; pripažįsta, kad šia iniciatyva skatinamas </w:t>
      </w:r>
      <w:proofErr w:type="spellStart"/>
      <w:r w:rsidRPr="00823EAD">
        <w:rPr>
          <w:kern w:val="2"/>
          <w14:ligatures w14:val="standardContextual"/>
        </w:rPr>
        <w:t>įtraukumas</w:t>
      </w:r>
      <w:proofErr w:type="spellEnd"/>
      <w:r w:rsidRPr="00823EAD">
        <w:rPr>
          <w:kern w:val="2"/>
          <w14:ligatures w14:val="standardContextual"/>
        </w:rPr>
        <w:t xml:space="preserve"> ir lygios galimybės, nes stažuotojai įgyja vertingos patirties ES institucijose;</w:t>
      </w:r>
    </w:p>
    <w:p w14:paraId="0A7D9A3E" w14:textId="77777777" w:rsidR="00823EAD" w:rsidRPr="00823EAD" w:rsidRDefault="00823EAD" w:rsidP="00823EAD">
      <w:pPr>
        <w:spacing w:after="240"/>
        <w:rPr>
          <w:b/>
          <w:i/>
          <w:kern w:val="2"/>
          <w14:ligatures w14:val="standardContextual"/>
        </w:rPr>
      </w:pPr>
      <w:r w:rsidRPr="00823EAD">
        <w:rPr>
          <w:b/>
          <w:i/>
          <w:kern w:val="2"/>
          <w14:ligatures w14:val="standardContextual"/>
        </w:rPr>
        <w:t>Etikos sistema ir skaidrumas</w:t>
      </w:r>
    </w:p>
    <w:p w14:paraId="0F92F2DA"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29.</w:t>
      </w:r>
      <w:r w:rsidRPr="00823EAD">
        <w:rPr>
          <w:kern w:val="2"/>
          <w14:ligatures w14:val="standardContextual"/>
        </w:rPr>
        <w:tab/>
        <w:t>palankiai vertina nuolatines Ombudsmeno pastangas stiprinti institucijos etikos sistemą ir didinti informuotumą apie ją; džiaugdamasis pažymi, kad 2023 m. Ombudsmenas peržiūrėjo pranešėjų politiką, kad sustiprintų galimų pranešėjų apsaugą, užtikrintų geresnį suderinamumą su duomenų apsaugos standartais, padidintų konfidencialumą ir paramą ir įtrauktų nuostatas dėl etikos korespondentų; palankiai vertina tai, kad buvo visiškai įdiegta SYSPER etikos priemonė, pagal kurią darbuotojai gali atnaujinti deklaracijas (apie savo interesų konfliktus ir apie savo sutuoktinių ir (arba) partnerių profesinę veiklą), ir surengė interaktyvų mokymo kursą „Pagarba ir orumas darbe ir mūsų, kaip veikėjų, gavėjų ir pašalinių asmenų, vaidmenys“; palankiai vertina 2023 m. atliktos bendros darbuotojų apklausos rezultatus, kuriais patvirtintas aukštas darbuotojų informuotumo etikos klausimais lygis; ragina skelbti visus Ombudsmeno tarnybos aukšto lygio susitikimus su išorės subjektais, įskaitant korporatyvinius subjektus, interesų grupes ir ES agentūras, siekiant užtikrinti sprendimų priėmimo ir advokatavimo pastangų skaidrumą;</w:t>
      </w:r>
    </w:p>
    <w:p w14:paraId="137B3CC3"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30.</w:t>
      </w:r>
      <w:r w:rsidRPr="00823EAD">
        <w:rPr>
          <w:kern w:val="2"/>
          <w14:ligatures w14:val="standardContextual"/>
        </w:rPr>
        <w:tab/>
        <w:t>pažymi, kad vidaus auditas (pranešimas Nr. 22/03) dėl Ombudsmeno etikos sistemos buvo baigtas 2023 m. ir pateiktos šešios rekomendacijos, kurios turi būti įgyvendintos iki 2024 m. gruodžio 31 d.; remdamasis klausimynu pažymi, kad keturios iš šių rekomendacijų buvo visiškai įgyvendintos; ragina Ombudsmeną pranešti biudžeto įvykdymą tvirtinančiai institucijai apie likusių dviejų rekomendacijų įgyvendinimą;</w:t>
      </w:r>
    </w:p>
    <w:p w14:paraId="79D6B4B7"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lastRenderedPageBreak/>
        <w:t>31.</w:t>
      </w:r>
      <w:r w:rsidRPr="00823EAD">
        <w:rPr>
          <w:kern w:val="2"/>
          <w14:ligatures w14:val="standardContextual"/>
        </w:rPr>
        <w:tab/>
        <w:t>pažymi, kad Ombudsmeno kovos su sukčiavimu strategija iš esmės grindžiama galiojančia etikos sistema ir su finansinėmis funkcijomis susijusių pareigų atskyrimo principu; pažymi, kad 2023 m. Ombudsmenas peržiūrėjo ir priėmė profesinių standartų kodeksą, taikomą darbuotojams, dalyvaujantiems finansinių operacijų kontrolėje, kuriame nustatytos pareigos ir atsakomybė nustatant sukčiavimo atvejus, įskaitant procedūrą, kurios reikia laikytis įtariamo sukčiavimo atvejais;</w:t>
      </w:r>
    </w:p>
    <w:p w14:paraId="3CDFD34E"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32.</w:t>
      </w:r>
      <w:r w:rsidRPr="00823EAD">
        <w:rPr>
          <w:kern w:val="2"/>
          <w14:ligatures w14:val="standardContextual"/>
        </w:rPr>
        <w:tab/>
        <w:t>džiaugdamasis pažymi, kad 2023 m. apie interesų konfliktų atvejus ar informavimo apie pažeidimą atvejus pranešta nebuvo;</w:t>
      </w:r>
    </w:p>
    <w:p w14:paraId="71BA36DE"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33.</w:t>
      </w:r>
      <w:r w:rsidRPr="00823EAD">
        <w:rPr>
          <w:kern w:val="2"/>
          <w14:ligatures w14:val="standardContextual"/>
        </w:rPr>
        <w:tab/>
        <w:t>remdamasis klausimynu pažymi, kad Ombudsmenas oficialiai neprisijungė prie ES skaidrumo registro (įkurto 2021 m. gegužės 20 d. Europos Parlamento, Europos Sąjungos Tarybos ir Europos Komisijos tarpinstituciniu susitarimu dėl privalomo skaidrumo registro), siekiant užtikrinti galimybę taip pat nagrinėti galimus skundus dėl šio skaidrumo registro sekretoriato; tačiau pažymi, kad Ombudsmenas suderino savo praktiką su skaidrumo registro principais patikrinant, ar pranešėjai ar pašnekovai, dalyvaujantys Ombudsmeno organizuojamuose renginiuose ar posėdžiuose, yra užregistruoti šiame registre; palankiai vertina aukštą skaidrumo lygį, kurį Ombudsmenas pasiekė savo interneto svetainėje skelbdamas informaciją apie tyrimus, komandiruotes, susitikimus ir renginius, kuriuose dalyvauja Ombudsmenas;</w:t>
      </w:r>
    </w:p>
    <w:p w14:paraId="0FD7D332"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34.</w:t>
      </w:r>
      <w:r w:rsidRPr="00823EAD">
        <w:rPr>
          <w:kern w:val="2"/>
          <w14:ligatures w14:val="standardContextual"/>
        </w:rPr>
        <w:tab/>
        <w:t>ragina Ombudsmeną nustatyti privalomą vyresniųjų darbuotojų finansinių interesų deklaravimą, suteikiant visuomenei galimybę tikruoju laiku susipažinti su informacija apie galimus interesų konfliktus, išorės įsipareigojimus ir finansinį turtą;</w:t>
      </w:r>
    </w:p>
    <w:p w14:paraId="65CDD20B" w14:textId="77777777" w:rsidR="00823EAD" w:rsidRPr="00823EAD" w:rsidRDefault="00823EAD" w:rsidP="00823EAD">
      <w:pPr>
        <w:spacing w:after="240"/>
        <w:rPr>
          <w:b/>
          <w:i/>
          <w:kern w:val="2"/>
          <w14:ligatures w14:val="standardContextual"/>
        </w:rPr>
      </w:pPr>
      <w:r w:rsidRPr="00823EAD">
        <w:rPr>
          <w:b/>
          <w:i/>
          <w:kern w:val="2"/>
          <w14:ligatures w14:val="standardContextual"/>
        </w:rPr>
        <w:t>Pastatai</w:t>
      </w:r>
    </w:p>
    <w:p w14:paraId="23FFE8A2"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35.</w:t>
      </w:r>
      <w:r w:rsidRPr="00823EAD">
        <w:rPr>
          <w:kern w:val="2"/>
          <w14:ligatures w14:val="standardContextual"/>
        </w:rPr>
        <w:tab/>
        <w:t>palankiai vertina tai, kad galutinis Ombudsmeno biudžetas (po perkėlimų) pastatams ir susijusioms išlaidoms sumažėjo maždaug 15 %: nuo 1 622 200 EUR 2022 m. iki 1 373 000 EUR 2023 m.; pažymi, kad asignavimai nuomai sumažėjo 26 %: nuo 1 177 700 EUR 2022 m. iki 866 100 EUR 2023 m., o mokėjimų įvykdymo lygis abejais metais buvo beveik 100 %;</w:t>
      </w:r>
    </w:p>
    <w:p w14:paraId="2B8C5343" w14:textId="77777777" w:rsidR="00823EAD" w:rsidRPr="00823EAD" w:rsidRDefault="00823EAD" w:rsidP="00823EAD">
      <w:pPr>
        <w:spacing w:after="240"/>
        <w:ind w:left="567" w:hanging="567"/>
        <w:rPr>
          <w:b/>
          <w:kern w:val="2"/>
          <w14:ligatures w14:val="standardContextual"/>
        </w:rPr>
      </w:pPr>
      <w:r w:rsidRPr="00823EAD">
        <w:rPr>
          <w:kern w:val="2"/>
          <w14:ligatures w14:val="standardContextual"/>
        </w:rPr>
        <w:t>36.</w:t>
      </w:r>
      <w:r w:rsidRPr="00823EAD">
        <w:rPr>
          <w:kern w:val="2"/>
          <w14:ligatures w14:val="standardContextual"/>
        </w:rPr>
        <w:tab/>
        <w:t>pažymi, kad po to, kai 2021 m. Ombudsmeno biuras Briuselyje persikėlė į naujas patalpas, kurias suteikė Parlamentas, pastatas buvo sutvarkytas kaip bendradarbiavimo erdvė su vos keliais atskirais kabinetais ir lanksčiomis bendradarbiavimo susitikimams skirtomis patalpomis; su pasitenkinimu pažymi, kad Ombudsmeno tarnyboje netaikoma praktika, kai darbuotojai naudojasi viena darbo vieta skirtingu laiku, ir kad visi darbuotojai turi savo stalus su pakankamai vietos daiktams laikyti; pažymi, kad 2023 m. biuruose nebuvo padaryta jokių pakeitimų ir kad 2023 m. atlikta bendra darbuotojų apklausa parodė, jog dauguma darbuotojų (56 %) teigiamai atsakė dėl fizinių sąlygų jų biuruose Briuselyje;</w:t>
      </w:r>
    </w:p>
    <w:p w14:paraId="416304F6"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37.</w:t>
      </w:r>
      <w:r w:rsidRPr="00823EAD">
        <w:rPr>
          <w:kern w:val="2"/>
          <w14:ligatures w14:val="standardContextual"/>
        </w:rPr>
        <w:tab/>
        <w:t>primena, kad Ombudsmenas neturi savo pastatų, o nuomojasi pastatą Briuselyje ir biuro patalpas Strasbūre; džiaugdamasis pažymi, kad V. Havelo pastatas Strasbūre yra visiškai prieinamas riboto judumo ar kitą negalią turintiems asmenims ir kad reikia gerinti Briuselyje nuomojamo pastato prieinamumą; ragina Parlamentą pagerinti Briuselyje Ombudsmenui nuomojamo pastato prieinamumą;</w:t>
      </w:r>
    </w:p>
    <w:p w14:paraId="0EC2201F" w14:textId="77777777" w:rsidR="00823EAD" w:rsidRPr="00823EAD" w:rsidRDefault="00823EAD" w:rsidP="00823EAD">
      <w:pPr>
        <w:spacing w:after="240"/>
        <w:rPr>
          <w:b/>
          <w:i/>
          <w:kern w:val="2"/>
          <w14:ligatures w14:val="standardContextual"/>
        </w:rPr>
      </w:pPr>
      <w:r w:rsidRPr="00823EAD">
        <w:rPr>
          <w:b/>
          <w:i/>
          <w:kern w:val="2"/>
          <w14:ligatures w14:val="standardContextual"/>
        </w:rPr>
        <w:t>Skaitmeninimas, kibernetinis saugumas ir duomenų apsauga</w:t>
      </w:r>
    </w:p>
    <w:p w14:paraId="4856F51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lastRenderedPageBreak/>
        <w:t>38.</w:t>
      </w:r>
      <w:r w:rsidRPr="00823EAD">
        <w:rPr>
          <w:kern w:val="2"/>
          <w14:ligatures w14:val="standardContextual"/>
        </w:rPr>
        <w:tab/>
        <w:t>pripažįsta, kad sėkmingai įgyvendintas ilgalaikis Ombudsmeno požiūris į integruotų sistemų ir išteklių pritraukimą iš kitų Sąjungos institucijų, visų pirma Parlamento ir Komisijos, siekiant optimizuoti biudžeto panaudojimą ir pagerinti koordinavimą, pavyzdžiui, skaitmeninimo srityje; atsižvelgdamas į tai, atkreipia dėmesį į sėkmingą Komisijos mašininio vertimo priemonių, kurios 2023 m. buvo integruotos į Ombudsmeno sistemas (pvz., interneto svetainę), įgyvendinimą; remdamasis klausimynu, su pasitenkinimu pažymi, kad dėl šio projekto vertimo išlaidos sumažėjo daugiau kaip 30 % per metus, taip pat sumažėjo administracinė našta;</w:t>
      </w:r>
    </w:p>
    <w:p w14:paraId="4B0462AB"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39.</w:t>
      </w:r>
      <w:r w:rsidRPr="00823EAD">
        <w:rPr>
          <w:kern w:val="2"/>
          <w14:ligatures w14:val="standardContextual"/>
        </w:rPr>
        <w:tab/>
        <w:t>palankiai vertina tai, kad visapusiškai įdiegtas kvalifikuotas elektroninis parašas, leidžiantis darbuotojams saugiai pasirašyti dokumentus, taip pat tai, kad naudojama Komisijos programa „</w:t>
      </w:r>
      <w:proofErr w:type="spellStart"/>
      <w:r w:rsidRPr="00823EAD">
        <w:rPr>
          <w:kern w:val="2"/>
          <w14:ligatures w14:val="standardContextual"/>
        </w:rPr>
        <w:t>QSign</w:t>
      </w:r>
      <w:proofErr w:type="spellEnd"/>
      <w:r w:rsidRPr="00823EAD">
        <w:rPr>
          <w:kern w:val="2"/>
          <w14:ligatures w14:val="standardContextual"/>
        </w:rPr>
        <w:t>“, leidžianti darbuotojams pasirašyti ir tvarkyti dokumentus, įskaitant viešųjų pirkimų ir sutarčių dokumentus;</w:t>
      </w:r>
    </w:p>
    <w:p w14:paraId="024A1DA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40.</w:t>
      </w:r>
      <w:r w:rsidRPr="00823EAD">
        <w:rPr>
          <w:kern w:val="2"/>
          <w14:ligatures w14:val="standardContextual"/>
        </w:rPr>
        <w:tab/>
        <w:t>pažymi, kad nuo 2023 m. Ombudsmenas aktyviai nagrinėja galimybes, kurias galėtų suteikti dirbtinio intelekto (DI) naudojimas; atsižvelgdamas į tai, palankiai vertina Ombudsmeno partnerystę su Europos Komisijos Jungtiniu tyrimų centru siekiant eksperimentuoti su didžiaisiais kalbų modeliais ir išbandyti bei įvertinti DI naudojimo atvejus; taip pat pažymi, kad Ombudsmenas įsigijo keletą DI priemonių, kurios sėkmingai prisidėjo prie vaizdo turinio kūrimo; palankiai vertina tai, kad Ombudsmenas priėmė vidaus gaires, kuriomis siekiama užtikrinti, kad išorės DI priemonės būtų naudojamos atsakingai ir skaidriai; ragina Ombudsmeną užtikrinti, kad darbuotojams būtų rengiami privalomi mokymai apie saugų ir etišką DI priemonių naudojimą, siekiant didinti supratimą apie jas ir mažinti galimą riziką; ragina Ombudsmeną pranešti biudžeto įvykdymą tvirtinančiai institucijai apie pažangą, daromą išbandant ir naudojant DI sprendimus;</w:t>
      </w:r>
    </w:p>
    <w:p w14:paraId="705F655A"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41.</w:t>
      </w:r>
      <w:r w:rsidRPr="00823EAD">
        <w:rPr>
          <w:kern w:val="2"/>
          <w14:ligatures w14:val="standardContextual"/>
        </w:rPr>
        <w:tab/>
        <w:t xml:space="preserve">pažymi, kad, kalbant apie IT, Ombudsmenas remiasi Parlamento infrastruktūros ir kibernetinio saugumo sistema ir glaudžiai bendradarbiauja su Komisija Sąjungos institucinių priemonių (SYSPER, ABAC, </w:t>
      </w:r>
      <w:proofErr w:type="spellStart"/>
      <w:r w:rsidRPr="00823EAD">
        <w:rPr>
          <w:kern w:val="2"/>
          <w14:ligatures w14:val="standardContextual"/>
        </w:rPr>
        <w:t>MiPS</w:t>
      </w:r>
      <w:proofErr w:type="spellEnd"/>
      <w:r w:rsidRPr="00823EAD">
        <w:rPr>
          <w:kern w:val="2"/>
          <w14:ligatures w14:val="standardContextual"/>
        </w:rPr>
        <w:t xml:space="preserve"> ir ARES) integravimo ir priežiūros bei IT preliminariųjų sutarčių naudojimo klausimais; pažymi, kad Ombudsmenas, atsižvelgdamas į ribotą duomenų kontrolės lygį, su atitinkamomis institucijomis sudarė susitarimus dėl paslaugų lygio, siekdamas užtikrinti, kad asmens duomenų tvarkymas atitiktų taikomą teisinę sistemą; su pasitenkinimu pažymi, kad 2023 m. Ombudsmenas nesusidūrė su jokiu kibernetiniu išpuoliu;</w:t>
      </w:r>
    </w:p>
    <w:p w14:paraId="16C032EC"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42.</w:t>
      </w:r>
      <w:r w:rsidRPr="00823EAD">
        <w:rPr>
          <w:kern w:val="2"/>
          <w14:ligatures w14:val="standardContextual"/>
        </w:rPr>
        <w:tab/>
        <w:t>ragina Ombudsmeną glaudžiai bendradarbiauti su Europos Sąjungos kibernetinio saugumo agentūra (ENISA); rekomenduoja visiems Ombudsmeno darbuotojams siūlyti reguliariai atnaujinamas su kibernetiniu saugumu susijusias mokymo programas;</w:t>
      </w:r>
    </w:p>
    <w:p w14:paraId="666E50A3"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43.</w:t>
      </w:r>
      <w:r w:rsidRPr="00823EAD">
        <w:rPr>
          <w:kern w:val="2"/>
          <w14:ligatures w14:val="standardContextual"/>
        </w:rPr>
        <w:tab/>
        <w:t>atsižvelgdamas į vidaus audito ataskaitą Nr. 21/03 dėl Ombudsmeno duomenų apsaugos sistemos peržiūros pažymi, kad 2023 m. ketvirtąjį ketvirtį vienas veiksmas liko nebaigtas ir, atsižvelgiant į vidaus audito ataskaitą Nr. 20/04 dėl Ombudsmeno IRT saugumo, 2023 m. buvo vykdomi septyni veiksmai; ragina Ombudsmeną pranešti biudžeto įvykdymą tvirtinančiai institucijai apie pažangą, daromą šiais klausimais;</w:t>
      </w:r>
    </w:p>
    <w:p w14:paraId="3118734E" w14:textId="77777777" w:rsidR="00823EAD" w:rsidRPr="00823EAD" w:rsidRDefault="00823EAD" w:rsidP="00823EAD">
      <w:pPr>
        <w:spacing w:after="240"/>
        <w:rPr>
          <w:b/>
          <w:i/>
          <w:kern w:val="2"/>
          <w14:ligatures w14:val="standardContextual"/>
        </w:rPr>
      </w:pPr>
      <w:r w:rsidRPr="00823EAD">
        <w:rPr>
          <w:b/>
          <w:i/>
          <w:kern w:val="2"/>
          <w14:ligatures w14:val="standardContextual"/>
        </w:rPr>
        <w:t>Aplinka ir tvarumas</w:t>
      </w:r>
    </w:p>
    <w:p w14:paraId="120C350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44.</w:t>
      </w:r>
      <w:r w:rsidRPr="00823EAD">
        <w:rPr>
          <w:kern w:val="2"/>
          <w14:ligatures w14:val="standardContextual"/>
        </w:rPr>
        <w:tab/>
        <w:t xml:space="preserve">palankiai vertina tai, kad per daugelį metų Ombudsmenas sumažino savo aplinkosauginį pėdsaką, visų pirma skaitmenizuodamas savo procesus, pašalindamas atskirus spausdintuvus, nekeisdamas centrinių procesorių pasibaigus jų gyvavimo ciklui, </w:t>
      </w:r>
      <w:r w:rsidRPr="00823EAD">
        <w:rPr>
          <w:kern w:val="2"/>
          <w14:ligatures w14:val="standardContextual"/>
        </w:rPr>
        <w:lastRenderedPageBreak/>
        <w:t>taikydamas priemones, kuriomis siekiama užtikrinti didesnį renginių tvarumą, ir plačiai naudodamas vaizdo konferencijų sistemas, kad būtų išvengta komandiruočių; pažymi, kad, kalbant apie pastatų aplinkosauginį pėdsaką, Ombudsmenas remiasi priemonėmis, kurių imasi Parlamentas kaip pastatų savininkas; su pasitenkinimu pažymi, kad abiejuose pastatuose, kuriuose Ombudsmenas turi biurus, naudojama 100 % švarios energijos; palankiai vertina tai, kad 2024 m. Parlamentas įrengė saulės baterijų plokštes, be kita ko, V. Havelo pastate Strasbūre;</w:t>
      </w:r>
    </w:p>
    <w:p w14:paraId="795A2DA5"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45.</w:t>
      </w:r>
      <w:r w:rsidRPr="00823EAD">
        <w:rPr>
          <w:kern w:val="2"/>
          <w14:ligatures w14:val="standardContextual"/>
        </w:rPr>
        <w:tab/>
        <w:t>pažymi, kad 2023 m. Ombudsmenas toliau skatino tvarų judumą; atsižvelgdamas į tai, palankiai vertina tai, kad Ombudsmenas patvirtino naują judumo politiką, pagal kurią numatyta mokėti vienodo dydžio įmoką darbuotojams iki AST 8 / AD 8 lygio, kurie naudojasi tvariomis transporto rūšimis, kad galėtų dirbti; remdamasis klausimynu taip pat pažymi, kad iniciatyva, pagal kurią Ombudsmenas suteikė dviračius darbuotojams darbo valandomis, buvo nesėkminga, nes bandomuoju laikotarpiu dviračiai beveik nebuvo naudojami;</w:t>
      </w:r>
    </w:p>
    <w:p w14:paraId="1395FB52" w14:textId="77777777" w:rsidR="00823EAD" w:rsidRPr="00823EAD" w:rsidRDefault="00823EAD" w:rsidP="00823EAD">
      <w:pPr>
        <w:spacing w:after="240"/>
        <w:rPr>
          <w:b/>
          <w:i/>
          <w:kern w:val="2"/>
          <w14:ligatures w14:val="standardContextual"/>
        </w:rPr>
      </w:pPr>
      <w:r w:rsidRPr="00823EAD">
        <w:rPr>
          <w:b/>
          <w:i/>
          <w:kern w:val="2"/>
          <w14:ligatures w14:val="standardContextual"/>
        </w:rPr>
        <w:t>Tarpinstitucinis bendradarbiavimas</w:t>
      </w:r>
    </w:p>
    <w:p w14:paraId="7BD72D4F"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46.</w:t>
      </w:r>
      <w:r w:rsidRPr="00823EAD">
        <w:rPr>
          <w:kern w:val="2"/>
          <w14:ligatures w14:val="standardContextual"/>
        </w:rPr>
        <w:tab/>
        <w:t>palankiai vertina dėl tarpinstitucinio bendradarbiavimo sutaupytas finansines ir administracines lėšas, visų pirma tai, kad su Parlamentu ir Komisija sudaryti įvairūs susitarimai dėl paslaugų lygio ir kad buvo dalyvaujama tarpinstitucinėse viešųjų pirkimų procedūrose; palankiai vertina tai, kad Parlamento ir Ombudsmeno bendradarbiavimas kibernetinio saugumo srityje įformintas peržiūrėtu tarpinstituciniu susitarimu, pagal kurį Parlamentas gali toliau teikti tvirtą paramą Ombudsmenui kibernetinio saugumo srityje; taip pat pažymi, kad 2023 m. Ombudsmenas pasirašė susitarimą dėl paslaugų lygio su EPSO dėl vidaus konkursų organizavimo;</w:t>
      </w:r>
    </w:p>
    <w:p w14:paraId="08F23C9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47.</w:t>
      </w:r>
      <w:r w:rsidRPr="00823EAD">
        <w:rPr>
          <w:kern w:val="2"/>
          <w14:ligatures w14:val="standardContextual"/>
        </w:rPr>
        <w:tab/>
        <w:t xml:space="preserve">giria Ombudsmeną už gerą bendradarbiavimą su Europos kovos su sukčiavimu tarnyba (OLAF), Audito Rūmais ir Europos prokuratūra, kuris 2023 m. vyko rengiant susitikimus ir keičiantis nuomonėmis dėl, pavyzdžiui, būdų, kaip padidinti Sąjungos institucijų skaidrumą ir sąžiningumą arba Sąjungos priežiūros sistemą; primena, kad Ombudsmenas ir OLAF įdiegė sistemą, kuria siekiama išvengti tyrimų dubliavimo; remdamasis klausimynu pažymi, kad Ombudsmenas ir Europos duomenų apsaugos priežiūros pareigūnas (EDAPP) daugiausia bendradarbiauja </w:t>
      </w:r>
      <w:proofErr w:type="spellStart"/>
      <w:r w:rsidRPr="00823EAD">
        <w:rPr>
          <w:i/>
          <w:kern w:val="2"/>
          <w14:ligatures w14:val="standardContextual"/>
        </w:rPr>
        <w:t>ad</w:t>
      </w:r>
      <w:proofErr w:type="spellEnd"/>
      <w:r w:rsidRPr="00823EAD">
        <w:rPr>
          <w:i/>
          <w:kern w:val="2"/>
          <w14:ligatures w14:val="standardContextual"/>
        </w:rPr>
        <w:t xml:space="preserve"> </w:t>
      </w:r>
      <w:proofErr w:type="spellStart"/>
      <w:r w:rsidRPr="00823EAD">
        <w:rPr>
          <w:i/>
          <w:kern w:val="2"/>
          <w14:ligatures w14:val="standardContextual"/>
        </w:rPr>
        <w:t>hoc</w:t>
      </w:r>
      <w:proofErr w:type="spellEnd"/>
      <w:r w:rsidRPr="00823EAD">
        <w:rPr>
          <w:kern w:val="2"/>
          <w14:ligatures w14:val="standardContextual"/>
        </w:rPr>
        <w:t xml:space="preserve"> ir neoficialiu pagrindu, siekdami prireikus greitai ir veiksmingai bendradarbiauti; ragina Ombudsmeną glaudžiai bendradarbiauti su kitomis institucijomis ir Europos agentūromis;</w:t>
      </w:r>
    </w:p>
    <w:p w14:paraId="500A4CBC"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48.</w:t>
      </w:r>
      <w:r w:rsidRPr="00823EAD">
        <w:rPr>
          <w:kern w:val="2"/>
          <w14:ligatures w14:val="standardContextual"/>
        </w:rPr>
        <w:tab/>
        <w:t>ragina Ombudsmeną užmegzti oficialų metinį dialogą su Europos Parlamento CONT ir LIBE komitetais (Biudžeto kontrolės komitetas (CONT) ir Piliečių laisvių, teisingumo ir vidaus reikalų komitetas (LIBE)), užtikrinant sistemingus tolesnius veiksmus, susijusius su institucijų skaidrumu, valdymo reformomis ir pagrindinių teisių apsauga;</w:t>
      </w:r>
    </w:p>
    <w:p w14:paraId="362E9BC5"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49.</w:t>
      </w:r>
      <w:r w:rsidRPr="00823EAD">
        <w:rPr>
          <w:kern w:val="2"/>
          <w14:ligatures w14:val="standardContextual"/>
        </w:rPr>
        <w:tab/>
        <w:t xml:space="preserve">pripažįsta, kad svarbu, jog Ombudsmenas tęstų aukšto lygio mainus ir bendradarbiavimą su Europos ombudsmenų tinklu; palankiai vertina tai, kad 2023 m. surengta Europos ombudsmenų tinklo metinė konferencija ir sesijos tokiomis temomis kaip migracija, dirbtinis intelektas ir etika viešojo administravimo srityje; su pasitenkinimu pažymi, kad taikydamas užklausų procedūrą Ombudsmenas padeda Europos ombudsmenų tinklo nariams išspręsti tyrimus nacionaliniu ir regioniniu lygmenimis, o 2023 m. Ombudsmenas baigė nagrinėti penkias užklausas iš penkių Sąjungos valstybių narių; palankiai vertina tai, kad 2023 m. buvo surengta Europos </w:t>
      </w:r>
      <w:r w:rsidRPr="00823EAD">
        <w:rPr>
          <w:kern w:val="2"/>
          <w14:ligatures w14:val="standardContextual"/>
        </w:rPr>
        <w:lastRenderedPageBreak/>
        <w:t>ombudsmenų tinklo (ENO) metinė konferencija, kuri yra vertinga platforma dialogui pagrindiniais klausimais, turinčiais įtakos ombudsmenų veiklai visoje Europoje;</w:t>
      </w:r>
    </w:p>
    <w:p w14:paraId="351A9561"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50.</w:t>
      </w:r>
      <w:r w:rsidRPr="00823EAD">
        <w:rPr>
          <w:kern w:val="2"/>
          <w14:ligatures w14:val="standardContextual"/>
        </w:rPr>
        <w:tab/>
        <w:t>palankiai vertina tai, kad 2023 m. Ombudsmenas toliau glaudžiai bendradarbiavo su atitinkamais Europos Parlamento komitetais svarbių tyrimų klausimais, tiesiogiai pristatydamas darbą komitetų posėdžiuose arba siųsdamas informaciją komitetų pirmininkams; pabrėžia, kad strateginės iniciatyvos ir tyrimai, kuriuos vykdo Ombudsmenas, yra labai svarbūs didinant Sąjungos administracijos skaidrumą ir atskaitomybę;</w:t>
      </w:r>
    </w:p>
    <w:p w14:paraId="57E188A6" w14:textId="77777777" w:rsidR="00823EAD" w:rsidRPr="00823EAD" w:rsidRDefault="00823EAD" w:rsidP="00823EAD">
      <w:pPr>
        <w:spacing w:after="240"/>
        <w:rPr>
          <w:b/>
          <w:i/>
          <w:kern w:val="2"/>
          <w14:ligatures w14:val="standardContextual"/>
        </w:rPr>
      </w:pPr>
      <w:r w:rsidRPr="00823EAD">
        <w:rPr>
          <w:b/>
          <w:i/>
          <w:kern w:val="2"/>
          <w14:ligatures w14:val="standardContextual"/>
        </w:rPr>
        <w:t>Komunikacija</w:t>
      </w:r>
    </w:p>
    <w:p w14:paraId="02441D0D"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51.</w:t>
      </w:r>
      <w:r w:rsidRPr="00823EAD">
        <w:rPr>
          <w:kern w:val="2"/>
          <w14:ligatures w14:val="standardContextual"/>
        </w:rPr>
        <w:tab/>
        <w:t>pažymi, kad bendras komunikacijos ir skatinimo veiklos (leidinių, renginių organizavimo, skaitmeninės komunikacijos ir kt.) biudžetas 2023 m. padidėjo 17,20 %: nuo 132 400 EUR 2022 m. iki 155 200 EUR;</w:t>
      </w:r>
    </w:p>
    <w:p w14:paraId="0A1B3FE9"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52.</w:t>
      </w:r>
      <w:r w:rsidRPr="00823EAD">
        <w:rPr>
          <w:kern w:val="2"/>
          <w14:ligatures w14:val="standardContextual"/>
        </w:rPr>
        <w:tab/>
        <w:t xml:space="preserve">palankiai vertina Ombudsmeno pastangas didinti piliečių informuotumą apie Ombudsmeno vaidmenį ir galimybę į jį kreiptis netinkamo Sąjungos institucijos administravimo atveju bei jo atliktus veiksmus šioje srityje; atsižvelgdamas į tai, atkreipia dėmesį į 2023 m. vykdytas komunikacijos kampanijas, susijusias su įvairiais vaizdo įrašais, kuriuose pristatomas Ombudsmeno darbas ir paaiškinamos trys pagrindinės jo intervencijų sritys, paaiškinamasis slenkamas pristatymas apie Ombudsmeno darbo poveikį laikui bėgant ir prieigos prie dokumentų vadovas; be to, palankiai vertina tai, kad buvo surengta apdovanojimo už gerą administravimą ceremonija ir kad </w:t>
      </w:r>
      <w:proofErr w:type="spellStart"/>
      <w:r w:rsidRPr="00823EAD">
        <w:rPr>
          <w:kern w:val="2"/>
          <w14:ligatures w14:val="standardContextual"/>
        </w:rPr>
        <w:t>ombudsmenė</w:t>
      </w:r>
      <w:proofErr w:type="spellEnd"/>
      <w:r w:rsidRPr="00823EAD">
        <w:rPr>
          <w:kern w:val="2"/>
          <w14:ligatures w14:val="standardContextual"/>
        </w:rPr>
        <w:t xml:space="preserve"> dalyvavo ES atvirų durų dienos renginyje Briuselyje ir Strasbūre, per kurį ji surengė tikslinius suinteresuotųjų subjektų renginius, kuriuose dalyvavo akademinės bendruomenės atstovai ir ekspertų grupės, ir 2023 m. Strasbūre vykusiame Europos jaunimo renginyje;</w:t>
      </w:r>
    </w:p>
    <w:p w14:paraId="526F8C5C" w14:textId="77777777" w:rsidR="00823EAD" w:rsidRPr="00823EAD" w:rsidRDefault="00823EAD" w:rsidP="00823EAD">
      <w:pPr>
        <w:spacing w:after="240"/>
        <w:ind w:left="567" w:hanging="567"/>
        <w:rPr>
          <w:kern w:val="2"/>
          <w14:ligatures w14:val="standardContextual"/>
        </w:rPr>
      </w:pPr>
      <w:r w:rsidRPr="00823EAD">
        <w:rPr>
          <w:kern w:val="2"/>
          <w14:ligatures w14:val="standardContextual"/>
        </w:rPr>
        <w:t>53.</w:t>
      </w:r>
      <w:r w:rsidRPr="00823EAD">
        <w:rPr>
          <w:kern w:val="2"/>
          <w14:ligatures w14:val="standardContextual"/>
        </w:rPr>
        <w:tab/>
        <w:t>pripažįsta Ombudsmeno pastangas, dedamas siekiant teikti skaidrią informaciją ir skelbti duomenis (įskaitant statistiką apie darbo krūvį) informatyviu ir naudotojui patogiu formatu Ombudsmeno interneto svetainėje (nors tokių duomenų nėra atviruoju formatu); palankiai vertina tai, kad interneto svetainėje paskelbtas visų skundų tyrimų tvarkaraštis, kuriame pateikiama informacija apie ankstesnius ir būsimus kiekvieno tyrimo etapus;</w:t>
      </w:r>
    </w:p>
    <w:p w14:paraId="21C90498" w14:textId="60AA081D" w:rsidR="00E365E1" w:rsidRPr="00F30758" w:rsidRDefault="00823EAD" w:rsidP="00823EAD">
      <w:pPr>
        <w:spacing w:after="240"/>
        <w:ind w:left="567" w:hanging="567"/>
      </w:pPr>
      <w:r w:rsidRPr="00823EAD">
        <w:rPr>
          <w:kern w:val="2"/>
          <w14:ligatures w14:val="standardContextual"/>
        </w:rPr>
        <w:t>54.</w:t>
      </w:r>
      <w:r w:rsidRPr="00823EAD">
        <w:rPr>
          <w:kern w:val="2"/>
          <w14:ligatures w14:val="standardContextual"/>
        </w:rPr>
        <w:tab/>
        <w:t>pažymi, kad Ombudsmenas turi socialinių tinklų paskyras „Instagram“, „</w:t>
      </w:r>
      <w:proofErr w:type="spellStart"/>
      <w:r w:rsidRPr="00823EAD">
        <w:rPr>
          <w:kern w:val="2"/>
          <w14:ligatures w14:val="standardContextual"/>
        </w:rPr>
        <w:t>LinkedIn</w:t>
      </w:r>
      <w:proofErr w:type="spellEnd"/>
      <w:r w:rsidRPr="00823EAD">
        <w:rPr>
          <w:kern w:val="2"/>
          <w14:ligatures w14:val="standardContextual"/>
        </w:rPr>
        <w:t>“, „X“ (buvusi „Twitter“ platforma), kur 2023 m. sekėjų skaičius ir įsitraukimo lygis toliau augo; palankiai vertina Ombudsmeno dalyvavimą bandomajame projekte, kuriam vadovauja EDAPP ir kuriuo siekiama Sąjungos institucijas įtraukti į „EU-</w:t>
      </w:r>
      <w:proofErr w:type="spellStart"/>
      <w:r w:rsidRPr="00823EAD">
        <w:rPr>
          <w:kern w:val="2"/>
          <w14:ligatures w14:val="standardContextual"/>
        </w:rPr>
        <w:t>Voice</w:t>
      </w:r>
      <w:proofErr w:type="spellEnd"/>
      <w:r w:rsidRPr="00823EAD">
        <w:rPr>
          <w:kern w:val="2"/>
          <w14:ligatures w14:val="standardContextual"/>
        </w:rPr>
        <w:t>“ ir „EU-</w:t>
      </w:r>
      <w:proofErr w:type="spellStart"/>
      <w:r w:rsidRPr="00823EAD">
        <w:rPr>
          <w:kern w:val="2"/>
          <w14:ligatures w14:val="standardContextual"/>
        </w:rPr>
        <w:t>Video</w:t>
      </w:r>
      <w:proofErr w:type="spellEnd"/>
      <w:r w:rsidRPr="00823EAD">
        <w:rPr>
          <w:kern w:val="2"/>
          <w14:ligatures w14:val="standardContextual"/>
        </w:rPr>
        <w:t>“ – du nemokamus atvirojo kodo socialinės žiniasklaidos tinklus, pagrįstus „</w:t>
      </w:r>
      <w:proofErr w:type="spellStart"/>
      <w:r w:rsidRPr="00823EAD">
        <w:rPr>
          <w:kern w:val="2"/>
          <w14:ligatures w14:val="standardContextual"/>
        </w:rPr>
        <w:t>Mastodon</w:t>
      </w:r>
      <w:proofErr w:type="spellEnd"/>
      <w:r w:rsidRPr="00823EAD">
        <w:rPr>
          <w:kern w:val="2"/>
          <w14:ligatures w14:val="standardContextual"/>
        </w:rPr>
        <w:t xml:space="preserve">“ programine įranga, kad Sąjungos institucijos galėtų bendrauti su visuomene dalydamosi tekstais, vaizdais, vaizdo įrašais ir </w:t>
      </w:r>
      <w:proofErr w:type="spellStart"/>
      <w:r w:rsidRPr="00823EAD">
        <w:rPr>
          <w:kern w:val="2"/>
          <w14:ligatures w14:val="standardContextual"/>
        </w:rPr>
        <w:t>tinklalaidėmis</w:t>
      </w:r>
      <w:proofErr w:type="spellEnd"/>
      <w:r w:rsidRPr="00823EAD">
        <w:rPr>
          <w:kern w:val="2"/>
          <w14:ligatures w14:val="standardContextual"/>
        </w:rPr>
        <w:t>.</w:t>
      </w:r>
    </w:p>
    <w:sectPr w:rsidR="00E365E1" w:rsidRPr="00F30758" w:rsidSect="00F3075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BB828" w14:textId="77777777" w:rsidR="00A07EBB" w:rsidRPr="00F30758" w:rsidRDefault="00A07EBB">
      <w:r w:rsidRPr="00F30758">
        <w:separator/>
      </w:r>
    </w:p>
  </w:endnote>
  <w:endnote w:type="continuationSeparator" w:id="0">
    <w:p w14:paraId="36B0D925" w14:textId="77777777" w:rsidR="00A07EBB" w:rsidRPr="00F30758" w:rsidRDefault="00A07EBB">
      <w:r w:rsidRPr="00F307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D687" w14:textId="77777777" w:rsidR="00064002" w:rsidRPr="00F307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7933" w14:textId="77777777" w:rsidR="00064002" w:rsidRPr="00F307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3F62C" w14:textId="77777777" w:rsidR="00064002" w:rsidRPr="00F307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89CCE" w14:textId="77777777" w:rsidR="00A07EBB" w:rsidRPr="00F30758" w:rsidRDefault="00A07EBB">
      <w:r w:rsidRPr="00F30758">
        <w:separator/>
      </w:r>
    </w:p>
  </w:footnote>
  <w:footnote w:type="continuationSeparator" w:id="0">
    <w:p w14:paraId="6CE93BD8" w14:textId="77777777" w:rsidR="00A07EBB" w:rsidRPr="00F30758" w:rsidRDefault="00A07EBB">
      <w:r w:rsidRPr="00F30758">
        <w:continuationSeparator/>
      </w:r>
    </w:p>
  </w:footnote>
  <w:footnote w:id="1">
    <w:p w14:paraId="42AE9FF2" w14:textId="77777777" w:rsidR="00823EAD" w:rsidRPr="006D13E5" w:rsidRDefault="00823EAD" w:rsidP="00823EAD">
      <w:pPr>
        <w:pStyle w:val="FootnoteText"/>
        <w:ind w:left="567" w:hanging="567"/>
        <w:rPr>
          <w:sz w:val="24"/>
          <w:szCs w:val="24"/>
          <w:lang w:val="lt-LT"/>
        </w:rPr>
      </w:pPr>
      <w:r w:rsidRPr="006D13E5">
        <w:rPr>
          <w:rStyle w:val="FootnoteReference"/>
          <w:sz w:val="24"/>
          <w:szCs w:val="24"/>
          <w:lang w:val="lt-LT"/>
        </w:rPr>
        <w:footnoteRef/>
      </w:r>
      <w:r w:rsidRPr="006D13E5">
        <w:rPr>
          <w:sz w:val="24"/>
          <w:szCs w:val="24"/>
          <w:lang w:val="lt-LT"/>
        </w:rPr>
        <w:t xml:space="preserve"> </w:t>
      </w:r>
      <w:r w:rsidRPr="000804BB">
        <w:rPr>
          <w:sz w:val="24"/>
          <w:szCs w:val="24"/>
          <w:lang w:val="lt-LT"/>
        </w:rPr>
        <w:tab/>
        <w:t xml:space="preserve">OL L 58, 2023 2 23, p. 1, ELI: </w:t>
      </w:r>
      <w:hyperlink r:id="rId1" w:tooltip="Gives access to this document through its ELI URI." w:history="1">
        <w:r w:rsidRPr="00823EAD">
          <w:rPr>
            <w:rStyle w:val="Hyperlink"/>
            <w:szCs w:val="24"/>
            <w:lang w:val="fi-FI"/>
          </w:rPr>
          <w:t>http://data.europa.eu/eli/budget/2023/1/oj</w:t>
        </w:r>
      </w:hyperlink>
      <w:r w:rsidRPr="000804BB">
        <w:rPr>
          <w:sz w:val="24"/>
          <w:szCs w:val="24"/>
          <w:lang w:val="lt-LT"/>
        </w:rPr>
        <w:t>.</w:t>
      </w:r>
    </w:p>
  </w:footnote>
  <w:footnote w:id="2">
    <w:p w14:paraId="403AE3D3" w14:textId="77777777" w:rsidR="00823EAD" w:rsidRPr="006D13E5" w:rsidRDefault="00823EAD" w:rsidP="00823EAD">
      <w:pPr>
        <w:pStyle w:val="FootnoteText"/>
        <w:ind w:left="567" w:hanging="567"/>
        <w:rPr>
          <w:sz w:val="24"/>
          <w:szCs w:val="24"/>
          <w:lang w:val="lt-LT"/>
        </w:rPr>
      </w:pPr>
      <w:r w:rsidRPr="006D13E5">
        <w:rPr>
          <w:rStyle w:val="FootnoteReference"/>
          <w:sz w:val="24"/>
          <w:szCs w:val="24"/>
          <w:lang w:val="lt-LT"/>
        </w:rPr>
        <w:footnoteRef/>
      </w:r>
      <w:r w:rsidRPr="006D13E5">
        <w:rPr>
          <w:sz w:val="24"/>
          <w:szCs w:val="24"/>
          <w:lang w:val="lt-LT"/>
        </w:rPr>
        <w:t xml:space="preserve"> </w:t>
      </w:r>
      <w:r w:rsidRPr="000804BB">
        <w:rPr>
          <w:sz w:val="24"/>
          <w:szCs w:val="24"/>
          <w:lang w:val="lt-LT"/>
        </w:rPr>
        <w:tab/>
      </w:r>
      <w:r w:rsidRPr="000804BB">
        <w:rPr>
          <w:sz w:val="24"/>
          <w:szCs w:val="24"/>
          <w:lang w:val="lt-LT"/>
        </w:rPr>
        <w:t xml:space="preserve">OL C, C/2024/5462, 2024 10 10, ELI: </w:t>
      </w:r>
      <w:hyperlink r:id="rId2" w:history="1">
        <w:r w:rsidRPr="00823EAD">
          <w:rPr>
            <w:rStyle w:val="Hyperlink"/>
            <w:szCs w:val="24"/>
            <w:lang w:val="fi-FI"/>
          </w:rPr>
          <w:t>http://data.europa.eu/eli/C/2024/5462/oj</w:t>
        </w:r>
      </w:hyperlink>
      <w:r w:rsidRPr="000804BB">
        <w:rPr>
          <w:sz w:val="24"/>
          <w:szCs w:val="24"/>
          <w:lang w:val="lt-LT"/>
        </w:rPr>
        <w:t>.</w:t>
      </w:r>
    </w:p>
  </w:footnote>
  <w:footnote w:id="3">
    <w:p w14:paraId="2E42F87C" w14:textId="77777777" w:rsidR="00823EAD" w:rsidRPr="006D13E5" w:rsidRDefault="00823EAD" w:rsidP="00823EAD">
      <w:pPr>
        <w:pStyle w:val="FootnoteText"/>
        <w:ind w:left="567" w:hanging="567"/>
        <w:rPr>
          <w:sz w:val="24"/>
          <w:szCs w:val="24"/>
          <w:lang w:val="lt-LT"/>
        </w:rPr>
      </w:pPr>
      <w:r w:rsidRPr="006D13E5">
        <w:rPr>
          <w:rStyle w:val="FootnoteReference"/>
          <w:sz w:val="24"/>
          <w:szCs w:val="24"/>
          <w:lang w:val="lt-LT"/>
        </w:rPr>
        <w:footnoteRef/>
      </w:r>
      <w:r w:rsidRPr="006D13E5">
        <w:rPr>
          <w:sz w:val="24"/>
          <w:szCs w:val="24"/>
          <w:lang w:val="lt-LT"/>
        </w:rPr>
        <w:t xml:space="preserve"> </w:t>
      </w:r>
      <w:r w:rsidRPr="000804BB">
        <w:rPr>
          <w:sz w:val="24"/>
          <w:szCs w:val="24"/>
          <w:lang w:val="lt-LT"/>
        </w:rPr>
        <w:tab/>
      </w:r>
      <w:r w:rsidRPr="000804BB">
        <w:rPr>
          <w:sz w:val="24"/>
          <w:szCs w:val="24"/>
          <w:lang w:val="lt-LT"/>
        </w:rPr>
        <w:t xml:space="preserve">OL C, C/2024/5882, 2024 10 9, ELI: </w:t>
      </w:r>
      <w:hyperlink r:id="rId3" w:history="1">
        <w:r w:rsidRPr="00823EAD">
          <w:rPr>
            <w:rStyle w:val="Hyperlink"/>
            <w:szCs w:val="24"/>
            <w:lang w:val="fi-FI"/>
          </w:rPr>
          <w:t>http://data.europa.eu/eli/C/2024/5882/oj</w:t>
        </w:r>
      </w:hyperlink>
      <w:r w:rsidRPr="000804BB">
        <w:rPr>
          <w:sz w:val="24"/>
          <w:szCs w:val="24"/>
          <w:lang w:val="lt-LT"/>
        </w:rPr>
        <w:t>.</w:t>
      </w:r>
    </w:p>
  </w:footnote>
  <w:footnote w:id="4">
    <w:p w14:paraId="5A4376ED" w14:textId="77777777" w:rsidR="00823EAD" w:rsidRPr="006D13E5" w:rsidRDefault="00823EAD" w:rsidP="00823EAD">
      <w:pPr>
        <w:pStyle w:val="FootnoteText"/>
        <w:ind w:left="567" w:hanging="567"/>
        <w:rPr>
          <w:sz w:val="24"/>
          <w:szCs w:val="24"/>
          <w:lang w:val="lt-LT"/>
        </w:rPr>
      </w:pPr>
      <w:r w:rsidRPr="006D13E5">
        <w:rPr>
          <w:rStyle w:val="FootnoteReference"/>
          <w:sz w:val="24"/>
          <w:szCs w:val="24"/>
          <w:lang w:val="lt-LT"/>
        </w:rPr>
        <w:footnoteRef/>
      </w:r>
      <w:r w:rsidRPr="006D13E5">
        <w:rPr>
          <w:sz w:val="24"/>
          <w:szCs w:val="24"/>
          <w:lang w:val="lt-LT"/>
        </w:rPr>
        <w:t xml:space="preserve"> </w:t>
      </w:r>
      <w:r w:rsidRPr="000804BB">
        <w:rPr>
          <w:sz w:val="24"/>
          <w:szCs w:val="24"/>
          <w:lang w:val="lt-LT"/>
        </w:rPr>
        <w:tab/>
      </w:r>
      <w:r w:rsidRPr="000804BB">
        <w:rPr>
          <w:sz w:val="24"/>
          <w:szCs w:val="24"/>
          <w:lang w:val="lt-LT"/>
        </w:rPr>
        <w:t xml:space="preserve">OL C, C/2024/6041, 2024 10 10, ELI: </w:t>
      </w:r>
      <w:hyperlink r:id="rId4" w:history="1">
        <w:r w:rsidRPr="00823EAD">
          <w:rPr>
            <w:rStyle w:val="Hyperlink"/>
            <w:szCs w:val="24"/>
            <w:lang w:val="fi-FI"/>
          </w:rPr>
          <w:t>http://data.europa.eu/eli/C/2024/6041/oj</w:t>
        </w:r>
      </w:hyperlink>
      <w:r w:rsidRPr="000804BB">
        <w:rPr>
          <w:sz w:val="24"/>
          <w:szCs w:val="24"/>
          <w:lang w:val="lt-LT"/>
        </w:rPr>
        <w:t>.</w:t>
      </w:r>
    </w:p>
  </w:footnote>
  <w:footnote w:id="5">
    <w:p w14:paraId="69363FAE" w14:textId="77777777" w:rsidR="00823EAD" w:rsidRPr="006D13E5" w:rsidRDefault="00823EAD" w:rsidP="00823EAD">
      <w:pPr>
        <w:pStyle w:val="FootnoteText"/>
        <w:ind w:left="567" w:hanging="567"/>
        <w:rPr>
          <w:sz w:val="24"/>
          <w:szCs w:val="24"/>
          <w:lang w:val="lt-LT"/>
        </w:rPr>
      </w:pPr>
      <w:r w:rsidRPr="006D13E5">
        <w:rPr>
          <w:rStyle w:val="FootnoteReference"/>
          <w:sz w:val="24"/>
          <w:szCs w:val="24"/>
          <w:lang w:val="lt-LT"/>
        </w:rPr>
        <w:footnoteRef/>
      </w:r>
      <w:r w:rsidRPr="006D13E5">
        <w:rPr>
          <w:sz w:val="24"/>
          <w:szCs w:val="24"/>
          <w:lang w:val="lt-LT"/>
        </w:rPr>
        <w:t xml:space="preserve"> </w:t>
      </w:r>
      <w:r w:rsidRPr="000804BB">
        <w:rPr>
          <w:sz w:val="24"/>
          <w:szCs w:val="24"/>
          <w:lang w:val="lt-LT"/>
        </w:rPr>
        <w:tab/>
      </w:r>
      <w:r w:rsidRPr="000804BB">
        <w:rPr>
          <w:sz w:val="24"/>
          <w:szCs w:val="24"/>
          <w:lang w:val="lt-LT"/>
        </w:rPr>
        <w:t xml:space="preserve">OL L 193, 2018 7 30, p. 1, ELI: </w:t>
      </w:r>
      <w:hyperlink r:id="rId5" w:history="1">
        <w:r w:rsidRPr="00823EAD">
          <w:rPr>
            <w:rStyle w:val="Hyperlink"/>
            <w:szCs w:val="24"/>
            <w:lang w:val="fi-FI"/>
          </w:rPr>
          <w:t>http://data.europa.eu/eli/reg/2018/1046/oj</w:t>
        </w:r>
      </w:hyperlink>
      <w:r w:rsidRPr="000804BB">
        <w:rPr>
          <w:sz w:val="24"/>
          <w:szCs w:val="24"/>
          <w:lang w:val="lt-LT"/>
        </w:rPr>
        <w:t>.</w:t>
      </w:r>
    </w:p>
  </w:footnote>
  <w:footnote w:id="6">
    <w:p w14:paraId="6135F164" w14:textId="77777777" w:rsidR="00823EAD" w:rsidRPr="006D13E5" w:rsidRDefault="00823EAD" w:rsidP="00823EAD">
      <w:pPr>
        <w:pStyle w:val="FootnoteText"/>
        <w:ind w:left="567" w:hanging="567"/>
        <w:rPr>
          <w:sz w:val="24"/>
          <w:szCs w:val="24"/>
          <w:lang w:val="lt-LT"/>
        </w:rPr>
      </w:pPr>
      <w:r w:rsidRPr="006D13E5">
        <w:rPr>
          <w:rStyle w:val="FootnoteReference"/>
          <w:sz w:val="24"/>
          <w:szCs w:val="24"/>
          <w:lang w:val="lt-LT"/>
        </w:rPr>
        <w:footnoteRef/>
      </w:r>
      <w:r w:rsidRPr="006D13E5">
        <w:rPr>
          <w:sz w:val="24"/>
          <w:szCs w:val="24"/>
          <w:lang w:val="lt-LT"/>
        </w:rPr>
        <w:t xml:space="preserve"> </w:t>
      </w:r>
      <w:r w:rsidRPr="000804BB">
        <w:rPr>
          <w:sz w:val="24"/>
          <w:szCs w:val="24"/>
          <w:lang w:val="lt-LT"/>
        </w:rPr>
        <w:tab/>
      </w:r>
      <w:r w:rsidRPr="000804BB">
        <w:rPr>
          <w:sz w:val="24"/>
          <w:szCs w:val="24"/>
          <w:lang w:val="lt-LT"/>
        </w:rPr>
        <w:t xml:space="preserve">OL L, 2024/2509, 2024 9 26, ELI: </w:t>
      </w:r>
      <w:hyperlink r:id="rId6" w:history="1">
        <w:r w:rsidRPr="00823EAD">
          <w:rPr>
            <w:rStyle w:val="Hyperlink"/>
            <w:szCs w:val="24"/>
            <w:lang w:val="fi-FI"/>
          </w:rPr>
          <w:t>https://data.europa.eu/eli/reg/2024/2509/oj</w:t>
        </w:r>
      </w:hyperlink>
      <w:r w:rsidRPr="00823EAD">
        <w:rPr>
          <w:rStyle w:val="Hyperlink"/>
          <w:szCs w:val="24"/>
          <w:lang w:val="fi-FI"/>
        </w:rPr>
        <w:t>.</w:t>
      </w:r>
    </w:p>
  </w:footnote>
  <w:footnote w:id="7">
    <w:p w14:paraId="6D7A7AD8" w14:textId="77777777" w:rsidR="00823EAD" w:rsidRPr="00E47569" w:rsidRDefault="00823EAD" w:rsidP="00823EAD">
      <w:pPr>
        <w:pStyle w:val="FootnoteText"/>
        <w:ind w:left="567" w:hanging="567"/>
        <w:rPr>
          <w:sz w:val="24"/>
          <w:szCs w:val="24"/>
          <w:lang w:val="lt-LT"/>
        </w:rPr>
      </w:pPr>
      <w:r w:rsidRPr="00E47569">
        <w:rPr>
          <w:rStyle w:val="FootnoteReference"/>
          <w:sz w:val="24"/>
          <w:szCs w:val="24"/>
          <w:lang w:val="lt-LT"/>
        </w:rPr>
        <w:footnoteRef/>
      </w:r>
      <w:r w:rsidRPr="000804BB">
        <w:rPr>
          <w:sz w:val="24"/>
          <w:szCs w:val="24"/>
          <w:lang w:val="lt-LT"/>
        </w:rPr>
        <w:tab/>
      </w:r>
      <w:r w:rsidRPr="000804BB">
        <w:rPr>
          <w:sz w:val="24"/>
          <w:szCs w:val="24"/>
          <w:lang w:val="lt-LT"/>
        </w:rPr>
        <w:t xml:space="preserve">2021 m. birželio 24 d.  Europos Parlamento reglamentas (ES, Euratomas) 2021/1163, kuriuo nustatomos ombudsmeno pareigų atlikimą reglamentuojančios nuostatos ir bendrosios sąlygos (Europos ombudsmeno statutas) ir panaikinamas Sprendimas 94/262/EAPB, EB, Euratomas (OL L 253, 2021 7 16, p. 1, ELI: </w:t>
      </w:r>
      <w:hyperlink r:id="rId7" w:history="1">
        <w:r w:rsidRPr="00823EAD">
          <w:rPr>
            <w:rStyle w:val="Hyperlink"/>
            <w:szCs w:val="24"/>
            <w:lang w:val="lt-LT"/>
          </w:rPr>
          <w:t>http://data.europa.eu/eli/reg/2021/1163/oj</w:t>
        </w:r>
      </w:hyperlink>
      <w:r w:rsidRPr="00565952">
        <w:rPr>
          <w:sz w:val="24"/>
          <w:lang w:val="lt-LT"/>
        </w:rPr>
        <w:t>)</w:t>
      </w:r>
      <w:r w:rsidRPr="000804BB">
        <w:rPr>
          <w:sz w:val="24"/>
          <w:szCs w:val="24"/>
          <w:lang w:val="lt-LT"/>
        </w:rPr>
        <w:t>.</w:t>
      </w:r>
    </w:p>
  </w:footnote>
  <w:footnote w:id="8">
    <w:p w14:paraId="0EC7916E" w14:textId="77777777" w:rsidR="00823EAD" w:rsidRPr="00E47569" w:rsidRDefault="00823EAD" w:rsidP="00823EAD">
      <w:pPr>
        <w:pStyle w:val="FootnoteText"/>
        <w:ind w:left="567" w:hanging="567"/>
        <w:rPr>
          <w:sz w:val="24"/>
          <w:szCs w:val="24"/>
          <w:lang w:val="lt-LT"/>
        </w:rPr>
      </w:pPr>
      <w:r w:rsidRPr="00E47569">
        <w:rPr>
          <w:rStyle w:val="FootnoteReference"/>
          <w:sz w:val="24"/>
          <w:szCs w:val="24"/>
          <w:lang w:val="lt-LT"/>
        </w:rPr>
        <w:footnoteRef/>
      </w:r>
      <w:r w:rsidRPr="000804BB">
        <w:rPr>
          <w:color w:val="333333"/>
          <w:sz w:val="24"/>
          <w:szCs w:val="24"/>
          <w:shd w:val="clear" w:color="auto" w:fill="FFFFFF"/>
          <w:lang w:val="lt-LT"/>
        </w:rPr>
        <w:tab/>
      </w:r>
      <w:r w:rsidRPr="000804BB">
        <w:rPr>
          <w:color w:val="333333"/>
          <w:sz w:val="24"/>
          <w:szCs w:val="24"/>
          <w:shd w:val="clear" w:color="auto" w:fill="FFFFFF"/>
          <w:lang w:val="lt-LT"/>
        </w:rPr>
        <w:t xml:space="preserve">OL C, C/2023/161, 2023 10 10, ELI: </w:t>
      </w:r>
      <w:hyperlink r:id="rId8" w:tgtFrame="_blank" w:tooltip="Prieiga prie šio dokumento suteikiama naudojantis ELI sistemoje jam suteiktu URI." w:history="1">
        <w:r w:rsidRPr="00823EAD">
          <w:rPr>
            <w:rStyle w:val="Hyperlink"/>
            <w:color w:val="23527C"/>
            <w:szCs w:val="24"/>
            <w:lang w:val="fi-FI"/>
          </w:rPr>
          <w:t>http://data.europa.eu/eli/C/2023/161/oj</w:t>
        </w:r>
      </w:hyperlink>
      <w:r w:rsidRPr="000804BB">
        <w:rPr>
          <w:color w:val="23527C"/>
          <w:sz w:val="24"/>
          <w:szCs w:val="24"/>
          <w:lang w:val="lt-LT"/>
        </w:rPr>
        <w:t>.</w:t>
      </w:r>
    </w:p>
  </w:footnote>
  <w:footnote w:id="9">
    <w:p w14:paraId="69B48341" w14:textId="0D145914" w:rsidR="00823EAD" w:rsidRPr="00E47569" w:rsidRDefault="00823EAD" w:rsidP="00823EAD">
      <w:pPr>
        <w:pStyle w:val="FootnoteText"/>
        <w:ind w:left="567" w:hanging="567"/>
        <w:rPr>
          <w:sz w:val="24"/>
          <w:lang w:val="lt-LT"/>
        </w:rPr>
      </w:pPr>
      <w:r w:rsidRPr="00E47569">
        <w:rPr>
          <w:rStyle w:val="FootnoteReference"/>
          <w:sz w:val="24"/>
        </w:rPr>
        <w:footnoteRef/>
      </w:r>
      <w:r w:rsidRPr="00565952">
        <w:rPr>
          <w:sz w:val="24"/>
          <w:lang w:val="lt-LT"/>
        </w:rPr>
        <w:t xml:space="preserve"> </w:t>
      </w:r>
      <w:r w:rsidRPr="00565952">
        <w:rPr>
          <w:sz w:val="24"/>
          <w:lang w:val="lt-LT"/>
        </w:rPr>
        <w:tab/>
      </w:r>
      <w:r w:rsidRPr="00565952">
        <w:rPr>
          <w:sz w:val="24"/>
          <w:lang w:val="lt-LT"/>
        </w:rPr>
        <w:t>2001 m. gegužės 30 d. Europos Parlamento ir Tarybos reglamentas (EB) Nr. 1049/2001 dėl galimybės visuomenei susipažinti su Europos Parlamento, Tarybos ir Komisijos dokumentais (OL L 145, 2001 5 31, p. 43,</w:t>
      </w:r>
      <w:r>
        <w:rPr>
          <w:sz w:val="24"/>
          <w:lang w:val="lt-LT"/>
        </w:rPr>
        <w:t xml:space="preserve"> </w:t>
      </w:r>
      <w:r w:rsidRPr="00823EAD">
        <w:rPr>
          <w:sz w:val="24"/>
          <w:lang w:val="lt-LT"/>
        </w:rPr>
        <w:t xml:space="preserve">ELI: </w:t>
      </w:r>
      <w:hyperlink r:id="rId9" w:history="1">
        <w:r w:rsidRPr="00823EAD">
          <w:rPr>
            <w:rStyle w:val="Hyperlink"/>
            <w:lang w:val="lt-LT"/>
          </w:rPr>
          <w:t>http://data.europa.eu/eli/reg/2001/1049/oj</w:t>
        </w:r>
      </w:hyperlink>
      <w:r w:rsidRPr="00823EAD">
        <w:rPr>
          <w:sz w:val="24"/>
          <w:lang w:val="lt-LT"/>
        </w:rPr>
        <w:t xml:space="preserve">). </w:t>
      </w:r>
    </w:p>
  </w:footnote>
  <w:footnote w:id="10">
    <w:p w14:paraId="4D1C3E30" w14:textId="77777777" w:rsidR="00823EAD" w:rsidRPr="00E47569" w:rsidRDefault="00823EAD" w:rsidP="00823EAD">
      <w:pPr>
        <w:pStyle w:val="FootnoteText"/>
        <w:ind w:left="567" w:hanging="567"/>
        <w:rPr>
          <w:sz w:val="24"/>
          <w:szCs w:val="24"/>
          <w:lang w:val="lt-LT"/>
        </w:rPr>
      </w:pPr>
      <w:r w:rsidRPr="00E47569">
        <w:rPr>
          <w:rStyle w:val="FootnoteReference"/>
          <w:sz w:val="24"/>
          <w:szCs w:val="24"/>
          <w:lang w:val="lt-LT"/>
        </w:rPr>
        <w:footnoteRef/>
      </w:r>
      <w:r w:rsidRPr="000804BB">
        <w:rPr>
          <w:sz w:val="24"/>
          <w:szCs w:val="24"/>
          <w:lang w:val="lt-LT"/>
        </w:rPr>
        <w:tab/>
      </w:r>
      <w:hyperlink r:id="rId10" w:history="1">
        <w:r w:rsidRPr="00823EAD">
          <w:rPr>
            <w:rStyle w:val="Hyperlink"/>
            <w:szCs w:val="24"/>
            <w:lang w:val="lt-LT"/>
          </w:rPr>
          <w:t>https://www.ombudsman.europa.eu/lt/doc/annual-report/lt/183636</w:t>
        </w:r>
      </w:hyperlink>
      <w:r w:rsidRPr="000804BB">
        <w:rPr>
          <w:sz w:val="24"/>
          <w:szCs w:val="24"/>
          <w:lang w:val="lt-LT"/>
        </w:rPr>
        <w:t xml:space="preserve">. </w:t>
      </w:r>
    </w:p>
  </w:footnote>
  <w:footnote w:id="11">
    <w:p w14:paraId="4F8A8EA7" w14:textId="77777777" w:rsidR="00823EAD" w:rsidRPr="00E47569" w:rsidRDefault="00823EAD" w:rsidP="00823EAD">
      <w:pPr>
        <w:pStyle w:val="FootnoteText"/>
        <w:ind w:left="567" w:hanging="567"/>
        <w:rPr>
          <w:sz w:val="24"/>
          <w:szCs w:val="24"/>
          <w:lang w:val="lt-LT"/>
        </w:rPr>
      </w:pPr>
      <w:r w:rsidRPr="00E47569">
        <w:rPr>
          <w:rStyle w:val="FootnoteReference"/>
          <w:sz w:val="24"/>
          <w:szCs w:val="24"/>
          <w:lang w:val="lt-LT"/>
        </w:rPr>
        <w:footnoteRef/>
      </w:r>
      <w:r w:rsidRPr="000804BB">
        <w:rPr>
          <w:sz w:val="24"/>
          <w:szCs w:val="24"/>
          <w:lang w:val="lt-LT"/>
        </w:rPr>
        <w:tab/>
      </w:r>
      <w:hyperlink r:id="rId11" w:history="1">
        <w:r w:rsidRPr="00823EAD">
          <w:rPr>
            <w:rStyle w:val="Hyperlink"/>
            <w:szCs w:val="24"/>
            <w:lang w:val="lt-LT"/>
          </w:rPr>
          <w:t>https://www.ombudsman.europa.eu/en/multimedia/infographics/lt/142</w:t>
        </w:r>
      </w:hyperlink>
      <w:r w:rsidRPr="000804BB">
        <w:rPr>
          <w:sz w:val="24"/>
          <w:szCs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AC271" w14:textId="77777777" w:rsidR="00064002" w:rsidRPr="00F307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8234A" w14:textId="77777777" w:rsidR="00064002" w:rsidRPr="00F307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AA89C" w14:textId="77777777" w:rsidR="00064002" w:rsidRPr="00F307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4867712">
    <w:abstractNumId w:val="9"/>
  </w:num>
  <w:num w:numId="2" w16cid:durableId="1760447367">
    <w:abstractNumId w:val="9"/>
  </w:num>
  <w:num w:numId="3" w16cid:durableId="820851561">
    <w:abstractNumId w:val="7"/>
  </w:num>
  <w:num w:numId="4" w16cid:durableId="237594305">
    <w:abstractNumId w:val="7"/>
  </w:num>
  <w:num w:numId="5" w16cid:durableId="318654626">
    <w:abstractNumId w:val="6"/>
  </w:num>
  <w:num w:numId="6" w16cid:durableId="1220164586">
    <w:abstractNumId w:val="6"/>
  </w:num>
  <w:num w:numId="7" w16cid:durableId="1001465942">
    <w:abstractNumId w:val="5"/>
  </w:num>
  <w:num w:numId="8" w16cid:durableId="617880058">
    <w:abstractNumId w:val="5"/>
  </w:num>
  <w:num w:numId="9" w16cid:durableId="1521973605">
    <w:abstractNumId w:val="4"/>
  </w:num>
  <w:num w:numId="10" w16cid:durableId="229924524">
    <w:abstractNumId w:val="4"/>
  </w:num>
  <w:num w:numId="11" w16cid:durableId="795219456">
    <w:abstractNumId w:val="8"/>
  </w:num>
  <w:num w:numId="12" w16cid:durableId="642850470">
    <w:abstractNumId w:val="8"/>
  </w:num>
  <w:num w:numId="13" w16cid:durableId="1015116276">
    <w:abstractNumId w:val="3"/>
  </w:num>
  <w:num w:numId="14" w16cid:durableId="1742098594">
    <w:abstractNumId w:val="3"/>
  </w:num>
  <w:num w:numId="15" w16cid:durableId="1193346793">
    <w:abstractNumId w:val="2"/>
  </w:num>
  <w:num w:numId="16" w16cid:durableId="326784822">
    <w:abstractNumId w:val="2"/>
  </w:num>
  <w:num w:numId="17" w16cid:durableId="465398002">
    <w:abstractNumId w:val="1"/>
  </w:num>
  <w:num w:numId="18" w16cid:durableId="1171873212">
    <w:abstractNumId w:val="1"/>
  </w:num>
  <w:num w:numId="19" w16cid:durableId="1775829078">
    <w:abstractNumId w:val="0"/>
  </w:num>
  <w:num w:numId="20" w16cid:durableId="773553282">
    <w:abstractNumId w:val="0"/>
  </w:num>
  <w:num w:numId="21" w16cid:durableId="349383034">
    <w:abstractNumId w:val="9"/>
  </w:num>
  <w:num w:numId="22" w16cid:durableId="1395004272">
    <w:abstractNumId w:val="7"/>
  </w:num>
  <w:num w:numId="23" w16cid:durableId="470372031">
    <w:abstractNumId w:val="6"/>
  </w:num>
  <w:num w:numId="24" w16cid:durableId="281235112">
    <w:abstractNumId w:val="5"/>
  </w:num>
  <w:num w:numId="25" w16cid:durableId="501700067">
    <w:abstractNumId w:val="4"/>
  </w:num>
  <w:num w:numId="26" w16cid:durableId="2084377158">
    <w:abstractNumId w:val="8"/>
  </w:num>
  <w:num w:numId="27" w16cid:durableId="1896159267">
    <w:abstractNumId w:val="3"/>
  </w:num>
  <w:num w:numId="28" w16cid:durableId="2042825782">
    <w:abstractNumId w:val="2"/>
  </w:num>
  <w:num w:numId="29" w16cid:durableId="174661945">
    <w:abstractNumId w:val="1"/>
  </w:num>
  <w:num w:numId="30" w16cid:durableId="2068915537">
    <w:abstractNumId w:val="0"/>
  </w:num>
  <w:num w:numId="31" w16cid:durableId="1009790951">
    <w:abstractNumId w:val="9"/>
  </w:num>
  <w:num w:numId="32" w16cid:durableId="2097362109">
    <w:abstractNumId w:val="7"/>
  </w:num>
  <w:num w:numId="33" w16cid:durableId="1133329093">
    <w:abstractNumId w:val="6"/>
  </w:num>
  <w:num w:numId="34" w16cid:durableId="775293973">
    <w:abstractNumId w:val="5"/>
  </w:num>
  <w:num w:numId="35" w16cid:durableId="1281301726">
    <w:abstractNumId w:val="4"/>
  </w:num>
  <w:num w:numId="36" w16cid:durableId="794559930">
    <w:abstractNumId w:val="8"/>
  </w:num>
  <w:num w:numId="37" w16cid:durableId="1155145404">
    <w:abstractNumId w:val="3"/>
  </w:num>
  <w:num w:numId="38" w16cid:durableId="1960723054">
    <w:abstractNumId w:val="2"/>
  </w:num>
  <w:num w:numId="39" w16cid:durableId="1278609059">
    <w:abstractNumId w:val="1"/>
  </w:num>
  <w:num w:numId="40" w16cid:durableId="1226992557">
    <w:abstractNumId w:val="0"/>
  </w:num>
  <w:num w:numId="41" w16cid:durableId="1561601413">
    <w:abstractNumId w:val="10"/>
  </w:num>
  <w:num w:numId="42" w16cid:durableId="208080636">
    <w:abstractNumId w:val="10"/>
  </w:num>
  <w:num w:numId="43" w16cid:durableId="140580069">
    <w:abstractNumId w:val="10"/>
  </w:num>
  <w:num w:numId="44" w16cid:durableId="672879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LT"/>
    <w:docVar w:name="dvnumam" w:val="0"/>
    <w:docVar w:name="dvpe" w:val="764.991"/>
    <w:docVar w:name="dvrapporteur" w:val="Pranešėjas: "/>
    <w:docVar w:name="dvtitre" w:val="1. 2025 m. geguzes 7 d. Europos Parlamento sprendimas dėl 2023 finansinių metų Europos Sąjungos bendrojo biudžeto įvykdymo patvirtinimo, VIII skirsnis – Europos ombudsmenas(2024/2027(DEC))"/>
  </w:docVars>
  <w:rsids>
    <w:rsidRoot w:val="00A07EBB"/>
    <w:rsid w:val="00002272"/>
    <w:rsid w:val="00064002"/>
    <w:rsid w:val="000677B9"/>
    <w:rsid w:val="00072A19"/>
    <w:rsid w:val="000831BA"/>
    <w:rsid w:val="000A42CC"/>
    <w:rsid w:val="000E7DD9"/>
    <w:rsid w:val="000F6220"/>
    <w:rsid w:val="0010095E"/>
    <w:rsid w:val="00125B37"/>
    <w:rsid w:val="00187494"/>
    <w:rsid w:val="001F32AE"/>
    <w:rsid w:val="0022180F"/>
    <w:rsid w:val="002767FF"/>
    <w:rsid w:val="0028654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584C"/>
    <w:rsid w:val="00731ADD"/>
    <w:rsid w:val="00734777"/>
    <w:rsid w:val="00747932"/>
    <w:rsid w:val="00751A4A"/>
    <w:rsid w:val="00756632"/>
    <w:rsid w:val="00762C74"/>
    <w:rsid w:val="00786EC0"/>
    <w:rsid w:val="007D1690"/>
    <w:rsid w:val="007E22AD"/>
    <w:rsid w:val="00817416"/>
    <w:rsid w:val="00823EAD"/>
    <w:rsid w:val="00842779"/>
    <w:rsid w:val="00865F67"/>
    <w:rsid w:val="00881A7B"/>
    <w:rsid w:val="008840E5"/>
    <w:rsid w:val="00887B3E"/>
    <w:rsid w:val="008C2AC6"/>
    <w:rsid w:val="00907AC1"/>
    <w:rsid w:val="00930C23"/>
    <w:rsid w:val="0093193B"/>
    <w:rsid w:val="009509D8"/>
    <w:rsid w:val="00950B64"/>
    <w:rsid w:val="00981893"/>
    <w:rsid w:val="00A07EBB"/>
    <w:rsid w:val="00A1687D"/>
    <w:rsid w:val="00A43E52"/>
    <w:rsid w:val="00A4678D"/>
    <w:rsid w:val="00A778C7"/>
    <w:rsid w:val="00AB441E"/>
    <w:rsid w:val="00AB6293"/>
    <w:rsid w:val="00AE0928"/>
    <w:rsid w:val="00AF3B82"/>
    <w:rsid w:val="00AF5C36"/>
    <w:rsid w:val="00B12E95"/>
    <w:rsid w:val="00B22876"/>
    <w:rsid w:val="00B558F0"/>
    <w:rsid w:val="00BC41E6"/>
    <w:rsid w:val="00BD48FE"/>
    <w:rsid w:val="00BD7BD8"/>
    <w:rsid w:val="00BE6ADC"/>
    <w:rsid w:val="00C05BFE"/>
    <w:rsid w:val="00C23CD4"/>
    <w:rsid w:val="00C61C0C"/>
    <w:rsid w:val="00C941CB"/>
    <w:rsid w:val="00CC2357"/>
    <w:rsid w:val="00CD2A27"/>
    <w:rsid w:val="00CF071A"/>
    <w:rsid w:val="00D058B8"/>
    <w:rsid w:val="00D56C11"/>
    <w:rsid w:val="00D70E21"/>
    <w:rsid w:val="00D834A0"/>
    <w:rsid w:val="00D872DF"/>
    <w:rsid w:val="00D91E21"/>
    <w:rsid w:val="00DA7FCD"/>
    <w:rsid w:val="00E365E1"/>
    <w:rsid w:val="00E820A4"/>
    <w:rsid w:val="00EB006A"/>
    <w:rsid w:val="00EB4772"/>
    <w:rsid w:val="00ED169E"/>
    <w:rsid w:val="00ED4235"/>
    <w:rsid w:val="00F04346"/>
    <w:rsid w:val="00F075DC"/>
    <w:rsid w:val="00F149E9"/>
    <w:rsid w:val="00F3075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7D4AC"/>
  <w15:chartTrackingRefBased/>
  <w15:docId w15:val="{2FDEF996-E6A8-493E-A567-74AFD783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5C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5C36"/>
    <w:pPr>
      <w:spacing w:before="480" w:after="240"/>
    </w:pPr>
  </w:style>
  <w:style w:type="paragraph" w:customStyle="1" w:styleId="PageHeading">
    <w:name w:val="PageHeading"/>
    <w:basedOn w:val="Normal"/>
    <w:rsid w:val="00AF5C36"/>
    <w:pPr>
      <w:keepNext/>
      <w:spacing w:after="480"/>
      <w:jc w:val="center"/>
    </w:pPr>
    <w:rPr>
      <w:rFonts w:ascii="Arial" w:hAnsi="Arial" w:cs="Arial"/>
      <w:b/>
    </w:rPr>
  </w:style>
  <w:style w:type="paragraph" w:customStyle="1" w:styleId="NormalBold">
    <w:name w:val="NormalBold"/>
    <w:basedOn w:val="Normal"/>
    <w:rsid w:val="00AF5C36"/>
    <w:rPr>
      <w:b/>
    </w:rPr>
  </w:style>
  <w:style w:type="paragraph" w:customStyle="1" w:styleId="NormalHanging12a">
    <w:name w:val="NormalHanging12a"/>
    <w:basedOn w:val="Normal"/>
    <w:link w:val="NormalHanging12aChar"/>
    <w:qFormat/>
    <w:rsid w:val="00AF5C36"/>
    <w:pPr>
      <w:spacing w:after="240"/>
      <w:ind w:left="567" w:hanging="567"/>
    </w:pPr>
  </w:style>
  <w:style w:type="paragraph" w:styleId="Header">
    <w:name w:val="header"/>
    <w:basedOn w:val="Normal"/>
    <w:link w:val="HeaderChar"/>
    <w:rsid w:val="00AF5C36"/>
    <w:pPr>
      <w:tabs>
        <w:tab w:val="center" w:pos="4513"/>
        <w:tab w:val="right" w:pos="9026"/>
      </w:tabs>
    </w:pPr>
  </w:style>
  <w:style w:type="character" w:customStyle="1" w:styleId="HeaderChar">
    <w:name w:val="Header Char"/>
    <w:basedOn w:val="DefaultParagraphFont"/>
    <w:link w:val="Header"/>
    <w:rsid w:val="00AF5C36"/>
    <w:rPr>
      <w:sz w:val="24"/>
      <w:lang w:val="lt-LT"/>
    </w:rPr>
  </w:style>
  <w:style w:type="paragraph" w:customStyle="1" w:styleId="EPFooter">
    <w:name w:val="EPFooter"/>
    <w:basedOn w:val="Normal"/>
    <w:rsid w:val="00AF5C36"/>
    <w:pPr>
      <w:tabs>
        <w:tab w:val="center" w:pos="4535"/>
        <w:tab w:val="right" w:pos="9071"/>
      </w:tabs>
      <w:spacing w:before="240" w:after="240"/>
    </w:pPr>
    <w:rPr>
      <w:color w:val="010000"/>
      <w:sz w:val="22"/>
    </w:rPr>
  </w:style>
  <w:style w:type="character" w:styleId="Hyperlink">
    <w:name w:val="Hyperlink"/>
    <w:basedOn w:val="DefaultParagraphFont"/>
    <w:rsid w:val="00AF5C36"/>
    <w:rPr>
      <w:color w:val="0563C1" w:themeColor="hyperlink"/>
      <w:u w:val="single"/>
    </w:rPr>
  </w:style>
  <w:style w:type="character" w:customStyle="1" w:styleId="NormalHanging12aChar">
    <w:name w:val="NormalHanging12a Char"/>
    <w:basedOn w:val="DefaultParagraphFont"/>
    <w:link w:val="NormalHanging12a"/>
    <w:locked/>
    <w:rsid w:val="00AF5C36"/>
    <w:rPr>
      <w:sz w:val="24"/>
      <w:lang w:val="lt-LT"/>
    </w:rPr>
  </w:style>
  <w:style w:type="paragraph" w:customStyle="1" w:styleId="NormalCenter12a">
    <w:name w:val="NormalCenter12a"/>
    <w:basedOn w:val="Normal"/>
    <w:rsid w:val="00AF5C36"/>
    <w:pPr>
      <w:spacing w:after="240"/>
      <w:jc w:val="center"/>
    </w:pPr>
  </w:style>
  <w:style w:type="paragraph" w:styleId="BalloonText">
    <w:name w:val="Balloon Text"/>
    <w:basedOn w:val="Normal"/>
    <w:link w:val="BalloonTextChar"/>
    <w:rsid w:val="00BC41E6"/>
    <w:rPr>
      <w:rFonts w:ascii="Segoe UI" w:hAnsi="Segoe UI" w:cs="Segoe UI"/>
      <w:sz w:val="18"/>
      <w:szCs w:val="18"/>
    </w:rPr>
  </w:style>
  <w:style w:type="character" w:customStyle="1" w:styleId="BalloonTextChar">
    <w:name w:val="Balloon Text Char"/>
    <w:basedOn w:val="DefaultParagraphFont"/>
    <w:link w:val="BalloonText"/>
    <w:rsid w:val="00BC41E6"/>
    <w:rPr>
      <w:rFonts w:ascii="Segoe UI" w:hAnsi="Segoe UI" w:cs="Segoe UI"/>
      <w:sz w:val="18"/>
      <w:szCs w:val="18"/>
      <w:lang w:val="lt-LT"/>
    </w:rPr>
  </w:style>
  <w:style w:type="character" w:styleId="CommentReference">
    <w:name w:val="annotation reference"/>
    <w:basedOn w:val="DefaultParagraphFont"/>
    <w:uiPriority w:val="99"/>
    <w:unhideWhenUsed/>
    <w:rsid w:val="00823EAD"/>
    <w:rPr>
      <w:sz w:val="16"/>
      <w:szCs w:val="16"/>
    </w:rPr>
  </w:style>
  <w:style w:type="paragraph" w:styleId="CommentText">
    <w:name w:val="annotation text"/>
    <w:basedOn w:val="Normal"/>
    <w:link w:val="CommentTextChar"/>
    <w:uiPriority w:val="99"/>
    <w:unhideWhenUsed/>
    <w:rsid w:val="00823EAD"/>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823EAD"/>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en/multimedia/infographics/lt/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lt/doc/annual-report/lt/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BE1F1-6C01-4F30-B036-4C385755F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4526</Words>
  <Characters>30247</Characters>
  <Application>Microsoft Office Word</Application>
  <DocSecurity>0</DocSecurity>
  <Lines>252</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2025-12-04T13:46:00Z</dcterms:created>
  <dcterms:modified xsi:type="dcterms:W3CDTF">2025-12-04T13:46:00Z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P10_TA(2025)0084_</vt:lpwstr>
  </property>
  <property fmtid="{D5CDD505-2E9C-101B-9397-08002B2CF9AE}" pid="4" name="&lt;Type&gt;">
    <vt:lpwstr>RR</vt:lpwstr>
  </property>
</Properties>
</file>