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4670" w14:paraId="59EE6370" w14:textId="77777777" w:rsidTr="0010095E">
        <w:trPr>
          <w:trHeight w:hRule="exact" w:val="1418"/>
        </w:trPr>
        <w:tc>
          <w:tcPr>
            <w:tcW w:w="6804" w:type="dxa"/>
            <w:shd w:val="clear" w:color="auto" w:fill="auto"/>
            <w:vAlign w:val="center"/>
          </w:tcPr>
          <w:p w14:paraId="07E6BEC4" w14:textId="77777777" w:rsidR="00751A4A" w:rsidRPr="00904670" w:rsidRDefault="00DF2E7C" w:rsidP="0010095E">
            <w:pPr>
              <w:pStyle w:val="EPName"/>
            </w:pPr>
            <w:r w:rsidRPr="00904670">
              <w:t>Parlamentul European</w:t>
            </w:r>
          </w:p>
          <w:p w14:paraId="3A31292A" w14:textId="77777777" w:rsidR="00751A4A" w:rsidRPr="00904670" w:rsidRDefault="005F1B17" w:rsidP="005F1B17">
            <w:pPr>
              <w:pStyle w:val="EPTerm"/>
              <w:rPr>
                <w:rStyle w:val="HideTWBExt"/>
                <w:noProof w:val="0"/>
                <w:vanish w:val="0"/>
                <w:color w:val="auto"/>
              </w:rPr>
            </w:pPr>
            <w:r w:rsidRPr="00904670">
              <w:t>2024</w:t>
            </w:r>
            <w:r w:rsidR="00817416" w:rsidRPr="00904670">
              <w:t>-202</w:t>
            </w:r>
            <w:r w:rsidRPr="00904670">
              <w:t>9</w:t>
            </w:r>
          </w:p>
        </w:tc>
        <w:tc>
          <w:tcPr>
            <w:tcW w:w="2268" w:type="dxa"/>
            <w:shd w:val="clear" w:color="auto" w:fill="auto"/>
          </w:tcPr>
          <w:p w14:paraId="0B05006F" w14:textId="77777777" w:rsidR="00751A4A" w:rsidRPr="00904670" w:rsidRDefault="00187494" w:rsidP="0010095E">
            <w:pPr>
              <w:pStyle w:val="EPLogo"/>
            </w:pPr>
            <w:r w:rsidRPr="00904670">
              <w:rPr>
                <w:noProof/>
                <w:lang w:eastAsia="ro-RO"/>
              </w:rPr>
              <w:drawing>
                <wp:inline distT="0" distB="0" distL="0" distR="0" wp14:anchorId="300601C5" wp14:editId="717EA5C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69939C" w14:textId="77777777" w:rsidR="00D058B8" w:rsidRPr="00904670" w:rsidRDefault="00D058B8" w:rsidP="004C5D52">
      <w:pPr>
        <w:pStyle w:val="LineTop"/>
      </w:pPr>
    </w:p>
    <w:p w14:paraId="52508BEE" w14:textId="77777777" w:rsidR="00680577" w:rsidRPr="00904670" w:rsidRDefault="00DF2E7C" w:rsidP="00680577">
      <w:pPr>
        <w:pStyle w:val="EPBodyTA1"/>
      </w:pPr>
      <w:r w:rsidRPr="00904670">
        <w:t>TEXTE ADOPTATE</w:t>
      </w:r>
    </w:p>
    <w:p w14:paraId="77151581" w14:textId="77777777" w:rsidR="00D058B8" w:rsidRPr="00904670" w:rsidRDefault="00D058B8" w:rsidP="00D058B8">
      <w:pPr>
        <w:pStyle w:val="LineBottom"/>
      </w:pPr>
    </w:p>
    <w:p w14:paraId="7EE6F337" w14:textId="77777777" w:rsidR="00DF2E7C" w:rsidRPr="00904670" w:rsidRDefault="00DF2E7C" w:rsidP="00DF2E7C">
      <w:pPr>
        <w:pStyle w:val="ATHeading1"/>
      </w:pPr>
      <w:bookmarkStart w:id="0" w:name="TANumber"/>
      <w:r w:rsidRPr="00904670">
        <w:t>P10_TA(2025)00</w:t>
      </w:r>
      <w:bookmarkEnd w:id="0"/>
      <w:r w:rsidR="00904670" w:rsidRPr="00904670">
        <w:t>84</w:t>
      </w:r>
    </w:p>
    <w:p w14:paraId="7D0D80D5" w14:textId="77777777" w:rsidR="00DF2E7C" w:rsidRPr="00904670" w:rsidRDefault="00DF2E7C" w:rsidP="00DF2E7C">
      <w:pPr>
        <w:pStyle w:val="ATHeading2"/>
      </w:pPr>
      <w:bookmarkStart w:id="1" w:name="title"/>
      <w:r w:rsidRPr="00904670">
        <w:t>Descărcarea de gestiune 2023: Bugetul general al UE - Ombudsmanul European</w:t>
      </w:r>
      <w:bookmarkEnd w:id="1"/>
    </w:p>
    <w:p w14:paraId="0A147553" w14:textId="77777777" w:rsidR="00DF2E7C" w:rsidRPr="00904670" w:rsidRDefault="00DF2E7C" w:rsidP="00DF2E7C">
      <w:pPr>
        <w:rPr>
          <w:i/>
          <w:vanish/>
        </w:rPr>
      </w:pPr>
      <w:r w:rsidRPr="00904670">
        <w:rPr>
          <w:i/>
        </w:rPr>
        <w:fldChar w:fldCharType="begin"/>
      </w:r>
      <w:r w:rsidRPr="00904670">
        <w:rPr>
          <w:i/>
        </w:rPr>
        <w:instrText xml:space="preserve"> TC"(</w:instrText>
      </w:r>
      <w:bookmarkStart w:id="2" w:name="DocNumber"/>
      <w:r w:rsidRPr="00904670">
        <w:rPr>
          <w:i/>
        </w:rPr>
        <w:instrText>A10-0055/2025</w:instrText>
      </w:r>
      <w:bookmarkEnd w:id="2"/>
      <w:r w:rsidRPr="00904670">
        <w:rPr>
          <w:i/>
        </w:rPr>
        <w:instrText xml:space="preserve"> - Raportor: Joachim </w:instrText>
      </w:r>
      <w:proofErr w:type="spellStart"/>
      <w:r w:rsidRPr="00904670">
        <w:rPr>
          <w:i/>
        </w:rPr>
        <w:instrText>Stanisław</w:instrText>
      </w:r>
      <w:proofErr w:type="spellEnd"/>
      <w:r w:rsidRPr="00904670">
        <w:rPr>
          <w:i/>
        </w:rPr>
        <w:instrText xml:space="preserve"> </w:instrText>
      </w:r>
      <w:proofErr w:type="spellStart"/>
      <w:r w:rsidRPr="00904670">
        <w:rPr>
          <w:i/>
        </w:rPr>
        <w:instrText>Brudziński</w:instrText>
      </w:r>
      <w:proofErr w:type="spellEnd"/>
      <w:r w:rsidRPr="00904670">
        <w:rPr>
          <w:i/>
        </w:rPr>
        <w:instrText xml:space="preserve">)"\l3 \n&gt; \* MERGEFORMAT </w:instrText>
      </w:r>
      <w:r w:rsidRPr="00904670">
        <w:rPr>
          <w:i/>
        </w:rPr>
        <w:fldChar w:fldCharType="end"/>
      </w:r>
    </w:p>
    <w:p w14:paraId="4DE5B410" w14:textId="77777777" w:rsidR="00DF2E7C" w:rsidRPr="00904670" w:rsidRDefault="00DF2E7C" w:rsidP="00DF2E7C">
      <w:pPr>
        <w:rPr>
          <w:vanish/>
        </w:rPr>
      </w:pPr>
      <w:bookmarkStart w:id="3" w:name="Commission"/>
      <w:r w:rsidRPr="00904670">
        <w:rPr>
          <w:vanish/>
        </w:rPr>
        <w:t>Comisia pentru control bugetar</w:t>
      </w:r>
      <w:bookmarkEnd w:id="3"/>
    </w:p>
    <w:p w14:paraId="0039AB86" w14:textId="77777777" w:rsidR="00DF2E7C" w:rsidRDefault="00DF2E7C" w:rsidP="00DF2E7C">
      <w:pPr>
        <w:rPr>
          <w:vanish/>
        </w:rPr>
      </w:pPr>
      <w:bookmarkStart w:id="4" w:name="PE"/>
      <w:r w:rsidRPr="00904670">
        <w:rPr>
          <w:vanish/>
        </w:rPr>
        <w:t>PE764.991</w:t>
      </w:r>
      <w:bookmarkEnd w:id="4"/>
    </w:p>
    <w:p w14:paraId="38352416" w14:textId="77777777" w:rsidR="00782F7A" w:rsidRPr="00782F7A" w:rsidRDefault="00782F7A" w:rsidP="00782F7A">
      <w:pPr>
        <w:pStyle w:val="ATHeading3"/>
      </w:pPr>
      <w:r w:rsidRPr="00782F7A">
        <w:t>1. Decizia Parlamentului European din 7 mai 2025 privind descărcarea de gestiune pentru execuția bugetului general al Uniunii Europene aferent exercițiului financiar 2023, secțiunea VIII – Ombudsmanul European (2024/2027(DEC))</w:t>
      </w:r>
    </w:p>
    <w:p w14:paraId="69B629DF" w14:textId="0875BE73" w:rsidR="00782F7A" w:rsidRPr="00782F7A" w:rsidRDefault="00782F7A" w:rsidP="00782F7A">
      <w:pPr>
        <w:spacing w:before="480" w:after="240"/>
        <w:rPr>
          <w:i/>
          <w:kern w:val="2"/>
          <w14:ligatures w14:val="standardContextual"/>
        </w:rPr>
      </w:pPr>
      <w:r w:rsidRPr="00782F7A">
        <w:rPr>
          <w:i/>
          <w:kern w:val="2"/>
          <w14:ligatures w14:val="standardContextual"/>
        </w:rPr>
        <w:t xml:space="preserve">Parlamentul </w:t>
      </w:r>
      <w:r>
        <w:rPr>
          <w:i/>
          <w:kern w:val="2"/>
          <w14:ligatures w14:val="standardContextual"/>
        </w:rPr>
        <w:t>E</w:t>
      </w:r>
      <w:r w:rsidRPr="00782F7A">
        <w:rPr>
          <w:i/>
          <w:kern w:val="2"/>
          <w14:ligatures w14:val="standardContextual"/>
        </w:rPr>
        <w:t>uropean,</w:t>
      </w:r>
    </w:p>
    <w:p w14:paraId="0C712D9A" w14:textId="77777777" w:rsidR="00782F7A" w:rsidRPr="00782F7A" w:rsidRDefault="00782F7A" w:rsidP="00782F7A">
      <w:pPr>
        <w:spacing w:after="240"/>
        <w:ind w:left="567" w:hanging="567"/>
        <w:rPr>
          <w:kern w:val="2"/>
          <w14:ligatures w14:val="standardContextual"/>
        </w:rPr>
      </w:pPr>
      <w:r w:rsidRPr="00782F7A">
        <w:rPr>
          <w:kern w:val="2"/>
          <w14:ligatures w14:val="standardContextual"/>
        </w:rPr>
        <w:t>–</w:t>
      </w:r>
      <w:r w:rsidRPr="00782F7A">
        <w:rPr>
          <w:kern w:val="2"/>
          <w14:ligatures w14:val="standardContextual"/>
        </w:rPr>
        <w:tab/>
        <w:t>având în vedere bugetul general al Uniunii Europene aferent exercițiului financiar 2023</w:t>
      </w:r>
      <w:r w:rsidRPr="00782F7A">
        <w:rPr>
          <w:kern w:val="2"/>
          <w:vertAlign w:val="superscript"/>
          <w14:ligatures w14:val="standardContextual"/>
        </w:rPr>
        <w:footnoteReference w:id="1"/>
      </w:r>
      <w:r w:rsidRPr="00782F7A">
        <w:rPr>
          <w:kern w:val="2"/>
          <w14:ligatures w14:val="standardContextual"/>
        </w:rPr>
        <w:t>,</w:t>
      </w:r>
    </w:p>
    <w:p w14:paraId="6CEF1B66" w14:textId="4DACD52C" w:rsidR="00782F7A" w:rsidRPr="00782F7A" w:rsidRDefault="00782F7A" w:rsidP="00782F7A">
      <w:pPr>
        <w:spacing w:after="240"/>
        <w:ind w:left="567" w:hanging="567"/>
        <w:rPr>
          <w:kern w:val="2"/>
          <w14:ligatures w14:val="standardContextual"/>
        </w:rPr>
      </w:pPr>
      <w:r w:rsidRPr="00782F7A">
        <w:rPr>
          <w:kern w:val="2"/>
          <w14:ligatures w14:val="standardContextual"/>
        </w:rPr>
        <w:t>–</w:t>
      </w:r>
      <w:r w:rsidRPr="00782F7A">
        <w:rPr>
          <w:kern w:val="2"/>
          <w14:ligatures w14:val="standardContextual"/>
        </w:rPr>
        <w:tab/>
        <w:t xml:space="preserve">având în vedere conturile anuale consolidate ale Uniunii Europene pentru exercițiul financiar 2023 </w:t>
      </w:r>
      <w:r w:rsidR="00FD285D">
        <w:rPr>
          <w:kern w:val="2"/>
          <w14:ligatures w14:val="standardContextual"/>
        </w:rPr>
        <w:t>(</w:t>
      </w:r>
      <w:r w:rsidRPr="00782F7A">
        <w:rPr>
          <w:kern w:val="2"/>
          <w14:ligatures w14:val="standardContextual"/>
        </w:rPr>
        <w:t>COM(2024)0272 – C10</w:t>
      </w:r>
      <w:r w:rsidRPr="00782F7A">
        <w:rPr>
          <w:kern w:val="2"/>
          <w14:ligatures w14:val="standardContextual"/>
        </w:rPr>
        <w:noBreakHyphen/>
        <w:t>0075/2024</w:t>
      </w:r>
      <w:r w:rsidR="00FD285D">
        <w:rPr>
          <w:kern w:val="2"/>
          <w14:ligatures w14:val="standardContextual"/>
        </w:rPr>
        <w:t>)</w:t>
      </w:r>
      <w:r w:rsidRPr="00782F7A">
        <w:rPr>
          <w:kern w:val="2"/>
          <w:vertAlign w:val="superscript"/>
          <w14:ligatures w14:val="standardContextual"/>
        </w:rPr>
        <w:footnoteReference w:id="2"/>
      </w:r>
      <w:r w:rsidRPr="00782F7A">
        <w:rPr>
          <w:kern w:val="2"/>
          <w14:ligatures w14:val="standardContextual"/>
        </w:rPr>
        <w:t>,</w:t>
      </w:r>
    </w:p>
    <w:p w14:paraId="2BFB0993" w14:textId="77777777" w:rsidR="00782F7A" w:rsidRPr="00782F7A" w:rsidRDefault="00782F7A" w:rsidP="00782F7A">
      <w:pPr>
        <w:spacing w:after="240"/>
        <w:ind w:left="567" w:hanging="567"/>
        <w:rPr>
          <w:kern w:val="2"/>
          <w14:ligatures w14:val="standardContextual"/>
        </w:rPr>
      </w:pPr>
      <w:r w:rsidRPr="00782F7A">
        <w:rPr>
          <w:kern w:val="2"/>
          <w14:ligatures w14:val="standardContextual"/>
        </w:rPr>
        <w:t>–</w:t>
      </w:r>
      <w:r w:rsidRPr="00782F7A">
        <w:rPr>
          <w:kern w:val="2"/>
          <w14:ligatures w14:val="standardContextual"/>
        </w:rPr>
        <w:tab/>
        <w:t>având în vedere Raportul anual de activitate al Ombudsmanului European pentru exercițiul financiar 2023 și raportul său privind gestiunea bugetară și financiară pentru exercițiul financiar 2023,</w:t>
      </w:r>
    </w:p>
    <w:p w14:paraId="58AB0712" w14:textId="77777777" w:rsidR="00782F7A" w:rsidRPr="00782F7A" w:rsidRDefault="00782F7A" w:rsidP="00782F7A">
      <w:pPr>
        <w:spacing w:after="240"/>
        <w:ind w:left="567" w:hanging="567"/>
        <w:rPr>
          <w:kern w:val="2"/>
          <w14:ligatures w14:val="standardContextual"/>
        </w:rPr>
      </w:pPr>
      <w:r w:rsidRPr="00782F7A">
        <w:rPr>
          <w:kern w:val="2"/>
          <w14:ligatures w14:val="standardContextual"/>
        </w:rPr>
        <w:t>–</w:t>
      </w:r>
      <w:r w:rsidRPr="00782F7A">
        <w:rPr>
          <w:kern w:val="2"/>
          <w14:ligatures w14:val="standardContextual"/>
        </w:rPr>
        <w:tab/>
        <w:t>având în vedere Raportul anual al Curții de Conturi referitor la execuția bugetului privind exercițiul financiar 2023, însoțit de răspunsurile instituțiilor</w:t>
      </w:r>
      <w:r w:rsidRPr="00782F7A">
        <w:rPr>
          <w:kern w:val="2"/>
          <w:vertAlign w:val="superscript"/>
          <w14:ligatures w14:val="standardContextual"/>
        </w:rPr>
        <w:footnoteReference w:id="3"/>
      </w:r>
      <w:r w:rsidRPr="00782F7A">
        <w:rPr>
          <w:kern w:val="2"/>
          <w14:ligatures w14:val="standardContextual"/>
        </w:rPr>
        <w:t>,</w:t>
      </w:r>
    </w:p>
    <w:p w14:paraId="343B1FFF" w14:textId="77777777" w:rsidR="00782F7A" w:rsidRPr="00782F7A" w:rsidRDefault="00782F7A" w:rsidP="00782F7A">
      <w:pPr>
        <w:spacing w:after="240"/>
        <w:ind w:left="567" w:hanging="567"/>
        <w:rPr>
          <w:kern w:val="2"/>
          <w14:ligatures w14:val="standardContextual"/>
        </w:rPr>
      </w:pPr>
      <w:r w:rsidRPr="00782F7A">
        <w:rPr>
          <w:kern w:val="2"/>
          <w14:ligatures w14:val="standardContextual"/>
        </w:rPr>
        <w:t>–</w:t>
      </w:r>
      <w:r w:rsidRPr="00782F7A">
        <w:rPr>
          <w:kern w:val="2"/>
          <w14:ligatures w14:val="standardContextual"/>
        </w:rPr>
        <w:tab/>
        <w:t>având în vedere declarația de asigurare</w:t>
      </w:r>
      <w:r w:rsidRPr="00782F7A">
        <w:rPr>
          <w:kern w:val="2"/>
          <w:vertAlign w:val="superscript"/>
          <w14:ligatures w14:val="standardContextual"/>
        </w:rPr>
        <w:footnoteReference w:id="4"/>
      </w:r>
      <w:r w:rsidRPr="00782F7A">
        <w:rPr>
          <w:kern w:val="2"/>
          <w14:ligatures w14:val="standardContextual"/>
        </w:rPr>
        <w:t xml:space="preserve"> privind fiabilitatea conturilor și legalitatea și regularitatea operațiunilor subiacente întocmită de Curtea de Conturi pentru exercițiul 2023 în temeiul articolului 287 din Tratatul privind funcționarea Uniunii Europene,</w:t>
      </w:r>
    </w:p>
    <w:p w14:paraId="5B474709" w14:textId="77777777" w:rsidR="00782F7A" w:rsidRPr="00782F7A" w:rsidRDefault="00782F7A" w:rsidP="00782F7A">
      <w:pPr>
        <w:spacing w:after="240"/>
        <w:ind w:left="567" w:hanging="567"/>
        <w:rPr>
          <w:kern w:val="2"/>
          <w14:ligatures w14:val="standardContextual"/>
        </w:rPr>
      </w:pPr>
      <w:r w:rsidRPr="00782F7A">
        <w:rPr>
          <w:kern w:val="2"/>
          <w14:ligatures w14:val="standardContextual"/>
        </w:rPr>
        <w:t>–</w:t>
      </w:r>
      <w:r w:rsidRPr="00782F7A">
        <w:rPr>
          <w:kern w:val="2"/>
          <w14:ligatures w14:val="standardContextual"/>
        </w:rPr>
        <w:tab/>
        <w:t>având în vedere articolul 314 alineatul (10) și articolele 317, 318 și 319 din Tratatul privind funcționarea Uniunii Europene,</w:t>
      </w:r>
    </w:p>
    <w:p w14:paraId="587D1676" w14:textId="77777777" w:rsidR="00782F7A" w:rsidRPr="00782F7A" w:rsidRDefault="00782F7A" w:rsidP="00782F7A">
      <w:pPr>
        <w:spacing w:after="240"/>
        <w:ind w:left="567" w:hanging="567"/>
        <w:rPr>
          <w:kern w:val="2"/>
          <w14:ligatures w14:val="standardContextual"/>
        </w:rPr>
      </w:pPr>
      <w:r w:rsidRPr="00782F7A">
        <w:rPr>
          <w:kern w:val="2"/>
          <w14:ligatures w14:val="standardContextual"/>
        </w:rPr>
        <w:t>–</w:t>
      </w:r>
      <w:r w:rsidRPr="00782F7A">
        <w:rPr>
          <w:kern w:val="2"/>
          <w14:ligatures w14:val="standardContextual"/>
        </w:rPr>
        <w:tab/>
        <w:t xml:space="preserve">având în vedere Regulamentul (UE, Euratom) 2018/1046 al Parlamentului European și </w:t>
      </w:r>
      <w:r w:rsidRPr="00782F7A">
        <w:rPr>
          <w:kern w:val="2"/>
          <w14:ligatures w14:val="standardContextual"/>
        </w:rPr>
        <w:lastRenderedPageBreak/>
        <w:t>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782F7A">
        <w:rPr>
          <w:kern w:val="2"/>
          <w:vertAlign w:val="superscript"/>
          <w14:ligatures w14:val="standardContextual"/>
        </w:rPr>
        <w:footnoteReference w:id="5"/>
      </w:r>
      <w:r w:rsidRPr="00782F7A">
        <w:rPr>
          <w:kern w:val="2"/>
          <w14:ligatures w14:val="standardContextual"/>
        </w:rPr>
        <w:t>, în special articolele 59, 118, 260, 261 și 262,</w:t>
      </w:r>
    </w:p>
    <w:p w14:paraId="51D37FD0" w14:textId="77777777" w:rsidR="00782F7A" w:rsidRPr="00782F7A" w:rsidRDefault="00782F7A" w:rsidP="00782F7A">
      <w:pPr>
        <w:spacing w:after="240"/>
        <w:ind w:left="567" w:hanging="567"/>
        <w:rPr>
          <w:kern w:val="2"/>
          <w14:ligatures w14:val="standardContextual"/>
        </w:rPr>
      </w:pPr>
      <w:r w:rsidRPr="00782F7A">
        <w:rPr>
          <w:kern w:val="2"/>
          <w14:ligatures w14:val="standardContextual"/>
        </w:rPr>
        <w:t>–</w:t>
      </w:r>
      <w:r w:rsidRPr="00782F7A">
        <w:rPr>
          <w:kern w:val="2"/>
          <w14:ligatures w14:val="standardContextual"/>
        </w:rPr>
        <w:tab/>
        <w:t xml:space="preserve">având în vedere </w:t>
      </w:r>
      <w:r w:rsidRPr="00782F7A">
        <w:rPr>
          <w:kern w:val="2"/>
          <w:shd w:val="clear" w:color="auto" w:fill="FFFFFF"/>
          <w14:ligatures w14:val="standardContextual"/>
        </w:rPr>
        <w:t>Regulamentul (UE, Euratom) 2024/2509 al Parlamentului European și al Consiliului din 23 septembrie 2024 privind normele financiare aplicabile bugetului general al Uniunii</w:t>
      </w:r>
      <w:r w:rsidRPr="00782F7A">
        <w:rPr>
          <w:bCs/>
          <w:kern w:val="2"/>
          <w:szCs w:val="24"/>
          <w:shd w:val="clear" w:color="auto" w:fill="FFFFFF"/>
          <w:vertAlign w:val="superscript"/>
          <w14:ligatures w14:val="standardContextual"/>
        </w:rPr>
        <w:footnoteReference w:id="6"/>
      </w:r>
      <w:r w:rsidRPr="00782F7A">
        <w:rPr>
          <w:kern w:val="2"/>
          <w:shd w:val="clear" w:color="auto" w:fill="FFFFFF"/>
          <w14:ligatures w14:val="standardContextual"/>
        </w:rPr>
        <w:t>, în special articolele 59, 118, 266, 267 și 268</w:t>
      </w:r>
      <w:r w:rsidRPr="00782F7A">
        <w:rPr>
          <w:kern w:val="2"/>
          <w14:ligatures w14:val="standardContextual"/>
        </w:rPr>
        <w:t>,</w:t>
      </w:r>
    </w:p>
    <w:p w14:paraId="39DB2B53" w14:textId="77777777" w:rsidR="00782F7A" w:rsidRPr="00782F7A" w:rsidRDefault="00782F7A" w:rsidP="00782F7A">
      <w:pPr>
        <w:spacing w:after="240"/>
        <w:ind w:left="567" w:hanging="567"/>
        <w:rPr>
          <w:kern w:val="2"/>
          <w14:ligatures w14:val="standardContextual"/>
        </w:rPr>
      </w:pPr>
      <w:r w:rsidRPr="00782F7A">
        <w:rPr>
          <w:kern w:val="2"/>
          <w14:ligatures w14:val="standardContextual"/>
        </w:rPr>
        <w:t>–</w:t>
      </w:r>
      <w:r w:rsidRPr="00782F7A">
        <w:rPr>
          <w:kern w:val="2"/>
          <w14:ligatures w14:val="standardContextual"/>
        </w:rPr>
        <w:tab/>
        <w:t>având în vedere articolul 102 și anexa V la Regulamentul său de procedură,</w:t>
      </w:r>
    </w:p>
    <w:p w14:paraId="2819E40C" w14:textId="77777777" w:rsidR="00782F7A" w:rsidRPr="00782F7A" w:rsidRDefault="00782F7A" w:rsidP="00782F7A">
      <w:pPr>
        <w:spacing w:after="240"/>
        <w:ind w:left="567" w:hanging="567"/>
        <w:rPr>
          <w:kern w:val="2"/>
          <w14:ligatures w14:val="standardContextual"/>
        </w:rPr>
      </w:pPr>
      <w:r w:rsidRPr="00782F7A">
        <w:rPr>
          <w:kern w:val="2"/>
          <w14:ligatures w14:val="standardContextual"/>
        </w:rPr>
        <w:t>–</w:t>
      </w:r>
      <w:r w:rsidRPr="00782F7A">
        <w:rPr>
          <w:kern w:val="2"/>
          <w14:ligatures w14:val="standardContextual"/>
        </w:rPr>
        <w:tab/>
        <w:t>având în vedere raportul Comisiei pentru control bugetar (A10-0055/2025),</w:t>
      </w:r>
    </w:p>
    <w:p w14:paraId="044E727C" w14:textId="77777777" w:rsidR="00782F7A" w:rsidRPr="00782F7A" w:rsidRDefault="00782F7A" w:rsidP="00782F7A">
      <w:pPr>
        <w:spacing w:after="240"/>
        <w:ind w:left="567" w:hanging="567"/>
        <w:rPr>
          <w:kern w:val="2"/>
          <w14:ligatures w14:val="standardContextual"/>
        </w:rPr>
      </w:pPr>
      <w:r w:rsidRPr="00782F7A">
        <w:rPr>
          <w:kern w:val="2"/>
          <w14:ligatures w14:val="standardContextual"/>
        </w:rPr>
        <w:t>1.</w:t>
      </w:r>
      <w:r w:rsidRPr="00782F7A">
        <w:rPr>
          <w:kern w:val="2"/>
          <w14:ligatures w14:val="standardContextual"/>
        </w:rPr>
        <w:tab/>
        <w:t>acordă Ombudsmanului European descărcarea de gestiune pentru execuția bugetului Ombudsmanului European aferent exercițiului financiar 2023;</w:t>
      </w:r>
    </w:p>
    <w:p w14:paraId="508AB585" w14:textId="77777777" w:rsidR="00782F7A" w:rsidRPr="00782F7A" w:rsidRDefault="00782F7A" w:rsidP="00782F7A">
      <w:pPr>
        <w:spacing w:after="240"/>
        <w:ind w:left="567" w:hanging="567"/>
        <w:rPr>
          <w:kern w:val="2"/>
          <w14:ligatures w14:val="standardContextual"/>
        </w:rPr>
      </w:pPr>
      <w:r w:rsidRPr="00782F7A">
        <w:rPr>
          <w:kern w:val="2"/>
          <w14:ligatures w14:val="standardContextual"/>
        </w:rPr>
        <w:t>2.</w:t>
      </w:r>
      <w:r w:rsidRPr="00782F7A">
        <w:rPr>
          <w:kern w:val="2"/>
          <w14:ligatures w14:val="standardContextual"/>
        </w:rPr>
        <w:tab/>
        <w:t>își prezintă observațiile în cadrul rezoluției de mai jos;</w:t>
      </w:r>
    </w:p>
    <w:p w14:paraId="74628B2D" w14:textId="6D1B250D" w:rsidR="00782F7A" w:rsidRPr="00782F7A" w:rsidRDefault="00782F7A" w:rsidP="00782F7A">
      <w:pPr>
        <w:spacing w:after="240"/>
        <w:ind w:left="567" w:hanging="567"/>
        <w:rPr>
          <w:rFonts w:eastAsia="Aptos"/>
          <w:kern w:val="2"/>
          <w:szCs w:val="24"/>
          <w:lang w:eastAsia="en-US"/>
          <w14:ligatures w14:val="standardContextual"/>
        </w:rPr>
      </w:pPr>
      <w:r w:rsidRPr="00782F7A">
        <w:rPr>
          <w:kern w:val="2"/>
          <w14:ligatures w14:val="standardContextual"/>
        </w:rPr>
        <w:t>3.</w:t>
      </w:r>
      <w:r w:rsidRPr="00782F7A">
        <w:rPr>
          <w:kern w:val="2"/>
          <w14:ligatures w14:val="standardContextual"/>
        </w:rPr>
        <w:tab/>
        <w:t xml:space="preserve">încredințează </w:t>
      </w:r>
      <w:r w:rsidR="00FD285D">
        <w:rPr>
          <w:kern w:val="2"/>
          <w14:ligatures w14:val="standardContextual"/>
        </w:rPr>
        <w:t>P</w:t>
      </w:r>
      <w:r w:rsidRPr="00782F7A">
        <w:rPr>
          <w:kern w:val="2"/>
          <w14:ligatures w14:val="standardContextual"/>
        </w:rPr>
        <w:t xml:space="preserve">reședintei sarcina de a transmite prezenta decizie împreună cu rezoluția Parlamentului, ca parte integrantă a acesteia, Ombudsmanului European, Consiliului European, Consiliului, Comisiei și Curții de Conturi, Curții de Justiție a Uniunii Europene, Autorității Europene pentru Protecția Datelor și Serviciului European de Acțiune Externă și de a asigura publicarea acestora în </w:t>
      </w:r>
      <w:r w:rsidRPr="00782F7A">
        <w:rPr>
          <w:i/>
          <w:kern w:val="2"/>
          <w14:ligatures w14:val="standardContextual"/>
        </w:rPr>
        <w:t>Jurnalul Oficial al Uniunii Europene</w:t>
      </w:r>
      <w:r w:rsidRPr="00782F7A">
        <w:rPr>
          <w:kern w:val="2"/>
          <w14:ligatures w14:val="standardContextual"/>
        </w:rPr>
        <w:t xml:space="preserve"> (seria L).</w:t>
      </w:r>
    </w:p>
    <w:p w14:paraId="038231B7" w14:textId="77777777" w:rsidR="00782F7A" w:rsidRPr="00782F7A" w:rsidRDefault="00782F7A" w:rsidP="00782F7A">
      <w:pPr>
        <w:widowControl/>
        <w:jc w:val="both"/>
        <w:rPr>
          <w:rFonts w:eastAsia="Aptos"/>
          <w:kern w:val="2"/>
          <w:szCs w:val="24"/>
          <w:lang w:eastAsia="en-US"/>
          <w14:ligatures w14:val="standardContextual"/>
        </w:rPr>
        <w:sectPr w:rsidR="00782F7A" w:rsidRPr="00782F7A" w:rsidSect="00FD285D">
          <w:footnotePr>
            <w:numRestart w:val="eachSect"/>
          </w:footnotePr>
          <w:pgSz w:w="11906" w:h="16838"/>
          <w:pgMar w:top="1134" w:right="1418" w:bottom="1418" w:left="1418" w:header="709" w:footer="709" w:gutter="0"/>
          <w:cols w:space="708"/>
          <w:docGrid w:linePitch="360"/>
        </w:sectPr>
      </w:pPr>
    </w:p>
    <w:p w14:paraId="34B9F067" w14:textId="77777777" w:rsidR="00782F7A" w:rsidRPr="00782F7A" w:rsidRDefault="00782F7A" w:rsidP="00782F7A">
      <w:pPr>
        <w:pStyle w:val="ATHeading3"/>
      </w:pPr>
      <w:r w:rsidRPr="00782F7A">
        <w:lastRenderedPageBreak/>
        <w:t>2. Rezoluția Parlamentului European din 7 mai 2025 conținând observațiile care fac parte integrantă din decizia privind descărcarea de gestiune pentru execuția bugetului general al Uniunii Europene aferent exercițiului financiar 2023, secțiunea VIII – Ombudsmanul European (2024/2027(DEC))</w:t>
      </w:r>
    </w:p>
    <w:p w14:paraId="5C487EBA" w14:textId="79394F9E" w:rsidR="00782F7A" w:rsidRPr="00782F7A" w:rsidRDefault="00782F7A" w:rsidP="00782F7A">
      <w:pPr>
        <w:spacing w:before="480" w:after="240"/>
        <w:jc w:val="both"/>
        <w:rPr>
          <w:i/>
          <w:kern w:val="2"/>
          <w14:ligatures w14:val="standardContextual"/>
        </w:rPr>
      </w:pPr>
      <w:r w:rsidRPr="00782F7A">
        <w:rPr>
          <w:i/>
          <w:kern w:val="2"/>
          <w14:ligatures w14:val="standardContextual"/>
        </w:rPr>
        <w:t xml:space="preserve">Parlamentul </w:t>
      </w:r>
      <w:r>
        <w:rPr>
          <w:i/>
          <w:kern w:val="2"/>
          <w14:ligatures w14:val="standardContextual"/>
        </w:rPr>
        <w:t>E</w:t>
      </w:r>
      <w:r w:rsidRPr="00782F7A">
        <w:rPr>
          <w:i/>
          <w:kern w:val="2"/>
          <w14:ligatures w14:val="standardContextual"/>
        </w:rPr>
        <w:t>uropean,</w:t>
      </w:r>
    </w:p>
    <w:p w14:paraId="64328135" w14:textId="1F377DD4" w:rsidR="00782F7A" w:rsidRPr="00782F7A" w:rsidRDefault="00FD285D" w:rsidP="00A363D5">
      <w:pPr>
        <w:spacing w:after="240"/>
        <w:ind w:left="567" w:hanging="567"/>
        <w:rPr>
          <w:kern w:val="2"/>
          <w14:ligatures w14:val="standardContextual"/>
        </w:rPr>
      </w:pPr>
      <w:r w:rsidRPr="00904670">
        <w:t>–</w:t>
      </w:r>
      <w:r w:rsidR="00782F7A" w:rsidRPr="00782F7A">
        <w:rPr>
          <w:kern w:val="2"/>
          <w14:ligatures w14:val="standardContextual"/>
        </w:rPr>
        <w:tab/>
        <w:t>având în vedere decizia sa privind descărcarea de gestiune pentru execuția bugetului general al Uniunii Europene aferent exercițiului financiar 2023, secțiunea VIII – Ombudsmanul European,</w:t>
      </w:r>
    </w:p>
    <w:p w14:paraId="0093ADB7" w14:textId="5FED2357" w:rsidR="00782F7A" w:rsidRPr="00782F7A" w:rsidRDefault="00FD285D" w:rsidP="00A363D5">
      <w:pPr>
        <w:spacing w:after="240"/>
        <w:ind w:left="567" w:hanging="567"/>
        <w:rPr>
          <w:kern w:val="2"/>
          <w14:ligatures w14:val="standardContextual"/>
        </w:rPr>
      </w:pPr>
      <w:r w:rsidRPr="00904670">
        <w:t>–</w:t>
      </w:r>
      <w:r w:rsidR="00782F7A" w:rsidRPr="00782F7A">
        <w:rPr>
          <w:kern w:val="2"/>
          <w14:ligatures w14:val="standardContextual"/>
        </w:rPr>
        <w:tab/>
        <w:t>având în vedere articolul 102 și anexa V la Regulamentul său de procedură,</w:t>
      </w:r>
    </w:p>
    <w:p w14:paraId="3C7C08B1" w14:textId="1602F794" w:rsidR="00782F7A" w:rsidRPr="00782F7A" w:rsidRDefault="00FD285D" w:rsidP="00A363D5">
      <w:pPr>
        <w:spacing w:after="240"/>
        <w:ind w:left="567" w:hanging="567"/>
        <w:rPr>
          <w:kern w:val="2"/>
          <w14:ligatures w14:val="standardContextual"/>
        </w:rPr>
      </w:pPr>
      <w:r w:rsidRPr="00904670">
        <w:t>–</w:t>
      </w:r>
      <w:r w:rsidR="00782F7A" w:rsidRPr="00782F7A">
        <w:rPr>
          <w:kern w:val="2"/>
          <w14:ligatures w14:val="standardContextual"/>
        </w:rPr>
        <w:tab/>
        <w:t>având în vedere raportul Comisiei pentru control bugetar (A10-0055/2025),</w:t>
      </w:r>
    </w:p>
    <w:p w14:paraId="7D664584"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A.</w:t>
      </w:r>
      <w:r w:rsidRPr="00782F7A">
        <w:rPr>
          <w:kern w:val="2"/>
          <w14:ligatures w14:val="standardContextual"/>
        </w:rPr>
        <w:tab/>
        <w:t>întrucât, în contextul procedurii de descărcare de gestiune, autoritatea care acordă descărcarea de gestiune dorește să accentueze că este deosebit de important să se întărească și mai mult legitimitatea democratică a instituțiilor Uniunii prin creșterea transparenței și a responsabilității și prin aplicarea principiilor întocmirii bugetului în funcție de performanțe și bunei gestiuni a resurselor umane;</w:t>
      </w:r>
    </w:p>
    <w:p w14:paraId="5785CEBD"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B.</w:t>
      </w:r>
      <w:r w:rsidRPr="00782F7A">
        <w:rPr>
          <w:kern w:val="2"/>
          <w14:ligatures w14:val="standardContextual"/>
        </w:rPr>
        <w:tab/>
        <w:t>întrucât articolul 228 din Tratatul privind funcționarea Uniunii Europene prevede alegerea unui Ombudsman European („Ombudsmanul”) de către Parlamentul European; întrucât Ombudsmanul este împuternicit să primească plângeri din partea oricărui cetățean al Uniunii sau a oricărei persoane fizice sau juridice care are reședința sau sediul social într-un stat membru privind cazuri de administrare defectuoasă în activitatea instituțiilor, organelor, oficiilor sau agențiilor Uniunii, cu excepția Curții de Justiție a Uniunii Europene în exercitarea funcției sale jurisdicționale, precum și să examineze astfel de plângeri și să raporteze cu privire la ele;</w:t>
      </w:r>
    </w:p>
    <w:p w14:paraId="4359172E"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C.</w:t>
      </w:r>
      <w:r w:rsidRPr="00782F7A">
        <w:rPr>
          <w:kern w:val="2"/>
          <w14:ligatures w14:val="standardContextual"/>
        </w:rPr>
        <w:tab/>
        <w:t>întrucât Regulamentul (UE, Euratom) 2021/1163 al Parlamentului European </w:t>
      </w:r>
      <w:r w:rsidRPr="00782F7A">
        <w:rPr>
          <w:kern w:val="2"/>
          <w:vertAlign w:val="superscript"/>
          <w14:ligatures w14:val="standardContextual"/>
        </w:rPr>
        <w:footnoteReference w:id="7"/>
      </w:r>
      <w:r w:rsidRPr="00782F7A">
        <w:rPr>
          <w:kern w:val="2"/>
          <w14:ligatures w14:val="standardContextual"/>
        </w:rPr>
        <w:t xml:space="preserve"> stabilește statutul și condițiile generale pentru exercitarea funcțiilor Ombudsmanului (Statutul Ombudsmanului European);</w:t>
      </w:r>
    </w:p>
    <w:p w14:paraId="4BDB167A"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D.</w:t>
      </w:r>
      <w:r w:rsidRPr="00782F7A">
        <w:rPr>
          <w:kern w:val="2"/>
          <w14:ligatures w14:val="standardContextual"/>
        </w:rPr>
        <w:tab/>
        <w:t xml:space="preserve">întrucât, </w:t>
      </w:r>
      <w:r w:rsidRPr="00782F7A">
        <w:rPr>
          <w:kern w:val="2"/>
          <w:shd w:val="clear" w:color="auto" w:fill="FFFFFF"/>
          <w14:ligatures w14:val="standardContextual"/>
        </w:rPr>
        <w:t>în urma adoptării Regulamentului (UE, Euratom) 2021/1163,</w:t>
      </w:r>
      <w:r w:rsidRPr="00782F7A">
        <w:rPr>
          <w:kern w:val="2"/>
          <w14:ligatures w14:val="standardContextual"/>
        </w:rPr>
        <w:t xml:space="preserve"> Ombudsmanul a adoptat dispozițiile sale de punere în aplicare revizuite </w:t>
      </w:r>
      <w:r w:rsidRPr="00782F7A">
        <w:rPr>
          <w:kern w:val="2"/>
          <w:vertAlign w:val="superscript"/>
          <w14:ligatures w14:val="standardContextual"/>
        </w:rPr>
        <w:footnoteReference w:id="8"/>
      </w:r>
      <w:r w:rsidRPr="00782F7A">
        <w:rPr>
          <w:kern w:val="2"/>
          <w14:ligatures w14:val="standardContextual"/>
        </w:rPr>
        <w:t xml:space="preserve"> la 21 iunie 2023,</w:t>
      </w:r>
    </w:p>
    <w:p w14:paraId="2EFA2D33"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1.</w:t>
      </w:r>
      <w:r w:rsidRPr="00782F7A">
        <w:rPr>
          <w:kern w:val="2"/>
          <w14:ligatures w14:val="standardContextual"/>
        </w:rPr>
        <w:tab/>
        <w:t>constată că bugetul Ombudsmanului se încadrează la rubrica 7 din CFM, „Administrația publică europeană”, care în 2023 a avut un cuantum total de 12,3 miliarde EUR, adică 6,4 % din cheltuielile de la bugetul Uniunii; constată că bugetul Ombudsmanului a reprezentat 0,11 % din creditele de la rubrica 7 din CFM;</w:t>
      </w:r>
    </w:p>
    <w:p w14:paraId="4EA4C010"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2.</w:t>
      </w:r>
      <w:r w:rsidRPr="00782F7A">
        <w:rPr>
          <w:kern w:val="2"/>
          <w14:ligatures w14:val="standardContextual"/>
        </w:rPr>
        <w:tab/>
        <w:t xml:space="preserve">ia act de faptul că, în Raportul său anual pentru exercițiul financiar 2023 („raportul Curții”), Curtea de Conturi („Curtea”) a examinat un eșantion de 70 de operațiuni de la </w:t>
      </w:r>
      <w:r w:rsidRPr="00782F7A">
        <w:rPr>
          <w:kern w:val="2"/>
          <w14:ligatures w14:val="standardContextual"/>
        </w:rPr>
        <w:lastRenderedPageBreak/>
        <w:t>rubrica „Administrația publică europeană”, dintre care 21 (30 %) conțineau erori; constată, de asemenea, că, pentru cinci dintre aceste erori care au fost cuantificate de Curte, Curtea a estimat un nivel de eroare sub pragul de semnificație; constată cu satisfacție că, în raportul său pe 2023, Curtea nu a identificat chestiuni semnificative referitoare la Ombudsman;</w:t>
      </w:r>
    </w:p>
    <w:p w14:paraId="21690B0B"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3.</w:t>
      </w:r>
      <w:r w:rsidRPr="00782F7A">
        <w:rPr>
          <w:kern w:val="2"/>
          <w14:ligatures w14:val="standardContextual"/>
        </w:rPr>
        <w:tab/>
        <w:t>ia act din raportul Curții de observația acesteia potrivit căreia cheltuielile administrative cuprind cheltuielile cu resursele umane, inclusiv pensiile, care în 2023 au constituit aproximativ 70 % din totalul cheltuielilor administrative, precum și cheltuieli legate de clădiri, echipamente, energie, comunicații și tehnologia informației; salută concluzia Curții, aceeași ca în anii precedenți, că, în general, cheltuielile administrative prezintă un risc scăzut;</w:t>
      </w:r>
    </w:p>
    <w:p w14:paraId="55D967AE" w14:textId="77777777" w:rsidR="00782F7A" w:rsidRPr="00782F7A" w:rsidRDefault="00782F7A" w:rsidP="00A363D5">
      <w:pPr>
        <w:spacing w:after="240"/>
        <w:ind w:left="567" w:hanging="567"/>
        <w:rPr>
          <w:b/>
          <w:i/>
          <w:kern w:val="2"/>
          <w14:ligatures w14:val="standardContextual"/>
        </w:rPr>
      </w:pPr>
      <w:r w:rsidRPr="00782F7A">
        <w:rPr>
          <w:b/>
          <w:i/>
          <w:kern w:val="2"/>
          <w14:ligatures w14:val="standardContextual"/>
        </w:rPr>
        <w:t>Gestiunea bugetară și financiară</w:t>
      </w:r>
    </w:p>
    <w:p w14:paraId="106B7161"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4.</w:t>
      </w:r>
      <w:r w:rsidRPr="00782F7A">
        <w:rPr>
          <w:kern w:val="2"/>
          <w14:ligatures w14:val="standardContextual"/>
        </w:rPr>
        <w:tab/>
        <w:t>constată că bugetul Ombudsmanului s-a ridicat la 13 212 447 EUR în 2023, ceea ce reprezintă o creștere cu 990 339 EUR (și anume +8,1 %) față de 2022; ia act, pe baza răspunsurilor Ombudsmanului la chestionarul adresat de Comisia pentru control bugetar privind descărcarea de gestiune pe 2023 („chestionarul”), de faptul că această creștere se datorează în principal ajustărilor salariale și celor două posturi suplimentare care au fost necesare pentru a consolida activitățile de bază ale Ombudsmanului;</w:t>
      </w:r>
    </w:p>
    <w:p w14:paraId="04E950B0"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5.</w:t>
      </w:r>
      <w:r w:rsidRPr="00782F7A">
        <w:rPr>
          <w:kern w:val="2"/>
          <w14:ligatures w14:val="standardContextual"/>
        </w:rPr>
        <w:tab/>
        <w:t>constată că eforturile de monitorizare a bugetului în cursul exercițiului financiar 2023 au condus la o rată de execuție bugetară de 95,39 %, reprezentând o scădere de 1,58 % față de 2022; constată că rata de execuție a creditelor de plată pentru exercițiul curent a fost de 97,58 %, reprezentând o creștere de 1,31 % față de 2022, ceea ce a dus la o scădere a reportărilor automate de la 3,73 % (sau 442 209 EUR) în 2022, la 2,42 % (sau 304 550 EUR) în 2023; regretă, cu toate acestea, rata mai scăzută de execuție a reportărilor automate de credite din exercițiul precedent, care în 2023 a fost de 73,27 %, comparativ cu 92,59 % în 2022; solicită o îmbunătățire în acest sens;</w:t>
      </w:r>
    </w:p>
    <w:p w14:paraId="05C91721"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6.</w:t>
      </w:r>
      <w:r w:rsidRPr="00782F7A">
        <w:rPr>
          <w:kern w:val="2"/>
          <w14:ligatures w14:val="standardContextual"/>
        </w:rPr>
        <w:tab/>
        <w:t>constată că în 2023 Ombudsmanul a efectuat nouă transferuri bugetare în temeiul articolului 29 din Regulamentul financiar, însumând 241 150 EUR sau 1,8 % din creditele pentru exercițiul financiar respectiv, față de 2,8 % în 2022; constată că aceste transferuri au fost necesare pentru consolidarea a diferite linii bugetare legate, de exemplu, de mobilier, securitatea și supravegherea clădirilor, digitalizarea arhivelor sau informatica; observă, în acest context, că cheltuielile IT au crescut cu 41 %, de la 159 714 EUR în 2022, la 224 698 EUR în 2023;</w:t>
      </w:r>
    </w:p>
    <w:p w14:paraId="0E890064"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7.</w:t>
      </w:r>
      <w:r w:rsidRPr="00782F7A">
        <w:rPr>
          <w:kern w:val="2"/>
          <w14:ligatures w14:val="standardContextual"/>
        </w:rPr>
        <w:tab/>
        <w:t>ia act de o nouă creștere, pentru al treilea an consecutiv, a duratei medii de execuție a plăților; ia act de faptul că, în pofida creșterii duratei de realizare a plăților de la 11,35 de zile în 2021 la 13,50 de zile în 2023, durata medie de realizare a plăților continuă să fie relativ scurtă și mai mică decât termenul maxim legal de plată (30 de zile); salută, în acest context, faptul că, între timp, Ombudsmanul a implementat integral un sistem de facturare electronică ce ar trebui să îmbunătățească și mai mult eficiența procesului de plată începând din 2024;</w:t>
      </w:r>
    </w:p>
    <w:p w14:paraId="38E0C708"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8.</w:t>
      </w:r>
      <w:r w:rsidRPr="00782F7A">
        <w:rPr>
          <w:kern w:val="2"/>
          <w14:ligatures w14:val="standardContextual"/>
        </w:rPr>
        <w:tab/>
        <w:t xml:space="preserve">observă că Parlamentul European nu a comunicat Ombudsmanului nicio majorare semnificativă pentru 2023 în ceea ce privește chiria și taxele forfetare pentru clădiri, ceea ce i-a permis Ombudsmanului să își reducă linia bugetară pentru chirie cu 8,06 % și să consolideze alte linii bugetare în 2023; constată, cu toate acestea, că, pentru 2024, </w:t>
      </w:r>
      <w:r w:rsidRPr="00782F7A">
        <w:rPr>
          <w:kern w:val="2"/>
          <w14:ligatures w14:val="standardContextual"/>
        </w:rPr>
        <w:lastRenderedPageBreak/>
        <w:t>Ombudsmanul preconizează o creștere a cheltuielilor legate de clădiri cu 170 % (sau 122 260 EUR);</w:t>
      </w:r>
    </w:p>
    <w:p w14:paraId="22405B6B"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9.</w:t>
      </w:r>
      <w:r w:rsidRPr="00782F7A">
        <w:rPr>
          <w:kern w:val="2"/>
          <w14:ligatures w14:val="standardContextual"/>
        </w:rPr>
        <w:tab/>
        <w:t>salută faptul că bugetul pentru misiunile personalului a scăzut de la 120 000 EUR în 2022, la 100 000 EUR în 2023 grație utilizării pe scară largă a facilităților de videoconferință în ambele locuri de desfășurare a activității; felicită, în acest context, Ombudsmanul pentru reducerea bugetului pentru misiunile personalului său pentru al patrulea an consecutiv; constată că bugetul pentru misiuni și deplasări al Ombudsmanului a rămas același în 2023 ca și în anii precedenți (2021 și 2022), și anume 35 000 EUR;</w:t>
      </w:r>
    </w:p>
    <w:p w14:paraId="19FFE5B9" w14:textId="77777777" w:rsidR="00782F7A" w:rsidRPr="00782F7A" w:rsidRDefault="00782F7A" w:rsidP="00A363D5">
      <w:pPr>
        <w:spacing w:after="240"/>
        <w:ind w:left="567" w:hanging="567"/>
        <w:rPr>
          <w:b/>
          <w:i/>
          <w:kern w:val="2"/>
          <w14:ligatures w14:val="standardContextual"/>
        </w:rPr>
      </w:pPr>
      <w:r w:rsidRPr="00782F7A">
        <w:rPr>
          <w:b/>
          <w:i/>
          <w:kern w:val="2"/>
          <w14:ligatures w14:val="standardContextual"/>
        </w:rPr>
        <w:t>Gestiunea internă, performanța și controlul intern</w:t>
      </w:r>
    </w:p>
    <w:p w14:paraId="091CB97C"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10.</w:t>
      </w:r>
      <w:r w:rsidRPr="00782F7A">
        <w:rPr>
          <w:kern w:val="2"/>
          <w14:ligatures w14:val="standardContextual"/>
        </w:rPr>
        <w:tab/>
        <w:t>constată că Ombudsmanul a corelat cu obiectivele de nivel înalt ale strategiei sale „Către 2024” nouă indicatori-cheie de performanță (KPI), care constau în 19 componente, astfel cum se prevede în planul său anual de gestiune pentru 2023; observă că 14 dintre aceste componente ale KPI au fost atinse sau depășite în 2023;</w:t>
      </w:r>
    </w:p>
    <w:p w14:paraId="2E048445"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11.</w:t>
      </w:r>
      <w:r w:rsidRPr="00782F7A">
        <w:rPr>
          <w:kern w:val="2"/>
          <w14:ligatures w14:val="standardContextual"/>
        </w:rPr>
        <w:tab/>
        <w:t>observă o creștere globală a volumului de muncă al Ombudsmanului în comparație cu anul precedent; constată că, în 2023, Ombudsmanul a tratat 2 392 de plângeri noi (2 223 în 2022), a deschis 398 de anchete (348 în 2022), printre care 56 de anchete de importanță publică (60 în 2022), a închis 372 de anchete (330 în 2022) și a soluționat un număr record de plângeri privind accesul public, care a crescut de la 117 în 2022, la un număr record de 167 în 2023, dintre care 118 au fost urmate de anchete; felicită, în acest context, Ombudsmanul pentru creșterea eficienței în reducerea numărului de plângeri în 2023, realizată prin simplificarea gestionării anchetelor legate de „cazuri în care nu a existat răspuns” și prin simplificarea prelucrării plângerilor din afara domeniului său de competență și a cererilor de informații; invită Ombudsmanul să ia măsuri pentru a avea o comunicare mai bine direcționată pentru a soluționa această problemă în viitor; salută eforturile de continuare a raționalizării și a simplificării proceselor pentru anii următori;</w:t>
      </w:r>
    </w:p>
    <w:p w14:paraId="7E5303B5"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12.</w:t>
      </w:r>
      <w:r w:rsidRPr="00782F7A">
        <w:rPr>
          <w:kern w:val="2"/>
          <w14:ligatures w14:val="standardContextual"/>
        </w:rPr>
        <w:tab/>
        <w:t>felicită Ombudsmanul pentru că a redus timpul necesar pentru prelucrarea dosarelor la diferite niveluri ale procedurii, cum ar fi timpul necesar pentru a stabili admisibilitatea (de la 16 zile în 2022, la 11 zile în 2023) sau timpul mediu necesar pentru închiderea cazurilor care se referă la accesul public la documente (de la 46 de zile în 2022, la 42 de zile în 2023); regretă, cu toate acestea, că durata medie (165 de zile) pentru realizarea unei anchete a rămas ridicată în 2023; înțelege, cu toate acestea, explicația Ombudsmanului potrivit căreia această medie a fost afectată de închiderea cu întârziere a anchetelor din cauza schimburilor repetate cu instituțiile în cauză;</w:t>
      </w:r>
    </w:p>
    <w:p w14:paraId="51C2433E"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13.</w:t>
      </w:r>
      <w:r w:rsidRPr="00782F7A">
        <w:rPr>
          <w:kern w:val="2"/>
          <w14:ligatures w14:val="standardContextual"/>
        </w:rPr>
        <w:tab/>
        <w:t>constată, de asemenea, o creștere a răspunsurilor pozitive ale instituțiilor Uniunii la propunerile Ombudsmanului de a-și îmbunătăți administrația, cu o rată globală de acceptare de 81 % în 2023 (față de 79 % în 2022); solicită Ombudsmanului să depună în continuare eforturi pentru a asigura o mai bună respectare a constatărilor, recomandărilor și sugestiilor sale;</w:t>
      </w:r>
    </w:p>
    <w:p w14:paraId="249A918B"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14.</w:t>
      </w:r>
      <w:r w:rsidRPr="00782F7A">
        <w:rPr>
          <w:kern w:val="2"/>
          <w14:ligatures w14:val="standardContextual"/>
        </w:rPr>
        <w:tab/>
        <w:t>recunoaște eforturile depuse de Ombudsman în 2023 pentru a crește nivelul de sensibilizare și de informare cu privire la mandatul său; observă cu satisfacție, în acest context, o creștere cu 20 % a numărului de plângeri legate de subiecte din sfera sa de competență, de la 740 în 2022, la 885 în 2023, precum și o creștere a ponderii acestor tipuri de plângeri, de la 33 % în 2022, la 37 % în 2023;</w:t>
      </w:r>
    </w:p>
    <w:p w14:paraId="58CE4A2D"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lastRenderedPageBreak/>
        <w:t>15.</w:t>
      </w:r>
      <w:r w:rsidRPr="00782F7A">
        <w:rPr>
          <w:kern w:val="2"/>
          <w14:ligatures w14:val="standardContextual"/>
        </w:rPr>
        <w:tab/>
        <w:t>recunoaște eforturile și impactul pozitiv al Ombudsmanului în 2023 în domeniile eticii, transparenței și responsabilității, în special ca urmare a anchetelor privind accesul public la documente și conflictele de interese privind diferite instituții, agenții ale Uniunii sau Banca Europeană de Investiții; își exprimă aprecierea pentru raportul special publicat de Ombudsman în septembrie 2023 privind întârzierile înregistrate de Comisie în tratarea cererilor de acces la documente;</w:t>
      </w:r>
    </w:p>
    <w:p w14:paraId="7D008187"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16.</w:t>
      </w:r>
      <w:r w:rsidRPr="00782F7A">
        <w:rPr>
          <w:kern w:val="2"/>
          <w14:ligatures w14:val="standardContextual"/>
        </w:rPr>
        <w:tab/>
        <w:t>ia act, din raportul Ombudsmanului către autoritatea care acordă descărcarea de gestiune intitulat „Raport privind acțiunile întreprinse în urma descărcării de gestiune pentru exercițiul financiar 2022”, de problemele observate în domeniul Mecanismului de redresare și reziliență (MRR), și anume întârzieri semnificative ale Comisiei Europene în a răspunde la cererile de acces la informații, în special publicarea cu întârziere de către statele membre a celor mai mari beneficiari ai MRR, ceea ce compromite transparența, precum legate de raționamentul pe baza căruia Comisia a stabilit nivelul la care se acordă acces public la documente în unele cazuri; își exprimă îngrijorarea cu privire la decizia Comisiei de a nu accepta toate sugestiile și propunerile de soluții formulate de Ombudsman în această privință, reamintind importanța principiilor de bună practică pentru transparența guvernamentală în utilizarea fondurilor de redresare, elaborate în cooperare cu OCDE; regretă că persistă divergențe semnificative la nivel național în ceea ce privește actualitatea și exhaustivitatea informațiilor privind destinatarii finali; invită Comisia să își intensifice eforturile pentru a remedia aceste deficiențe, ca parte a funcțiilor sale permanente de monitorizare și control; subliniază importanța unei raportări coerente și complete în toate statele membre pentru a asigura transparența și responsabilitatea; invită Ombudsmanul să monitorizeze în continuare eforturile Comisiei de a asigura transparența și supravegherea eficace a MRR; invită Ombudsmanul să informeze în continuare autoritatea bugetară periodic cu privire la dificultățile întâmpinate în activitatea sa privind transparența și responsabilitatea în cadrul MRR;</w:t>
      </w:r>
    </w:p>
    <w:p w14:paraId="17760870"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17.</w:t>
      </w:r>
      <w:r w:rsidRPr="00782F7A">
        <w:rPr>
          <w:kern w:val="2"/>
          <w14:ligatures w14:val="standardContextual"/>
        </w:rPr>
        <w:tab/>
        <w:t>subliniază că, în 2023, în urma unei anchete din proprie inițiativă care a arătat că, atunci când persoanele fizice solicită revizuirea unei decizii de acces, numită și cerere de confirmare, Comisia nu respectă termenele stabilite în lege în 85 % din cazuri, Ombudsmanul a îndemnat Comisia Europeană să abordeze prompt întârzierile sistemice în prelucrarea cererilor de acces la documente; solicită punerea rapidă în aplicare a recomandării urgente a Ombudsmanului privind o reevaluare aprofundată, pentru a garanta respectarea termenelor prevăzute în legislația UE, cum ar fi Regulamentul (CE) nr. 1049/2001 al Parlamentului European și al Consiliului </w:t>
      </w:r>
      <w:r w:rsidRPr="00782F7A">
        <w:rPr>
          <w:kern w:val="2"/>
          <w:vertAlign w:val="superscript"/>
          <w14:ligatures w14:val="standardContextual"/>
        </w:rPr>
        <w:footnoteReference w:id="9"/>
      </w:r>
      <w:r w:rsidRPr="00782F7A">
        <w:rPr>
          <w:kern w:val="2"/>
          <w14:ligatures w14:val="standardContextual"/>
        </w:rPr>
        <w:t>; felicită Ombudsmanul pentru raportul său special adresat Parlamentului European, prin care îi solicită sprijinul oficial pentru a determina Comisia să dea curs recomandării sale; reamintește că Ombudsmanul a discutat raportul cu deputații din Parlamentul European în cadrul Comisiei pentru libertăți civile, justiție și afaceri interne în noiembrie 2023 </w:t>
      </w:r>
      <w:r w:rsidRPr="00782F7A">
        <w:rPr>
          <w:kern w:val="2"/>
          <w:vertAlign w:val="superscript"/>
          <w14:ligatures w14:val="standardContextual"/>
        </w:rPr>
        <w:footnoteReference w:id="10"/>
      </w:r>
      <w:r w:rsidRPr="00782F7A">
        <w:rPr>
          <w:kern w:val="2"/>
          <w14:ligatures w14:val="standardContextual"/>
        </w:rPr>
        <w:t>;</w:t>
      </w:r>
    </w:p>
    <w:p w14:paraId="262E75D9"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18.</w:t>
      </w:r>
      <w:r w:rsidRPr="00782F7A">
        <w:rPr>
          <w:kern w:val="2"/>
          <w14:ligatures w14:val="standardContextual"/>
        </w:rPr>
        <w:tab/>
        <w:t xml:space="preserve">ia act cu mare îngrijorare de faptul că Ombudsmanul primește numeroase plângeri din partea cetățenilor cu privire la întârzieri extrem de mari în obținerea accesului la documentele solicitate; sprijină punctul de vedere al Ombudsmanului conform căruia </w:t>
      </w:r>
      <w:r w:rsidRPr="00782F7A">
        <w:rPr>
          <w:kern w:val="2"/>
          <w14:ligatures w14:val="standardContextual"/>
        </w:rPr>
        <w:lastRenderedPageBreak/>
        <w:t>acordarea cu întârziere a accesului înseamnă, în realitate, refuzul de a acorda acces și că procesele administrative ar trebui simplificate pentru a garanta că cetățenii primesc acces la documente în timp util </w:t>
      </w:r>
      <w:r w:rsidRPr="00782F7A">
        <w:rPr>
          <w:kern w:val="2"/>
          <w:vertAlign w:val="superscript"/>
          <w14:ligatures w14:val="standardContextual"/>
        </w:rPr>
        <w:footnoteReference w:id="11"/>
      </w:r>
      <w:r w:rsidRPr="00782F7A">
        <w:rPr>
          <w:kern w:val="2"/>
          <w14:ligatures w14:val="standardContextual"/>
        </w:rPr>
        <w:t>;</w:t>
      </w:r>
    </w:p>
    <w:p w14:paraId="5F6BD268"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19.</w:t>
      </w:r>
      <w:r w:rsidRPr="00782F7A">
        <w:rPr>
          <w:kern w:val="2"/>
          <w14:ligatures w14:val="standardContextual"/>
        </w:rPr>
        <w:tab/>
        <w:t>constată că auditorul intern a efectuat o revizuire a cadrului de gestionare a riscurilor al Ombudsmanului; constată că părțile au convenit asupra unui plan de acțiune în nouă puncte, care urmează să fie implementat până la sfârșitul anului 2024; invită Ombudsmanul să informeze autoritatea care acordă descărcarea de gestiune cu privire la progresele înregistrate în implementarea acestui plan;</w:t>
      </w:r>
    </w:p>
    <w:p w14:paraId="4673D20C" w14:textId="77777777" w:rsidR="00782F7A" w:rsidRPr="00782F7A" w:rsidRDefault="00782F7A" w:rsidP="00A363D5">
      <w:pPr>
        <w:spacing w:after="240"/>
        <w:ind w:left="567" w:hanging="567"/>
        <w:rPr>
          <w:b/>
          <w:i/>
          <w:kern w:val="2"/>
          <w14:ligatures w14:val="standardContextual"/>
        </w:rPr>
      </w:pPr>
      <w:r w:rsidRPr="00782F7A">
        <w:rPr>
          <w:b/>
          <w:i/>
          <w:kern w:val="2"/>
          <w14:ligatures w14:val="standardContextual"/>
        </w:rPr>
        <w:t>Resursele umane, egalitatea și starea de bine a personalului</w:t>
      </w:r>
    </w:p>
    <w:p w14:paraId="644DF045"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20.</w:t>
      </w:r>
      <w:r w:rsidRPr="00782F7A">
        <w:rPr>
          <w:kern w:val="2"/>
          <w14:ligatures w14:val="standardContextual"/>
        </w:rPr>
        <w:tab/>
        <w:t>constată o creștere cu 11 % a numărului total de angajați ai Ombudsmanului, de la 74 în 2022, la 82 în 2023, în principal în urma unei creșteri a numărului de agenți contractuali și de agenți temporari; constată, de asemenea, că în 2023 Ombudsmanul a angajat 40 de funcționari, față de 39 în 2022 și respectiv 38 în 2021, 33 de agenți temporari, față de 28 în 2022 și respectiv 30 în 2021, și 9 agenți contractuali, față de 7 în 2022 și respectiv 6 în 2021; constată cu satisfacție o creștere a ponderii personalului care lucrează în cadrul activității principale a Ombudsmanului (plângeri și anchete), de la 40,54 % în 2022, la 42,68 % în 2023; constată cu satisfacție că rata de ocupare a posturilor a crescut de la 91,8 % în 2022, la 95 % în 2023, iar rata de rotație a scăzut de la 9,9 % în 2022, la 5,2 % în 2023;</w:t>
      </w:r>
    </w:p>
    <w:p w14:paraId="1D078613"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21.</w:t>
      </w:r>
      <w:r w:rsidRPr="00782F7A">
        <w:rPr>
          <w:kern w:val="2"/>
          <w14:ligatures w14:val="standardContextual"/>
        </w:rPr>
        <w:tab/>
        <w:t>regretă că postul de secretar general al Ombudsmanului este vacant de peste doi ani, mai precis de la 1 septembrie 2022; constată, pe baza chestionarului, că „din curtoazie față de noul Ombudsman, care va fi ales până la sfârșitul anului 2024, actualul Ombudsman a decis să lase postul vacant pentru ca succesorul său să decidă cu privire la numire”; invită următorul Ombudsman să se asigure că perioadele în care posturile de conducere rămân neocupate sunt cât mai scurte posibil și că nu depășesc timpul necesar pentru recrutarea de noi angajați în aceste posturi;</w:t>
      </w:r>
    </w:p>
    <w:p w14:paraId="44AF35CF"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22.</w:t>
      </w:r>
      <w:r w:rsidRPr="00782F7A">
        <w:rPr>
          <w:kern w:val="2"/>
          <w14:ligatures w14:val="standardContextual"/>
        </w:rPr>
        <w:tab/>
        <w:t>felicită Ombudsmanul pentru cererea sa de exprimare a interesului pentru posturi (ofițeri de anchetă), care s-a încheiat cu succes în 2023 prin întocmirea unei liste de rezervă de 19 candidați, dintre care 6 au fost recrutați în același an; constată că acest lucru a permis Ombudsmanului să reducă timpul necesar pentru recrutare, care reprezentase o problemă în trecut; constată, de asemenea, că în 2023 Ombudsmanul a organizat, cu ajutorul Oficiului European pentru Selecția Personalului (EPSO), trei concursuri interne, pentru a păstra oamenii valoroși de pe plan intern; recunoaște că astfel de acțiuni îmbunătățesc eficiența instituției;</w:t>
      </w:r>
    </w:p>
    <w:p w14:paraId="10B014CD"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23.</w:t>
      </w:r>
      <w:r w:rsidRPr="00782F7A">
        <w:rPr>
          <w:kern w:val="2"/>
          <w14:ligatures w14:val="standardContextual"/>
        </w:rPr>
        <w:tab/>
        <w:t xml:space="preserve">constată că, deși este o instituție mică, Ombudsmanul a reușit să aibă 19 naționalități reprezentate în personalul său în 2023, ca urmare a comunicării </w:t>
      </w:r>
      <w:proofErr w:type="spellStart"/>
      <w:r w:rsidRPr="00782F7A">
        <w:rPr>
          <w:kern w:val="2"/>
          <w14:ligatures w14:val="standardContextual"/>
        </w:rPr>
        <w:t>proactive</w:t>
      </w:r>
      <w:proofErr w:type="spellEnd"/>
      <w:r w:rsidRPr="00782F7A">
        <w:rPr>
          <w:kern w:val="2"/>
          <w14:ligatures w14:val="standardContextual"/>
        </w:rPr>
        <w:t xml:space="preserve"> și a activității de informare, în special prin intermediul canalelor de comunicare socială și platformelor online unde a făcut publicitate posturilor vacante; observă totuși cu nemulțumire o </w:t>
      </w:r>
      <w:proofErr w:type="spellStart"/>
      <w:r w:rsidRPr="00782F7A">
        <w:rPr>
          <w:kern w:val="2"/>
          <w14:ligatures w14:val="standardContextual"/>
        </w:rPr>
        <w:t>suprareprezentare</w:t>
      </w:r>
      <w:proofErr w:type="spellEnd"/>
      <w:r w:rsidRPr="00782F7A">
        <w:rPr>
          <w:kern w:val="2"/>
          <w14:ligatures w14:val="standardContextual"/>
        </w:rPr>
        <w:t xml:space="preserve"> a anumitor naționalități (cum ar fi francezi și irlandezi) și o subreprezentare a altor naționalități (cum ar fi români și spanioli); îndeamnă Ombudsmanul să își continue eforturile pentru a obține o distribuție geografică echilibrată a resortisanților din toate statele membre în rândul personalului său, în special la nivel de management, prin îmbunătățirea comunicării, promovarea vizibilității </w:t>
      </w:r>
      <w:r w:rsidRPr="00782F7A">
        <w:rPr>
          <w:kern w:val="2"/>
          <w14:ligatures w14:val="standardContextual"/>
        </w:rPr>
        <w:lastRenderedPageBreak/>
        <w:t>și îmbunătățirea condițiilor de muncă pentru a atrage naționalitățile subreprezentate;</w:t>
      </w:r>
    </w:p>
    <w:p w14:paraId="4E1AC4B4"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24.</w:t>
      </w:r>
      <w:r w:rsidRPr="00782F7A">
        <w:rPr>
          <w:kern w:val="2"/>
          <w14:ligatures w14:val="standardContextual"/>
        </w:rPr>
        <w:tab/>
        <w:t>constată că, în ceea ce privește echilibrul de gen, personalul Ombudsmanului cuprinde mai multe femei decât bărbați în toate categoriile de personal, în special la nivel de management, raportul general dintre femei și bărbați rămânând același ca și în 2022, adică 67 % femei și 33 % bărbați; încurajează Ombudsmanul să își continue eforturile pentru a avea o reprezentare mai echilibrată din punctul de vedere al genului în cadrul personalului;</w:t>
      </w:r>
    </w:p>
    <w:p w14:paraId="73F90B20"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25.</w:t>
      </w:r>
      <w:r w:rsidRPr="00782F7A">
        <w:rPr>
          <w:kern w:val="2"/>
          <w14:ligatures w14:val="standardContextual"/>
        </w:rPr>
        <w:tab/>
        <w:t>ia act de faptul că Ombudsmanul depune eforturi pentru a asigura starea de bine fizică și mintală a personalului său la locul de muncă și că se axează pe consolidarea spiritului de echipă; salută, în acest context, rezultatul sondajului general realizat în rândul personalului în 2023, care arătă o rată generală de satisfacție a personalului de 87 %, în special faptul că 95 % dintre participanții la sondaj au răspuns pozitiv la întrebarea dacă Ombudsmanul se preocupă de starea de bine a personalului său, 97 % au fost mulțumiți de formulele de lucru hibride și flexibile oferite de Ombudsman, iar 90 % au fost mulțumiți de echipamentele și materialele puse la dispoziție de angajator pentru a lucra de la distanță; constată cu satisfacție că, în 2023, Ombudsmanul a decis să ofere scaune ergonomice tuturor angajaților care le-au solicitat;</w:t>
      </w:r>
    </w:p>
    <w:p w14:paraId="342CAD62"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26.</w:t>
      </w:r>
      <w:r w:rsidRPr="00782F7A">
        <w:rPr>
          <w:kern w:val="2"/>
          <w14:ligatures w14:val="standardContextual"/>
        </w:rPr>
        <w:tab/>
        <w:t>observă că dimensiunea redusă a biroului Ombudsmanului permite cadrelor de conducere să monitorizeze îndeaproape volumul de muncă al personalului și să facă ajustările necesare, permițând detectarea din timp a potențialelor cazuri de epuizare; constată că sondajul în rândul personalului din 2023 nu a indicat probleme de distribuție a volumului de muncă sau probleme de sănătate în muncă și că serviciul medical al Parlamentului European nu a raportat cazuri de boală pe termen lung legată de epuizarea profesională;</w:t>
      </w:r>
    </w:p>
    <w:p w14:paraId="31044BAA"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27.</w:t>
      </w:r>
      <w:r w:rsidRPr="00782F7A">
        <w:rPr>
          <w:kern w:val="2"/>
          <w14:ligatures w14:val="standardContextual"/>
        </w:rPr>
        <w:tab/>
        <w:t>constată cu satisfacție că în 2023 nu a fost semnalat niciun caz de hărțuire; recunoaște eforturile depuse de Ombudsman pentru a asigura un mediu de lucru în care să nu existe hărțuire sexuală și psihologică, în special prin sensibilizare și formare; constată cu satisfacție că un sondaj realizat în 2023 în contextul unui audit intern privind cadrul etic a arătat că 90 % din personal cunoștea politica și orientările privind hărțuirea de orice tip;</w:t>
      </w:r>
    </w:p>
    <w:p w14:paraId="0CD7820B"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28.</w:t>
      </w:r>
      <w:r w:rsidRPr="00782F7A">
        <w:rPr>
          <w:kern w:val="2"/>
          <w14:ligatures w14:val="standardContextual"/>
        </w:rPr>
        <w:tab/>
        <w:t>observă cu satisfacție că în 2023 Ombudsmanul a primit 18 stagiari remunerați (același număr ca în 2022), dintre care unul a fost selectat în urma primei cereri de propuneri adresate candidaților cu dizabilități; recunoaște că această inițiativă promovează incluziunea și egalitatea de șanse, oferind stagiarilor o experiență valoroasă în instituțiile UE;</w:t>
      </w:r>
    </w:p>
    <w:p w14:paraId="42A485D6" w14:textId="77777777" w:rsidR="00782F7A" w:rsidRPr="00782F7A" w:rsidRDefault="00782F7A" w:rsidP="00A363D5">
      <w:pPr>
        <w:spacing w:after="240"/>
        <w:ind w:left="567" w:hanging="567"/>
        <w:rPr>
          <w:b/>
          <w:i/>
          <w:kern w:val="2"/>
          <w14:ligatures w14:val="standardContextual"/>
        </w:rPr>
      </w:pPr>
      <w:r w:rsidRPr="00782F7A">
        <w:rPr>
          <w:b/>
          <w:i/>
          <w:kern w:val="2"/>
          <w14:ligatures w14:val="standardContextual"/>
        </w:rPr>
        <w:t>Cadrul etic și transparența</w:t>
      </w:r>
    </w:p>
    <w:p w14:paraId="3CAF322B"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29.</w:t>
      </w:r>
      <w:r w:rsidRPr="00782F7A">
        <w:rPr>
          <w:kern w:val="2"/>
          <w14:ligatures w14:val="standardContextual"/>
        </w:rPr>
        <w:tab/>
        <w:t xml:space="preserve">salută eforturile continue ale Ombudsmanului de a consolida cadrul etic al instituției și de a sensibiliza cu privire la acesta; constată cu satisfacție că în 2023 Ombudsmanul și-a revizuit politica privind avertizorii de integritate pentru a consolida protecția potențialilor avertizori, pentru a asigura o mai bună aliniere la standardele de protecție a datelor, pentru a crește confidențialitatea și sprijinul și pentru a include dispoziții privind corespondenții de etică; salută implementarea integrală a instrumentului de etică din SYSPER, care permite personalului să își actualizeze declarațiile (privind conflictele de interese și activitățile profesionale ale soților/partenerilor lor) și a </w:t>
      </w:r>
      <w:r w:rsidRPr="00782F7A">
        <w:rPr>
          <w:kern w:val="2"/>
          <w14:ligatures w14:val="standardContextual"/>
        </w:rPr>
        <w:lastRenderedPageBreak/>
        <w:t>organizat un curs de formare interactiv intitulat „Respectul și demnitatea la locul de muncă și rolurile noastre de actori, destinatari și martori”; salută rezultatul sondajului general realizat în rândul personalului în 2023, care a confirmat un nivel ridicat de sensibilizare a personalului cu privire la aspectele etice; solicită publicarea tuturor reuniunilor la nivel înalt ale biroului Ombudsmanului cu actori externi, inclusiv cu entități corporative, grupuri de interese și agenții ale UE, pentru a asigura transparența procesului decizional și a eforturilor de sensibilizare;</w:t>
      </w:r>
    </w:p>
    <w:p w14:paraId="282463C7"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30.</w:t>
      </w:r>
      <w:r w:rsidRPr="00782F7A">
        <w:rPr>
          <w:kern w:val="2"/>
          <w14:ligatures w14:val="standardContextual"/>
        </w:rPr>
        <w:tab/>
        <w:t>observă că auditul intern (raportul 22/03) privind cadrul etic al Ombudsmanului a fost finalizat în 2023, șase recomandări emise urmând să fie implementate până la 31 decembrie 2024; ia act, pe baza chestionarului, de faptul că patru dintre aceste recomandări au fost implementate integral; invită Ombudsmanul să informeze autoritatea care acordă descărcarea de gestiune cu privire la stadiul de implementare a celorlalte două recomandări;</w:t>
      </w:r>
    </w:p>
    <w:p w14:paraId="1714A010"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31.</w:t>
      </w:r>
      <w:r w:rsidRPr="00782F7A">
        <w:rPr>
          <w:kern w:val="2"/>
          <w14:ligatures w14:val="standardContextual"/>
        </w:rPr>
        <w:tab/>
        <w:t>observă că strategia antifraudă a Ombudsmanului se bazează în mare măsură pe cadrul etic existent și pe principiul separării sarcinilor pentru funcțiile financiare; observă că, în 2023, Ombudsmanul a revizuit și a adoptat codul standardelor profesionale aplicabile personalului implicat în controlul operațiunilor financiare, stabilind sarcinile și responsabilitățile în detectarea tranzacțiilor frauduloase, inclusiv procedura care trebuie urmată în cazurile de suspiciune de fraudă;</w:t>
      </w:r>
    </w:p>
    <w:p w14:paraId="0D4D4654"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32.</w:t>
      </w:r>
      <w:r w:rsidRPr="00782F7A">
        <w:rPr>
          <w:kern w:val="2"/>
          <w14:ligatures w14:val="standardContextual"/>
        </w:rPr>
        <w:tab/>
        <w:t>constată cu satisfacție că în 2023 nu au fost raportate cazuri de conflicte de interese și nici cazuri de avertizare de integritate;</w:t>
      </w:r>
    </w:p>
    <w:p w14:paraId="688FC70D"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33.</w:t>
      </w:r>
      <w:r w:rsidRPr="00782F7A">
        <w:rPr>
          <w:kern w:val="2"/>
          <w14:ligatures w14:val="standardContextual"/>
        </w:rPr>
        <w:tab/>
        <w:t>constată, pe baza chestionarului, că Ombudsmanul nu a aderat în mod oficial la registrul de transparență al UE (instituit prin Acordul interinstituțional din 20 mai 2021 dintre Parlamentul European, Consiliul Uniunii Europene și Comisia Europeană privind un registru de transparență obligatoriu) pentru a se asigura că poate analiza și eventualele plângeri referitoare la secretariatul registrului de transparență respectiv; constată, cu toate acestea, că Ombudsmanul și-a aliniat practicile la principiile registrului de transparență, verificând că vorbitorii și interlocutorii de la evenimentele sau reuniunile organizate de Ombudsman sunt înregistrați în acest registru; salută faptul că, prin publicarea pe site-ul său de internet a informațiilor privind anchetele, misiunile, reuniunile și evenimentele la care participă, Ombudsmanul a atins un grad ridicat de transparență;</w:t>
      </w:r>
    </w:p>
    <w:p w14:paraId="6ED422F3"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34.</w:t>
      </w:r>
      <w:r w:rsidRPr="00782F7A">
        <w:rPr>
          <w:kern w:val="2"/>
          <w14:ligatures w14:val="standardContextual"/>
        </w:rPr>
        <w:tab/>
        <w:t>invită Ombudsmanul să introducă o declarație obligatorie de interese financiare pentru personalul de conducere, cu acces public în timp real la informații privind potențialele conflicte de interese, angajamentele externe și activele financiare;</w:t>
      </w:r>
    </w:p>
    <w:p w14:paraId="5B4DAD53" w14:textId="77777777" w:rsidR="00782F7A" w:rsidRPr="00782F7A" w:rsidRDefault="00782F7A" w:rsidP="00A363D5">
      <w:pPr>
        <w:spacing w:after="240"/>
        <w:ind w:left="567" w:hanging="567"/>
        <w:rPr>
          <w:b/>
          <w:i/>
          <w:kern w:val="2"/>
          <w14:ligatures w14:val="standardContextual"/>
        </w:rPr>
      </w:pPr>
      <w:r w:rsidRPr="00782F7A">
        <w:rPr>
          <w:b/>
          <w:i/>
          <w:kern w:val="2"/>
          <w14:ligatures w14:val="standardContextual"/>
        </w:rPr>
        <w:t>Clădirile</w:t>
      </w:r>
    </w:p>
    <w:p w14:paraId="4DFF3C77"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35.</w:t>
      </w:r>
      <w:r w:rsidRPr="00782F7A">
        <w:rPr>
          <w:kern w:val="2"/>
          <w14:ligatures w14:val="standardContextual"/>
        </w:rPr>
        <w:tab/>
        <w:t>constată că bugetul final (după transferuri) al Ombudsmanului pentru clădiri și costurile conexe a scăzut cu aproximativ 15 %, de la 1 622 200 EUR în 2022, la 1 373 000 EUR în 2023; constată că creditele pentru chirie au scăzut cu 26 %, de la 1 177 700 EUR în 2022, la 866 100 EUR în 2023, cu o rată de execuție a plăților în ambii ani de aproape 100 %;</w:t>
      </w:r>
    </w:p>
    <w:p w14:paraId="53BF8FF9" w14:textId="77777777" w:rsidR="00782F7A" w:rsidRPr="00782F7A" w:rsidRDefault="00782F7A" w:rsidP="00A363D5">
      <w:pPr>
        <w:spacing w:after="240"/>
        <w:ind w:left="567" w:hanging="567"/>
        <w:rPr>
          <w:b/>
          <w:kern w:val="2"/>
          <w14:ligatures w14:val="standardContextual"/>
        </w:rPr>
      </w:pPr>
      <w:r w:rsidRPr="00782F7A">
        <w:rPr>
          <w:kern w:val="2"/>
          <w14:ligatures w14:val="standardContextual"/>
        </w:rPr>
        <w:t>36.</w:t>
      </w:r>
      <w:r w:rsidRPr="00782F7A">
        <w:rPr>
          <w:kern w:val="2"/>
          <w14:ligatures w14:val="standardContextual"/>
        </w:rPr>
        <w:tab/>
        <w:t xml:space="preserve">constată că, în urma mutării biroului Ombudsmanului de la Bruxelles într-o nouă clădire pusă la dispoziție de Parlament în 2021, clădirea a fost organizată ca spațiu de lucru </w:t>
      </w:r>
      <w:proofErr w:type="spellStart"/>
      <w:r w:rsidRPr="00782F7A">
        <w:rPr>
          <w:kern w:val="2"/>
          <w14:ligatures w14:val="standardContextual"/>
        </w:rPr>
        <w:lastRenderedPageBreak/>
        <w:t>colaborativ</w:t>
      </w:r>
      <w:proofErr w:type="spellEnd"/>
      <w:r w:rsidRPr="00782F7A">
        <w:rPr>
          <w:kern w:val="2"/>
          <w14:ligatures w14:val="standardContextual"/>
        </w:rPr>
        <w:t xml:space="preserve">, cu foarte puține birouri individuale și cu structuri pentru reuniuni flexibile și </w:t>
      </w:r>
      <w:proofErr w:type="spellStart"/>
      <w:r w:rsidRPr="00782F7A">
        <w:rPr>
          <w:kern w:val="2"/>
          <w14:ligatures w14:val="standardContextual"/>
        </w:rPr>
        <w:t>colaborative</w:t>
      </w:r>
      <w:proofErr w:type="spellEnd"/>
      <w:r w:rsidRPr="00782F7A">
        <w:rPr>
          <w:kern w:val="2"/>
          <w14:ligatures w14:val="standardContextual"/>
        </w:rPr>
        <w:t xml:space="preserve">; ia act cu satisfacție de faptul că Ombudsmanul nu folosește spații de lucru fără locuri fixe („hot </w:t>
      </w:r>
      <w:proofErr w:type="spellStart"/>
      <w:r w:rsidRPr="00782F7A">
        <w:rPr>
          <w:kern w:val="2"/>
          <w14:ligatures w14:val="standardContextual"/>
        </w:rPr>
        <w:t>desking</w:t>
      </w:r>
      <w:proofErr w:type="spellEnd"/>
      <w:r w:rsidRPr="00782F7A">
        <w:rPr>
          <w:kern w:val="2"/>
          <w14:ligatures w14:val="standardContextual"/>
        </w:rPr>
        <w:t>”) și că toți membrii personalului dispun de un birou propriu, cu spațiu mare de depozitare; constată că în 2023 nu au fost aduse modificări birourilor și că un sondaj general în rândul personalului realizat în 2023 a arătat că majoritatea personalului (56 %) a dat un răspuns pozitiv în ceea ce privește amenajările fizice din birourile lor de la Bruxelles;</w:t>
      </w:r>
    </w:p>
    <w:p w14:paraId="77032F20"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37.</w:t>
      </w:r>
      <w:r w:rsidRPr="00782F7A">
        <w:rPr>
          <w:kern w:val="2"/>
          <w14:ligatures w14:val="standardContextual"/>
        </w:rPr>
        <w:tab/>
        <w:t>reamintește că Ombudsmanul nu deține propriile clădiri, ci închiriază o clădire la Bruxelles și un spațiu de birouri la Strasbourg; observă cu satisfacție că clădirea Havel din Strasbourg este pe deplin accesibilă persoanelor cu mobilitate redusă sau cu alte dizabilități și regretă profund că accesibilitatea clădirii închiriate la Bruxelles trebuie îmbunătățită; invită Parlamentul să îmbunătățească accesibilitatea clădirii închiriate Ombudsmanului la Bruxelles;</w:t>
      </w:r>
    </w:p>
    <w:p w14:paraId="5033DF80" w14:textId="77777777" w:rsidR="00782F7A" w:rsidRPr="00782F7A" w:rsidRDefault="00782F7A" w:rsidP="00A363D5">
      <w:pPr>
        <w:spacing w:after="240"/>
        <w:ind w:left="567" w:hanging="567"/>
        <w:rPr>
          <w:b/>
          <w:i/>
          <w:kern w:val="2"/>
          <w14:ligatures w14:val="standardContextual"/>
        </w:rPr>
      </w:pPr>
      <w:r w:rsidRPr="00782F7A">
        <w:rPr>
          <w:b/>
          <w:i/>
          <w:kern w:val="2"/>
          <w14:ligatures w14:val="standardContextual"/>
        </w:rPr>
        <w:t>Digitalizarea, securitatea cibernetică și protecția datelor</w:t>
      </w:r>
    </w:p>
    <w:p w14:paraId="71121B85"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38.</w:t>
      </w:r>
      <w:r w:rsidRPr="00782F7A">
        <w:rPr>
          <w:kern w:val="2"/>
          <w14:ligatures w14:val="standardContextual"/>
        </w:rPr>
        <w:tab/>
        <w:t>recunoaște succesul abordării pe care Ombudsmanul o aplică de mulți ani, aceea de a mobiliza sisteme și resurse integrate de la alte instituții ale Uniunii, în special de la Parlament și Comisie, pentru a optimiza utilizarea bugetului și a îmbunătăți coordonarea, de exemplu în domeniul digitalizării; ia act, în acest context, de implementarea cu succes a instrumentelor de traducere automată ale Comisiei, care au fost integrate în sistemele Ombudsmanului (de exemplu site-ul web) în 2023; constată cu satisfacție, pe baza chestionarului, că acest proiect a condus la o reducere a costurilor de traducere estimată la peste 30 % pe an, precum și la o reducere a sarcinii administrative;</w:t>
      </w:r>
    </w:p>
    <w:p w14:paraId="5EB6BE57"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39.</w:t>
      </w:r>
      <w:r w:rsidRPr="00782F7A">
        <w:rPr>
          <w:kern w:val="2"/>
          <w14:ligatures w14:val="standardContextual"/>
        </w:rPr>
        <w:tab/>
        <w:t xml:space="preserve">salută implementarea integrală a semnăturii electronice calificate, care permite personalului să semneze documente într-un mod securizat, precum și utilizarea sistemului </w:t>
      </w:r>
      <w:proofErr w:type="spellStart"/>
      <w:r w:rsidRPr="00782F7A">
        <w:rPr>
          <w:kern w:val="2"/>
          <w14:ligatures w14:val="standardContextual"/>
        </w:rPr>
        <w:t>QSign</w:t>
      </w:r>
      <w:proofErr w:type="spellEnd"/>
      <w:r w:rsidRPr="00782F7A">
        <w:rPr>
          <w:kern w:val="2"/>
          <w14:ligatures w14:val="standardContextual"/>
        </w:rPr>
        <w:t xml:space="preserve"> al Comisiei, care permite personalului să semneze și să gestioneze documente, inclusiv documente contractuale și de achiziții publice;</w:t>
      </w:r>
    </w:p>
    <w:p w14:paraId="23B107B8"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40.</w:t>
      </w:r>
      <w:r w:rsidRPr="00782F7A">
        <w:rPr>
          <w:kern w:val="2"/>
          <w14:ligatures w14:val="standardContextual"/>
        </w:rPr>
        <w:tab/>
        <w:t>constată că, începând din 2023, Ombudsmanul a explorat în mod activ oportunitățile pe care le-ar putea oferi utilizarea inteligenței artificiale (IA); salută, în acest context, parteneriatul Ombudsmanului cu Centrul Comun de Cercetare al Comisiei Europene, pentru a experimenta modele lingvistice de mari dimensiuni și pentru a testa și evalua cazurile de utilizare a IA; constată, de asemenea, că Ombudsmanul a achiziționat mai multe instrumente de IA pe care le-a folosit cu succes la crearea de conținut video; salută adoptarea de către Ombudsman a unor orientări interne pentru a se asigura că instrumentele externe de IA sunt utilizate într-un mod responsabil și transparent; încurajează Ombudsmanul să se asigure că personalul beneficiază de formare obligatorie privind utilizarea sigură și etică a instrumentelor IA, cu scopul de a îmbunătăți înțelegerea acestora și a atenua riscurile potențiale; invită Ombudsmanul să informeze autoritatea care acordă descărcarea de gestiune cu privire la progresele înregistrate în testarea și utilizarea soluțiilor de IA;</w:t>
      </w:r>
    </w:p>
    <w:p w14:paraId="5981D7D6"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41.</w:t>
      </w:r>
      <w:r w:rsidRPr="00782F7A">
        <w:rPr>
          <w:kern w:val="2"/>
          <w14:ligatures w14:val="standardContextual"/>
        </w:rPr>
        <w:tab/>
        <w:t xml:space="preserve">constată că, în ceea ce privește tehnologia informației, Ombudsmanul se bazează pe infrastructura și pe cadrul de securitate cibernetică al Parlamentului și cooperează îndeaproape cu Comisia în ceea ce privește integrarea și întreținerea instrumentelor instituționale ale Uniunii (SYSPER, ABAC, </w:t>
      </w:r>
      <w:proofErr w:type="spellStart"/>
      <w:r w:rsidRPr="00782F7A">
        <w:rPr>
          <w:kern w:val="2"/>
          <w14:ligatures w14:val="standardContextual"/>
        </w:rPr>
        <w:t>MiPS</w:t>
      </w:r>
      <w:proofErr w:type="spellEnd"/>
      <w:r w:rsidRPr="00782F7A">
        <w:rPr>
          <w:kern w:val="2"/>
          <w14:ligatures w14:val="standardContextual"/>
        </w:rPr>
        <w:t xml:space="preserve"> și ARES) și utilizarea contractelor-cadru informatice; constată că, având în vedere că nivelul său de control asupra datelor </w:t>
      </w:r>
      <w:r w:rsidRPr="00782F7A">
        <w:rPr>
          <w:kern w:val="2"/>
          <w14:ligatures w14:val="standardContextual"/>
        </w:rPr>
        <w:lastRenderedPageBreak/>
        <w:t>este limitat, Ombudsmanul a încheiat acorduri privind nivelul serviciilor cu instituțiile în cauză pentru a se asigura că prelucrarea datelor cu caracter personal respectă cadrul juridic aplicabil; constată cu satisfacție că Ombudsmanul nu s-a confruntat cu niciun atac cibernetic în 2023;</w:t>
      </w:r>
    </w:p>
    <w:p w14:paraId="65421D35"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42.</w:t>
      </w:r>
      <w:r w:rsidRPr="00782F7A">
        <w:rPr>
          <w:kern w:val="2"/>
          <w14:ligatures w14:val="standardContextual"/>
        </w:rPr>
        <w:tab/>
        <w:t>încurajează Ombudsmanul să colaboreze strâns cu ENISA (Agenția Uniunii Europene pentru Securitate Cibernetică); sugerează să se ofere programe de formare în domeniul securității cibernetice actualizate periodic pentru toți angajații Ombudsmanului;</w:t>
      </w:r>
    </w:p>
    <w:p w14:paraId="34676CBF"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43.</w:t>
      </w:r>
      <w:r w:rsidRPr="00782F7A">
        <w:rPr>
          <w:kern w:val="2"/>
          <w14:ligatures w14:val="standardContextual"/>
        </w:rPr>
        <w:tab/>
        <w:t>constată din raportul de audit intern 21/03 privind revizuirea cadrului de protecție a datelor al Ombudsmanului că o acțiune a rămas deschisă în al patrulea trimestru al anului 2023 și din Raportul de audit intern 20/04 privind securitatea TIC a Ombudsmanului că au existat șapte acțiuni în curs în 2023; invită Ombudsmanul să informeze în permanență autoritatea care acordă descărcarea de gestiune despre progresele înregistrate în aceste chestiuni;</w:t>
      </w:r>
    </w:p>
    <w:p w14:paraId="7EC3A3D7" w14:textId="77777777" w:rsidR="00782F7A" w:rsidRPr="00782F7A" w:rsidRDefault="00782F7A" w:rsidP="00A363D5">
      <w:pPr>
        <w:spacing w:after="240"/>
        <w:ind w:left="567" w:hanging="567"/>
        <w:rPr>
          <w:b/>
          <w:i/>
          <w:kern w:val="2"/>
          <w14:ligatures w14:val="standardContextual"/>
        </w:rPr>
      </w:pPr>
      <w:r w:rsidRPr="00782F7A">
        <w:rPr>
          <w:b/>
          <w:i/>
          <w:kern w:val="2"/>
          <w14:ligatures w14:val="standardContextual"/>
        </w:rPr>
        <w:t>Mediul și sustenabilitatea</w:t>
      </w:r>
    </w:p>
    <w:p w14:paraId="327161BF"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44.</w:t>
      </w:r>
      <w:r w:rsidRPr="00782F7A">
        <w:rPr>
          <w:kern w:val="2"/>
          <w14:ligatures w14:val="standardContextual"/>
        </w:rPr>
        <w:tab/>
        <w:t>salută faptul că, de-a lungul anilor, Ombudsmanul și-a redus amprenta de mediu, în special prin digitalizarea proceselor, eliminarea imprimantelor individuale, neînlocuirea unităților centrale de procesare atunci când acestea au ajuns la sfârșitul ciclului de viață, prin măsuri pentru ca evenimentele să fie mai sustenabile și prin utilizarea pe scară largă a sistemelor de videoconferință pentru a evita misiunile; constată că, în ceea ce privește amprenta de mediu a clădirilor sale, Ombudsmanul se bazează pe măsurile luate de Parlament, care este proprietarul clădirilor; constată cu satisfacție că ambele clădiri în care Ombudsmanul are birouri funcționează cu energie curată în proporție de 100 %; salută instalarea de către Parlament în 2024 de panouri solare, inclusiv pe clădirea Havel din Strasbourg;</w:t>
      </w:r>
    </w:p>
    <w:p w14:paraId="42BFB2EE"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45.</w:t>
      </w:r>
      <w:r w:rsidRPr="00782F7A">
        <w:rPr>
          <w:kern w:val="2"/>
          <w14:ligatures w14:val="standardContextual"/>
        </w:rPr>
        <w:tab/>
        <w:t>observă că Ombudsmanul a continuat să încurajeze mobilitatea sustenabilă în 2023; salută, în acest sens, faptul că Ombudsmanul a adoptat o nouă politică de mobilitate, care prevede plata unei contribuții forfetare pentru personalul de până la gradul AST8/AD8 care utilizează moduri de transport durabile pentru a ajunge la locul de muncă; constată, de asemenea, pe baza chestionarului, că inițiativa prin care Ombudsmanul a pus la dispoziția personalului biciclete pe timpul programului de lucru nu a avut succes, deoarece bicicletele au fost foarte puțin utilizate în perioada de probă;</w:t>
      </w:r>
    </w:p>
    <w:p w14:paraId="4F40266F" w14:textId="77777777" w:rsidR="00782F7A" w:rsidRPr="00782F7A" w:rsidRDefault="00782F7A" w:rsidP="00A363D5">
      <w:pPr>
        <w:spacing w:after="240"/>
        <w:rPr>
          <w:b/>
          <w:i/>
          <w:kern w:val="2"/>
          <w14:ligatures w14:val="standardContextual"/>
        </w:rPr>
      </w:pPr>
      <w:r w:rsidRPr="00782F7A">
        <w:rPr>
          <w:b/>
          <w:i/>
          <w:kern w:val="2"/>
          <w14:ligatures w14:val="standardContextual"/>
        </w:rPr>
        <w:t>Cooperarea interinstituțională</w:t>
      </w:r>
    </w:p>
    <w:p w14:paraId="6B0F3F39"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46.</w:t>
      </w:r>
      <w:r w:rsidRPr="00782F7A">
        <w:rPr>
          <w:kern w:val="2"/>
          <w14:ligatures w14:val="standardContextual"/>
        </w:rPr>
        <w:tab/>
        <w:t>salută economiile financiare și administrative realizate prin cooperarea interinstituțională, în special numărul mare de acorduri privind nivelul serviciilor încheiate cu Parlamentul și Comisia și participarea la proceduri interinstituționale de achiziții publice; salută formalizarea colaborării dintre Parlament și Ombudsman în domeniul securității cibernetice printr-un acord interinstituțional revizuit, care oferă un cadru pentru ca Parlamentul să continue să ofere Ombudsmanului un sprijin solid în materie de securitate cibernetică; constată, de asemenea, că în 2023 Ombudsmanul a semnat un acord privind nivelul serviciilor cu EPSO pentru organizarea de concursuri interne;</w:t>
      </w:r>
    </w:p>
    <w:p w14:paraId="42F951D0"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47.</w:t>
      </w:r>
      <w:r w:rsidRPr="00782F7A">
        <w:rPr>
          <w:kern w:val="2"/>
          <w14:ligatures w14:val="standardContextual"/>
        </w:rPr>
        <w:tab/>
        <w:t xml:space="preserve">felicită Ombudsmanul pentru buna sa colaborare cu Oficiul European de Luptă Antifraudă (OLAF), Curtea și Parchetul European, care în 2023 a luat forma unor </w:t>
      </w:r>
      <w:r w:rsidRPr="00782F7A">
        <w:rPr>
          <w:kern w:val="2"/>
          <w14:ligatures w14:val="standardContextual"/>
        </w:rPr>
        <w:lastRenderedPageBreak/>
        <w:t>reuniuni și schimburi de opinii, de exemplu cu privire la modalități de îmbunătățire a transparenței și integrității instituțiilor Uniunii sau a cadrului de supraveghere al Uniunii; reamintește că Ombudsmanul și OLAF au instituit un sistem pentru a evita duplicarea investigațiilor; constată, pe baza chestionarului, că Ombudsmanul și Autoritatea Europeană pentru Protecția Datelor (AEPD) cooperează în principal pe bază ad-hoc și informală pentru o colaborare rapidă și eficientă atunci când este necesar; încurajează Ombudsmanul să colaboreze îndeaproape cu celelalte instituții și agenții europene;</w:t>
      </w:r>
    </w:p>
    <w:p w14:paraId="71C465D0"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48.</w:t>
      </w:r>
      <w:r w:rsidRPr="00782F7A">
        <w:rPr>
          <w:kern w:val="2"/>
          <w14:ligatures w14:val="standardContextual"/>
        </w:rPr>
        <w:tab/>
        <w:t>invită Ombudsmanul să stabilească un dialog anual oficial cu comisiile CONT (Control bugetar) și LIBE (Libertăți civile, justiție și afaceri interne) ale Parlamentului European, asigurând monitorizarea sistematică a transparenței instituționale, a reformelor în materie de guvernanță și a protecției drepturilor fundamentale;</w:t>
      </w:r>
    </w:p>
    <w:p w14:paraId="1682C0D2"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49.</w:t>
      </w:r>
      <w:r w:rsidRPr="00782F7A">
        <w:rPr>
          <w:kern w:val="2"/>
          <w14:ligatures w14:val="standardContextual"/>
        </w:rPr>
        <w:tab/>
        <w:t xml:space="preserve">recunoaște că este important ca Ombudsmanul să mențină un nivel ridicat de schimburi și coordonare cu Rețeaua europeană a </w:t>
      </w:r>
      <w:proofErr w:type="spellStart"/>
      <w:r w:rsidRPr="00782F7A">
        <w:rPr>
          <w:kern w:val="2"/>
          <w14:ligatures w14:val="standardContextual"/>
        </w:rPr>
        <w:t>ombudsmanilor</w:t>
      </w:r>
      <w:proofErr w:type="spellEnd"/>
      <w:r w:rsidRPr="00782F7A">
        <w:rPr>
          <w:kern w:val="2"/>
          <w14:ligatures w14:val="standardContextual"/>
        </w:rPr>
        <w:t xml:space="preserve"> (ENO); salută organizarea în 2023 a conferinței anuale a ENO cu sesiuni pe teme precum migrația, inteligența artificială și etica în administrația publică; observă cu satisfacție că, prin procedura de interogare, Ombudsmanul îi asistă pe membrii ENO în soluționarea anchetelor la nivel național și regional; constată că în 2023 Ombudsmanul a finalizat cinci proceduri de interogare din partea a cinci state membre ale Uniunii; salută organizarea conferinței anuale a ENO în 2023 ca platformă valoroasă de dialog cu privire la aspecte-cheie care influențează activitățile </w:t>
      </w:r>
      <w:proofErr w:type="spellStart"/>
      <w:r w:rsidRPr="00782F7A">
        <w:rPr>
          <w:kern w:val="2"/>
          <w14:ligatures w14:val="standardContextual"/>
        </w:rPr>
        <w:t>ombudsmanilor</w:t>
      </w:r>
      <w:proofErr w:type="spellEnd"/>
      <w:r w:rsidRPr="00782F7A">
        <w:rPr>
          <w:kern w:val="2"/>
          <w14:ligatures w14:val="standardContextual"/>
        </w:rPr>
        <w:t xml:space="preserve"> din întreaga </w:t>
      </w:r>
      <w:proofErr w:type="spellStart"/>
      <w:r w:rsidRPr="00782F7A">
        <w:rPr>
          <w:kern w:val="2"/>
          <w14:ligatures w14:val="standardContextual"/>
        </w:rPr>
        <w:t>Europă</w:t>
      </w:r>
      <w:proofErr w:type="spellEnd"/>
      <w:r w:rsidRPr="00782F7A">
        <w:rPr>
          <w:kern w:val="2"/>
          <w14:ligatures w14:val="standardContextual"/>
        </w:rPr>
        <w:t>;</w:t>
      </w:r>
    </w:p>
    <w:p w14:paraId="312BED44"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50.</w:t>
      </w:r>
      <w:r w:rsidRPr="00782F7A">
        <w:rPr>
          <w:kern w:val="2"/>
          <w14:ligatures w14:val="standardContextual"/>
        </w:rPr>
        <w:tab/>
        <w:t>salută faptul că în 2023 Ombudsmanul și-a continuat cooperarea strânsă cu comisiile competente ale Parlamentului European cu privire la anchetele importante, fie prin prezentarea activităților direct în cadrul reuniunilor comisiilor, fie prin transmiterea de informații președinților de comisie; subliniază că inițiativele strategice și anchetele desfășurate de Ombudsman sunt esențiale pentru îmbunătățirea transparenței și a responsabilității administrației Uniunii;</w:t>
      </w:r>
    </w:p>
    <w:p w14:paraId="7D3A0D49" w14:textId="77777777" w:rsidR="00782F7A" w:rsidRPr="00782F7A" w:rsidRDefault="00782F7A" w:rsidP="00A363D5">
      <w:pPr>
        <w:spacing w:after="240"/>
        <w:ind w:left="567" w:hanging="567"/>
        <w:rPr>
          <w:b/>
          <w:i/>
          <w:kern w:val="2"/>
          <w14:ligatures w14:val="standardContextual"/>
        </w:rPr>
      </w:pPr>
      <w:r w:rsidRPr="00782F7A">
        <w:rPr>
          <w:b/>
          <w:i/>
          <w:kern w:val="2"/>
          <w14:ligatures w14:val="standardContextual"/>
        </w:rPr>
        <w:t>Comunicarea</w:t>
      </w:r>
    </w:p>
    <w:p w14:paraId="371CA394"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51.</w:t>
      </w:r>
      <w:r w:rsidRPr="00782F7A">
        <w:rPr>
          <w:kern w:val="2"/>
          <w14:ligatures w14:val="standardContextual"/>
        </w:rPr>
        <w:tab/>
        <w:t>constată că bugetul total pentru activitățile de comunicare și promovare (publicații, organizarea de evenimente, comunicare digitală etc.) a crescut cu 17,20 %, de la 132 400 EUR în 2022, la 155 200 EUR în 2023;</w:t>
      </w:r>
    </w:p>
    <w:p w14:paraId="60BC3A8F"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52.</w:t>
      </w:r>
      <w:r w:rsidRPr="00782F7A">
        <w:rPr>
          <w:kern w:val="2"/>
          <w14:ligatures w14:val="standardContextual"/>
        </w:rPr>
        <w:tab/>
        <w:t>salută eforturile și acțiunile întreprinse de Ombudsman în 2023 pentru a sensibiliza cetățenii cu privire la rolul Ombudsmanului și la posibilitatea de a recurge la acesta în caz de administrare defectuoasă din partea unei instituții a Uniunii; ia act, în acest sens, de campaniile de comunicare desfășurate în 2023 în jurul unei serii de materiale video care prezintă activitatea Ombudsmanului și explică trei dintre principalele sale domenii de intervenție, sub forma unei povești care poate fi derulată cu privire la impactul activității Ombudsmanului de-a lungul timpului și a unui ghid privind accesul la documente; salută, de asemenea, organizarea ceremoniei „Premiului pentru bună administrare” și participarea Ombudsmanului la Ziua porților deschise a UE de la Bruxelles și Strasbourg, unde a găzduit evenimente cu anumite părți interesate din mediul universitar și din grupuri de reflecție, precum și participarea la Evenimentul tineretului european de la Strasbourg din 2023;</w:t>
      </w:r>
    </w:p>
    <w:p w14:paraId="301F58F7"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53.</w:t>
      </w:r>
      <w:r w:rsidRPr="00782F7A">
        <w:rPr>
          <w:kern w:val="2"/>
          <w14:ligatures w14:val="standardContextual"/>
        </w:rPr>
        <w:tab/>
        <w:t xml:space="preserve">recunoaște eforturile depuse de Ombudsman pentru a furniza informații transparente și a </w:t>
      </w:r>
      <w:r w:rsidRPr="00782F7A">
        <w:rPr>
          <w:kern w:val="2"/>
          <w14:ligatures w14:val="standardContextual"/>
        </w:rPr>
        <w:lastRenderedPageBreak/>
        <w:t>publica date (inclusiv statistici privind numărul de cazuri) într-un format informativ și ușor de utilizat pe site-ul Ombudsmanului (deși aceste date nu sunt disponibile în format deschis); salută publicarea pe site-ul de internet a unui calendar pentru toate anchetele privind plângerile, care oferă informații cu privire la etapele anterioare și viitoare ale fiecărei anchete;</w:t>
      </w:r>
    </w:p>
    <w:p w14:paraId="3DA4CD7A" w14:textId="77777777" w:rsidR="00782F7A" w:rsidRPr="00782F7A" w:rsidRDefault="00782F7A" w:rsidP="00A363D5">
      <w:pPr>
        <w:spacing w:after="240"/>
        <w:ind w:left="567" w:hanging="567"/>
        <w:rPr>
          <w:kern w:val="2"/>
          <w14:ligatures w14:val="standardContextual"/>
        </w:rPr>
      </w:pPr>
      <w:r w:rsidRPr="00782F7A">
        <w:rPr>
          <w:kern w:val="2"/>
          <w14:ligatures w14:val="standardContextual"/>
        </w:rPr>
        <w:t>54.</w:t>
      </w:r>
      <w:r w:rsidRPr="00782F7A">
        <w:rPr>
          <w:kern w:val="2"/>
          <w14:ligatures w14:val="standardContextual"/>
        </w:rPr>
        <w:tab/>
        <w:t xml:space="preserve">observă că Ombudsmanul are conturi pe platformele de comunicare socială pe </w:t>
      </w:r>
      <w:proofErr w:type="spellStart"/>
      <w:r w:rsidRPr="00782F7A">
        <w:rPr>
          <w:kern w:val="2"/>
          <w14:ligatures w14:val="standardContextual"/>
        </w:rPr>
        <w:t>Instagram</w:t>
      </w:r>
      <w:proofErr w:type="spellEnd"/>
      <w:r w:rsidRPr="00782F7A">
        <w:rPr>
          <w:kern w:val="2"/>
          <w14:ligatures w14:val="standardContextual"/>
        </w:rPr>
        <w:t xml:space="preserve">, </w:t>
      </w:r>
      <w:proofErr w:type="spellStart"/>
      <w:r w:rsidRPr="00782F7A">
        <w:rPr>
          <w:kern w:val="2"/>
          <w14:ligatures w14:val="standardContextual"/>
        </w:rPr>
        <w:t>LinkedIn</w:t>
      </w:r>
      <w:proofErr w:type="spellEnd"/>
      <w:r w:rsidRPr="00782F7A">
        <w:rPr>
          <w:kern w:val="2"/>
          <w14:ligatures w14:val="standardContextual"/>
        </w:rPr>
        <w:t xml:space="preserve"> și X (fostul </w:t>
      </w:r>
      <w:proofErr w:type="spellStart"/>
      <w:r w:rsidRPr="00782F7A">
        <w:rPr>
          <w:kern w:val="2"/>
          <w14:ligatures w14:val="standardContextual"/>
        </w:rPr>
        <w:t>Twitter</w:t>
      </w:r>
      <w:proofErr w:type="spellEnd"/>
      <w:r w:rsidRPr="00782F7A">
        <w:rPr>
          <w:kern w:val="2"/>
          <w14:ligatures w14:val="standardContextual"/>
        </w:rPr>
        <w:t>), unde numărul de urmăritori și nivelul de participare au continuat să crească în 2023; salută participarea Ombudsmanului la un proiect-pilot realizat de AEPD, menit să aducă instituțiile Uniunii pe EU-</w:t>
      </w:r>
      <w:proofErr w:type="spellStart"/>
      <w:r w:rsidRPr="00782F7A">
        <w:rPr>
          <w:kern w:val="2"/>
          <w14:ligatures w14:val="standardContextual"/>
        </w:rPr>
        <w:t>Voice</w:t>
      </w:r>
      <w:proofErr w:type="spellEnd"/>
      <w:r w:rsidRPr="00782F7A">
        <w:rPr>
          <w:kern w:val="2"/>
          <w14:ligatures w14:val="standardContextual"/>
        </w:rPr>
        <w:t xml:space="preserve"> și EU-Video, care sunt două rețele gratuite și cu sursă deschisă pe platformele de comunicare socială, bazate pe software-</w:t>
      </w:r>
      <w:proofErr w:type="spellStart"/>
      <w:r w:rsidRPr="00782F7A">
        <w:rPr>
          <w:kern w:val="2"/>
          <w14:ligatures w14:val="standardContextual"/>
        </w:rPr>
        <w:t>ul</w:t>
      </w:r>
      <w:proofErr w:type="spellEnd"/>
      <w:r w:rsidRPr="00782F7A">
        <w:rPr>
          <w:kern w:val="2"/>
          <w14:ligatures w14:val="standardContextual"/>
        </w:rPr>
        <w:t xml:space="preserve"> </w:t>
      </w:r>
      <w:proofErr w:type="spellStart"/>
      <w:r w:rsidRPr="00782F7A">
        <w:rPr>
          <w:kern w:val="2"/>
          <w14:ligatures w14:val="standardContextual"/>
        </w:rPr>
        <w:t>Mastodon</w:t>
      </w:r>
      <w:proofErr w:type="spellEnd"/>
      <w:r w:rsidRPr="00782F7A">
        <w:rPr>
          <w:kern w:val="2"/>
          <w14:ligatures w14:val="standardContextual"/>
        </w:rPr>
        <w:t xml:space="preserve"> și care le permit instituțiilor Uniunii să interacționeze cu publicul prin partajarea de texte, imagini, materiale video și </w:t>
      </w:r>
      <w:proofErr w:type="spellStart"/>
      <w:r w:rsidRPr="00782F7A">
        <w:rPr>
          <w:kern w:val="2"/>
          <w14:ligatures w14:val="standardContextual"/>
        </w:rPr>
        <w:t>podcasturi</w:t>
      </w:r>
      <w:proofErr w:type="spellEnd"/>
      <w:r w:rsidRPr="00782F7A">
        <w:rPr>
          <w:kern w:val="2"/>
          <w14:ligatures w14:val="standardContextual"/>
        </w:rPr>
        <w:t>.</w:t>
      </w:r>
    </w:p>
    <w:p w14:paraId="14FC9036" w14:textId="77777777" w:rsidR="00782F7A" w:rsidRPr="00904670" w:rsidRDefault="00782F7A" w:rsidP="00A363D5">
      <w:pPr>
        <w:rPr>
          <w:vanish/>
        </w:rPr>
      </w:pPr>
    </w:p>
    <w:sectPr w:rsidR="00782F7A" w:rsidRPr="00904670" w:rsidSect="00782F7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53FC1" w14:textId="77777777" w:rsidR="00DF2E7C" w:rsidRPr="00AA6A11" w:rsidRDefault="00DF2E7C">
      <w:r w:rsidRPr="00AA6A11">
        <w:separator/>
      </w:r>
    </w:p>
  </w:endnote>
  <w:endnote w:type="continuationSeparator" w:id="0">
    <w:p w14:paraId="1847EAE4" w14:textId="77777777" w:rsidR="00DF2E7C" w:rsidRPr="00AA6A11" w:rsidRDefault="00DF2E7C">
      <w:r w:rsidRPr="00AA6A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9AAE9" w14:textId="77777777" w:rsidR="00064002" w:rsidRPr="00AA6A1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D475B" w14:textId="77777777" w:rsidR="00064002" w:rsidRPr="00AA6A1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56F5F" w14:textId="77777777" w:rsidR="00064002" w:rsidRPr="00AA6A1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F6578E" w14:textId="77777777" w:rsidR="00DF2E7C" w:rsidRPr="00AA6A11" w:rsidRDefault="00DF2E7C">
      <w:r w:rsidRPr="00AA6A11">
        <w:separator/>
      </w:r>
    </w:p>
  </w:footnote>
  <w:footnote w:type="continuationSeparator" w:id="0">
    <w:p w14:paraId="75DBE62A" w14:textId="77777777" w:rsidR="00DF2E7C" w:rsidRPr="00AA6A11" w:rsidRDefault="00DF2E7C">
      <w:r w:rsidRPr="00AA6A11">
        <w:continuationSeparator/>
      </w:r>
    </w:p>
  </w:footnote>
  <w:footnote w:id="1">
    <w:p w14:paraId="4C63A1A1" w14:textId="77777777" w:rsidR="00782F7A" w:rsidRPr="007C0A47" w:rsidRDefault="00782F7A" w:rsidP="00782F7A">
      <w:pPr>
        <w:ind w:left="567" w:hanging="567"/>
        <w:rPr>
          <w:lang w:val="fi-FI"/>
        </w:rPr>
      </w:pPr>
      <w:r w:rsidRPr="00B76847">
        <w:rPr>
          <w:rStyle w:val="FootnoteReference"/>
        </w:rPr>
        <w:footnoteRef/>
      </w:r>
      <w:r w:rsidRPr="007C0A47">
        <w:rPr>
          <w:lang w:val="fi-FI"/>
        </w:rPr>
        <w:tab/>
        <w:t xml:space="preserve">JO L 58, 23.2.2023, p. 1, ELI: </w:t>
      </w:r>
      <w:hyperlink r:id="rId1" w:tooltip="Gives access to this document through its ELI URI." w:history="1">
        <w:r w:rsidRPr="007C0A47">
          <w:rPr>
            <w:color w:val="337AB7"/>
            <w:u w:val="single"/>
            <w:shd w:val="clear" w:color="auto" w:fill="FFFFFF"/>
            <w:lang w:val="fi-FI"/>
          </w:rPr>
          <w:t>http://data.europa.eu/eli/budget/2023/1/oj</w:t>
        </w:r>
      </w:hyperlink>
      <w:r w:rsidRPr="007C0A47">
        <w:rPr>
          <w:shd w:val="clear" w:color="auto" w:fill="FFFFFF"/>
          <w:lang w:val="fi-FI"/>
        </w:rPr>
        <w:t>.</w:t>
      </w:r>
    </w:p>
  </w:footnote>
  <w:footnote w:id="2">
    <w:p w14:paraId="253C6CEA" w14:textId="77777777" w:rsidR="00782F7A" w:rsidRPr="007C0A47" w:rsidRDefault="00782F7A" w:rsidP="00782F7A">
      <w:pPr>
        <w:pStyle w:val="FootnoteText"/>
        <w:ind w:left="567" w:hanging="567"/>
        <w:rPr>
          <w:sz w:val="24"/>
          <w:lang w:val="fi-FI"/>
        </w:rPr>
      </w:pPr>
      <w:r w:rsidRPr="00B76847">
        <w:rPr>
          <w:rStyle w:val="FootnoteReference"/>
        </w:rPr>
        <w:footnoteRef/>
      </w:r>
      <w:r w:rsidRPr="00C2147B">
        <w:rPr>
          <w:sz w:val="24"/>
          <w:lang w:val="ro-RO"/>
        </w:rPr>
        <w:tab/>
        <w:t xml:space="preserve">JO C, C/2024/5462, 10.10.2024, ELI: </w:t>
      </w:r>
      <w:hyperlink r:id="rId2" w:history="1">
        <w:r w:rsidRPr="00C2147B">
          <w:rPr>
            <w:rStyle w:val="Hyperlink1"/>
            <w:sz w:val="24"/>
            <w:lang w:val="ro-RO"/>
          </w:rPr>
          <w:t>http://data.europa.eu/eli/C/2024/5462/oj</w:t>
        </w:r>
      </w:hyperlink>
      <w:r w:rsidRPr="007C0A47">
        <w:rPr>
          <w:sz w:val="24"/>
          <w:lang w:val="fi-FI"/>
        </w:rPr>
        <w:t>.</w:t>
      </w:r>
    </w:p>
  </w:footnote>
  <w:footnote w:id="3">
    <w:p w14:paraId="1A2B152B" w14:textId="77777777" w:rsidR="00782F7A" w:rsidRPr="007C0A47" w:rsidRDefault="00782F7A" w:rsidP="00782F7A">
      <w:pPr>
        <w:pStyle w:val="FootnoteText"/>
        <w:ind w:left="567" w:hanging="567"/>
        <w:rPr>
          <w:sz w:val="24"/>
          <w:lang w:val="fi-FI"/>
        </w:rPr>
      </w:pPr>
      <w:r w:rsidRPr="00B76847">
        <w:rPr>
          <w:rStyle w:val="FootnoteReference"/>
        </w:rPr>
        <w:footnoteRef/>
      </w:r>
      <w:r w:rsidRPr="00C2147B">
        <w:rPr>
          <w:sz w:val="24"/>
          <w:lang w:val="ro-RO"/>
        </w:rPr>
        <w:tab/>
        <w:t xml:space="preserve">JO C, C/2024/5882, 9.10.2024, ELI: </w:t>
      </w:r>
      <w:hyperlink r:id="rId3" w:history="1">
        <w:r w:rsidRPr="00C2147B">
          <w:rPr>
            <w:rStyle w:val="Hyperlink1"/>
            <w:sz w:val="24"/>
            <w:lang w:val="ro-RO"/>
          </w:rPr>
          <w:t>http://data.europa.eu/eli/C/2024/5882/oj</w:t>
        </w:r>
      </w:hyperlink>
      <w:r w:rsidRPr="007C0A47">
        <w:rPr>
          <w:sz w:val="24"/>
          <w:lang w:val="fi-FI"/>
        </w:rPr>
        <w:t>.</w:t>
      </w:r>
    </w:p>
  </w:footnote>
  <w:footnote w:id="4">
    <w:p w14:paraId="01D7C307" w14:textId="77777777" w:rsidR="00782F7A" w:rsidRPr="007C0A47" w:rsidRDefault="00782F7A" w:rsidP="00782F7A">
      <w:pPr>
        <w:pStyle w:val="FootnoteText"/>
        <w:ind w:left="567" w:hanging="567"/>
        <w:rPr>
          <w:sz w:val="24"/>
          <w:lang w:val="fi-FI"/>
        </w:rPr>
      </w:pPr>
      <w:r w:rsidRPr="00B76847">
        <w:rPr>
          <w:rStyle w:val="FootnoteReference"/>
        </w:rPr>
        <w:footnoteRef/>
      </w:r>
      <w:r w:rsidRPr="00C2147B">
        <w:rPr>
          <w:sz w:val="24"/>
          <w:lang w:val="ro-RO"/>
        </w:rPr>
        <w:tab/>
        <w:t xml:space="preserve">JO C, C/2024/6041, 10.10.2024, ELI: </w:t>
      </w:r>
      <w:hyperlink r:id="rId4" w:history="1">
        <w:r w:rsidRPr="00C2147B">
          <w:rPr>
            <w:rStyle w:val="Hyperlink1"/>
            <w:sz w:val="24"/>
            <w:lang w:val="ro-RO"/>
          </w:rPr>
          <w:t>http://data.europa.eu/eli/C/2024/6041/oj</w:t>
        </w:r>
      </w:hyperlink>
      <w:r w:rsidRPr="007C0A47">
        <w:rPr>
          <w:sz w:val="24"/>
          <w:lang w:val="fi-FI"/>
        </w:rPr>
        <w:t>.</w:t>
      </w:r>
    </w:p>
  </w:footnote>
  <w:footnote w:id="5">
    <w:p w14:paraId="4D61A40E" w14:textId="77777777" w:rsidR="00782F7A" w:rsidRPr="00B76847" w:rsidRDefault="00782F7A" w:rsidP="00782F7A">
      <w:pPr>
        <w:pStyle w:val="FootnoteText"/>
        <w:ind w:left="567" w:hanging="567"/>
        <w:rPr>
          <w:sz w:val="24"/>
          <w:lang w:val="ro-RO"/>
        </w:rPr>
      </w:pPr>
      <w:r w:rsidRPr="00B76847">
        <w:rPr>
          <w:rStyle w:val="FootnoteReference"/>
        </w:rPr>
        <w:footnoteRef/>
      </w:r>
      <w:r w:rsidRPr="00C2147B">
        <w:rPr>
          <w:sz w:val="24"/>
          <w:lang w:val="ro-RO"/>
        </w:rPr>
        <w:tab/>
        <w:t xml:space="preserve">JO L 193, 30.7.2018, p. 1, ELI: </w:t>
      </w:r>
      <w:hyperlink r:id="rId5" w:history="1">
        <w:r w:rsidRPr="00C2147B">
          <w:rPr>
            <w:rStyle w:val="Hyperlink1"/>
            <w:sz w:val="24"/>
            <w:lang w:val="ro-RO"/>
          </w:rPr>
          <w:t>http://data.europa.eu/eli/reg/2018/1046/oj</w:t>
        </w:r>
      </w:hyperlink>
      <w:r w:rsidRPr="00C2147B">
        <w:rPr>
          <w:sz w:val="24"/>
          <w:lang w:val="ro-RO"/>
        </w:rPr>
        <w:t>.</w:t>
      </w:r>
    </w:p>
  </w:footnote>
  <w:footnote w:id="6">
    <w:p w14:paraId="35DF95FD" w14:textId="77777777" w:rsidR="00782F7A" w:rsidRPr="007C0A47" w:rsidRDefault="00782F7A" w:rsidP="00782F7A">
      <w:pPr>
        <w:pStyle w:val="FootnoteText"/>
        <w:ind w:left="567" w:hanging="567"/>
        <w:rPr>
          <w:sz w:val="24"/>
          <w:lang w:val="fi-FI"/>
        </w:rPr>
      </w:pPr>
      <w:r w:rsidRPr="00B76847">
        <w:rPr>
          <w:rStyle w:val="FootnoteReference"/>
        </w:rPr>
        <w:footnoteRef/>
      </w:r>
      <w:r w:rsidRPr="00C2147B">
        <w:rPr>
          <w:sz w:val="24"/>
          <w:lang w:val="ro-RO"/>
        </w:rPr>
        <w:tab/>
        <w:t xml:space="preserve">JO L, 2024/2509, 26.9.2024, ELI: </w:t>
      </w:r>
      <w:hyperlink r:id="rId6" w:history="1">
        <w:r w:rsidRPr="00C2147B">
          <w:rPr>
            <w:rStyle w:val="Hyperlink1"/>
            <w:sz w:val="24"/>
            <w:lang w:val="ro-RO"/>
          </w:rPr>
          <w:t>https://data.europa.eu/eli/reg/2024/2509/oj</w:t>
        </w:r>
      </w:hyperlink>
      <w:r w:rsidRPr="007C0A47">
        <w:rPr>
          <w:sz w:val="24"/>
          <w:lang w:val="fi-FI"/>
        </w:rPr>
        <w:t>.</w:t>
      </w:r>
    </w:p>
  </w:footnote>
  <w:footnote w:id="7">
    <w:p w14:paraId="5D89E0C7" w14:textId="77777777" w:rsidR="00782F7A" w:rsidRPr="00C166F1" w:rsidRDefault="00782F7A" w:rsidP="00782F7A">
      <w:pPr>
        <w:pStyle w:val="FootnoteText"/>
        <w:ind w:left="567" w:hanging="567"/>
        <w:rPr>
          <w:sz w:val="24"/>
          <w:lang w:val="ro-RO"/>
        </w:rPr>
      </w:pPr>
      <w:r w:rsidRPr="00C166F1">
        <w:rPr>
          <w:rStyle w:val="FootnoteReference"/>
        </w:rPr>
        <w:footnoteRef/>
      </w:r>
      <w:r w:rsidRPr="00C2147B">
        <w:rPr>
          <w:sz w:val="24"/>
          <w:lang w:val="ro-RO"/>
        </w:rPr>
        <w:tab/>
        <w:t xml:space="preserve">Regulamentul (UE, Euratom) 2021/1163 al Parlamentului European din 24 iunie 2021 de stabilire a statutului și condițiilor generale pentru exercitarea funcțiilor Ombudsmanului (Statutul Ombudsmanului European) și de abrogare a Deciziei 94/262/CECO, CE, Euratom (JO L 253, 16.7.2021, p. 1, ELI: </w:t>
      </w:r>
      <w:hyperlink r:id="rId7" w:history="1">
        <w:r w:rsidRPr="00C2147B">
          <w:rPr>
            <w:rStyle w:val="Hyperlink"/>
            <w:sz w:val="24"/>
            <w:lang w:val="ro-RO"/>
          </w:rPr>
          <w:t>http://data.europa.eu/eli/reg/2021/1163/oj</w:t>
        </w:r>
      </w:hyperlink>
      <w:r w:rsidRPr="00C2147B">
        <w:rPr>
          <w:sz w:val="24"/>
          <w:lang w:val="ro-RO"/>
        </w:rPr>
        <w:t>).</w:t>
      </w:r>
    </w:p>
  </w:footnote>
  <w:footnote w:id="8">
    <w:p w14:paraId="0D811248" w14:textId="77777777" w:rsidR="00782F7A" w:rsidRPr="00C166F1" w:rsidRDefault="00782F7A" w:rsidP="00782F7A">
      <w:pPr>
        <w:pStyle w:val="FootnoteText"/>
        <w:ind w:left="567" w:hanging="567"/>
        <w:rPr>
          <w:sz w:val="24"/>
          <w:lang w:val="ro-RO"/>
        </w:rPr>
      </w:pPr>
      <w:r w:rsidRPr="00C166F1">
        <w:rPr>
          <w:rStyle w:val="FootnoteReference"/>
        </w:rPr>
        <w:footnoteRef/>
      </w:r>
      <w:r w:rsidRPr="00C2147B">
        <w:rPr>
          <w:color w:val="333333"/>
          <w:sz w:val="24"/>
          <w:shd w:val="clear" w:color="auto" w:fill="FFFFFF"/>
          <w:lang w:val="ro-RO"/>
        </w:rPr>
        <w:tab/>
        <w:t xml:space="preserve">JO C, C/2023/161, 10.10.2023, ELI: </w:t>
      </w:r>
      <w:hyperlink r:id="rId8" w:tgtFrame="_blank" w:tooltip="Gives access to this document through its ELI URI." w:history="1">
        <w:r w:rsidRPr="007C0A47">
          <w:rPr>
            <w:rStyle w:val="Hyperlink"/>
            <w:sz w:val="24"/>
            <w:lang w:val="fi-FI"/>
          </w:rPr>
          <w:t>http://data.europa.eu/eli/C/2023/161/oj</w:t>
        </w:r>
      </w:hyperlink>
      <w:r w:rsidRPr="00C2147B">
        <w:rPr>
          <w:color w:val="23527C"/>
          <w:sz w:val="24"/>
          <w:lang w:val="ro-RO"/>
        </w:rPr>
        <w:t>.</w:t>
      </w:r>
    </w:p>
  </w:footnote>
  <w:footnote w:id="9">
    <w:p w14:paraId="2BA6FB6C" w14:textId="77777777" w:rsidR="00782F7A" w:rsidRPr="00C166F1" w:rsidRDefault="00782F7A" w:rsidP="00782F7A">
      <w:pPr>
        <w:pStyle w:val="FootnoteText"/>
        <w:ind w:left="567" w:hanging="567"/>
        <w:rPr>
          <w:sz w:val="24"/>
          <w:lang w:val="ro-RO"/>
        </w:rPr>
      </w:pPr>
      <w:r w:rsidRPr="00C166F1">
        <w:rPr>
          <w:rStyle w:val="FootnoteReference"/>
        </w:rPr>
        <w:footnoteRef/>
      </w:r>
      <w:r w:rsidRPr="00C2147B">
        <w:rPr>
          <w:sz w:val="24"/>
          <w:lang w:val="ro-RO"/>
        </w:rPr>
        <w:tab/>
        <w:t xml:space="preserve">Regulamentul (CE) nr. 1049/2001 al Parlamentului European și al Consiliului din 30 mai 2001 privind accesul public la documentele Parlamentului European, ale Consiliului și ale Comisiei (JO L 145, 31.5.2001, p. 43, ELI: </w:t>
      </w:r>
      <w:hyperlink r:id="rId9" w:history="1">
        <w:r w:rsidRPr="00C2147B">
          <w:rPr>
            <w:rStyle w:val="Hyperlink"/>
            <w:sz w:val="24"/>
            <w:lang w:val="ro-RO"/>
          </w:rPr>
          <w:t>http://data.europa.eu/eli/reg/2001/1049/oj</w:t>
        </w:r>
      </w:hyperlink>
      <w:r w:rsidRPr="00C2147B">
        <w:rPr>
          <w:sz w:val="24"/>
          <w:lang w:val="ro-RO"/>
        </w:rPr>
        <w:t>).</w:t>
      </w:r>
    </w:p>
  </w:footnote>
  <w:footnote w:id="10">
    <w:p w14:paraId="4008189B" w14:textId="77777777" w:rsidR="00782F7A" w:rsidRPr="00C166F1" w:rsidRDefault="00782F7A" w:rsidP="00782F7A">
      <w:pPr>
        <w:pStyle w:val="FootnoteText"/>
        <w:ind w:left="567" w:hanging="567"/>
        <w:rPr>
          <w:sz w:val="24"/>
          <w:lang w:val="ro-RO"/>
        </w:rPr>
      </w:pPr>
      <w:r w:rsidRPr="00C166F1">
        <w:rPr>
          <w:rStyle w:val="FootnoteReference"/>
        </w:rPr>
        <w:footnoteRef/>
      </w:r>
      <w:r w:rsidRPr="00C2147B">
        <w:rPr>
          <w:sz w:val="24"/>
          <w:lang w:val="ro-RO"/>
        </w:rPr>
        <w:tab/>
      </w:r>
      <w:hyperlink r:id="rId10" w:history="1">
        <w:r w:rsidRPr="00C2147B">
          <w:rPr>
            <w:rStyle w:val="Hyperlink1"/>
            <w:sz w:val="24"/>
            <w:lang w:val="ro-RO"/>
          </w:rPr>
          <w:t>https://www.ombudsman.europa.eu/ro/doc/annual-report/ro/183636</w:t>
        </w:r>
      </w:hyperlink>
      <w:r w:rsidRPr="00C2147B">
        <w:rPr>
          <w:sz w:val="24"/>
          <w:lang w:val="ro-RO"/>
        </w:rPr>
        <w:t>.</w:t>
      </w:r>
    </w:p>
  </w:footnote>
  <w:footnote w:id="11">
    <w:p w14:paraId="11A4B8E5" w14:textId="77777777" w:rsidR="00782F7A" w:rsidRPr="00C166F1" w:rsidRDefault="00782F7A" w:rsidP="00782F7A">
      <w:pPr>
        <w:pStyle w:val="FootnoteText"/>
        <w:ind w:left="567" w:hanging="567"/>
        <w:rPr>
          <w:sz w:val="24"/>
          <w:lang w:val="ro-RO"/>
        </w:rPr>
      </w:pPr>
      <w:r w:rsidRPr="00C166F1">
        <w:rPr>
          <w:rStyle w:val="FootnoteReference"/>
        </w:rPr>
        <w:footnoteRef/>
      </w:r>
      <w:r w:rsidRPr="00C2147B">
        <w:rPr>
          <w:sz w:val="24"/>
          <w:lang w:val="ro-RO"/>
        </w:rPr>
        <w:tab/>
      </w:r>
      <w:hyperlink r:id="rId11" w:history="1">
        <w:r w:rsidRPr="00C2147B">
          <w:rPr>
            <w:rStyle w:val="Hyperlink1"/>
            <w:sz w:val="24"/>
            <w:lang w:val="ro-RO"/>
          </w:rPr>
          <w:t>https://www.ombudsman.europa.eu/ro/multimedia/infographics/ro/142</w:t>
        </w:r>
      </w:hyperlink>
      <w:r w:rsidRPr="00C2147B">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FCB58" w14:textId="77777777" w:rsidR="00064002" w:rsidRPr="00AA6A1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E0AB6" w14:textId="77777777" w:rsidR="00064002" w:rsidRPr="00AA6A1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E8A9B" w14:textId="77777777" w:rsidR="00064002" w:rsidRPr="00AA6A1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36631615">
    <w:abstractNumId w:val="9"/>
  </w:num>
  <w:num w:numId="2" w16cid:durableId="346293496">
    <w:abstractNumId w:val="9"/>
  </w:num>
  <w:num w:numId="3" w16cid:durableId="16928570">
    <w:abstractNumId w:val="7"/>
  </w:num>
  <w:num w:numId="4" w16cid:durableId="602038286">
    <w:abstractNumId w:val="7"/>
  </w:num>
  <w:num w:numId="5" w16cid:durableId="2084834577">
    <w:abstractNumId w:val="6"/>
  </w:num>
  <w:num w:numId="6" w16cid:durableId="820922892">
    <w:abstractNumId w:val="6"/>
  </w:num>
  <w:num w:numId="7" w16cid:durableId="779882914">
    <w:abstractNumId w:val="5"/>
  </w:num>
  <w:num w:numId="8" w16cid:durableId="889534560">
    <w:abstractNumId w:val="5"/>
  </w:num>
  <w:num w:numId="9" w16cid:durableId="1858694280">
    <w:abstractNumId w:val="4"/>
  </w:num>
  <w:num w:numId="10" w16cid:durableId="527717197">
    <w:abstractNumId w:val="4"/>
  </w:num>
  <w:num w:numId="11" w16cid:durableId="1098140198">
    <w:abstractNumId w:val="8"/>
  </w:num>
  <w:num w:numId="12" w16cid:durableId="1198197346">
    <w:abstractNumId w:val="8"/>
  </w:num>
  <w:num w:numId="13" w16cid:durableId="1949852362">
    <w:abstractNumId w:val="3"/>
  </w:num>
  <w:num w:numId="14" w16cid:durableId="553152616">
    <w:abstractNumId w:val="3"/>
  </w:num>
  <w:num w:numId="15" w16cid:durableId="1021122864">
    <w:abstractNumId w:val="2"/>
  </w:num>
  <w:num w:numId="16" w16cid:durableId="1412122455">
    <w:abstractNumId w:val="2"/>
  </w:num>
  <w:num w:numId="17" w16cid:durableId="747074835">
    <w:abstractNumId w:val="1"/>
  </w:num>
  <w:num w:numId="18" w16cid:durableId="1010135639">
    <w:abstractNumId w:val="1"/>
  </w:num>
  <w:num w:numId="19" w16cid:durableId="1787313154">
    <w:abstractNumId w:val="0"/>
  </w:num>
  <w:num w:numId="20" w16cid:durableId="600114516">
    <w:abstractNumId w:val="0"/>
  </w:num>
  <w:num w:numId="21" w16cid:durableId="667909041">
    <w:abstractNumId w:val="9"/>
  </w:num>
  <w:num w:numId="22" w16cid:durableId="28340205">
    <w:abstractNumId w:val="7"/>
  </w:num>
  <w:num w:numId="23" w16cid:durableId="453183835">
    <w:abstractNumId w:val="6"/>
  </w:num>
  <w:num w:numId="24" w16cid:durableId="1066076647">
    <w:abstractNumId w:val="5"/>
  </w:num>
  <w:num w:numId="25" w16cid:durableId="186140711">
    <w:abstractNumId w:val="4"/>
  </w:num>
  <w:num w:numId="26" w16cid:durableId="1247762320">
    <w:abstractNumId w:val="8"/>
  </w:num>
  <w:num w:numId="27" w16cid:durableId="220332189">
    <w:abstractNumId w:val="3"/>
  </w:num>
  <w:num w:numId="28" w16cid:durableId="83303858">
    <w:abstractNumId w:val="2"/>
  </w:num>
  <w:num w:numId="29" w16cid:durableId="1919435276">
    <w:abstractNumId w:val="1"/>
  </w:num>
  <w:num w:numId="30" w16cid:durableId="1358972589">
    <w:abstractNumId w:val="0"/>
  </w:num>
  <w:num w:numId="31" w16cid:durableId="2086489316">
    <w:abstractNumId w:val="9"/>
  </w:num>
  <w:num w:numId="32" w16cid:durableId="866024212">
    <w:abstractNumId w:val="7"/>
  </w:num>
  <w:num w:numId="33" w16cid:durableId="529997364">
    <w:abstractNumId w:val="6"/>
  </w:num>
  <w:num w:numId="34" w16cid:durableId="750196806">
    <w:abstractNumId w:val="5"/>
  </w:num>
  <w:num w:numId="35" w16cid:durableId="720596637">
    <w:abstractNumId w:val="4"/>
  </w:num>
  <w:num w:numId="36" w16cid:durableId="1568808956">
    <w:abstractNumId w:val="8"/>
  </w:num>
  <w:num w:numId="37" w16cid:durableId="1968585550">
    <w:abstractNumId w:val="3"/>
  </w:num>
  <w:num w:numId="38" w16cid:durableId="2080244483">
    <w:abstractNumId w:val="2"/>
  </w:num>
  <w:num w:numId="39" w16cid:durableId="1743289021">
    <w:abstractNumId w:val="1"/>
  </w:num>
  <w:num w:numId="40" w16cid:durableId="1185704761">
    <w:abstractNumId w:val="0"/>
  </w:num>
  <w:num w:numId="41" w16cid:durableId="1768690651">
    <w:abstractNumId w:val="10"/>
  </w:num>
  <w:num w:numId="42" w16cid:durableId="1861237530">
    <w:abstractNumId w:val="10"/>
  </w:num>
  <w:num w:numId="43" w16cid:durableId="905840576">
    <w:abstractNumId w:val="10"/>
  </w:num>
  <w:num w:numId="44" w16cid:durableId="1328706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5/2025"/>
    <w:docVar w:name="dvlangue" w:val="RO"/>
    <w:docVar w:name="dvnumam" w:val="0"/>
    <w:docVar w:name="dvpe" w:val="764.991"/>
    <w:docVar w:name="dvrapporteur" w:val="Raportor: "/>
    <w:docVar w:name="dvtitre" w:val="Decizia Parlamentului European din 7 mai 2025 privind descărcarea de gestiune pentru execuția bugetului general al Uniunii Europene aferent exercițiului financiar 2023, secțiunea VIII - Ombudsmanul European(2024/2027(DEC))"/>
  </w:docVars>
  <w:rsids>
    <w:rsidRoot w:val="00DF2E7C"/>
    <w:rsid w:val="00002272"/>
    <w:rsid w:val="00064002"/>
    <w:rsid w:val="000677B9"/>
    <w:rsid w:val="000831BA"/>
    <w:rsid w:val="000A42CC"/>
    <w:rsid w:val="000D59F4"/>
    <w:rsid w:val="000E7DD9"/>
    <w:rsid w:val="0010095E"/>
    <w:rsid w:val="00113034"/>
    <w:rsid w:val="00125B37"/>
    <w:rsid w:val="00187494"/>
    <w:rsid w:val="001F32AE"/>
    <w:rsid w:val="002767FF"/>
    <w:rsid w:val="002B18FE"/>
    <w:rsid w:val="002B5493"/>
    <w:rsid w:val="00343214"/>
    <w:rsid w:val="00346A8C"/>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2F7A"/>
    <w:rsid w:val="00786EC0"/>
    <w:rsid w:val="007D1690"/>
    <w:rsid w:val="007E22AD"/>
    <w:rsid w:val="00817416"/>
    <w:rsid w:val="00842779"/>
    <w:rsid w:val="00865F67"/>
    <w:rsid w:val="00881A7B"/>
    <w:rsid w:val="008840E5"/>
    <w:rsid w:val="00887B3E"/>
    <w:rsid w:val="008C2AC6"/>
    <w:rsid w:val="00904670"/>
    <w:rsid w:val="00930C23"/>
    <w:rsid w:val="0093193B"/>
    <w:rsid w:val="009509D8"/>
    <w:rsid w:val="00950B64"/>
    <w:rsid w:val="00981893"/>
    <w:rsid w:val="00A1687D"/>
    <w:rsid w:val="00A363D5"/>
    <w:rsid w:val="00A43E52"/>
    <w:rsid w:val="00A4678D"/>
    <w:rsid w:val="00A778C7"/>
    <w:rsid w:val="00AA6A11"/>
    <w:rsid w:val="00AB441E"/>
    <w:rsid w:val="00AB6293"/>
    <w:rsid w:val="00AE0928"/>
    <w:rsid w:val="00AF3B82"/>
    <w:rsid w:val="00B12E95"/>
    <w:rsid w:val="00B22876"/>
    <w:rsid w:val="00B558F0"/>
    <w:rsid w:val="00B9221D"/>
    <w:rsid w:val="00BD48FE"/>
    <w:rsid w:val="00BD7BD8"/>
    <w:rsid w:val="00BE6ADC"/>
    <w:rsid w:val="00C05BFE"/>
    <w:rsid w:val="00C23CD4"/>
    <w:rsid w:val="00C61C0C"/>
    <w:rsid w:val="00C6699E"/>
    <w:rsid w:val="00C941CB"/>
    <w:rsid w:val="00CC2357"/>
    <w:rsid w:val="00CF071A"/>
    <w:rsid w:val="00D058B8"/>
    <w:rsid w:val="00D56C11"/>
    <w:rsid w:val="00D834A0"/>
    <w:rsid w:val="00D872DF"/>
    <w:rsid w:val="00D91E21"/>
    <w:rsid w:val="00DA7FCD"/>
    <w:rsid w:val="00DF2E7C"/>
    <w:rsid w:val="00E365E1"/>
    <w:rsid w:val="00E820A4"/>
    <w:rsid w:val="00EB006A"/>
    <w:rsid w:val="00EB4772"/>
    <w:rsid w:val="00ED169E"/>
    <w:rsid w:val="00ED4235"/>
    <w:rsid w:val="00F04346"/>
    <w:rsid w:val="00F075DC"/>
    <w:rsid w:val="00F149E9"/>
    <w:rsid w:val="00F353B1"/>
    <w:rsid w:val="00F5134D"/>
    <w:rsid w:val="00F74202"/>
    <w:rsid w:val="00F87713"/>
    <w:rsid w:val="00FB4360"/>
    <w:rsid w:val="00FD0C70"/>
    <w:rsid w:val="00FD285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47FB0C"/>
  <w15:chartTrackingRefBased/>
  <w15:docId w15:val="{F7C5F9E3-BD29-4211-97E4-D98A915F6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46A8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46A8C"/>
    <w:pPr>
      <w:spacing w:before="480" w:after="240"/>
    </w:pPr>
  </w:style>
  <w:style w:type="paragraph" w:customStyle="1" w:styleId="PageHeading">
    <w:name w:val="PageHeading"/>
    <w:basedOn w:val="Normal"/>
    <w:rsid w:val="00346A8C"/>
    <w:pPr>
      <w:keepNext/>
      <w:spacing w:after="480"/>
      <w:jc w:val="center"/>
    </w:pPr>
    <w:rPr>
      <w:rFonts w:ascii="Arial" w:hAnsi="Arial" w:cs="Arial"/>
      <w:b/>
    </w:rPr>
  </w:style>
  <w:style w:type="paragraph" w:customStyle="1" w:styleId="NormalBold">
    <w:name w:val="NormalBold"/>
    <w:basedOn w:val="Normal"/>
    <w:rsid w:val="00346A8C"/>
    <w:rPr>
      <w:b/>
    </w:rPr>
  </w:style>
  <w:style w:type="paragraph" w:customStyle="1" w:styleId="NormalHanging12a">
    <w:name w:val="NormalHanging12a"/>
    <w:basedOn w:val="Normal"/>
    <w:link w:val="NormalHanging12aChar"/>
    <w:qFormat/>
    <w:rsid w:val="00346A8C"/>
    <w:pPr>
      <w:spacing w:after="240"/>
      <w:ind w:left="567" w:hanging="567"/>
    </w:pPr>
  </w:style>
  <w:style w:type="paragraph" w:styleId="Header">
    <w:name w:val="header"/>
    <w:basedOn w:val="Normal"/>
    <w:link w:val="HeaderChar"/>
    <w:rsid w:val="00346A8C"/>
    <w:pPr>
      <w:tabs>
        <w:tab w:val="center" w:pos="4513"/>
        <w:tab w:val="right" w:pos="9026"/>
      </w:tabs>
    </w:pPr>
  </w:style>
  <w:style w:type="character" w:customStyle="1" w:styleId="HeaderChar">
    <w:name w:val="Header Char"/>
    <w:basedOn w:val="DefaultParagraphFont"/>
    <w:link w:val="Header"/>
    <w:rsid w:val="00346A8C"/>
    <w:rPr>
      <w:sz w:val="24"/>
      <w:lang w:val="ro-RO"/>
    </w:rPr>
  </w:style>
  <w:style w:type="paragraph" w:customStyle="1" w:styleId="EPFooter">
    <w:name w:val="EPFooter"/>
    <w:basedOn w:val="Normal"/>
    <w:rsid w:val="00346A8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346A8C"/>
    <w:rPr>
      <w:sz w:val="24"/>
      <w:lang w:val="ro-RO"/>
    </w:rPr>
  </w:style>
  <w:style w:type="character" w:styleId="Hyperlink">
    <w:name w:val="Hyperlink"/>
    <w:basedOn w:val="DefaultParagraphFont"/>
    <w:uiPriority w:val="99"/>
    <w:rsid w:val="00346A8C"/>
    <w:rPr>
      <w:color w:val="0563C1" w:themeColor="hyperlink"/>
      <w:u w:val="single"/>
    </w:rPr>
  </w:style>
  <w:style w:type="paragraph" w:customStyle="1" w:styleId="Normal24a">
    <w:name w:val="Normal24a"/>
    <w:basedOn w:val="Normal"/>
    <w:rsid w:val="00346A8C"/>
    <w:pPr>
      <w:spacing w:after="480"/>
    </w:pPr>
  </w:style>
  <w:style w:type="paragraph" w:customStyle="1" w:styleId="Footprint12b">
    <w:name w:val="Footprint12b"/>
    <w:basedOn w:val="Normal"/>
    <w:rsid w:val="00346A8C"/>
    <w:pPr>
      <w:spacing w:before="240"/>
    </w:pPr>
    <w:rPr>
      <w:szCs w:val="24"/>
    </w:rPr>
  </w:style>
  <w:style w:type="paragraph" w:customStyle="1" w:styleId="Normal12a">
    <w:name w:val="Normal12a"/>
    <w:basedOn w:val="Normal"/>
    <w:rsid w:val="00346A8C"/>
    <w:pPr>
      <w:spacing w:after="240"/>
    </w:pPr>
  </w:style>
  <w:style w:type="paragraph" w:customStyle="1" w:styleId="RollCallVotes">
    <w:name w:val="RollCallVotes"/>
    <w:basedOn w:val="Normal"/>
    <w:rsid w:val="00346A8C"/>
    <w:pPr>
      <w:spacing w:before="120" w:after="120"/>
      <w:jc w:val="center"/>
    </w:pPr>
    <w:rPr>
      <w:b/>
      <w:bCs/>
      <w:snapToGrid w:val="0"/>
      <w:sz w:val="16"/>
      <w:lang w:eastAsia="en-US"/>
    </w:rPr>
  </w:style>
  <w:style w:type="paragraph" w:customStyle="1" w:styleId="RollCallSymbols14pt">
    <w:name w:val="RollCallSymbols14pt"/>
    <w:basedOn w:val="Normal"/>
    <w:rsid w:val="00346A8C"/>
    <w:pPr>
      <w:spacing w:before="120" w:after="120"/>
      <w:jc w:val="center"/>
    </w:pPr>
    <w:rPr>
      <w:rFonts w:ascii="Arial" w:hAnsi="Arial"/>
      <w:b/>
      <w:bCs/>
      <w:snapToGrid w:val="0"/>
      <w:sz w:val="28"/>
      <w:lang w:eastAsia="en-US"/>
    </w:rPr>
  </w:style>
  <w:style w:type="paragraph" w:customStyle="1" w:styleId="RollCallTable">
    <w:name w:val="RollCallTable"/>
    <w:basedOn w:val="Normal"/>
    <w:rsid w:val="00346A8C"/>
    <w:pPr>
      <w:spacing w:before="120" w:after="120"/>
    </w:pPr>
    <w:rPr>
      <w:snapToGrid w:val="0"/>
      <w:sz w:val="16"/>
      <w:lang w:eastAsia="en-US"/>
    </w:rPr>
  </w:style>
  <w:style w:type="paragraph" w:customStyle="1" w:styleId="NormalCenter12a">
    <w:name w:val="NormalCenter12a"/>
    <w:basedOn w:val="Normal"/>
    <w:rsid w:val="00346A8C"/>
    <w:pPr>
      <w:spacing w:after="240"/>
      <w:jc w:val="center"/>
    </w:pPr>
  </w:style>
  <w:style w:type="paragraph" w:customStyle="1" w:styleId="Normal12">
    <w:name w:val="Normal12"/>
    <w:basedOn w:val="Normal"/>
    <w:next w:val="Normal"/>
    <w:rsid w:val="00346A8C"/>
    <w:pPr>
      <w:spacing w:after="240"/>
    </w:pPr>
    <w:rPr>
      <w:snapToGrid w:val="0"/>
      <w:lang w:eastAsia="en-US"/>
    </w:rPr>
  </w:style>
  <w:style w:type="paragraph" w:styleId="Footer">
    <w:name w:val="footer"/>
    <w:basedOn w:val="Normal"/>
    <w:link w:val="FooterChar"/>
    <w:rsid w:val="00F353B1"/>
    <w:pPr>
      <w:tabs>
        <w:tab w:val="center" w:pos="4513"/>
        <w:tab w:val="right" w:pos="9026"/>
      </w:tabs>
    </w:pPr>
  </w:style>
  <w:style w:type="character" w:customStyle="1" w:styleId="FooterChar">
    <w:name w:val="Footer Char"/>
    <w:basedOn w:val="DefaultParagraphFont"/>
    <w:link w:val="Footer"/>
    <w:rsid w:val="00F353B1"/>
    <w:rPr>
      <w:sz w:val="24"/>
      <w:lang w:val="ro-RO"/>
    </w:rPr>
  </w:style>
  <w:style w:type="character" w:styleId="FollowedHyperlink">
    <w:name w:val="FollowedHyperlink"/>
    <w:basedOn w:val="DefaultParagraphFont"/>
    <w:rsid w:val="000D59F4"/>
    <w:rPr>
      <w:color w:val="954F72" w:themeColor="followedHyperlink"/>
      <w:u w:val="single"/>
    </w:rPr>
  </w:style>
  <w:style w:type="paragraph" w:styleId="BalloonText">
    <w:name w:val="Balloon Text"/>
    <w:basedOn w:val="Normal"/>
    <w:link w:val="BalloonTextChar"/>
    <w:rsid w:val="000D59F4"/>
    <w:rPr>
      <w:rFonts w:ascii="Segoe UI" w:hAnsi="Segoe UI" w:cs="Segoe UI"/>
      <w:sz w:val="18"/>
      <w:szCs w:val="18"/>
    </w:rPr>
  </w:style>
  <w:style w:type="character" w:customStyle="1" w:styleId="BalloonTextChar">
    <w:name w:val="Balloon Text Char"/>
    <w:basedOn w:val="DefaultParagraphFont"/>
    <w:link w:val="BalloonText"/>
    <w:rsid w:val="000D59F4"/>
    <w:rPr>
      <w:rFonts w:ascii="Segoe UI" w:hAnsi="Segoe UI" w:cs="Segoe UI"/>
      <w:sz w:val="18"/>
      <w:szCs w:val="18"/>
      <w:lang w:val="ro-RO"/>
    </w:rPr>
  </w:style>
  <w:style w:type="character" w:customStyle="1" w:styleId="Hyperlink1">
    <w:name w:val="Hyperlink1"/>
    <w:basedOn w:val="DefaultParagraphFont"/>
    <w:rsid w:val="00782F7A"/>
    <w:rPr>
      <w:color w:val="0563C1"/>
      <w:u w:val="single"/>
    </w:rPr>
  </w:style>
  <w:style w:type="character" w:styleId="CommentReference">
    <w:name w:val="annotation reference"/>
    <w:basedOn w:val="DefaultParagraphFont"/>
    <w:uiPriority w:val="99"/>
    <w:unhideWhenUsed/>
    <w:rsid w:val="00782F7A"/>
    <w:rPr>
      <w:sz w:val="16"/>
      <w:szCs w:val="16"/>
    </w:rPr>
  </w:style>
  <w:style w:type="paragraph" w:styleId="CommentText">
    <w:name w:val="annotation text"/>
    <w:basedOn w:val="Normal"/>
    <w:link w:val="CommentTextChar"/>
    <w:uiPriority w:val="99"/>
    <w:unhideWhenUsed/>
    <w:rsid w:val="00782F7A"/>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782F7A"/>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61/oj"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163/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11" Type="http://schemas.openxmlformats.org/officeDocument/2006/relationships/hyperlink" Target="https://www.ombudsman.europa.eu/ro/multimedia/infographics/ro/142" TargetMode="External"/><Relationship Id="rId5" Type="http://schemas.openxmlformats.org/officeDocument/2006/relationships/hyperlink" Target="http://data.europa.eu/eli/reg/2018/1046/oj" TargetMode="External"/><Relationship Id="rId10" Type="http://schemas.openxmlformats.org/officeDocument/2006/relationships/hyperlink" Target="https://www.ombudsman.europa.eu/ro/doc/annual-report/ro/183636"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reg/2001/104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956C2-D51E-4581-BE12-FF015EEF1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5565</Words>
  <Characters>32250</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Laura-Mirona</cp:lastModifiedBy>
  <cp:revision>2</cp:revision>
  <cp:lastPrinted>2004-11-19T15:42:00Z</cp:lastPrinted>
  <dcterms:created xsi:type="dcterms:W3CDTF">2025-12-05T11:55:00Z</dcterms:created>
  <dcterms:modified xsi:type="dcterms:W3CDTF">2025-12-05T11:55:00Z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P10_TA(2025)0084_</vt:lpwstr>
  </property>
  <property fmtid="{D5CDD505-2E9C-101B-9397-08002B2CF9AE}" pid="4" name="&lt;Type&gt;">
    <vt:lpwstr>RR</vt:lpwstr>
  </property>
</Properties>
</file>