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13177" w14:paraId="63CC71FC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150E57" w14:textId="77777777" w:rsidR="00B13177" w:rsidRDefault="007A49A3">
            <w:pPr>
              <w:pStyle w:val="EPName"/>
            </w:pPr>
            <w:r>
              <w:t>Európsky parlament</w:t>
            </w:r>
          </w:p>
          <w:p w14:paraId="03D3F22E" w14:textId="77777777" w:rsidR="00B13177" w:rsidRDefault="007A49A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4FE88A1" w14:textId="77777777" w:rsidR="00B13177" w:rsidRDefault="007A49A3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 wp14:anchorId="74B45EA8" wp14:editId="46A037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3DC729" w14:textId="77777777" w:rsidR="00B13177" w:rsidRDefault="00B13177">
      <w:pPr>
        <w:pStyle w:val="LineTop"/>
      </w:pPr>
    </w:p>
    <w:p w14:paraId="1E0E37FA" w14:textId="77777777" w:rsidR="00B13177" w:rsidRDefault="007A49A3">
      <w:pPr>
        <w:pStyle w:val="EPBodyTA1"/>
      </w:pPr>
      <w:r>
        <w:t>PRIJATÉ TEXTY</w:t>
      </w:r>
    </w:p>
    <w:p w14:paraId="2286419F" w14:textId="77777777" w:rsidR="00B13177" w:rsidRDefault="00B13177">
      <w:pPr>
        <w:pStyle w:val="LineBottom"/>
      </w:pPr>
    </w:p>
    <w:p w14:paraId="13903566" w14:textId="77777777" w:rsidR="00B13177" w:rsidRDefault="007A49A3">
      <w:pPr>
        <w:pStyle w:val="ATHeading1"/>
      </w:pPr>
      <w:bookmarkStart w:id="0" w:name="TANumber"/>
      <w:r>
        <w:t>P10_TA(2025)0084</w:t>
      </w:r>
      <w:bookmarkEnd w:id="0"/>
    </w:p>
    <w:p w14:paraId="1E5D4C38" w14:textId="77777777" w:rsidR="00B13177" w:rsidRDefault="007A49A3">
      <w:pPr>
        <w:pStyle w:val="ATHeading2"/>
      </w:pPr>
      <w:bookmarkStart w:id="1" w:name="title"/>
      <w:r>
        <w:t>Absolutórium za rok 2023: všeobecný rozpočet EÚ – európsky ombudsman</w:t>
      </w:r>
      <w:bookmarkEnd w:id="1"/>
    </w:p>
    <w:p w14:paraId="7C41C2BA" w14:textId="77777777" w:rsidR="00B13177" w:rsidRDefault="007A49A3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A10-0055/2025</w:instrText>
      </w:r>
      <w:bookmarkEnd w:id="2"/>
      <w:r>
        <w:rPr>
          <w:i/>
        </w:rPr>
        <w:instrText xml:space="preserve"> - Spravodajca: Joachim </w:instrText>
      </w:r>
      <w:proofErr w:type="spellStart"/>
      <w:r>
        <w:rPr>
          <w:i/>
        </w:rPr>
        <w:instrText>Stanisław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Brudziński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14:paraId="01D8573B" w14:textId="77777777" w:rsidR="00B13177" w:rsidRDefault="007A49A3">
      <w:pPr>
        <w:rPr>
          <w:vanish/>
        </w:rPr>
      </w:pPr>
      <w:bookmarkStart w:id="3" w:name="Commission"/>
      <w:r>
        <w:rPr>
          <w:vanish/>
        </w:rPr>
        <w:t>Výbor pre kontrolu rozpočtu</w:t>
      </w:r>
      <w:bookmarkEnd w:id="3"/>
    </w:p>
    <w:p w14:paraId="63971712" w14:textId="77777777" w:rsidR="00B13177" w:rsidRDefault="007A49A3">
      <w:pPr>
        <w:rPr>
          <w:vanish/>
        </w:rPr>
      </w:pPr>
      <w:bookmarkStart w:id="4" w:name="PE"/>
      <w:r>
        <w:rPr>
          <w:vanish/>
        </w:rPr>
        <w:t>PE764.991</w:t>
      </w:r>
      <w:bookmarkEnd w:id="4"/>
    </w:p>
    <w:p w14:paraId="365D06ED" w14:textId="77777777" w:rsidR="00B13177" w:rsidRDefault="007A49A3">
      <w:pPr>
        <w:pStyle w:val="ATHeading3"/>
      </w:pPr>
      <w:bookmarkStart w:id="5" w:name="Sujet"/>
      <w:r>
        <w:t>1. Rozhodnutie Európskeho parlamentu zo 7. mája 2025 o absolutóriu za plnenie všeobecného rozpočtu Európskej únie za rozpočtový rok 2023, oddiel VIII – európsky ombudsman</w:t>
      </w:r>
      <w:bookmarkEnd w:id="5"/>
      <w:r>
        <w:t xml:space="preserve"> </w:t>
      </w:r>
      <w:bookmarkStart w:id="6" w:name="References"/>
      <w:r>
        <w:t>(2024/2027(DEC))</w:t>
      </w:r>
      <w:bookmarkEnd w:id="6"/>
    </w:p>
    <w:p w14:paraId="29DF8678" w14:textId="77777777" w:rsidR="00B13177" w:rsidRDefault="007A49A3" w:rsidP="007A49A3">
      <w:pPr>
        <w:pStyle w:val="EPComma"/>
      </w:pPr>
      <w:bookmarkStart w:id="7" w:name="TextBodyBegin"/>
      <w:bookmarkEnd w:id="7"/>
      <w:r>
        <w:rPr>
          <w:i/>
        </w:rPr>
        <w:t>Európsky parlament,</w:t>
      </w:r>
    </w:p>
    <w:p w14:paraId="0355338D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>so zreteľom na všeobecný rozpočet Európskej únie na rozpočtový rok 2023</w:t>
      </w:r>
      <w:r w:rsidRPr="007A49A3">
        <w:rPr>
          <w:kern w:val="2"/>
          <w:vertAlign w:val="superscript"/>
          <w14:ligatures w14:val="standardContextual"/>
        </w:rPr>
        <w:footnoteReference w:id="1"/>
      </w:r>
      <w:r w:rsidRPr="007A49A3">
        <w:rPr>
          <w:kern w:val="2"/>
          <w14:ligatures w14:val="standardContextual"/>
        </w:rPr>
        <w:t>,</w:t>
      </w:r>
    </w:p>
    <w:p w14:paraId="76A74A03" w14:textId="7094513D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 xml:space="preserve">so zreteľom na konsolidovanú ročnú účtovnú závierku Európskej únie za rozpočtový rok 2023 </w:t>
      </w:r>
      <w:r>
        <w:rPr>
          <w:kern w:val="2"/>
          <w14:ligatures w14:val="standardContextual"/>
        </w:rPr>
        <w:t>(</w:t>
      </w:r>
      <w:r w:rsidRPr="007A49A3">
        <w:rPr>
          <w:kern w:val="2"/>
          <w14:ligatures w14:val="standardContextual"/>
        </w:rPr>
        <w:t>COM(2024)0272 – C10</w:t>
      </w:r>
      <w:r w:rsidRPr="007A49A3">
        <w:rPr>
          <w:kern w:val="2"/>
          <w14:ligatures w14:val="standardContextual"/>
        </w:rPr>
        <w:noBreakHyphen/>
        <w:t>0075/2024</w:t>
      </w:r>
      <w:r>
        <w:rPr>
          <w:kern w:val="2"/>
          <w14:ligatures w14:val="standardContextual"/>
        </w:rPr>
        <w:t>)</w:t>
      </w:r>
      <w:r w:rsidRPr="007A49A3">
        <w:rPr>
          <w:kern w:val="2"/>
          <w:vertAlign w:val="superscript"/>
          <w14:ligatures w14:val="standardContextual"/>
        </w:rPr>
        <w:footnoteReference w:id="2"/>
      </w:r>
      <w:r w:rsidRPr="007A49A3">
        <w:rPr>
          <w:kern w:val="2"/>
          <w14:ligatures w14:val="standardContextual"/>
        </w:rPr>
        <w:t>,</w:t>
      </w:r>
    </w:p>
    <w:p w14:paraId="0ACF523A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>so zreteľom na výročnú správu o činnosti európskeho ombudsmana za rok 2023 a jeho správu o rozpočtovom a finančnom riadení za rozpočtový rok 2023,</w:t>
      </w:r>
    </w:p>
    <w:p w14:paraId="4E922C4C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>so zreteľom na výročnú správu Dvora audítorov o plnení rozpočtu za rozpočtový rok 2023 spolu s odpoveďami inštitúcií</w:t>
      </w:r>
      <w:r w:rsidRPr="007A49A3">
        <w:rPr>
          <w:kern w:val="2"/>
          <w:vertAlign w:val="superscript"/>
          <w14:ligatures w14:val="standardContextual"/>
        </w:rPr>
        <w:footnoteReference w:id="3"/>
      </w:r>
      <w:r w:rsidRPr="007A49A3">
        <w:rPr>
          <w:kern w:val="2"/>
          <w14:ligatures w14:val="standardContextual"/>
        </w:rPr>
        <w:t>,</w:t>
      </w:r>
    </w:p>
    <w:p w14:paraId="58BA4669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>so zreteľom na vyhlásenie o vierohodnosti</w:t>
      </w:r>
      <w:r w:rsidRPr="007A49A3">
        <w:rPr>
          <w:kern w:val="2"/>
          <w:vertAlign w:val="superscript"/>
          <w14:ligatures w14:val="standardContextual"/>
        </w:rPr>
        <w:footnoteReference w:id="4"/>
      </w:r>
      <w:r w:rsidRPr="007A49A3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 fungovaní Európskej únie,</w:t>
      </w:r>
    </w:p>
    <w:p w14:paraId="7D2C0C13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>so zreteľom na článok 314 ods. 10 a články 317, 318 a 319 Zmluvy o fungovaní Európskej únie,</w:t>
      </w:r>
    </w:p>
    <w:p w14:paraId="1DD81E41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7A49A3">
        <w:rPr>
          <w:kern w:val="2"/>
          <w14:ligatures w14:val="standardContextual"/>
        </w:rPr>
        <w:t>Euratom</w:t>
      </w:r>
      <w:proofErr w:type="spellEnd"/>
      <w:r w:rsidRPr="007A49A3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 1304/2013, (EÚ) č. 1309/2013, (EÚ) č. 1316/2013, (EÚ) č. 223/2014, (EÚ) </w:t>
      </w:r>
      <w:r w:rsidRPr="007A49A3">
        <w:rPr>
          <w:kern w:val="2"/>
          <w14:ligatures w14:val="standardContextual"/>
        </w:rPr>
        <w:lastRenderedPageBreak/>
        <w:t xml:space="preserve">č. 283/2014 a rozhodnutia č. 541/2014/EÚ a o zrušení nariadenia (EÚ, </w:t>
      </w:r>
      <w:proofErr w:type="spellStart"/>
      <w:r w:rsidRPr="007A49A3">
        <w:rPr>
          <w:kern w:val="2"/>
          <w14:ligatures w14:val="standardContextual"/>
        </w:rPr>
        <w:t>Euratom</w:t>
      </w:r>
      <w:proofErr w:type="spellEnd"/>
      <w:r w:rsidRPr="007A49A3">
        <w:rPr>
          <w:kern w:val="2"/>
          <w14:ligatures w14:val="standardContextual"/>
        </w:rPr>
        <w:t>) č. 966/2012</w:t>
      </w:r>
      <w:r w:rsidRPr="007A49A3">
        <w:rPr>
          <w:kern w:val="2"/>
          <w:vertAlign w:val="superscript"/>
          <w14:ligatures w14:val="standardContextual"/>
        </w:rPr>
        <w:footnoteReference w:id="5"/>
      </w:r>
      <w:r w:rsidRPr="007A49A3">
        <w:rPr>
          <w:kern w:val="2"/>
          <w14:ligatures w14:val="standardContextual"/>
        </w:rPr>
        <w:t>, a najmä na jeho články 59, 118, 260, 261 a 262,</w:t>
      </w:r>
    </w:p>
    <w:p w14:paraId="070D6614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 xml:space="preserve">so zreteľom na </w:t>
      </w:r>
      <w:r w:rsidRPr="007A49A3">
        <w:rPr>
          <w:kern w:val="2"/>
          <w:shd w:val="clear" w:color="auto" w:fill="FFFFFF"/>
          <w14:ligatures w14:val="standardContextual"/>
        </w:rPr>
        <w:t xml:space="preserve">nariadenie Európskeho parlamentu a Rady (EÚ, </w:t>
      </w:r>
      <w:proofErr w:type="spellStart"/>
      <w:r w:rsidRPr="007A49A3">
        <w:rPr>
          <w:kern w:val="2"/>
          <w:shd w:val="clear" w:color="auto" w:fill="FFFFFF"/>
          <w14:ligatures w14:val="standardContextual"/>
        </w:rPr>
        <w:t>Euratom</w:t>
      </w:r>
      <w:proofErr w:type="spellEnd"/>
      <w:r w:rsidRPr="007A49A3">
        <w:rPr>
          <w:kern w:val="2"/>
          <w:shd w:val="clear" w:color="auto" w:fill="FFFFFF"/>
          <w14:ligatures w14:val="standardContextual"/>
        </w:rPr>
        <w:t>) 2024/2509 z 23. septembra 2024 o rozpočtových pravidlách, ktoré sa vzťahujú na všeobecný rozpočet Únie</w:t>
      </w:r>
      <w:r w:rsidRPr="007A49A3">
        <w:rPr>
          <w:bCs/>
          <w:kern w:val="2"/>
          <w:szCs w:val="24"/>
          <w:shd w:val="clear" w:color="auto" w:fill="FFFFFF"/>
          <w:vertAlign w:val="superscript"/>
          <w14:ligatures w14:val="standardContextual"/>
        </w:rPr>
        <w:footnoteReference w:id="6"/>
      </w:r>
      <w:r w:rsidRPr="007A49A3">
        <w:rPr>
          <w:kern w:val="2"/>
          <w:shd w:val="clear" w:color="auto" w:fill="FFFFFF"/>
          <w14:ligatures w14:val="standardContextual"/>
        </w:rPr>
        <w:t>, a najmä na jeho články 59, 118, 266, 267 a 268</w:t>
      </w:r>
      <w:r w:rsidRPr="007A49A3">
        <w:rPr>
          <w:kern w:val="2"/>
          <w14:ligatures w14:val="standardContextual"/>
        </w:rPr>
        <w:t>,</w:t>
      </w:r>
    </w:p>
    <w:p w14:paraId="2811C52A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>so zreteľom na článok 102 a prílohu V k rokovaciemu poriadku,</w:t>
      </w:r>
    </w:p>
    <w:p w14:paraId="4CC5A311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>so zreteľom na správu Výboru pre kontrolu rozpočtu (A10-0055/2025),</w:t>
      </w:r>
    </w:p>
    <w:p w14:paraId="550D8F9A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1.</w:t>
      </w:r>
      <w:r w:rsidRPr="007A49A3">
        <w:rPr>
          <w:kern w:val="2"/>
          <w14:ligatures w14:val="standardContextual"/>
        </w:rPr>
        <w:tab/>
        <w:t>udeľuje európskej ombudsmanke absolutórium za plnenie rozpočtu európskeho ombudsmana za rozpočtový rok 2023;</w:t>
      </w:r>
    </w:p>
    <w:p w14:paraId="044AEB47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2.</w:t>
      </w:r>
      <w:r w:rsidRPr="007A49A3">
        <w:rPr>
          <w:kern w:val="2"/>
          <w14:ligatures w14:val="standardContextual"/>
        </w:rPr>
        <w:tab/>
        <w:t>uvádza svoje poznámky v priloženom uznesení;</w:t>
      </w:r>
    </w:p>
    <w:p w14:paraId="4930BE96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3.</w:t>
      </w:r>
      <w:r w:rsidRPr="007A49A3">
        <w:rPr>
          <w:kern w:val="2"/>
          <w14:ligatures w14:val="standardContextual"/>
        </w:rPr>
        <w:tab/>
        <w:t>poveruje svoju predsedníčku, aby postúpila toto rozhodnutie a uznesenie, ktoré je jeho neoddeliteľnou súčasťou, európskej ombudsmanke, Európskej rade, Rade, Komisii, Dvoru audítorov, Súdnemu dvoru Európskej únie, európskemu dozornému úradníkovi pre ochranu údajov a Európskej službe pre vonkajšiu činnosť a aby zabezpečila ich uverejnenie v </w:t>
      </w:r>
      <w:r w:rsidRPr="007A49A3">
        <w:rPr>
          <w:i/>
          <w:kern w:val="2"/>
          <w14:ligatures w14:val="standardContextual"/>
        </w:rPr>
        <w:t>Úradnom vestníku Európskej únie</w:t>
      </w:r>
      <w:r w:rsidRPr="007A49A3">
        <w:rPr>
          <w:kern w:val="2"/>
          <w14:ligatures w14:val="standardContextual"/>
        </w:rPr>
        <w:t xml:space="preserve"> (v sérii L).</w:t>
      </w:r>
    </w:p>
    <w:p w14:paraId="6E0C5861" w14:textId="77777777" w:rsidR="007A49A3" w:rsidRPr="007A49A3" w:rsidRDefault="007A49A3" w:rsidP="007A49A3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7A49A3" w:rsidRPr="007A49A3" w:rsidSect="007A49A3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AA783E9" w14:textId="77777777" w:rsidR="007A49A3" w:rsidRPr="007A49A3" w:rsidRDefault="007A49A3" w:rsidP="007A49A3">
      <w:pPr>
        <w:pStyle w:val="ATHeading3"/>
      </w:pPr>
      <w:r w:rsidRPr="007A49A3">
        <w:lastRenderedPageBreak/>
        <w:t>2. Uznesenie Európskeho parlamentu zo 7. mája 2025 s poznámkami, ktoré je neoddeliteľnou súčasťou rozhodnutia o absolutóriu za plnenie všeobecného rozpočtu Európskej únie za rozpočtový rok 2023, oddiel VIII – európsky ombudsman (2024/2027(DEC))</w:t>
      </w:r>
    </w:p>
    <w:p w14:paraId="377C7975" w14:textId="03C42583" w:rsidR="007A49A3" w:rsidRPr="007A49A3" w:rsidRDefault="007A49A3" w:rsidP="007A49A3">
      <w:pPr>
        <w:spacing w:before="480" w:after="240"/>
        <w:rPr>
          <w:iCs/>
          <w:kern w:val="2"/>
          <w14:ligatures w14:val="standardContextual"/>
        </w:rPr>
      </w:pPr>
      <w:r>
        <w:rPr>
          <w:i/>
        </w:rPr>
        <w:t>Európsky parlament</w:t>
      </w:r>
      <w:r w:rsidRPr="007A49A3">
        <w:rPr>
          <w:iCs/>
          <w:kern w:val="2"/>
          <w14:ligatures w14:val="standardContextual"/>
        </w:rPr>
        <w:t>,</w:t>
      </w:r>
    </w:p>
    <w:p w14:paraId="3D4C41FD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>so zreteľom na svoje rozhodnutie o absolutóriu za plnenie všeobecného rozpočtu Európskej únie za rozpočtový rok 2023, oddiel VIII – európsky ombudsman,</w:t>
      </w:r>
    </w:p>
    <w:p w14:paraId="318C6180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>so zreteľom na článok 102 a prílohu V k rokovaciemu poriadku,</w:t>
      </w:r>
    </w:p>
    <w:p w14:paraId="71853620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–</w:t>
      </w:r>
      <w:r w:rsidRPr="007A49A3">
        <w:rPr>
          <w:kern w:val="2"/>
          <w14:ligatures w14:val="standardContextual"/>
        </w:rPr>
        <w:tab/>
        <w:t>so zreteľom na správu Výboru pre kontrolu rozpočtu (A10-0055/2025),</w:t>
      </w:r>
    </w:p>
    <w:p w14:paraId="1E7A6688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A.</w:t>
      </w:r>
      <w:r w:rsidRPr="007A49A3">
        <w:rPr>
          <w:kern w:val="2"/>
          <w14:ligatures w14:val="standardContextual"/>
        </w:rPr>
        <w:tab/>
        <w:t>keďže v súvislosti s postupom udelenia absolutória chce orgán udeľujúci absolutórium podčiarknuť mimoriadny význam ďalšieho posilňovania demokratickej legitimity inštitúcií Únie zvyšovaním transparentnosti a zodpovednosti a zavedením koncepcie zostavovania rozpočtu podľa výkonnosti a dobrého riadenia ľudských zdrojov;</w:t>
      </w:r>
    </w:p>
    <w:p w14:paraId="58BC4174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B.</w:t>
      </w:r>
      <w:r w:rsidRPr="007A49A3">
        <w:rPr>
          <w:kern w:val="2"/>
          <w14:ligatures w14:val="standardContextual"/>
        </w:rPr>
        <w:tab/>
        <w:t>keďže v článku 228 Zmluvy o fungovaní Európskej únii sa stanovuje, že Európsky parlament volí európskeho ombudsmana (ďalej len „ombudsman“ alebo „ombudsmanka“), ktorý je oprávnený prijímať od občanov Únie alebo od fyzických či právnických osôb s bydliskom alebo zaregistrovaným sídlom v členskom štáte sťažnosti týkajúce sa prípadov nesprávneho úradného postupu inštitúcií, orgánov, úradov alebo agentúr Únie s výnimkou Súdneho dvora Európskej únie pri výkone jeho súdnych právomocí, prešetriť tieto sťažnosti a podávať o nich správy;</w:t>
      </w:r>
    </w:p>
    <w:p w14:paraId="4927D502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C.</w:t>
      </w:r>
      <w:r w:rsidRPr="007A49A3">
        <w:rPr>
          <w:kern w:val="2"/>
          <w14:ligatures w14:val="standardContextual"/>
        </w:rPr>
        <w:tab/>
        <w:t xml:space="preserve">keďže v nariadení Európskeho parlamentu (EÚ, </w:t>
      </w:r>
      <w:proofErr w:type="spellStart"/>
      <w:r w:rsidRPr="007A49A3">
        <w:rPr>
          <w:kern w:val="2"/>
          <w14:ligatures w14:val="standardContextual"/>
        </w:rPr>
        <w:t>Euratom</w:t>
      </w:r>
      <w:proofErr w:type="spellEnd"/>
      <w:r w:rsidRPr="007A49A3">
        <w:rPr>
          <w:kern w:val="2"/>
          <w14:ligatures w14:val="standardContextual"/>
        </w:rPr>
        <w:t>) 2021/1163 </w:t>
      </w:r>
      <w:r w:rsidRPr="007A49A3">
        <w:rPr>
          <w:kern w:val="2"/>
          <w:vertAlign w:val="superscript"/>
          <w14:ligatures w14:val="standardContextual"/>
        </w:rPr>
        <w:footnoteReference w:id="7"/>
      </w:r>
      <w:r w:rsidRPr="007A49A3">
        <w:rPr>
          <w:kern w:val="2"/>
          <w14:ligatures w14:val="standardContextual"/>
        </w:rPr>
        <w:t xml:space="preserve"> sa stanovujú pravidlá a všeobecné podmienky upravujúce výkon funkcie ombudsmana (štatút európskeho ombudsmana);</w:t>
      </w:r>
    </w:p>
    <w:p w14:paraId="18238DB6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D.</w:t>
      </w:r>
      <w:r w:rsidRPr="007A49A3">
        <w:rPr>
          <w:kern w:val="2"/>
          <w14:ligatures w14:val="standardContextual"/>
        </w:rPr>
        <w:tab/>
        <w:t xml:space="preserve">keďže </w:t>
      </w:r>
      <w:r w:rsidRPr="007A49A3">
        <w:rPr>
          <w:kern w:val="2"/>
          <w:shd w:val="clear" w:color="auto" w:fill="FFFFFF"/>
          <w14:ligatures w14:val="standardContextual"/>
        </w:rPr>
        <w:t xml:space="preserve">po prijatí nariadenia (EÚ, </w:t>
      </w:r>
      <w:proofErr w:type="spellStart"/>
      <w:r w:rsidRPr="007A49A3">
        <w:rPr>
          <w:kern w:val="2"/>
          <w:shd w:val="clear" w:color="auto" w:fill="FFFFFF"/>
          <w14:ligatures w14:val="standardContextual"/>
        </w:rPr>
        <w:t>Euratom</w:t>
      </w:r>
      <w:proofErr w:type="spellEnd"/>
      <w:r w:rsidRPr="007A49A3">
        <w:rPr>
          <w:kern w:val="2"/>
          <w:shd w:val="clear" w:color="auto" w:fill="FFFFFF"/>
          <w14:ligatures w14:val="standardContextual"/>
        </w:rPr>
        <w:t>) 2021/1163</w:t>
      </w:r>
      <w:r w:rsidRPr="007A49A3">
        <w:rPr>
          <w:kern w:val="2"/>
          <w14:ligatures w14:val="standardContextual"/>
        </w:rPr>
        <w:t xml:space="preserve"> ombudsmanka prijala 21. júna 2023 jeho zrevidované vykonávacie ustanovenia </w:t>
      </w:r>
      <w:r w:rsidRPr="007A49A3">
        <w:rPr>
          <w:kern w:val="2"/>
          <w:vertAlign w:val="superscript"/>
          <w14:ligatures w14:val="standardContextual"/>
        </w:rPr>
        <w:footnoteReference w:id="8"/>
      </w:r>
      <w:r w:rsidRPr="007A49A3">
        <w:rPr>
          <w:kern w:val="2"/>
          <w14:ligatures w14:val="standardContextual"/>
        </w:rPr>
        <w:t>;</w:t>
      </w:r>
    </w:p>
    <w:p w14:paraId="27004CBF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1.</w:t>
      </w:r>
      <w:r w:rsidRPr="007A49A3">
        <w:rPr>
          <w:kern w:val="2"/>
          <w14:ligatures w14:val="standardContextual"/>
        </w:rPr>
        <w:tab/>
        <w:t>poznamenáva, že rozpočet ombudsmana patrí do okruhu 7 VFR „Európska verejná správa“, ktorý v roku 2023 predstavoval celkovo 12,3 miliardy EUR, t. j. 6,4 % rozpočtových výdavkov Únie; konštatuje, že rozpočet ombudsmana predstavoval 0,11 % rozpočtových prostriedkov okruhu 7 VFR;</w:t>
      </w:r>
    </w:p>
    <w:p w14:paraId="518CF5C1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2.</w:t>
      </w:r>
      <w:r w:rsidRPr="007A49A3">
        <w:rPr>
          <w:kern w:val="2"/>
          <w14:ligatures w14:val="standardContextual"/>
        </w:rPr>
        <w:tab/>
        <w:t xml:space="preserve">poznamenáva, že Dvor audítorov vo svojej výročnej správe za rozpočtový rok 2023 (ďalej len „správa Dvora audítorov“) preskúmal vzorku 70 operácií z okruhu Európska verejná správa, pričom v 21 z nich (30 %) sa vyskytovali chyby; ďalej konštatuje, že Dvor audítorov pri piatich z týchto chýb, ktoré vyčíslil, odhadol chybovosť pod prahovou hodnotnou významnosti; na základe správy Dvora audítorov za rozpočtový rok 2023 s uspokojením konštatuje, že Dvor audítorov nezistil žiadne významné </w:t>
      </w:r>
      <w:r w:rsidRPr="007A49A3">
        <w:rPr>
          <w:kern w:val="2"/>
          <w14:ligatures w14:val="standardContextual"/>
        </w:rPr>
        <w:lastRenderedPageBreak/>
        <w:t>problémy týkajúce sa ombudsmanky;</w:t>
      </w:r>
    </w:p>
    <w:p w14:paraId="27BCDA10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3.</w:t>
      </w:r>
      <w:r w:rsidRPr="007A49A3">
        <w:rPr>
          <w:kern w:val="2"/>
          <w14:ligatures w14:val="standardContextual"/>
        </w:rPr>
        <w:tab/>
        <w:t>na základe správy Dvora audítorov berie na vedomie jeho pripomienku, že administratívne výdavky zahŕňajú výdavky na ľudské zdroje vrátane dôchodkov, ktoré v roku 2023 predstavovali približne 70 % celkových administratívnych výdavkov, a výdavky na budovy, zariadenie, energiu, komunikáciu a informačné technológie; víta skutočnosť, že Dvor audítorov rovnako ako v predchádzajúcich rokoch dospel k záveru, že administratívne výdavky sú celkovo nízko rizikové;</w:t>
      </w:r>
    </w:p>
    <w:p w14:paraId="13064F56" w14:textId="77777777" w:rsidR="007A49A3" w:rsidRPr="007A49A3" w:rsidRDefault="007A49A3" w:rsidP="007A49A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A49A3">
        <w:rPr>
          <w:b/>
          <w:i/>
          <w:kern w:val="2"/>
          <w14:ligatures w14:val="standardContextual"/>
        </w:rPr>
        <w:t>Rozpočtové a finančné riadenie</w:t>
      </w:r>
    </w:p>
    <w:p w14:paraId="741E6091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4.</w:t>
      </w:r>
      <w:r w:rsidRPr="007A49A3">
        <w:rPr>
          <w:kern w:val="2"/>
          <w14:ligatures w14:val="standardContextual"/>
        </w:rPr>
        <w:tab/>
        <w:t>konštatuje, že rozpočet ombudsmanky v roku 2023 predstavoval 13 212 447 EUR, čo v porovnaní s rokom 2022 predstavuje zvýšenie o 990 339 EUR (t. j. + 8,1 %); na základe odpovedí ombudsmanky na dotazník Výboru pre kontrolu rozpočtu na účely rozpočtového absolutória za rok 2023 (ďalej len „dotazník“) berie na vedomie, že toto zvýšenie je spôsobené najmä úpravami platov a dvomi novými dodatočnými pracovnými miestami, ktoré boli potrebné na posilnenie hlavných činností ombudsmanky;</w:t>
      </w:r>
    </w:p>
    <w:p w14:paraId="4C6BA212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5.</w:t>
      </w:r>
      <w:r w:rsidRPr="007A49A3">
        <w:rPr>
          <w:kern w:val="2"/>
          <w14:ligatures w14:val="standardContextual"/>
        </w:rPr>
        <w:tab/>
        <w:t>konštatuje, že úsilie o monitorovanie rozpočtu v priebehu rozpočtového roka 2023 prinieslo mieru plnenia rozpočtu na úrovni 95,39 %, čo v porovnaní s rokom 2022 predstavuje zníženie o 1,58 %; konštatuje, že miera plnenia platobných rozpočtových prostriedkov v bežnom roku bola 97,58 %, čo v porovnaní s rokom 2022 predstavuje zvýšenie o 1,31 % vedúce k zníženiu automatických prenosov z 3,73 % (resp. 442 209 EUR) v roku 2022 na 2,42 % (resp. 304 550 EUR) v roku 2023; vyjadruje však poľutovanie nad nižšou mierou plnenia automatických prenosov rozpočtových prostriedkov z predchádzajúceho roka, ktorá bola v roku 2023 na úrovni 73,27 % v porovnaní s 92,59 % v roku 2022; v tejto súvislosti vyzýva na zlepšenie;</w:t>
      </w:r>
    </w:p>
    <w:p w14:paraId="58356F12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6.</w:t>
      </w:r>
      <w:r w:rsidRPr="007A49A3">
        <w:rPr>
          <w:kern w:val="2"/>
          <w14:ligatures w14:val="standardContextual"/>
        </w:rPr>
        <w:tab/>
        <w:t>konštatuje, že v priebehu roka 2023 ombudsmanka uskutočnila deväť rozpočtových presunov podľa článku 29 nariadenia o rozpočtových pravidlách, čo predstavuje celkovo 241 150 EUR, resp. 1,8 % rozpočtových prostriedkov na daný rozpočtový rok v porovnaní s 2,8 % v roku 2022; konštatuje, že tieto presuny boli potrebné na posilnenie rôznych rozpočtových riadkov týkajúcich sa napríklad nábytku, bezpečnosti a stráženia budov, digitalizácie archívov alebo informatiky; v tejto súvislosti konštatuje, že výdavky na informačné technológie sa zvýšili o 41 % zo 159 714 EUR v roku 2022 na 224 698 EUR v roku 2023;</w:t>
      </w:r>
    </w:p>
    <w:p w14:paraId="14F2D9E9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7.</w:t>
      </w:r>
      <w:r w:rsidRPr="007A49A3">
        <w:rPr>
          <w:kern w:val="2"/>
          <w14:ligatures w14:val="standardContextual"/>
        </w:rPr>
        <w:tab/>
        <w:t>berie na vedomie, že priemerný čas na vykonanie platieb sa už tretí rok po sebe ešte viac predĺžil; uznáva, že aj napriek predlžujúcemu sa času na vykonanie platby z 11,35 dňa v roku 2021 na 13,50 dňa v roku 2023 je priemerný čas vykonania platieb naďalej relatívne krátky a nedosahuje maximálnu lehotu na vykonanie platieb stanovenú v právnych predpisoch (30 dní); v tejto súvislosti víta skutočnosť, že ombudsmanka medzitým v plnej miere zaviedla systém elektronickej fakturácie, ktorý by mal od roku 2024 ďalej zlepšovať efektívnosť platobného procesu;</w:t>
      </w:r>
    </w:p>
    <w:p w14:paraId="439E875A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8.</w:t>
      </w:r>
      <w:r w:rsidRPr="007A49A3">
        <w:rPr>
          <w:kern w:val="2"/>
          <w14:ligatures w14:val="standardContextual"/>
        </w:rPr>
        <w:tab/>
        <w:t>konštatuje, že v roku 2023 Európsky parlament neoznámil ombudsmanke žiadne výrazné zvýšenie nájomného a paušálnych poplatkov za budovy, čo ombudsmanke umožnilo znížiť svoj rozpočtový riadok na nájomné o 8,06 % s cieľom posilniť iné rozpočtové riadky v roku 2023; berie však na vedomie, že ombudsmanka očakáva v roku 2024 zvýšenie výdavkov na budovu o 170 % (t. j. o 122 260 EUR);</w:t>
      </w:r>
    </w:p>
    <w:p w14:paraId="33BB5B04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lastRenderedPageBreak/>
        <w:t>9.</w:t>
      </w:r>
      <w:r w:rsidRPr="007A49A3">
        <w:rPr>
          <w:kern w:val="2"/>
          <w14:ligatures w14:val="standardContextual"/>
        </w:rPr>
        <w:tab/>
        <w:t xml:space="preserve">víta skutočnosť, že rozpočet na služobné cesty zamestnancov sa znížil zo 120 000 EUR v roku 2022 na 100 000 EUR v roku 2023 vďaka rozsiahlemu využívaniu </w:t>
      </w:r>
      <w:proofErr w:type="spellStart"/>
      <w:r w:rsidRPr="007A49A3">
        <w:rPr>
          <w:kern w:val="2"/>
          <w14:ligatures w14:val="standardContextual"/>
        </w:rPr>
        <w:t>videokonferenčných</w:t>
      </w:r>
      <w:proofErr w:type="spellEnd"/>
      <w:r w:rsidRPr="007A49A3">
        <w:rPr>
          <w:kern w:val="2"/>
          <w14:ligatures w14:val="standardContextual"/>
        </w:rPr>
        <w:t xml:space="preserve"> zariadení na oboch pracoviskách; v tejto súvislosti oceňuje, že ombudsmanka už štvrtý rok po sebe znížila rozpočet na služobné cesty zamestnancov; konštatuje, že rozpočet na služobné cesty a cesty ombudsmanky zostal v roku 2023 rovnaký ako v predchádzajúcich rokoch (2021 a 2022), t. j. 35 000 EUR;</w:t>
      </w:r>
    </w:p>
    <w:p w14:paraId="359F81B2" w14:textId="77777777" w:rsidR="007A49A3" w:rsidRPr="007A49A3" w:rsidRDefault="007A49A3" w:rsidP="007A49A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A49A3">
        <w:rPr>
          <w:b/>
          <w:i/>
          <w:kern w:val="2"/>
          <w14:ligatures w14:val="standardContextual"/>
        </w:rPr>
        <w:t>Vnútorné riadenie, výkonnosť a vnútorná kontrola</w:t>
      </w:r>
    </w:p>
    <w:p w14:paraId="433F49F4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10.</w:t>
      </w:r>
      <w:r w:rsidRPr="007A49A3">
        <w:rPr>
          <w:kern w:val="2"/>
          <w14:ligatures w14:val="standardContextual"/>
        </w:rPr>
        <w:tab/>
        <w:t>konštatuje, že ombudsmanka prepojila ciele na vysokej úrovni stanovené v jej stratégii „V ústrety roku 2024“ s deviatimi kľúčovými ukazovateľmi výkonnosti (KPI) pozostávajúcimi z 19 zložiek, ako sa uvádza v ročnom pláne riadenia ombudsmanky na rok 2023; konštatuje, že 14 z týchto zložiek KPI bolo v roku 2023 dosiahnutých alebo prekročených;</w:t>
      </w:r>
    </w:p>
    <w:p w14:paraId="6E04E9A2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11.</w:t>
      </w:r>
      <w:r w:rsidRPr="007A49A3">
        <w:rPr>
          <w:kern w:val="2"/>
          <w14:ligatures w14:val="standardContextual"/>
        </w:rPr>
        <w:tab/>
        <w:t>berie na vedomie celkové zvýšenie pracovného zaťaženia ombudsmanky v porovnaní s predchádzajúcim rokom, keďže v roku 2023 ombudsmanka riešila 2 392 nových sťažností (v roku 2022 ich bolo 2 223), otvorila 398 vyšetrovaní (348 v roku 2022) vrátane 56 vyšetrovaní verejného významu (v roku 2022 ich bolo 60), uzavrela 372 vyšetrovaní (330 v roku 2022) a riešila rekordný počet sťažností týkajúcich sa prístupu verejnosti k dokumentom, ktorý sa zvýšil zo 117 v roku 2022 na rekordný počet 167 v roku 2023, pričom v 118 z nich sa uskutočnilo následné vyšetrovanie; v tejto súvislosti oceňuje, že ombudsmanke sa podarilo dosiahnuť v roku 2023 zvýšenie efektívnosti a zníženie počtu sťažností zjednodušením vybavovania vyšetrovaní, pri ktorých sa neposkytli odpovede, a zjednodušením vybavovania sťažností mimo mandátu a žiadostí o informácie; vyzýva ombudsmanku, aby pracovala na cielenejšej komunikácii s cieľom riešiť túto otázku v budúcnosti; víta úsilie o ďalšie zefektívnenie a zjednodušenie procesov v nasledujúcich rokoch;</w:t>
      </w:r>
    </w:p>
    <w:p w14:paraId="4D83DD71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12.</w:t>
      </w:r>
      <w:r w:rsidRPr="007A49A3">
        <w:rPr>
          <w:kern w:val="2"/>
          <w14:ligatures w14:val="standardContextual"/>
        </w:rPr>
        <w:tab/>
        <w:t>oceňuje, že ombudsmanka skrátila čas potrebný na spracovanie spisov na rôznych úrovniach postupu, ako je čas potrebný na preskúmanie prípustnosti (zo 16 dní v roku 2022 na 11 dní v roku 2023) alebo priemerný čas potrebný na uzavretie prípadov v oblasti prístupu verejnosti k dokumentom (zo 46 dní v roku 2022 na 42 dní v roku 2023); vyjadruje však poľutovanie nad tým, že priemerný čas na vybavenie vyšetrovania (165 dní) bol aj v roku 2023 dlhý; chápe však vysvetlenie ombudsmanky, že tento priemer bol ovplyvnený oneskorením uzatvárania vyšetrovaní v dôsledku opakovaných výmen informácií s príslušnými inštitúciami;</w:t>
      </w:r>
    </w:p>
    <w:p w14:paraId="56D31FFA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13.</w:t>
      </w:r>
      <w:r w:rsidRPr="007A49A3">
        <w:rPr>
          <w:kern w:val="2"/>
          <w14:ligatures w14:val="standardContextual"/>
        </w:rPr>
        <w:tab/>
        <w:t>ďalej berie na vedomie zlepšenie v oblasti pozitívnych reakcií inštitúcií Únie na návrhy ombudsmanky na zlepšenie ich administratívy, pričom celková miera vyhovenia dosiahla v roku 2023 úroveň 81 % (v porovnaní so 79 % v roku 2022); žiada ombudsmanku, aby pokračovala v úsilí o dosahovanie väčšieho rešpektovania jej zistení, odporúčaní a návrhov;</w:t>
      </w:r>
    </w:p>
    <w:p w14:paraId="7C7E912F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14.</w:t>
      </w:r>
      <w:r w:rsidRPr="007A49A3">
        <w:rPr>
          <w:kern w:val="2"/>
          <w14:ligatures w14:val="standardContextual"/>
        </w:rPr>
        <w:tab/>
        <w:t>uznáva úsilie ombudsmanky v roku 2023 o zvýšenie informovanosti a pochopenia mandátu ombudsmana; v tejto súvislosti s uspokojením konštatuje zvýšenie počtu sťažností spadajúcich do pôsobnosti ombudsmana o 20 % zo 740 v roku 2022 na 885 v roku 2023, ako aj zvýšenie podielu tohto druhu sťažností z 33 % v roku 2022 na 37 % v roku 2023;</w:t>
      </w:r>
    </w:p>
    <w:p w14:paraId="1E94B056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15.</w:t>
      </w:r>
      <w:r w:rsidRPr="007A49A3">
        <w:rPr>
          <w:kern w:val="2"/>
          <w14:ligatures w14:val="standardContextual"/>
        </w:rPr>
        <w:tab/>
        <w:t xml:space="preserve">uznáva úsilie ombudsmanky a jej pozitívny prínos v oblasti etiky, transparentnosti </w:t>
      </w:r>
      <w:r w:rsidRPr="007A49A3">
        <w:rPr>
          <w:kern w:val="2"/>
          <w14:ligatures w14:val="standardContextual"/>
        </w:rPr>
        <w:lastRenderedPageBreak/>
        <w:t>a zodpovednosti v roku 2023, predovšetkým vďaka vyšetrovaniam zameraným na prístup verejnosti k dokumentom a konflikty záujmov týkajúce sa rôznych inštitúcií, agentúr Únie alebo Európskej investičnej banky; oceňuje osobitnú správu ombudsmanky vydanú v septembri 2023 o oneskoreniach Komisie pri vybavovaní žiadostí o prístup k dokumentom;</w:t>
      </w:r>
    </w:p>
    <w:p w14:paraId="493D9B3F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16.</w:t>
      </w:r>
      <w:r w:rsidRPr="007A49A3">
        <w:rPr>
          <w:kern w:val="2"/>
          <w14:ligatures w14:val="standardContextual"/>
        </w:rPr>
        <w:tab/>
        <w:t>na základe správy ombudsmanky pre orgán udeľujúci absolutórium nazvanej Správa o opatreniach prijatých v nadväznosti na udelenie absolutória za rozpočtový rok 2022 berie na vedomie problémy zistené v oblasti Mechanizmu na podporu obnovy a odolnosti, konkrétne výrazné oneskorenia, s ktorými sa stretáva Európska komisia pri odpovediach na žiadosti o prístup k informáciám, najmä oneskorené zverejňovanie najväčších príjemcov prostriedkov z Mechanizmu na podporu obnovy a odolnosti členskými štátmi, čo narúša transparentnosť, ako aj pokiaľ ide o odôvodnenie, na základe ktorého Komisia v niektorých prípadoch určovala mieru prístupu verejnosti k dokumentom; vyjadruje znepokojenie v súvislosti s rozhodnutím Komisie neprijať všetky odporúčania a navrhované riešenia, ktoré v tejto súvislosti predložila ombudsmanka, a pripomína význam zásad osvedčených postupov pre transparentnosť vlády pri využívaní finančných prostriedkov na podporu obnovy vytvorených v spolupráci s OECD; vyjadruje poľutovanie nad tým, že na vnútroštátnej úrovni pretrvávajú výrazné rozdiely, pokiaľ ide o včasnosť a úplnosť informácií o konečných príjemcoch; vyzýva Komisiu, aby zintenzívnila svoje úsilie o riešenie týchto nedostatkov v rámci svojich prebiehajúcich monitorovacích a kontrolných funkcií; zdôrazňuje význam konzistentného a kompletného oznamovania vo všetkých členských štátoch, aby sa zabezpečila transparentnosť a zodpovednosť; vyzýva ombudsmanku, aby naďalej monitorovala úsilie Komisie o zabezpečenie transparentnosti a účinného dohľadu nad Mechanizmom na podporu obnovy a odolnosti; ďalej vyzýva ombudsmanku, aby naďalej pravidelne informovala rozpočtový orgán o ťažkostiach, s ktorými sa stretáva pri svojej práci na transparentnosti a zodpovednosti Mechanizmu na podporu obnovy a odolnosti;</w:t>
      </w:r>
    </w:p>
    <w:p w14:paraId="5B79AF14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17.</w:t>
      </w:r>
      <w:r w:rsidRPr="007A49A3">
        <w:rPr>
          <w:kern w:val="2"/>
          <w14:ligatures w14:val="standardContextual"/>
        </w:rPr>
        <w:tab/>
        <w:t>zdôrazňuje skutočnosť, že v roku 2023 po vyšetrovaní z vlastného podnetu, ktoré odhalilo, že keď jednotlivci žiadajú o preskúmanie rozhodnutia o prístupe, známeho ako opakovaná žiadosť, Komisia v 85 % prípadov nedodržiava zákonom stanovené lehoty, ombudsmanka naliehavo vyzvala Európsku komisiu, aby urýchlene riešila systémové oneskorenia pri spracúvaní žiadostí o prístup k dokumentom; vyzýva na urýchlené vykonanie naliehavého odporúčania ombudsmanky na dôkladné prehodnotenie s cieľom zabezpečiť dodržiavanie lehôt stanovených v právnych predpisoch Únie, ako je nariadenie Európskeho parlamentu a Rady (ES) č. 1049/2001 </w:t>
      </w:r>
      <w:r w:rsidRPr="007A49A3">
        <w:rPr>
          <w:kern w:val="2"/>
          <w:vertAlign w:val="superscript"/>
          <w14:ligatures w14:val="standardContextual"/>
        </w:rPr>
        <w:footnoteReference w:id="9"/>
      </w:r>
      <w:r w:rsidRPr="007A49A3">
        <w:rPr>
          <w:kern w:val="2"/>
          <w14:ligatures w14:val="standardContextual"/>
        </w:rPr>
        <w:t>; vyslovuje ombudsmanke pochvalu za jej osobitnú správu Európskemu parlamentu, v ktorej ho žiada o formálnu podporu pri presadzovaní toho, aby Komisia konala v súlade s jej odporúčaním; pripomína, že ombudsmanka diskutovala o správe s poslancami Európskeho parlamentu vo Výbore pre občianske slobody, spravodlivosť a vnútorné veci v novembri 2023 </w:t>
      </w:r>
      <w:r w:rsidRPr="007A49A3">
        <w:rPr>
          <w:kern w:val="2"/>
          <w:vertAlign w:val="superscript"/>
          <w14:ligatures w14:val="standardContextual"/>
        </w:rPr>
        <w:footnoteReference w:id="10"/>
      </w:r>
      <w:r w:rsidRPr="007A49A3">
        <w:rPr>
          <w:kern w:val="2"/>
          <w14:ligatures w14:val="standardContextual"/>
        </w:rPr>
        <w:t>;</w:t>
      </w:r>
    </w:p>
    <w:p w14:paraId="663E8162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18.</w:t>
      </w:r>
      <w:r w:rsidRPr="007A49A3">
        <w:rPr>
          <w:kern w:val="2"/>
          <w14:ligatures w14:val="standardContextual"/>
        </w:rPr>
        <w:tab/>
        <w:t xml:space="preserve">s veľkým znepokojením konštatuje, že ombudsmanka dostáva množstvo sťažností občanov na mimoriadne dlhé oneskorenia pri získavaní prístupu k požadovaným </w:t>
      </w:r>
      <w:r w:rsidRPr="007A49A3">
        <w:rPr>
          <w:kern w:val="2"/>
          <w14:ligatures w14:val="standardContextual"/>
        </w:rPr>
        <w:lastRenderedPageBreak/>
        <w:t>dokumentom; podporuje názor ombudsmanky, že oneskorený prístup sa prakticky rovná zamietnutému prístupu a že administratívne postupy by sa mali zjednodušiť, aby sa zabezpečilo, že občania získajú prístup k dokumentom včas </w:t>
      </w:r>
      <w:r w:rsidRPr="007A49A3">
        <w:rPr>
          <w:kern w:val="2"/>
          <w:vertAlign w:val="superscript"/>
          <w14:ligatures w14:val="standardContextual"/>
        </w:rPr>
        <w:footnoteReference w:id="11"/>
      </w:r>
      <w:r w:rsidRPr="007A49A3">
        <w:rPr>
          <w:kern w:val="2"/>
          <w14:ligatures w14:val="standardContextual"/>
        </w:rPr>
        <w:t>;</w:t>
      </w:r>
    </w:p>
    <w:p w14:paraId="06F674C1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19.</w:t>
      </w:r>
      <w:r w:rsidRPr="007A49A3">
        <w:rPr>
          <w:kern w:val="2"/>
          <w14:ligatures w14:val="standardContextual"/>
        </w:rPr>
        <w:tab/>
        <w:t>konštatuje, že vnútorný audítor preskúmal rámec ombudsmanky pre riadenie rizík; berie na vedomie, že strany sa dohodli na deväťbodovom akčnom pláne, ktorý sa má vykonať do konca roka 2024; vyzýva ombudsmanku, aby informovala orgán udeľujúci absolutórium o pokroku dosiahnutom pri vykonávaní tohto plánu;</w:t>
      </w:r>
    </w:p>
    <w:p w14:paraId="37E9D606" w14:textId="77777777" w:rsidR="007A49A3" w:rsidRPr="007A49A3" w:rsidRDefault="007A49A3" w:rsidP="007A49A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A49A3">
        <w:rPr>
          <w:b/>
          <w:i/>
          <w:kern w:val="2"/>
          <w14:ligatures w14:val="standardContextual"/>
        </w:rPr>
        <w:t>Ľudské zdroje, rovnosť a dobré pracovné podmienky zamestnancov</w:t>
      </w:r>
    </w:p>
    <w:p w14:paraId="20C469B7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20.</w:t>
      </w:r>
      <w:r w:rsidRPr="007A49A3">
        <w:rPr>
          <w:kern w:val="2"/>
          <w14:ligatures w14:val="standardContextual"/>
        </w:rPr>
        <w:tab/>
        <w:t>berie na vedomie zvýšenie celkového počtu zamestnancov ombudsmanky o 11 % zo 74 v roku 2022 na 82 v roku 2023, najmä v dôsledku zvýšenia počtu zmluvných zamestnancov a dočasných zamestnancov; ďalej konštatuje, že v roku 2023 ombudsmanka zamestnávala 40 úradníkov v porovnaní s 39 v roku 2022 a 38 v roku 2021, 33 dočasných zamestnancov v roku 2023 v porovnaní s 28 v roku 2022 a 30 v roku 2021 a 9 zmluvných zamestnancov v roku 2023 v porovnaní so 7 v roku 2022 a 6 v roku 2021; s uspokojením berie na vedomie zvýšenie podielu zamestnancov pracujúcich na hlavných činnostiach ombudsmanky (sťažnosti a vyšetrovania) zo 40,54 % v roku 2022 na 42,68 % v roku 2023; s uspokojením konštatuje, že miera obsadenosti pracovných miest zamestnancami sa zvýšila z 91,8 % v roku 2022 na 95 % v roku 2023 a miera fluktuácie sa znížila z 9,9 % v roku 2022 na 5,2 % v roku 2023;</w:t>
      </w:r>
    </w:p>
    <w:p w14:paraId="2A185A8A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21.</w:t>
      </w:r>
      <w:r w:rsidRPr="007A49A3">
        <w:rPr>
          <w:kern w:val="2"/>
          <w14:ligatures w14:val="standardContextual"/>
        </w:rPr>
        <w:tab/>
        <w:t>vyjadruje poľutovanie nad tým, že miesto generálneho tajomníka ombudsmana je neobsadené už viac ako dva roky, a to od 1. septembra 2022; na základe dotazníka konštatuje, že „ako prejav úcty k novému ombudsmanovi, ktorý bude zvolený do konca roka 2024, sa súčasná ombudsmanka rozhodla ponechať toto pracovné miesto voľné, aby o jeho obsadení mohol rozhodnúť jej nástupca“; vyzýva budúceho ombudsmana, aby zabezpečil, že obdobia neobsadených riadiacich pozícií budú čo najkratšie a nepresiahnu čas nevyhnutný na prijatie nových zamestnancov na tieto pozície;</w:t>
      </w:r>
    </w:p>
    <w:p w14:paraId="0356176F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22.</w:t>
      </w:r>
      <w:r w:rsidRPr="007A49A3">
        <w:rPr>
          <w:kern w:val="2"/>
          <w14:ligatures w14:val="standardContextual"/>
        </w:rPr>
        <w:tab/>
        <w:t>vyjadruje uznanie ombudsmanke za výzvu na prejavenie záujmu o pracovné miesta (vyšetrovateľov), ktorá bola v roku 2023 úspešne ukončená vytvorením rezervného zoznamu 19 uchádzačov, z ktorých 6 bolo prijatých do zamestnania ešte v tom istom roku; konštatuje, že toto umožnilo ombudsmanke skrátiť čas potrebný na prijímanie zamestnancov, čo bol v minulosti problém; ďalej konštatuje, že ombudsmanka za pomoci Európskeho úradu pre výber pracovníkov (EPSO) zorganizovala v roku 2023 tri interné výberové konania s cieľom udržať si interné talenty; uznáva, že takéto opatrenia pomáhajú zlepšiť efektívnosť inštitúcie;</w:t>
      </w:r>
    </w:p>
    <w:p w14:paraId="18CDB2C0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23.</w:t>
      </w:r>
      <w:r w:rsidRPr="007A49A3">
        <w:rPr>
          <w:kern w:val="2"/>
          <w14:ligatures w14:val="standardContextual"/>
        </w:rPr>
        <w:tab/>
        <w:t xml:space="preserve">konštatuje, že napriek tomu, že európsky ombudsman je malá inštitúcia, v roku 2023 bolo medzi zamestnancami zastúpených 19 štátnych príslušností, a to v dôsledku proaktívnej komunikácie a osvety, najmä prostredníctvom sociálnych médií a online platforiem na propagáciu voľných pracovných miest; vyjadruje nespokojnosť s tým, že niektoré štátne príslušnosti (napríklad francúzska a írska) sú nadmerne zastúpené a iné štátne príslušnosti (napríklad rumunská a španielska) sú zastúpené nedostatočne; naliehavo vyzýva ombudsmanku, aby pokračovala v úsilí o dosiahnutie vyváženého geografického rozdelenia štátnych príslušníkov zo všetkých členských štátov medzi svojimi zamestnancami, najmä na riadiacej úrovni, zlepšením komunikácie, posilnením </w:t>
      </w:r>
      <w:r w:rsidRPr="007A49A3">
        <w:rPr>
          <w:kern w:val="2"/>
          <w14:ligatures w14:val="standardContextual"/>
        </w:rPr>
        <w:lastRenderedPageBreak/>
        <w:t>viditeľnosti a zlepšením pracovných podmienok s cieľom prilákať nedostatočne zastúpené národnosti;</w:t>
      </w:r>
    </w:p>
    <w:p w14:paraId="264F36C9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24.</w:t>
      </w:r>
      <w:r w:rsidRPr="007A49A3">
        <w:rPr>
          <w:kern w:val="2"/>
          <w14:ligatures w14:val="standardContextual"/>
        </w:rPr>
        <w:tab/>
        <w:t>konštatuje, že pokiaľ ide o vyvážené zastúpenie mužov a žien, ombudsman zamestnáva viac žien ako mužov vo všetkých kategóriách zamestnancov, najmä na riadiacej úrovni, pričom celkový pomer žien a mužov bol v roku 2023 rovnaký ako v roku 2022, t. j. 67 % žien a 33 % mužov; nabáda ombudsmanku, aby pokračovala v úsilí o dosiahnutie vyváženejšieho zastúpenia mužov a žien medzi svojimi zamestnancami;</w:t>
      </w:r>
    </w:p>
    <w:p w14:paraId="47F577FD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25.</w:t>
      </w:r>
      <w:r w:rsidRPr="007A49A3">
        <w:rPr>
          <w:kern w:val="2"/>
          <w14:ligatures w14:val="standardContextual"/>
        </w:rPr>
        <w:tab/>
        <w:t>konštatuje, že ombudsmanka vynakladá úsilie na zabezpečenie fyzickej a duševnej pohody svojich zamestnancov v práci a zameriava sa na posilnenie tímového ducha; v tejto súvislosti víta výsledky všeobecného prieskumu medzi zamestnancami uskutočneného v roku 2023, podľa ktorého bola celková miera spokojnosti zamestnancov na úrovni 87 %, pričom najmä 95 % respondentov kladne odpovedalo na otázku týkajúcu sa starostlivosti ombudsmanky o dobré pracovné podmienky zamestnancov, 97 % vyjadrilo spokojnosť s hybridnými a flexibilnými formami organizácie práce a 90 % bolo spokojných s vybavením a materiálom, ktoré im zamestnávateľ poskytol na prácu na diaľku; s uspokojením konštatuje, že v roku 2023 ombudsmanka rozhodla o poskytnutí ergonomických stoličiek všetkým zamestnancom, ktorí o </w:t>
      </w:r>
      <w:proofErr w:type="spellStart"/>
      <w:r w:rsidRPr="007A49A3">
        <w:rPr>
          <w:kern w:val="2"/>
          <w14:ligatures w14:val="standardContextual"/>
        </w:rPr>
        <w:t>ne</w:t>
      </w:r>
      <w:proofErr w:type="spellEnd"/>
      <w:r w:rsidRPr="007A49A3">
        <w:rPr>
          <w:kern w:val="2"/>
          <w14:ligatures w14:val="standardContextual"/>
        </w:rPr>
        <w:t xml:space="preserve"> požiadajú;</w:t>
      </w:r>
    </w:p>
    <w:p w14:paraId="2F08FCE1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26.</w:t>
      </w:r>
      <w:r w:rsidRPr="007A49A3">
        <w:rPr>
          <w:kern w:val="2"/>
          <w14:ligatures w14:val="standardContextual"/>
        </w:rPr>
        <w:tab/>
        <w:t>berie na vedomie, že malá veľkosť úradu ombudsmana umožňuje vedúcim pracovníkom pozorne monitorovať pracovné zaťaženie zamestnancov a vykonať potrebné úpravy, čo umožňuje včasné odhalenie potenciálnych vyhorení; konštatuje, že v prieskume medzi zamestnancami z roku 2023 sa nezistili žiadne problémy s rozdelením pracovného zaťaženia ani zdravotné problémy súvisiace s prácou a že lekárska služba Európskeho parlamentu neoznámila žiadne dlhodobé choroby súvisiace s vyhorením;</w:t>
      </w:r>
    </w:p>
    <w:p w14:paraId="06DA00A9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27.</w:t>
      </w:r>
      <w:r w:rsidRPr="007A49A3">
        <w:rPr>
          <w:kern w:val="2"/>
          <w14:ligatures w14:val="standardContextual"/>
        </w:rPr>
        <w:tab/>
        <w:t>s uspokojením konštatuje, že v roku 2023 neboli nahlásené žiadne prípady obťažovania; uznáva úsilie ombudsmanky o zabezpečenie pracovného prostredia bez sexuálneho a psychického obťažovania, najmä prostredníctvom zvyšovania informovanosti a odbornej prípravy; s uspokojením konštatuje, že prieskum uskutočnený v roku 2023 v rámci vnútorného auditu etického rámca ukázal, že o politike a usmerneniach týkajúcich sa akejkoľvek formy obťažovania vedelo 90 % zamestnancov;</w:t>
      </w:r>
    </w:p>
    <w:p w14:paraId="7457FA5B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28.</w:t>
      </w:r>
      <w:r w:rsidRPr="007A49A3">
        <w:rPr>
          <w:kern w:val="2"/>
          <w14:ligatures w14:val="standardContextual"/>
        </w:rPr>
        <w:tab/>
        <w:t xml:space="preserve">s uspokojením konštatuje, že ombudsmanka v roku 2023 privítala 18 platených stážistov (rovnaký počet ako v roku 2022), pričom jeden bol vybraný na základe výzvy ombudsmanky, ktorá bola po prvýkrát zameraná na uchádzačov so zdravotným postihnutím; uznáva, že táto iniciatíva podporuje </w:t>
      </w:r>
      <w:proofErr w:type="spellStart"/>
      <w:r w:rsidRPr="007A49A3">
        <w:rPr>
          <w:kern w:val="2"/>
          <w14:ligatures w14:val="standardContextual"/>
        </w:rPr>
        <w:t>inkluzívnosť</w:t>
      </w:r>
      <w:proofErr w:type="spellEnd"/>
      <w:r w:rsidRPr="007A49A3">
        <w:rPr>
          <w:kern w:val="2"/>
          <w14:ligatures w14:val="standardContextual"/>
        </w:rPr>
        <w:t xml:space="preserve"> a rovnaké príležitosti tým, že poskytuje stážistom cenné skúsenosti v inštitúciách EÚ;</w:t>
      </w:r>
    </w:p>
    <w:p w14:paraId="6E2C6047" w14:textId="77777777" w:rsidR="007A49A3" w:rsidRPr="007A49A3" w:rsidRDefault="007A49A3" w:rsidP="007A49A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A49A3">
        <w:rPr>
          <w:b/>
          <w:i/>
          <w:kern w:val="2"/>
          <w14:ligatures w14:val="standardContextual"/>
        </w:rPr>
        <w:t>Etický rámec a transparentnosť</w:t>
      </w:r>
    </w:p>
    <w:p w14:paraId="3776814C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29.</w:t>
      </w:r>
      <w:r w:rsidRPr="007A49A3">
        <w:rPr>
          <w:kern w:val="2"/>
          <w14:ligatures w14:val="standardContextual"/>
        </w:rPr>
        <w:tab/>
        <w:t xml:space="preserve">víta pokračujúce úsilie ombudsmanky o posilnenie etického rámca inštitúcie a zvýšenie informovanosti o ňom; s uznaním konštatuje, že ombudsmanka v roku 2023 zrevidovala politiku oznamovateľov s cieľom posilniť ochranu potenciálnych oznamovateľov, zabezpečiť lepšie zosúladenie s normami ochrany údajov, posilniť dôvernosť a podporu a začleniť ustanovenia o poradcoch pre etiku; ďalej víta úplné zavedenie etického nástroja SYSPER, ktorý zamestnancom umožňuje aktualizovať vyhlásenia (o ich konfliktoch záujmov a profesijných činnostiach ich manželov/partnerov), a zorganizovala interaktívny kurz s názvom „Rešpekt a dôstojnosť na pracovisku a naše </w:t>
      </w:r>
      <w:r w:rsidRPr="007A49A3">
        <w:rPr>
          <w:kern w:val="2"/>
          <w14:ligatures w14:val="standardContextual"/>
        </w:rPr>
        <w:lastRenderedPageBreak/>
        <w:t>úlohy v pozícii aktérov, príjemcov a svedkov“; víta výsledok všeobecného prieskumu medzi zamestnancami vykonaného v roku 2023, ktorý potvrdil vysokú úroveň informovanosti zamestnancov o etických otázkach; vyzýva na zverejnenie všetkých stretnutí úradu ombudsmanky na vysokej úrovni s externými aktérmi vrátane podnikateľských subjektov, záujmových skupín a agentúr EÚ s cieľom zabezpečiť transparentnosť v rozhodovacom procese a v úsilí o presadzovanie;</w:t>
      </w:r>
    </w:p>
    <w:p w14:paraId="584B240A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30.</w:t>
      </w:r>
      <w:r w:rsidRPr="007A49A3">
        <w:rPr>
          <w:kern w:val="2"/>
          <w14:ligatures w14:val="standardContextual"/>
        </w:rPr>
        <w:tab/>
        <w:t>konštatuje, že vnútorný audit (správa 22/03) etického rámca ombudsmanky bol dokončený v roku 2023 so šiestimi vydanými odporúčaniami, ktoré sa majú vykonať do 31. decembra 2024; na základe dotazníka berie na vedomie, že štyri z týchto odporúčaní boli v plnej miere vykonané; vyzýva ombudsmanku, aby informovala orgán udeľujúci absolutórium o stave vykonania dvoch zvyšných odporúčaní;</w:t>
      </w:r>
    </w:p>
    <w:p w14:paraId="55B26EE5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31.</w:t>
      </w:r>
      <w:r w:rsidRPr="007A49A3">
        <w:rPr>
          <w:kern w:val="2"/>
          <w14:ligatures w14:val="standardContextual"/>
        </w:rPr>
        <w:tab/>
        <w:t>konštatuje, že stratégia ombudsmana v oblasti boja proti podvodom je vo veľkej miere založená na zavedenom etickom rámci a zásade oddelenia povinností pri finančných funkciách; konštatuje, že v roku 2023 ombudsmanka preskúmala a prijala kódex profesijných noriem pre zamestnancov zapojených do kontroly finančných operácií, ktorý stanovuje povinnosti a zodpovednosť pri odhaľovaní podvodných transakcií vrátane postupu, ktorým sa treba riadiť v prípadoch podozrenia z podvodu;</w:t>
      </w:r>
    </w:p>
    <w:p w14:paraId="39552A2C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32.</w:t>
      </w:r>
      <w:r w:rsidRPr="007A49A3">
        <w:rPr>
          <w:kern w:val="2"/>
          <w14:ligatures w14:val="standardContextual"/>
        </w:rPr>
        <w:tab/>
        <w:t>s uspokojením konštatuje, že v roku 2023 neboli hlásené žiadne prípady konfliktov záujmov ani prípady oznamovania protispoločenskej činnosti;</w:t>
      </w:r>
    </w:p>
    <w:p w14:paraId="133FB1CE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33.</w:t>
      </w:r>
      <w:r w:rsidRPr="007A49A3">
        <w:rPr>
          <w:kern w:val="2"/>
          <w14:ligatures w14:val="standardContextual"/>
        </w:rPr>
        <w:tab/>
        <w:t xml:space="preserve">na základe dotazníka konštatuje, že ombudsmanka sa formálne nepridala k registru transparentnosti EÚ (zriadeného na základe </w:t>
      </w:r>
      <w:proofErr w:type="spellStart"/>
      <w:r w:rsidRPr="007A49A3">
        <w:rPr>
          <w:kern w:val="2"/>
          <w14:ligatures w14:val="standardContextual"/>
        </w:rPr>
        <w:t>medziinštitucionálnej</w:t>
      </w:r>
      <w:proofErr w:type="spellEnd"/>
      <w:r w:rsidRPr="007A49A3">
        <w:rPr>
          <w:kern w:val="2"/>
          <w14:ligatures w14:val="standardContextual"/>
        </w:rPr>
        <w:t xml:space="preserve"> dohody z 20. mája 2021 medzi Európskym parlamentom, Radou Európskej únie a Európskou komisiou o povinnom registri transparentnosti) s cieľom zabezpečiť, aby sa mohla zaoberať aj prípadnými sťažnosťami týkajúcimi sa sekretariátu tohto registra transparentnosti; konštatuje však, že ombudsmanka zosúladila svoje postupy so zásadami registra transparentnosti, pričom kontroluje, či rečníci alebo hostia, ktorí sa zúčastňujú na podujatiach či stretnutiach, ktoré ombudsmanka organizuje, sú v ňom zaevidovaní; víta vysokú mieru transparentnosti, ktorú ombudsmanka dosiahla tým, že na svojom webovom sídle uverejňuje informácie o vyšetrovaniach, služobných cestách, stretnutiach a podujatiach, na ktorých sa zúčastňuje;</w:t>
      </w:r>
    </w:p>
    <w:p w14:paraId="0D94DAD2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34.</w:t>
      </w:r>
      <w:r w:rsidRPr="007A49A3">
        <w:rPr>
          <w:kern w:val="2"/>
          <w14:ligatures w14:val="standardContextual"/>
        </w:rPr>
        <w:tab/>
        <w:t>vyzýva ombudsmanku, aby zaviedla povinné vyhlásenie o finančných záujmoch vedúcich pracovníkov s prístupom verejnosti v reálnom čase k informáciám o potenciálnych konfliktoch záujmov, vonkajších záväzkoch a finančných aktívach;</w:t>
      </w:r>
    </w:p>
    <w:p w14:paraId="229B597F" w14:textId="77777777" w:rsidR="007A49A3" w:rsidRPr="007A49A3" w:rsidRDefault="007A49A3" w:rsidP="007A49A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A49A3">
        <w:rPr>
          <w:b/>
          <w:i/>
          <w:kern w:val="2"/>
          <w14:ligatures w14:val="standardContextual"/>
        </w:rPr>
        <w:t>Budovy</w:t>
      </w:r>
    </w:p>
    <w:p w14:paraId="3CC5213F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35.</w:t>
      </w:r>
      <w:r w:rsidRPr="007A49A3">
        <w:rPr>
          <w:kern w:val="2"/>
          <w14:ligatures w14:val="standardContextual"/>
        </w:rPr>
        <w:tab/>
        <w:t>víta skutočnosť, že konečný rozpočet ombudsmanky na budovy a súvisiace náklady (po presunoch) sa znížil približne o 15 % z 1 622 200 EUR v roku 2022 na 1 373 000 EUR v roku 2023; konštatuje, že rozpočtové prostriedky na nájomné sa znížili o 26 % z 1 177 700 EUR v roku 2022 na 866 100 EUR v roku 2023, pričom miera plnenia platieb v oboch rokoch bola takmer 100 %;</w:t>
      </w:r>
    </w:p>
    <w:p w14:paraId="71994BFE" w14:textId="77777777" w:rsidR="007A49A3" w:rsidRPr="007A49A3" w:rsidRDefault="007A49A3" w:rsidP="007A49A3">
      <w:pPr>
        <w:spacing w:after="240"/>
        <w:ind w:left="567" w:hanging="567"/>
        <w:rPr>
          <w:b/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36.</w:t>
      </w:r>
      <w:r w:rsidRPr="007A49A3">
        <w:rPr>
          <w:kern w:val="2"/>
          <w14:ligatures w14:val="standardContextual"/>
        </w:rPr>
        <w:tab/>
        <w:t xml:space="preserve">konštatuje, že po presťahovaní úradu ombudsmanky v Bruseli do nových priestorov, ktoré poskytol Európsky parlament v roku 2021, bola budova upravená ako </w:t>
      </w:r>
      <w:proofErr w:type="spellStart"/>
      <w:r w:rsidRPr="007A49A3">
        <w:rPr>
          <w:kern w:val="2"/>
          <w14:ligatures w14:val="standardContextual"/>
        </w:rPr>
        <w:t>kolaboratívny</w:t>
      </w:r>
      <w:proofErr w:type="spellEnd"/>
      <w:r w:rsidRPr="007A49A3">
        <w:rPr>
          <w:kern w:val="2"/>
          <w14:ligatures w14:val="standardContextual"/>
        </w:rPr>
        <w:t xml:space="preserve"> pracovný priestor s veľmi malým počtom individuálnych kancelárií a flexibilnými priestormi na spoločné stretnutia; s uspokojením konštatuje, že </w:t>
      </w:r>
      <w:r w:rsidRPr="007A49A3">
        <w:rPr>
          <w:kern w:val="2"/>
          <w14:ligatures w14:val="standardContextual"/>
        </w:rPr>
        <w:lastRenderedPageBreak/>
        <w:t>ombudsmanka nezaviedla politiku „hot-</w:t>
      </w:r>
      <w:proofErr w:type="spellStart"/>
      <w:r w:rsidRPr="007A49A3">
        <w:rPr>
          <w:kern w:val="2"/>
          <w14:ligatures w14:val="standardContextual"/>
        </w:rPr>
        <w:t>desking</w:t>
      </w:r>
      <w:proofErr w:type="spellEnd"/>
      <w:r w:rsidRPr="007A49A3">
        <w:rPr>
          <w:kern w:val="2"/>
          <w14:ligatures w14:val="standardContextual"/>
        </w:rPr>
        <w:t>“ a že všetci zamestnanci majú vlastný pracovný stôl s dostatočným úložným priestorom; konštatuje, že v roku 2023 nedošlo k žiadnym zmenám v kanceláriách a že zo všeobecného prieskumu medzi zamestnancami vykonaného v roku 2023 vyplynulo, že väčšina zamestnancov (56 %) odpovedala kladne na otázku o fyzických podmienkach v ich kanceláriách v Bruseli;</w:t>
      </w:r>
    </w:p>
    <w:p w14:paraId="210554DF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37.</w:t>
      </w:r>
      <w:r w:rsidRPr="007A49A3">
        <w:rPr>
          <w:kern w:val="2"/>
          <w14:ligatures w14:val="standardContextual"/>
        </w:rPr>
        <w:tab/>
        <w:t xml:space="preserve">pripomína, že ombudsmanka nevlastní žiadne budovy, ale prenajíma si budovu v Bruseli a kancelárske priestory v Štrasburgu; s uspokojením konštatuje, že budova </w:t>
      </w:r>
      <w:proofErr w:type="spellStart"/>
      <w:r w:rsidRPr="007A49A3">
        <w:rPr>
          <w:kern w:val="2"/>
          <w14:ligatures w14:val="standardContextual"/>
        </w:rPr>
        <w:t>Havel</w:t>
      </w:r>
      <w:proofErr w:type="spellEnd"/>
      <w:r w:rsidRPr="007A49A3">
        <w:rPr>
          <w:kern w:val="2"/>
          <w14:ligatures w14:val="standardContextual"/>
        </w:rPr>
        <w:t xml:space="preserve"> v Štrasburgu je plne prístupná pre osoby so zníženou pohyblivosťou alebo s iným zdravotným postihnutím, a vyjadruje hlboké poľutovanie nad tým, že prístupnosť budovy prenajímanej v Bruseli si vyžaduje zlepšenie; vyzýva Európsky parlament, aby zlepšil prístupnosť budovy prenajatej ombudsmanovi v Bruseli;</w:t>
      </w:r>
    </w:p>
    <w:p w14:paraId="6495C3C1" w14:textId="77777777" w:rsidR="007A49A3" w:rsidRPr="007A49A3" w:rsidRDefault="007A49A3" w:rsidP="007A49A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A49A3">
        <w:rPr>
          <w:b/>
          <w:i/>
          <w:kern w:val="2"/>
          <w14:ligatures w14:val="standardContextual"/>
        </w:rPr>
        <w:t>Digitalizácia, kybernetická bezpečnosť a ochrana údajov</w:t>
      </w:r>
    </w:p>
    <w:p w14:paraId="6083ADA9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38.</w:t>
      </w:r>
      <w:r w:rsidRPr="007A49A3">
        <w:rPr>
          <w:kern w:val="2"/>
          <w14:ligatures w14:val="standardContextual"/>
        </w:rPr>
        <w:tab/>
        <w:t>uznáva úspech dlhodobého prístupu ombudsmanky, ktorý spočíva vo využívaní integrovaných systémov a zdrojov z iných inštitúcií Únie, najmä Európskemu parlamentu a Komisie, s cieľom optimalizovať využívanie rozpočtu a zlepšiť koordináciu, napríklad v oblasti digitalizácie; v tejto súvislosti berie na vedomie úspešné zavedenie nástrojov strojového prekladu Komisie, ktoré boli v roku 2023 integrované do systémov ombudsmanky (napríklad do jej webového sídla). na základe dotazníka s uspokojením konštatuje, že tento projekt viedol k zníženiu nákladov na preklady, ktoré sa odhadujú na viac ako 30 % ročne, ako aj k zníženiu administratívnej záťaže;</w:t>
      </w:r>
    </w:p>
    <w:p w14:paraId="36AA1179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39.</w:t>
      </w:r>
      <w:r w:rsidRPr="007A49A3">
        <w:rPr>
          <w:kern w:val="2"/>
          <w14:ligatures w14:val="standardContextual"/>
        </w:rPr>
        <w:tab/>
        <w:t xml:space="preserve">víta úplné zavedenie kvalifikovaného elektronického podpisu umožňujúceho zamestnancom podpisovať dokumenty bezpečným spôsobom, ako aj používanie systému Komisie </w:t>
      </w:r>
      <w:proofErr w:type="spellStart"/>
      <w:r w:rsidRPr="007A49A3">
        <w:rPr>
          <w:kern w:val="2"/>
          <w14:ligatures w14:val="standardContextual"/>
        </w:rPr>
        <w:t>Qsign</w:t>
      </w:r>
      <w:proofErr w:type="spellEnd"/>
      <w:r w:rsidRPr="007A49A3">
        <w:rPr>
          <w:kern w:val="2"/>
          <w14:ligatures w14:val="standardContextual"/>
        </w:rPr>
        <w:t>, ktorý zamestnancom umožňuje podpisovať a spravovať dokumenty vrátane súťažných podkladov a zmluvných dokumentov;</w:t>
      </w:r>
    </w:p>
    <w:p w14:paraId="356D2A12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40.</w:t>
      </w:r>
      <w:r w:rsidRPr="007A49A3">
        <w:rPr>
          <w:kern w:val="2"/>
          <w14:ligatures w14:val="standardContextual"/>
        </w:rPr>
        <w:tab/>
        <w:t xml:space="preserve">konštatuje, že ombudsmanka od roku 2023 aktívne skúma možnosti, ktoré by mohlo priniesť používanie umelej inteligencie; v tejto súvislosti víta partnerstvo ombudsmanky so Spoločným výskumným centrom Európskej komisie s cieľom experimentovať s veľkými jazykovými modelmi a testovať a hodnotiť prípady využívania umelej inteligencie; ďalej konštatuje, že ombudsmanka kúpila niekoľko nástrojov umelej inteligencie, ktoré úspešne prispeli k tvorbe </w:t>
      </w:r>
      <w:proofErr w:type="spellStart"/>
      <w:r w:rsidRPr="007A49A3">
        <w:rPr>
          <w:kern w:val="2"/>
          <w14:ligatures w14:val="standardContextual"/>
        </w:rPr>
        <w:t>videoobsahu</w:t>
      </w:r>
      <w:proofErr w:type="spellEnd"/>
      <w:r w:rsidRPr="007A49A3">
        <w:rPr>
          <w:kern w:val="2"/>
          <w14:ligatures w14:val="standardContextual"/>
        </w:rPr>
        <w:t>; víta skutočnosť, že ombudsmanka prijala vnútorné usmernenia s cieľom zabezpečiť, aby sa externé nástroje umelej inteligencie používali zodpovedným a transparentným spôsobom; nabáda ombudsmanku, aby zabezpečila povinnú odbornú prípravu zamestnancov o bezpečnom a etickom používaní nástrojov umelej inteligencie s cieľom zlepšiť ich pochopenie a zmierniť potenciálne riziká; vyzýva ombudsmanku, aby orgán udeľujúci absolutórium priebežne informovala o pokroku dosiahnutom pri testovaní a využívaní riešení založených na umelej inteligencii;</w:t>
      </w:r>
    </w:p>
    <w:p w14:paraId="37F3C995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41.</w:t>
      </w:r>
      <w:r w:rsidRPr="007A49A3">
        <w:rPr>
          <w:kern w:val="2"/>
          <w14:ligatures w14:val="standardContextual"/>
        </w:rPr>
        <w:tab/>
        <w:t xml:space="preserve">konštatuje, že pokiaľ ide o IT, ombudsmanka sa opiera o rámec Európskeho parlamentu pre infraštruktúru a kybernetickú bezpečnosť a úzko spolupracuje s Komisiou, pokiaľ ide o integráciu a údržbu inštitucionálnych nástrojov Únie (SYSPER, ABAC, </w:t>
      </w:r>
      <w:proofErr w:type="spellStart"/>
      <w:r w:rsidRPr="007A49A3">
        <w:rPr>
          <w:kern w:val="2"/>
          <w14:ligatures w14:val="standardContextual"/>
        </w:rPr>
        <w:t>MiPS</w:t>
      </w:r>
      <w:proofErr w:type="spellEnd"/>
      <w:r w:rsidRPr="007A49A3">
        <w:rPr>
          <w:kern w:val="2"/>
          <w14:ligatures w14:val="standardContextual"/>
        </w:rPr>
        <w:t xml:space="preserve"> a ARES) a využívanie rámcových zmlúv v oblasti IT; konštatuje, že vzhľadom na obmedzenú úroveň kontroly nad údajmi ombudsmanka uzavrela s príslušnými inštitúciami dohody o úrovni poskytovaných služieb s cieľom zabezpečiť, aby spracovanie osobných údajov bolo v súlade s platným právnym rámcom; s uspokojením </w:t>
      </w:r>
      <w:r w:rsidRPr="007A49A3">
        <w:rPr>
          <w:kern w:val="2"/>
          <w14:ligatures w14:val="standardContextual"/>
        </w:rPr>
        <w:lastRenderedPageBreak/>
        <w:t>konštatuje, že úrad ombudsmanky nebol v roku 2023 vystavený žiadnemu kybernetickému útoku;</w:t>
      </w:r>
    </w:p>
    <w:p w14:paraId="1E893930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42.</w:t>
      </w:r>
      <w:r w:rsidRPr="007A49A3">
        <w:rPr>
          <w:kern w:val="2"/>
          <w14:ligatures w14:val="standardContextual"/>
        </w:rPr>
        <w:tab/>
        <w:t>vyzýva ombudsmanku, aby úzko spolupracovala s agentúrou ENISA (Agentúra Európskej únie pre kybernetickú bezpečnosť); navrhuje, aby sa pravidelne aktualizované programy odbornej prípravy v oblasti kybernetickej bezpečnosti ponúkali všetkým zamestnancom ombudsmanky;</w:t>
      </w:r>
    </w:p>
    <w:p w14:paraId="1163BB09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43.</w:t>
      </w:r>
      <w:r w:rsidRPr="007A49A3">
        <w:rPr>
          <w:kern w:val="2"/>
          <w14:ligatures w14:val="standardContextual"/>
        </w:rPr>
        <w:tab/>
        <w:t>v súvislosti so správou o vnútornom audite 21/03 o preskúmaní rámca ombudsmanky pre ochranu údajov konštatuje, že v štvrtom štvrťroku 2023 ostalo jedno opatrenie nedoriešené, a pokiaľ ide o správu o vnútornom audite 20/04 o bezpečnosti IKT ombudsmanky, v roku 2023 nebolo uzavretých sedem opatrení; vyzýva ombudsmanku, aby priebežne informovala orgán udeľujúci absolutórium o pokroku v týchto záležitostiach;</w:t>
      </w:r>
    </w:p>
    <w:p w14:paraId="3A0AFE85" w14:textId="77777777" w:rsidR="007A49A3" w:rsidRPr="007A49A3" w:rsidRDefault="007A49A3" w:rsidP="007A49A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A49A3">
        <w:rPr>
          <w:b/>
          <w:i/>
          <w:kern w:val="2"/>
          <w14:ligatures w14:val="standardContextual"/>
        </w:rPr>
        <w:t>Životné prostredie a trvalá udržateľnosť</w:t>
      </w:r>
    </w:p>
    <w:p w14:paraId="52D2FB46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44.</w:t>
      </w:r>
      <w:r w:rsidRPr="007A49A3">
        <w:rPr>
          <w:kern w:val="2"/>
          <w14:ligatures w14:val="standardContextual"/>
        </w:rPr>
        <w:tab/>
        <w:t xml:space="preserve">víta skutočnosť, že ombudsmanka v priebehu rokov znížila svoju environmentálnu stopu, najmä digitalizáciou svojich procesov, odstránením individuálnych tlačiarní, rozhodnutím nenahrádzať centrálne spracovateľské jednotky po skončení ich životnosti, prijatím opatrení na zvýšenie udržateľnosti podujatí a širokým využívaním </w:t>
      </w:r>
      <w:proofErr w:type="spellStart"/>
      <w:r w:rsidRPr="007A49A3">
        <w:rPr>
          <w:kern w:val="2"/>
          <w14:ligatures w14:val="standardContextual"/>
        </w:rPr>
        <w:t>videokonferenčných</w:t>
      </w:r>
      <w:proofErr w:type="spellEnd"/>
      <w:r w:rsidRPr="007A49A3">
        <w:rPr>
          <w:kern w:val="2"/>
          <w14:ligatures w14:val="standardContextual"/>
        </w:rPr>
        <w:t xml:space="preserve"> systémov, aby sa nemuseli konať služobné cesty; konštatuje, že pokiaľ ide o environmentálnu stopu budov, ombudsmanka sa opiera o opatrenia, ktoré prijal Európsky parlament ako vlastník budov; s uspokojením konštatuje, že obe budovy, v ktorých má ombudsmanka kancelárie, využívajú 100 % čistú energiu; víta skutočnosť, že Európsky parlament v roku 2024 nainštaloval solárne panely, a to aj v budove </w:t>
      </w:r>
      <w:proofErr w:type="spellStart"/>
      <w:r w:rsidRPr="007A49A3">
        <w:rPr>
          <w:kern w:val="2"/>
          <w14:ligatures w14:val="standardContextual"/>
        </w:rPr>
        <w:t>Havel</w:t>
      </w:r>
      <w:proofErr w:type="spellEnd"/>
      <w:r w:rsidRPr="007A49A3">
        <w:rPr>
          <w:kern w:val="2"/>
          <w14:ligatures w14:val="standardContextual"/>
        </w:rPr>
        <w:t xml:space="preserve"> v Štrasburgu;</w:t>
      </w:r>
    </w:p>
    <w:p w14:paraId="02FE86CC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45.</w:t>
      </w:r>
      <w:r w:rsidRPr="007A49A3">
        <w:rPr>
          <w:kern w:val="2"/>
          <w14:ligatures w14:val="standardContextual"/>
        </w:rPr>
        <w:tab/>
        <w:t>konštatuje, že ombudsmanka aj v roku 2023 podporovala udržateľnú mobilitu; v tejto súvislosti víta skutočnosť, že ombudsmanka prijala novú politiku mobility, v súlade s ktorou sa vypláca paušálny príspevok zamestnancom až do platovej triedy AST 8/AD 8, ktorí využívajú udržateľné druhy dopravy na dochádzanie do práce; na základe dotazníka ďalej konštatuje, že iniciatíva ombudsmanky poskytovať bicykle zamestnancom na použitie počas pracovného času sa ukázala ako neúspešná, keďže počas skúšobného obdobia sa bicykle využívali len minimálne;</w:t>
      </w:r>
    </w:p>
    <w:p w14:paraId="7985F5D4" w14:textId="77777777" w:rsidR="007A49A3" w:rsidRPr="007A49A3" w:rsidRDefault="007A49A3" w:rsidP="007A49A3">
      <w:pPr>
        <w:spacing w:after="240"/>
        <w:rPr>
          <w:b/>
          <w:i/>
          <w:kern w:val="2"/>
          <w14:ligatures w14:val="standardContextual"/>
        </w:rPr>
      </w:pPr>
      <w:proofErr w:type="spellStart"/>
      <w:r w:rsidRPr="007A49A3">
        <w:rPr>
          <w:b/>
          <w:i/>
          <w:kern w:val="2"/>
          <w14:ligatures w14:val="standardContextual"/>
        </w:rPr>
        <w:t>Medziinštitucionálna</w:t>
      </w:r>
      <w:proofErr w:type="spellEnd"/>
      <w:r w:rsidRPr="007A49A3">
        <w:rPr>
          <w:b/>
          <w:i/>
          <w:kern w:val="2"/>
          <w14:ligatures w14:val="standardContextual"/>
        </w:rPr>
        <w:t xml:space="preserve"> spolupráca</w:t>
      </w:r>
    </w:p>
    <w:p w14:paraId="2334CF4A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46.</w:t>
      </w:r>
      <w:r w:rsidRPr="007A49A3">
        <w:rPr>
          <w:kern w:val="2"/>
          <w14:ligatures w14:val="standardContextual"/>
        </w:rPr>
        <w:tab/>
        <w:t xml:space="preserve">víta finančné a administratívne úspory dosiahnuté prostredníctvom </w:t>
      </w:r>
      <w:proofErr w:type="spellStart"/>
      <w:r w:rsidRPr="007A49A3">
        <w:rPr>
          <w:kern w:val="2"/>
          <w14:ligatures w14:val="standardContextual"/>
        </w:rPr>
        <w:t>medziinštitucionálnej</w:t>
      </w:r>
      <w:proofErr w:type="spellEnd"/>
      <w:r w:rsidRPr="007A49A3">
        <w:rPr>
          <w:kern w:val="2"/>
          <w14:ligatures w14:val="standardContextual"/>
        </w:rPr>
        <w:t xml:space="preserve"> spolupráce, najmä širokú škálu dohôd o úrovni poskytovaných služieb uzavretých s Európskym parlamentom a Komisiou a účasť na </w:t>
      </w:r>
      <w:proofErr w:type="spellStart"/>
      <w:r w:rsidRPr="007A49A3">
        <w:rPr>
          <w:kern w:val="2"/>
          <w14:ligatures w14:val="standardContextual"/>
        </w:rPr>
        <w:t>medziinštitucionálnych</w:t>
      </w:r>
      <w:proofErr w:type="spellEnd"/>
      <w:r w:rsidRPr="007A49A3">
        <w:rPr>
          <w:kern w:val="2"/>
          <w14:ligatures w14:val="standardContextual"/>
        </w:rPr>
        <w:t xml:space="preserve"> postupoch verejného obstarávania; víta formalizáciu spolupráce medzi Európskym parlamentom a ombudsmankou v oblasti kybernetickej bezpečnosti prostredníctvom revidovanej </w:t>
      </w:r>
      <w:proofErr w:type="spellStart"/>
      <w:r w:rsidRPr="007A49A3">
        <w:rPr>
          <w:kern w:val="2"/>
          <w14:ligatures w14:val="standardContextual"/>
        </w:rPr>
        <w:t>medziinštitucionálnej</w:t>
      </w:r>
      <w:proofErr w:type="spellEnd"/>
      <w:r w:rsidRPr="007A49A3">
        <w:rPr>
          <w:kern w:val="2"/>
          <w14:ligatures w14:val="standardContextual"/>
        </w:rPr>
        <w:t xml:space="preserve"> dohody stanovujúcej rámec, podľa ktorého Európsky parlament ombudsmanke naďalej poskytuje spoľahlivú podporu v oblasti kybernetickej bezpečnosti; ďalej konštatuje, že v roku 2023 ombudsmanka podpísala dohodu o úrovni poskytovaných služieb s úradom EPSO na organizáciu interných výberových konaní;</w:t>
      </w:r>
    </w:p>
    <w:p w14:paraId="3C010B72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47.</w:t>
      </w:r>
      <w:r w:rsidRPr="007A49A3">
        <w:rPr>
          <w:kern w:val="2"/>
          <w14:ligatures w14:val="standardContextual"/>
        </w:rPr>
        <w:tab/>
        <w:t xml:space="preserve">vyjadruje uznanie ombudsmanke za efektívnu spoluprácu s Európskym úradom pre boj proti podvodom (OLAF), Dvorom audítorov a Európskou prokuratúrou, ktorá v roku </w:t>
      </w:r>
      <w:r w:rsidRPr="007A49A3">
        <w:rPr>
          <w:kern w:val="2"/>
          <w14:ligatures w14:val="standardContextual"/>
        </w:rPr>
        <w:lastRenderedPageBreak/>
        <w:t xml:space="preserve">2023 prebiehala formou stretnutí a výmen názorov, napríklad o spôsoboch, ako zlepšiť transparentnosť a integritu inštitúcií Únie alebo rámec dohľadu Únie; pripomína, že ombudsmanka a úrad OLAF zaviedli systém na zabránenie duplicite vyšetrovaní; na základe dotazníka konštatuje, že ombudsmanka a Európsky dozorný úradník pre ochranu údajov (EDPS) spolupracujú predovšetkým </w:t>
      </w:r>
      <w:r w:rsidRPr="007A49A3">
        <w:rPr>
          <w:i/>
          <w:kern w:val="2"/>
          <w14:ligatures w14:val="standardContextual"/>
        </w:rPr>
        <w:t>ad hoc</w:t>
      </w:r>
      <w:r w:rsidRPr="007A49A3">
        <w:rPr>
          <w:kern w:val="2"/>
          <w14:ligatures w14:val="standardContextual"/>
        </w:rPr>
        <w:t xml:space="preserve"> a na neformálnom základe s cieľom zabezpečiť rýchlu a efektívnu spoluprácu v prípade potreby; nabáda ombudsmanku, aby úzko spolupracovala s ostatnými inštitúciami a európskymi agentúrami;</w:t>
      </w:r>
    </w:p>
    <w:p w14:paraId="0F20EBC9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48.</w:t>
      </w:r>
      <w:r w:rsidRPr="007A49A3">
        <w:rPr>
          <w:kern w:val="2"/>
          <w14:ligatures w14:val="standardContextual"/>
        </w:rPr>
        <w:tab/>
        <w:t>vyzýva ombudsmanku, aby nadviazala formálny každoročný dialóg s výbormi CONT a LIBE Európskeho parlamentu [Výborom pre kontrolu rozpočtu (CONT) a Výborom pre občianske slobody, spravodlivosť a vnútorné veci (LIBE)], a tak zabezpečila systematické sledovanie inštitucionálnej transparentnosti, reforiem správy a ochrany základných práv;</w:t>
      </w:r>
    </w:p>
    <w:p w14:paraId="7D02298D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49.</w:t>
      </w:r>
      <w:r w:rsidRPr="007A49A3">
        <w:rPr>
          <w:kern w:val="2"/>
          <w14:ligatures w14:val="standardContextual"/>
        </w:rPr>
        <w:tab/>
        <w:t>uznáva význam zachovania vysokej úrovne výmen a koordinácie s Európskou sieťou ombudsmanov (ENO); víta usporiadanie výročnej konferencie ENO v roku 2023, počas ktorej sa uskutočnili zasadnutia na témy, ako sú migrácia, umelá inteligencia a etika vo verejnej správe; s uspokojením konštatuje, že ombudsmanka prostredníctvom postupu spracovania otázok pomáha členom ENO pri riešení vyšetrovaní na vnútroštátnej a regionálnej úrovni, pričom v roku 2023 uzavrela päť otázok pochádzajúcich z piatich členských štátov Únie; oceňuje usporiadanie výročnej konferencie ENO v roku 2023 ako hodnotnej platformy na dialóg o kľúčových otázkach ovplyvňujúcich činnosť ombudsmanov v celej Európe;</w:t>
      </w:r>
    </w:p>
    <w:p w14:paraId="5700F484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50.</w:t>
      </w:r>
      <w:r w:rsidRPr="007A49A3">
        <w:rPr>
          <w:kern w:val="2"/>
          <w14:ligatures w14:val="standardContextual"/>
        </w:rPr>
        <w:tab/>
        <w:t>víta tú skutočnosť, že ombudsmanka v roku 2023 úzko spolupracovala s príslušnými výbormi Európskeho parlamentu v rámci dôležitých vyšetrovaní, a to buď prezentovaním práce priamo na schôdzach výborov, alebo zasielaním informácií predsedom výborov; zdôrazňuje, že strategické iniciatívy a vyšetrovania vykonávané ombudsmankou sú kľúčom k zlepšeniu transparentnosti a zodpovednosti administratívy Únie;</w:t>
      </w:r>
    </w:p>
    <w:p w14:paraId="5AB1542D" w14:textId="77777777" w:rsidR="007A49A3" w:rsidRPr="007A49A3" w:rsidRDefault="007A49A3" w:rsidP="007A49A3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A49A3">
        <w:rPr>
          <w:b/>
          <w:i/>
          <w:kern w:val="2"/>
          <w14:ligatures w14:val="standardContextual"/>
        </w:rPr>
        <w:t>Komunikácia</w:t>
      </w:r>
    </w:p>
    <w:p w14:paraId="5FF73596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51.</w:t>
      </w:r>
      <w:r w:rsidRPr="007A49A3">
        <w:rPr>
          <w:kern w:val="2"/>
          <w14:ligatures w14:val="standardContextual"/>
        </w:rPr>
        <w:tab/>
        <w:t>konštatuje, že celkový rozpočet na komunikačné a propagačné činnosti (publikácie, organizácia podujatí, digitálna komunikácia atď.) sa zvýšil o 17,20 % z 132 400 EUR v roku 2022 na 155 200 EUR v roku 2023;</w:t>
      </w:r>
    </w:p>
    <w:p w14:paraId="29CFA345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52.</w:t>
      </w:r>
      <w:r w:rsidRPr="007A49A3">
        <w:rPr>
          <w:kern w:val="2"/>
          <w14:ligatures w14:val="standardContextual"/>
        </w:rPr>
        <w:tab/>
        <w:t>víta úsilie ombudsmanky a opatrenia, ktoré prijala v roku 2023, na zvýšenie informovanosti občanov o jej úlohe a možnosti obrátiť sa na ňu v prípade nesprávneho úradného postupu inštitúcie Únie; v tejto súvislosti berie na vedomie komunikačné kampane zrealizované v roku 2023, ktoré zahŕňali sériu videí predstavujúcich prácu ombudsmanky a objasňujúcich tri kľúčové oblasti jej intervencií, vysvetľujúcu prezentáciu vo forme rolovateľného príbehu o vplyve práce ombudsmanky v priebehu času a príručku o prístupe k dokumentom; okrem toho víta usporiadanie slávnostného odovzdávania cien za dobrú správu vecí verejných a účasť ombudsmanky na Dni otvorených dverí EÚ v Bruseli a Štrasburgu, na ktorom usporiadala cielené podujatia s účasťou akademickej obce a expertných skupín, a na Európskom podujatí pre mládež v Štrasburgu v roku 2023;</w:t>
      </w:r>
    </w:p>
    <w:p w14:paraId="1DB75780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53.</w:t>
      </w:r>
      <w:r w:rsidRPr="007A49A3">
        <w:rPr>
          <w:kern w:val="2"/>
          <w14:ligatures w14:val="standardContextual"/>
        </w:rPr>
        <w:tab/>
        <w:t xml:space="preserve">uznáva úsilie ombudsmanky vynaložené na poskytovanie transparentných informácií </w:t>
      </w:r>
      <w:r w:rsidRPr="007A49A3">
        <w:rPr>
          <w:kern w:val="2"/>
          <w14:ligatures w14:val="standardContextual"/>
        </w:rPr>
        <w:lastRenderedPageBreak/>
        <w:t>a uverejňovanie údajov (vrátane štatistík o počte prípadov) v informatívnom a používateľsky ústretovom formáte na webovom sídle ombudsmana (hoci tieto údaje nie sú k dispozícii v otvorenom formáte); víta uverejnenie harmonogramu všetkých vyšetrovaní sťažností na webovom sídle, ktorý obsahuje informácie o minulých aj plánovaných míľnikoch v rámci jednotlivých vyšetrovaní;</w:t>
      </w:r>
    </w:p>
    <w:p w14:paraId="1DA47D47" w14:textId="77777777" w:rsidR="007A49A3" w:rsidRPr="007A49A3" w:rsidRDefault="007A49A3" w:rsidP="007A49A3">
      <w:pPr>
        <w:spacing w:after="240"/>
        <w:ind w:left="567" w:hanging="567"/>
        <w:rPr>
          <w:kern w:val="2"/>
          <w14:ligatures w14:val="standardContextual"/>
        </w:rPr>
      </w:pPr>
      <w:r w:rsidRPr="007A49A3">
        <w:rPr>
          <w:kern w:val="2"/>
          <w14:ligatures w14:val="standardContextual"/>
        </w:rPr>
        <w:t>54.</w:t>
      </w:r>
      <w:r w:rsidRPr="007A49A3">
        <w:rPr>
          <w:kern w:val="2"/>
          <w14:ligatures w14:val="standardContextual"/>
        </w:rPr>
        <w:tab/>
        <w:t xml:space="preserve">konštatuje, že ombudsmanka má účty na sociálnych médiách na Instagrame, LinkedIn a X (predtým Twitter), na ktorých počet </w:t>
      </w:r>
      <w:proofErr w:type="spellStart"/>
      <w:r w:rsidRPr="007A49A3">
        <w:rPr>
          <w:kern w:val="2"/>
          <w14:ligatures w14:val="standardContextual"/>
        </w:rPr>
        <w:t>sledovateľov</w:t>
      </w:r>
      <w:proofErr w:type="spellEnd"/>
      <w:r w:rsidRPr="007A49A3">
        <w:rPr>
          <w:kern w:val="2"/>
          <w14:ligatures w14:val="standardContextual"/>
        </w:rPr>
        <w:t xml:space="preserve"> a miera zapojenia v roku 2023 naďalej rástli; víta účasť ombudsmanky na pilotnom projekte pod vedením EDPS, ktorého cieľom je dosiahnuť, aby inštitúcie Únie používali EU-</w:t>
      </w:r>
      <w:proofErr w:type="spellStart"/>
      <w:r w:rsidRPr="007A49A3">
        <w:rPr>
          <w:kern w:val="2"/>
          <w14:ligatures w14:val="standardContextual"/>
        </w:rPr>
        <w:t>Voice</w:t>
      </w:r>
      <w:proofErr w:type="spellEnd"/>
      <w:r w:rsidRPr="007A49A3">
        <w:rPr>
          <w:kern w:val="2"/>
          <w14:ligatures w14:val="standardContextual"/>
        </w:rPr>
        <w:t xml:space="preserve"> a EU-Video, dve bezplatné siete sociálnych médií s otvoreným zdrojovým kódom založené na softvéri </w:t>
      </w:r>
      <w:proofErr w:type="spellStart"/>
      <w:r w:rsidRPr="007A49A3">
        <w:rPr>
          <w:kern w:val="2"/>
          <w14:ligatures w14:val="standardContextual"/>
        </w:rPr>
        <w:t>Mastodon</w:t>
      </w:r>
      <w:proofErr w:type="spellEnd"/>
      <w:r w:rsidRPr="007A49A3">
        <w:rPr>
          <w:kern w:val="2"/>
          <w14:ligatures w14:val="standardContextual"/>
        </w:rPr>
        <w:t>, čo by inštitúciám Únie umožnilo komunikovať s verejnosťou uverejňovaním textov, obrázkov, videí a podcastov.</w:t>
      </w:r>
    </w:p>
    <w:sectPr w:rsidR="007A49A3" w:rsidRPr="007A49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26F30" w14:textId="77777777" w:rsidR="00B13177" w:rsidRDefault="007A49A3">
      <w:r>
        <w:separator/>
      </w:r>
    </w:p>
  </w:endnote>
  <w:endnote w:type="continuationSeparator" w:id="0">
    <w:p w14:paraId="22E11EFA" w14:textId="77777777" w:rsidR="00B13177" w:rsidRDefault="007A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E3C90" w14:textId="77777777" w:rsidR="00B13177" w:rsidRDefault="00B131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B9AAD" w14:textId="77777777" w:rsidR="00B13177" w:rsidRDefault="00B131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EC945" w14:textId="77777777" w:rsidR="00B13177" w:rsidRDefault="00B131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815FC" w14:textId="77777777" w:rsidR="00B13177" w:rsidRDefault="007A49A3">
      <w:r>
        <w:separator/>
      </w:r>
    </w:p>
  </w:footnote>
  <w:footnote w:type="continuationSeparator" w:id="0">
    <w:p w14:paraId="3A99EB4F" w14:textId="77777777" w:rsidR="00B13177" w:rsidRDefault="007A49A3">
      <w:r>
        <w:continuationSeparator/>
      </w:r>
    </w:p>
  </w:footnote>
  <w:footnote w:id="1">
    <w:p w14:paraId="28AA4A47" w14:textId="77777777" w:rsidR="007A49A3" w:rsidRPr="00BA2FA0" w:rsidRDefault="007A49A3" w:rsidP="007A49A3">
      <w:pPr>
        <w:ind w:left="567" w:hanging="567"/>
        <w:rPr>
          <w:szCs w:val="24"/>
          <w:lang w:val="fi-FI"/>
        </w:rPr>
      </w:pPr>
      <w:r w:rsidRPr="00BA2FA0">
        <w:rPr>
          <w:rStyle w:val="FootnoteReference"/>
          <w:szCs w:val="24"/>
        </w:rPr>
        <w:footnoteRef/>
      </w:r>
      <w:r w:rsidRPr="00BA2FA0">
        <w:rPr>
          <w:szCs w:val="24"/>
          <w:lang w:val="fi-FI"/>
        </w:rPr>
        <w:t xml:space="preserve"> </w:t>
      </w:r>
      <w:r w:rsidRPr="00BA2FA0">
        <w:rPr>
          <w:szCs w:val="24"/>
          <w:lang w:val="fi-FI"/>
        </w:rPr>
        <w:tab/>
        <w:t xml:space="preserve">Ú. v. EÚ L 58, 23.2.2023, s. 1, ELI: </w:t>
      </w:r>
      <w:hyperlink r:id="rId1" w:tooltip="Umožňuje prístup k tomuto dokumentu prostredníctvom identifikátora URI používaného v rámci ELI." w:history="1">
        <w:r w:rsidRPr="00BA2FA0">
          <w:rPr>
            <w:color w:val="337AB7"/>
            <w:szCs w:val="24"/>
            <w:u w:val="single"/>
            <w:shd w:val="clear" w:color="auto" w:fill="FFFFFF"/>
            <w:lang w:val="fi-FI"/>
          </w:rPr>
          <w:t>http://data.europa.eu/eli/budget/2023/1/oj</w:t>
        </w:r>
      </w:hyperlink>
      <w:r w:rsidRPr="00BA2FA0">
        <w:rPr>
          <w:szCs w:val="24"/>
          <w:shd w:val="clear" w:color="auto" w:fill="FFFFFF"/>
          <w:lang w:val="fi-FI"/>
        </w:rPr>
        <w:t>.</w:t>
      </w:r>
    </w:p>
  </w:footnote>
  <w:footnote w:id="2">
    <w:p w14:paraId="27F04C14" w14:textId="77777777" w:rsidR="007A49A3" w:rsidRPr="00BA2FA0" w:rsidRDefault="007A49A3" w:rsidP="007A49A3">
      <w:pPr>
        <w:pStyle w:val="FootnoteText"/>
        <w:ind w:left="567" w:hanging="567"/>
        <w:rPr>
          <w:sz w:val="24"/>
          <w:szCs w:val="24"/>
          <w:lang w:val="sk-SK"/>
        </w:rPr>
      </w:pPr>
      <w:r w:rsidRPr="00BA2FA0">
        <w:rPr>
          <w:rStyle w:val="FootnoteReference"/>
          <w:sz w:val="24"/>
          <w:szCs w:val="24"/>
        </w:rPr>
        <w:footnoteRef/>
      </w:r>
      <w:r w:rsidRPr="00BA2FA0">
        <w:rPr>
          <w:sz w:val="24"/>
          <w:szCs w:val="24"/>
          <w:lang w:val="sk-SK"/>
        </w:rPr>
        <w:t xml:space="preserve"> </w:t>
      </w:r>
      <w:r w:rsidRPr="00BA2FA0">
        <w:rPr>
          <w:sz w:val="24"/>
          <w:szCs w:val="24"/>
          <w:lang w:val="sk-SK"/>
        </w:rPr>
        <w:tab/>
      </w:r>
      <w:r w:rsidRPr="00BA2FA0">
        <w:rPr>
          <w:sz w:val="24"/>
          <w:szCs w:val="24"/>
          <w:lang w:val="sk-SK"/>
        </w:rPr>
        <w:t xml:space="preserve">Ú. v. EÚ C, C/2024/5462, 10.10.2024, ELI: </w:t>
      </w:r>
      <w:hyperlink r:id="rId2" w:history="1">
        <w:r w:rsidRPr="00BA2FA0">
          <w:rPr>
            <w:rStyle w:val="Hyperlink"/>
            <w:sz w:val="24"/>
            <w:szCs w:val="24"/>
            <w:lang w:val="sk-SK"/>
          </w:rPr>
          <w:t>http://data.europa.eu/eli/C/2024/5462/oj</w:t>
        </w:r>
      </w:hyperlink>
      <w:r w:rsidRPr="00BA2FA0">
        <w:rPr>
          <w:rStyle w:val="Hyperlink"/>
          <w:sz w:val="24"/>
          <w:szCs w:val="24"/>
          <w:lang w:val="sk-SK"/>
        </w:rPr>
        <w:t>.</w:t>
      </w:r>
    </w:p>
  </w:footnote>
  <w:footnote w:id="3">
    <w:p w14:paraId="48A35D47" w14:textId="77777777" w:rsidR="007A49A3" w:rsidRPr="00BA2FA0" w:rsidRDefault="007A49A3" w:rsidP="007A49A3">
      <w:pPr>
        <w:pStyle w:val="FootnoteText"/>
        <w:ind w:left="567" w:hanging="567"/>
        <w:rPr>
          <w:sz w:val="24"/>
          <w:szCs w:val="24"/>
          <w:lang w:val="sk-SK"/>
        </w:rPr>
      </w:pPr>
      <w:r w:rsidRPr="00BA2FA0">
        <w:rPr>
          <w:rStyle w:val="FootnoteReference"/>
          <w:sz w:val="24"/>
          <w:szCs w:val="24"/>
        </w:rPr>
        <w:footnoteRef/>
      </w:r>
      <w:r w:rsidRPr="00BA2FA0">
        <w:rPr>
          <w:sz w:val="24"/>
          <w:szCs w:val="24"/>
          <w:lang w:val="sk-SK"/>
        </w:rPr>
        <w:t xml:space="preserve"> </w:t>
      </w:r>
      <w:r w:rsidRPr="00BA2FA0">
        <w:rPr>
          <w:sz w:val="24"/>
          <w:szCs w:val="24"/>
          <w:lang w:val="sk-SK"/>
        </w:rPr>
        <w:tab/>
      </w:r>
      <w:r w:rsidRPr="00BA2FA0">
        <w:rPr>
          <w:sz w:val="24"/>
          <w:szCs w:val="24"/>
          <w:lang w:val="sk-SK"/>
        </w:rPr>
        <w:t xml:space="preserve">Ú. v. EÚ C, C/2024/5882, 9.10.2024, ELI: </w:t>
      </w:r>
      <w:hyperlink r:id="rId3" w:history="1">
        <w:r w:rsidRPr="00BA2FA0">
          <w:rPr>
            <w:rStyle w:val="Hyperlink"/>
            <w:sz w:val="24"/>
            <w:szCs w:val="24"/>
            <w:lang w:val="sk-SK"/>
          </w:rPr>
          <w:t>http://data.europa.eu/eli/C/2024/5882/oj</w:t>
        </w:r>
      </w:hyperlink>
      <w:r w:rsidRPr="00BA2FA0">
        <w:rPr>
          <w:rStyle w:val="Hyperlink"/>
          <w:sz w:val="24"/>
          <w:szCs w:val="24"/>
          <w:lang w:val="sk-SK"/>
        </w:rPr>
        <w:t>.</w:t>
      </w:r>
    </w:p>
  </w:footnote>
  <w:footnote w:id="4">
    <w:p w14:paraId="3E3E479B" w14:textId="77777777" w:rsidR="007A49A3" w:rsidRPr="00BA2FA0" w:rsidRDefault="007A49A3" w:rsidP="007A49A3">
      <w:pPr>
        <w:pStyle w:val="FootnoteText"/>
        <w:ind w:left="567" w:hanging="567"/>
        <w:rPr>
          <w:sz w:val="24"/>
          <w:szCs w:val="24"/>
          <w:lang w:val="sk-SK"/>
        </w:rPr>
      </w:pPr>
      <w:r w:rsidRPr="00BA2FA0">
        <w:rPr>
          <w:rStyle w:val="FootnoteReference"/>
          <w:sz w:val="24"/>
          <w:szCs w:val="24"/>
        </w:rPr>
        <w:footnoteRef/>
      </w:r>
      <w:r w:rsidRPr="00BA2FA0">
        <w:rPr>
          <w:sz w:val="24"/>
          <w:szCs w:val="24"/>
          <w:lang w:val="sk-SK"/>
        </w:rPr>
        <w:t xml:space="preserve"> </w:t>
      </w:r>
      <w:r w:rsidRPr="00BA2FA0">
        <w:rPr>
          <w:sz w:val="24"/>
          <w:szCs w:val="24"/>
          <w:lang w:val="sk-SK"/>
        </w:rPr>
        <w:tab/>
      </w:r>
      <w:r w:rsidRPr="00BA2FA0">
        <w:rPr>
          <w:sz w:val="24"/>
          <w:szCs w:val="24"/>
          <w:lang w:val="sk-SK"/>
        </w:rPr>
        <w:t xml:space="preserve">Ú. v. EÚ C, C/2024/6041, 10.10.2024, ELI: </w:t>
      </w:r>
      <w:hyperlink r:id="rId4" w:history="1">
        <w:r w:rsidRPr="00BA2FA0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BA2FA0">
        <w:rPr>
          <w:rStyle w:val="Hyperlink"/>
          <w:sz w:val="24"/>
          <w:szCs w:val="24"/>
          <w:lang w:val="sk-SK"/>
        </w:rPr>
        <w:t>.</w:t>
      </w:r>
    </w:p>
  </w:footnote>
  <w:footnote w:id="5">
    <w:p w14:paraId="764DE4D7" w14:textId="77777777" w:rsidR="007A49A3" w:rsidRPr="00BA2FA0" w:rsidRDefault="007A49A3" w:rsidP="007A49A3">
      <w:pPr>
        <w:pStyle w:val="FootnoteText"/>
        <w:ind w:left="567" w:hanging="567"/>
        <w:rPr>
          <w:sz w:val="24"/>
          <w:szCs w:val="24"/>
          <w:lang w:val="sk-SK"/>
        </w:rPr>
      </w:pPr>
      <w:r w:rsidRPr="00BA2FA0">
        <w:rPr>
          <w:rStyle w:val="FootnoteReference"/>
          <w:sz w:val="24"/>
          <w:szCs w:val="24"/>
        </w:rPr>
        <w:footnoteRef/>
      </w:r>
      <w:r w:rsidRPr="00BA2FA0">
        <w:rPr>
          <w:sz w:val="24"/>
          <w:szCs w:val="24"/>
          <w:lang w:val="sk-SK"/>
        </w:rPr>
        <w:t xml:space="preserve"> </w:t>
      </w:r>
      <w:r w:rsidRPr="00BA2FA0">
        <w:rPr>
          <w:sz w:val="24"/>
          <w:szCs w:val="24"/>
          <w:lang w:val="sk-SK"/>
        </w:rPr>
        <w:tab/>
      </w:r>
      <w:r w:rsidRPr="00BA2FA0">
        <w:rPr>
          <w:sz w:val="24"/>
          <w:szCs w:val="24"/>
          <w:lang w:val="sk-SK"/>
        </w:rPr>
        <w:t xml:space="preserve">Ú. v. EÚ L 193, 30.7.2018, s. 1, ELI: </w:t>
      </w:r>
      <w:hyperlink r:id="rId5" w:history="1">
        <w:r w:rsidRPr="00BA2FA0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BA2FA0">
        <w:rPr>
          <w:sz w:val="24"/>
          <w:szCs w:val="24"/>
          <w:lang w:val="sk-SK"/>
        </w:rPr>
        <w:t>.</w:t>
      </w:r>
    </w:p>
  </w:footnote>
  <w:footnote w:id="6">
    <w:p w14:paraId="2550FCA6" w14:textId="77777777" w:rsidR="007A49A3" w:rsidRPr="00BA2FA0" w:rsidRDefault="007A49A3" w:rsidP="007A49A3">
      <w:pPr>
        <w:pStyle w:val="FootnoteText"/>
        <w:ind w:left="567" w:hanging="567"/>
        <w:rPr>
          <w:sz w:val="24"/>
          <w:szCs w:val="24"/>
          <w:lang w:val="sk-SK"/>
        </w:rPr>
      </w:pPr>
      <w:r w:rsidRPr="00BA2FA0">
        <w:rPr>
          <w:rStyle w:val="FootnoteReference"/>
          <w:sz w:val="24"/>
          <w:szCs w:val="24"/>
        </w:rPr>
        <w:footnoteRef/>
      </w:r>
      <w:r w:rsidRPr="00BA2FA0">
        <w:rPr>
          <w:sz w:val="24"/>
          <w:szCs w:val="24"/>
          <w:lang w:val="sk-SK"/>
        </w:rPr>
        <w:t xml:space="preserve"> </w:t>
      </w:r>
      <w:r w:rsidRPr="00BA2FA0">
        <w:rPr>
          <w:sz w:val="24"/>
          <w:szCs w:val="24"/>
          <w:lang w:val="sk-SK"/>
        </w:rPr>
        <w:tab/>
      </w:r>
      <w:r w:rsidRPr="00BA2FA0">
        <w:rPr>
          <w:sz w:val="24"/>
          <w:szCs w:val="24"/>
          <w:lang w:val="sk-SK"/>
        </w:rPr>
        <w:t xml:space="preserve">Ú. v. EÚ L, 2024/2509, 26.9.2024, ELI: </w:t>
      </w:r>
      <w:hyperlink r:id="rId6" w:history="1">
        <w:r w:rsidRPr="00BA2FA0">
          <w:rPr>
            <w:rStyle w:val="Hyperlink"/>
            <w:sz w:val="24"/>
            <w:szCs w:val="24"/>
            <w:lang w:val="sk-SK"/>
          </w:rPr>
          <w:t>https://data.europa.eu/eli/reg/2024/2509/oj</w:t>
        </w:r>
      </w:hyperlink>
      <w:r w:rsidRPr="00BA2FA0">
        <w:rPr>
          <w:rStyle w:val="Hyperlink"/>
          <w:sz w:val="24"/>
          <w:szCs w:val="24"/>
          <w:lang w:val="sk-SK"/>
        </w:rPr>
        <w:t>.</w:t>
      </w:r>
    </w:p>
  </w:footnote>
  <w:footnote w:id="7">
    <w:p w14:paraId="2EF93F8D" w14:textId="77777777" w:rsidR="007A49A3" w:rsidRPr="00BA2FA0" w:rsidRDefault="007A49A3" w:rsidP="007A49A3">
      <w:pPr>
        <w:pStyle w:val="FootnoteText"/>
        <w:ind w:left="567" w:hanging="567"/>
        <w:rPr>
          <w:sz w:val="24"/>
          <w:szCs w:val="24"/>
          <w:lang w:val="sk-SK"/>
        </w:rPr>
      </w:pPr>
      <w:r w:rsidRPr="00BA2FA0">
        <w:rPr>
          <w:rStyle w:val="FootnoteReference"/>
          <w:sz w:val="24"/>
          <w:szCs w:val="24"/>
        </w:rPr>
        <w:footnoteRef/>
      </w:r>
      <w:r w:rsidRPr="00BA2FA0">
        <w:rPr>
          <w:sz w:val="24"/>
          <w:szCs w:val="24"/>
          <w:lang w:val="sk-SK"/>
        </w:rPr>
        <w:tab/>
      </w:r>
      <w:r w:rsidRPr="00BA2FA0">
        <w:rPr>
          <w:color w:val="333333"/>
          <w:sz w:val="24"/>
          <w:szCs w:val="24"/>
          <w:shd w:val="clear" w:color="auto" w:fill="FFFFFF"/>
          <w:lang w:val="sk-SK"/>
        </w:rPr>
        <w:t xml:space="preserve">Nariadenie Európskeho parlamentu (EÚ, </w:t>
      </w:r>
      <w:proofErr w:type="spellStart"/>
      <w:r w:rsidRPr="00BA2FA0">
        <w:rPr>
          <w:color w:val="333333"/>
          <w:sz w:val="24"/>
          <w:szCs w:val="24"/>
          <w:shd w:val="clear" w:color="auto" w:fill="FFFFFF"/>
          <w:lang w:val="sk-SK"/>
        </w:rPr>
        <w:t>Euratom</w:t>
      </w:r>
      <w:proofErr w:type="spellEnd"/>
      <w:r w:rsidRPr="00BA2FA0">
        <w:rPr>
          <w:color w:val="333333"/>
          <w:sz w:val="24"/>
          <w:szCs w:val="24"/>
          <w:shd w:val="clear" w:color="auto" w:fill="FFFFFF"/>
          <w:lang w:val="sk-SK"/>
        </w:rPr>
        <w:t xml:space="preserve">) 2021/1163 z 24. júna 2021, ktorým sa stanovujú pravidlá a všeobecné podmienky upravujúce výkon funkcie ombudsmana (štatút európskeho ombudsmana) a zrušuje rozhodnutie 94/262/ESUO, ES, </w:t>
      </w:r>
      <w:proofErr w:type="spellStart"/>
      <w:r w:rsidRPr="00BA2FA0">
        <w:rPr>
          <w:color w:val="333333"/>
          <w:sz w:val="24"/>
          <w:szCs w:val="24"/>
          <w:shd w:val="clear" w:color="auto" w:fill="FFFFFF"/>
          <w:lang w:val="sk-SK"/>
        </w:rPr>
        <w:t>Euratom</w:t>
      </w:r>
      <w:proofErr w:type="spellEnd"/>
      <w:r w:rsidRPr="00BA2FA0">
        <w:rPr>
          <w:sz w:val="24"/>
          <w:szCs w:val="24"/>
          <w:lang w:val="sk-SK"/>
        </w:rPr>
        <w:t xml:space="preserve"> (Ú. v. EÚ L 253, 16.7.2021, s. 1, ELI: </w:t>
      </w:r>
      <w:hyperlink r:id="rId7" w:history="1">
        <w:r w:rsidRPr="00BA2FA0">
          <w:rPr>
            <w:rStyle w:val="Hyperlink"/>
            <w:sz w:val="24"/>
            <w:szCs w:val="24"/>
            <w:lang w:val="sk-SK"/>
          </w:rPr>
          <w:t>http://data.europa.eu/eli/reg/2021/1163/oj</w:t>
        </w:r>
      </w:hyperlink>
      <w:r w:rsidRPr="00BA2FA0">
        <w:rPr>
          <w:sz w:val="24"/>
          <w:szCs w:val="24"/>
          <w:lang w:val="sk-SK"/>
        </w:rPr>
        <w:t>).</w:t>
      </w:r>
    </w:p>
  </w:footnote>
  <w:footnote w:id="8">
    <w:p w14:paraId="2B07D67F" w14:textId="77777777" w:rsidR="007A49A3" w:rsidRPr="00BA2FA0" w:rsidRDefault="007A49A3" w:rsidP="007A49A3">
      <w:pPr>
        <w:pStyle w:val="FootnoteText"/>
        <w:ind w:left="567" w:hanging="567"/>
        <w:rPr>
          <w:sz w:val="24"/>
          <w:szCs w:val="24"/>
          <w:lang w:val="sk-SK"/>
        </w:rPr>
      </w:pPr>
      <w:r w:rsidRPr="00BA2FA0">
        <w:rPr>
          <w:rStyle w:val="FootnoteReference"/>
          <w:sz w:val="24"/>
          <w:szCs w:val="24"/>
        </w:rPr>
        <w:footnoteRef/>
      </w:r>
      <w:r w:rsidRPr="00BA2FA0">
        <w:rPr>
          <w:color w:val="333333"/>
          <w:sz w:val="24"/>
          <w:szCs w:val="24"/>
          <w:shd w:val="clear" w:color="auto" w:fill="FFFFFF"/>
          <w:lang w:val="sk-SK"/>
        </w:rPr>
        <w:tab/>
      </w:r>
      <w:r w:rsidRPr="00BA2FA0">
        <w:rPr>
          <w:color w:val="333333"/>
          <w:sz w:val="24"/>
          <w:szCs w:val="24"/>
          <w:shd w:val="clear" w:color="auto" w:fill="FFFFFF"/>
          <w:lang w:val="sk-SK"/>
        </w:rPr>
        <w:t xml:space="preserve">Ú. v. EÚ C, C/2023/161, 10.10.2023, ELI: </w:t>
      </w:r>
      <w:hyperlink r:id="rId8" w:tgtFrame="_blank" w:tooltip="Umožňuje prístup k tomuto dokumentu prostredníctvom identifikátora URI používaného v rámci ELI." w:history="1">
        <w:r w:rsidRPr="00BA2FA0">
          <w:rPr>
            <w:color w:val="23527C"/>
            <w:sz w:val="24"/>
            <w:szCs w:val="24"/>
            <w:u w:val="single"/>
            <w:lang w:val="sk-SK"/>
          </w:rPr>
          <w:t>http://data.europa.eu/eli/C/2023/161/oj</w:t>
        </w:r>
      </w:hyperlink>
      <w:r w:rsidRPr="00BA2FA0">
        <w:rPr>
          <w:color w:val="23527C"/>
          <w:sz w:val="24"/>
          <w:szCs w:val="24"/>
          <w:lang w:val="sk-SK"/>
        </w:rPr>
        <w:t>.</w:t>
      </w:r>
    </w:p>
  </w:footnote>
  <w:footnote w:id="9">
    <w:p w14:paraId="66BC8A8B" w14:textId="77777777" w:rsidR="007A49A3" w:rsidRPr="00BA2FA0" w:rsidRDefault="007A49A3" w:rsidP="007A49A3">
      <w:pPr>
        <w:pStyle w:val="FootnoteText"/>
        <w:ind w:left="567" w:hanging="567"/>
        <w:rPr>
          <w:sz w:val="24"/>
          <w:szCs w:val="24"/>
          <w:lang w:val="sk-SK"/>
        </w:rPr>
      </w:pPr>
      <w:r w:rsidRPr="00BA2FA0">
        <w:rPr>
          <w:rStyle w:val="FootnoteReference"/>
          <w:sz w:val="24"/>
          <w:szCs w:val="24"/>
        </w:rPr>
        <w:footnoteRef/>
      </w:r>
      <w:r w:rsidRPr="00BA2FA0">
        <w:rPr>
          <w:sz w:val="24"/>
          <w:szCs w:val="24"/>
          <w:lang w:val="sk-SK"/>
        </w:rPr>
        <w:t xml:space="preserve"> </w:t>
      </w:r>
      <w:r w:rsidRPr="00BA2FA0">
        <w:rPr>
          <w:sz w:val="24"/>
          <w:szCs w:val="24"/>
          <w:lang w:val="sk-SK"/>
        </w:rPr>
        <w:tab/>
      </w:r>
      <w:r w:rsidRPr="00BA2FA0">
        <w:rPr>
          <w:sz w:val="24"/>
          <w:szCs w:val="24"/>
          <w:lang w:val="sk-SK"/>
        </w:rPr>
        <w:t xml:space="preserve">Nariadenie Európskeho parlamentu a Rady (ES) č. 1049/2001 z 30. mája 2001 o prístupe verejnosti k dokumentom Európskeho parlamentu, Rady a Komisie (Ú. v. ES L 145, 31.5.2001, s. 43, ELI: </w:t>
      </w:r>
      <w:hyperlink r:id="rId9" w:history="1">
        <w:r w:rsidRPr="00BA2FA0">
          <w:rPr>
            <w:rStyle w:val="Hyperlink"/>
            <w:sz w:val="24"/>
            <w:szCs w:val="24"/>
            <w:lang w:val="sk-SK"/>
          </w:rPr>
          <w:t>http://data.europa.eu/eli/reg/2001/1049/oj</w:t>
        </w:r>
      </w:hyperlink>
      <w:r w:rsidRPr="00BA2FA0">
        <w:rPr>
          <w:sz w:val="24"/>
          <w:szCs w:val="24"/>
          <w:lang w:val="sk-SK"/>
        </w:rPr>
        <w:t>).</w:t>
      </w:r>
    </w:p>
  </w:footnote>
  <w:footnote w:id="10">
    <w:p w14:paraId="6A1BF07A" w14:textId="77777777" w:rsidR="007A49A3" w:rsidRPr="00BA2FA0" w:rsidRDefault="007A49A3" w:rsidP="007A49A3">
      <w:pPr>
        <w:pStyle w:val="FootnoteText"/>
        <w:ind w:left="567" w:hanging="567"/>
        <w:rPr>
          <w:sz w:val="24"/>
          <w:szCs w:val="24"/>
          <w:lang w:val="sk-SK"/>
        </w:rPr>
      </w:pPr>
      <w:r w:rsidRPr="00BA2FA0">
        <w:rPr>
          <w:rStyle w:val="FootnoteReference"/>
          <w:sz w:val="24"/>
          <w:szCs w:val="24"/>
        </w:rPr>
        <w:footnoteRef/>
      </w:r>
      <w:r w:rsidRPr="00BA2FA0">
        <w:rPr>
          <w:sz w:val="24"/>
          <w:szCs w:val="24"/>
          <w:lang w:val="sk-SK"/>
        </w:rPr>
        <w:tab/>
      </w:r>
      <w:hyperlink r:id="rId10" w:history="1">
        <w:r w:rsidRPr="00BA2FA0">
          <w:rPr>
            <w:rStyle w:val="Hyperlink"/>
            <w:sz w:val="24"/>
            <w:szCs w:val="24"/>
            <w:lang w:val="sk-SK"/>
          </w:rPr>
          <w:t>https://www.ombudsman.europa.eu/sk/doc/annual-report/sk/183636</w:t>
        </w:r>
      </w:hyperlink>
      <w:r w:rsidRPr="00BA2FA0">
        <w:rPr>
          <w:sz w:val="24"/>
          <w:szCs w:val="24"/>
          <w:lang w:val="sk-SK"/>
        </w:rPr>
        <w:t>.</w:t>
      </w:r>
    </w:p>
  </w:footnote>
  <w:footnote w:id="11">
    <w:p w14:paraId="4CE56D6F" w14:textId="77777777" w:rsidR="007A49A3" w:rsidRPr="00BA2FA0" w:rsidRDefault="007A49A3" w:rsidP="007A49A3">
      <w:pPr>
        <w:pStyle w:val="FootnoteText"/>
        <w:ind w:left="567" w:hanging="567"/>
        <w:rPr>
          <w:sz w:val="24"/>
          <w:szCs w:val="24"/>
          <w:lang w:val="sk-SK"/>
        </w:rPr>
      </w:pPr>
      <w:r w:rsidRPr="00BA2FA0">
        <w:rPr>
          <w:rStyle w:val="FootnoteReference"/>
          <w:sz w:val="24"/>
          <w:szCs w:val="24"/>
        </w:rPr>
        <w:footnoteRef/>
      </w:r>
      <w:r w:rsidRPr="00BA2FA0">
        <w:rPr>
          <w:sz w:val="24"/>
          <w:szCs w:val="24"/>
          <w:lang w:val="sk-SK"/>
        </w:rPr>
        <w:tab/>
      </w:r>
      <w:hyperlink r:id="rId11" w:history="1">
        <w:r w:rsidRPr="00BA2FA0">
          <w:rPr>
            <w:rStyle w:val="Hyperlink"/>
            <w:sz w:val="24"/>
            <w:szCs w:val="24"/>
            <w:lang w:val="sk-SK"/>
          </w:rPr>
          <w:t>https://www.ombudsman.europa.eu/sk/multimedia/infographics/sk/142</w:t>
        </w:r>
      </w:hyperlink>
      <w:r w:rsidRPr="00BA2FA0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4952F" w14:textId="77777777" w:rsidR="00B13177" w:rsidRDefault="00B131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6F8FF" w14:textId="77777777" w:rsidR="00B13177" w:rsidRDefault="00B131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EA830" w14:textId="77777777" w:rsidR="00B13177" w:rsidRDefault="00B131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026606">
    <w:abstractNumId w:val="9"/>
  </w:num>
  <w:num w:numId="2" w16cid:durableId="351685627">
    <w:abstractNumId w:val="9"/>
  </w:num>
  <w:num w:numId="3" w16cid:durableId="1722289244">
    <w:abstractNumId w:val="7"/>
  </w:num>
  <w:num w:numId="4" w16cid:durableId="1699282952">
    <w:abstractNumId w:val="7"/>
  </w:num>
  <w:num w:numId="5" w16cid:durableId="1722241513">
    <w:abstractNumId w:val="6"/>
  </w:num>
  <w:num w:numId="6" w16cid:durableId="6644356">
    <w:abstractNumId w:val="6"/>
  </w:num>
  <w:num w:numId="7" w16cid:durableId="1523472243">
    <w:abstractNumId w:val="5"/>
  </w:num>
  <w:num w:numId="8" w16cid:durableId="1137995566">
    <w:abstractNumId w:val="5"/>
  </w:num>
  <w:num w:numId="9" w16cid:durableId="25370233">
    <w:abstractNumId w:val="4"/>
  </w:num>
  <w:num w:numId="10" w16cid:durableId="1762098881">
    <w:abstractNumId w:val="4"/>
  </w:num>
  <w:num w:numId="11" w16cid:durableId="1230077441">
    <w:abstractNumId w:val="8"/>
  </w:num>
  <w:num w:numId="12" w16cid:durableId="1691711790">
    <w:abstractNumId w:val="8"/>
  </w:num>
  <w:num w:numId="13" w16cid:durableId="37436851">
    <w:abstractNumId w:val="3"/>
  </w:num>
  <w:num w:numId="14" w16cid:durableId="413548897">
    <w:abstractNumId w:val="3"/>
  </w:num>
  <w:num w:numId="15" w16cid:durableId="1516842859">
    <w:abstractNumId w:val="2"/>
  </w:num>
  <w:num w:numId="16" w16cid:durableId="277839607">
    <w:abstractNumId w:val="2"/>
  </w:num>
  <w:num w:numId="17" w16cid:durableId="91904662">
    <w:abstractNumId w:val="1"/>
  </w:num>
  <w:num w:numId="18" w16cid:durableId="1754204421">
    <w:abstractNumId w:val="1"/>
  </w:num>
  <w:num w:numId="19" w16cid:durableId="1060011756">
    <w:abstractNumId w:val="0"/>
  </w:num>
  <w:num w:numId="20" w16cid:durableId="1645819682">
    <w:abstractNumId w:val="0"/>
  </w:num>
  <w:num w:numId="21" w16cid:durableId="247346062">
    <w:abstractNumId w:val="9"/>
  </w:num>
  <w:num w:numId="22" w16cid:durableId="295061852">
    <w:abstractNumId w:val="7"/>
  </w:num>
  <w:num w:numId="23" w16cid:durableId="867257570">
    <w:abstractNumId w:val="6"/>
  </w:num>
  <w:num w:numId="24" w16cid:durableId="459541981">
    <w:abstractNumId w:val="5"/>
  </w:num>
  <w:num w:numId="25" w16cid:durableId="709190003">
    <w:abstractNumId w:val="4"/>
  </w:num>
  <w:num w:numId="26" w16cid:durableId="491869717">
    <w:abstractNumId w:val="8"/>
  </w:num>
  <w:num w:numId="27" w16cid:durableId="712929486">
    <w:abstractNumId w:val="3"/>
  </w:num>
  <w:num w:numId="28" w16cid:durableId="1590234769">
    <w:abstractNumId w:val="2"/>
  </w:num>
  <w:num w:numId="29" w16cid:durableId="1389693384">
    <w:abstractNumId w:val="1"/>
  </w:num>
  <w:num w:numId="30" w16cid:durableId="957876084">
    <w:abstractNumId w:val="0"/>
  </w:num>
  <w:num w:numId="31" w16cid:durableId="377585204">
    <w:abstractNumId w:val="9"/>
  </w:num>
  <w:num w:numId="32" w16cid:durableId="2131431588">
    <w:abstractNumId w:val="7"/>
  </w:num>
  <w:num w:numId="33" w16cid:durableId="818183755">
    <w:abstractNumId w:val="6"/>
  </w:num>
  <w:num w:numId="34" w16cid:durableId="1125002992">
    <w:abstractNumId w:val="5"/>
  </w:num>
  <w:num w:numId="35" w16cid:durableId="329530847">
    <w:abstractNumId w:val="4"/>
  </w:num>
  <w:num w:numId="36" w16cid:durableId="1276907700">
    <w:abstractNumId w:val="8"/>
  </w:num>
  <w:num w:numId="37" w16cid:durableId="377823511">
    <w:abstractNumId w:val="3"/>
  </w:num>
  <w:num w:numId="38" w16cid:durableId="1793135963">
    <w:abstractNumId w:val="2"/>
  </w:num>
  <w:num w:numId="39" w16cid:durableId="1673801558">
    <w:abstractNumId w:val="1"/>
  </w:num>
  <w:num w:numId="40" w16cid:durableId="657535856">
    <w:abstractNumId w:val="0"/>
  </w:num>
  <w:num w:numId="41" w16cid:durableId="1670136080">
    <w:abstractNumId w:val="10"/>
  </w:num>
  <w:num w:numId="42" w16cid:durableId="146363961">
    <w:abstractNumId w:val="10"/>
  </w:num>
  <w:num w:numId="43" w16cid:durableId="674385487">
    <w:abstractNumId w:val="10"/>
  </w:num>
  <w:num w:numId="44" w16cid:durableId="13350659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5/2025"/>
    <w:docVar w:name="dvlangue" w:val="SK"/>
    <w:docVar w:name="dvnumam" w:val="0"/>
    <w:docVar w:name="dvpe" w:val="764.991"/>
    <w:docVar w:name="dvrapporteur" w:val="Spravodajca: "/>
    <w:docVar w:name="dvtitre" w:val="1. Rozhodnutie Európskeho parlamentu zo 7. mája 2025 o absolutóriu za plnenie všeobecného rozpočtu Európskej únie za rozpočtový rok 2023, oddiel VIII – európsky ombudsman(2024/2027(DEC))"/>
  </w:docVars>
  <w:rsids>
    <w:rsidRoot w:val="00B13177"/>
    <w:rsid w:val="007A49A3"/>
    <w:rsid w:val="00B13177"/>
    <w:rsid w:val="00BA2FA0"/>
    <w:rsid w:val="00FA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251056"/>
  <w15:chartTrackingRefBased/>
  <w15:docId w15:val="{28952413-D4EC-4545-A3C1-F5915D2A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qFormat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3/161/oj" TargetMode="External"/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21/1163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s://data.europa.eu/eli/reg/2024/2509/oj" TargetMode="External"/><Relationship Id="rId11" Type="http://schemas.openxmlformats.org/officeDocument/2006/relationships/hyperlink" Target="https://www.ombudsman.europa.eu/sk/multimedia/infographics/sk/142" TargetMode="External"/><Relationship Id="rId5" Type="http://schemas.openxmlformats.org/officeDocument/2006/relationships/hyperlink" Target="http://data.europa.eu/eli/reg/2018/1046/oj" TargetMode="External"/><Relationship Id="rId10" Type="http://schemas.openxmlformats.org/officeDocument/2006/relationships/hyperlink" Target="https://www.ombudsman.europa.eu/sk/doc/annual-report/sk/183636" TargetMode="External"/><Relationship Id="rId4" Type="http://schemas.openxmlformats.org/officeDocument/2006/relationships/hyperlink" Target="http://data.europa.eu/eli/C/2024/6041/oj" TargetMode="External"/><Relationship Id="rId9" Type="http://schemas.openxmlformats.org/officeDocument/2006/relationships/hyperlink" Target="http://data.europa.eu/eli/reg/2001/104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23CFD-EC08-4066-94F8-90CA80958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4973</Words>
  <Characters>30492</Characters>
  <Application>Microsoft Office Word</Application>
  <DocSecurity>0</DocSecurity>
  <Lines>254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2025-11-27T16:11:00Z</dcterms:created>
  <dcterms:modified xsi:type="dcterms:W3CDTF">2025-11-27T16:11:00Z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P10_TA(2025)0084_</vt:lpwstr>
  </property>
  <property fmtid="{D5CDD505-2E9C-101B-9397-08002B2CF9AE}" pid="4" name="&lt;Type&gt;">
    <vt:lpwstr>RR</vt:lpwstr>
  </property>
</Properties>
</file>